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9355" w:type="dxa"/>
        <w:tblLook w:val="04A0" w:firstRow="1" w:lastRow="0" w:firstColumn="1" w:lastColumn="0" w:noHBand="0" w:noVBand="1"/>
      </w:tblPr>
      <w:tblGrid>
        <w:gridCol w:w="4225"/>
        <w:gridCol w:w="5130"/>
      </w:tblGrid>
      <w:tr w:rsidR="00182821" w:rsidRPr="00182821" w14:paraId="34064049" w14:textId="77777777" w:rsidTr="00706C7B">
        <w:trPr>
          <w:trHeight w:val="350"/>
        </w:trPr>
        <w:tc>
          <w:tcPr>
            <w:tcW w:w="9355" w:type="dxa"/>
            <w:gridSpan w:val="2"/>
            <w:shd w:val="clear" w:color="auto" w:fill="ACD7E6"/>
            <w:vAlign w:val="center"/>
          </w:tcPr>
          <w:p w14:paraId="72D47F88" w14:textId="77777777" w:rsidR="00182821" w:rsidRPr="00DE1CDF" w:rsidRDefault="00182821" w:rsidP="00706C7B">
            <w:pPr>
              <w:spacing w:line="276" w:lineRule="auto"/>
              <w:jc w:val="center"/>
              <w:rPr>
                <w:b/>
                <w:sz w:val="28"/>
                <w:szCs w:val="28"/>
              </w:rPr>
            </w:pPr>
            <w:r w:rsidRPr="00DE1CDF">
              <w:rPr>
                <w:b/>
                <w:sz w:val="28"/>
                <w:szCs w:val="28"/>
              </w:rPr>
              <w:t>STAFF REPORT TO THE PUBLIC HEALTH COUNCIL</w:t>
            </w:r>
          </w:p>
          <w:p w14:paraId="5D2D759F" w14:textId="6AFE620A" w:rsidR="00182821" w:rsidRPr="00DE1CDF" w:rsidRDefault="00182821" w:rsidP="00706C7B">
            <w:pPr>
              <w:spacing w:line="276" w:lineRule="auto"/>
              <w:jc w:val="center"/>
              <w:rPr>
                <w:b/>
                <w:sz w:val="28"/>
                <w:szCs w:val="28"/>
              </w:rPr>
            </w:pPr>
            <w:r w:rsidRPr="00DE1CDF">
              <w:rPr>
                <w:b/>
                <w:sz w:val="28"/>
                <w:szCs w:val="28"/>
              </w:rPr>
              <w:t>DETERMINATION OF NEED</w:t>
            </w:r>
          </w:p>
        </w:tc>
      </w:tr>
      <w:tr w:rsidR="00182821" w:rsidRPr="00182821" w14:paraId="59FC6489" w14:textId="77777777" w:rsidTr="00D93285">
        <w:trPr>
          <w:trHeight w:val="413"/>
        </w:trPr>
        <w:tc>
          <w:tcPr>
            <w:tcW w:w="4225" w:type="dxa"/>
            <w:shd w:val="clear" w:color="auto" w:fill="auto"/>
            <w:vAlign w:val="center"/>
          </w:tcPr>
          <w:p w14:paraId="6EDCFD18" w14:textId="77777777" w:rsidR="00182821" w:rsidRPr="00B75E11" w:rsidRDefault="00182821" w:rsidP="002721B9">
            <w:pPr>
              <w:rPr>
                <w:sz w:val="24"/>
                <w:szCs w:val="24"/>
              </w:rPr>
            </w:pPr>
            <w:r w:rsidRPr="00B75E11">
              <w:rPr>
                <w:sz w:val="24"/>
                <w:szCs w:val="24"/>
              </w:rPr>
              <w:t xml:space="preserve">Applicant Name </w:t>
            </w:r>
          </w:p>
        </w:tc>
        <w:tc>
          <w:tcPr>
            <w:tcW w:w="5130" w:type="dxa"/>
            <w:shd w:val="clear" w:color="auto" w:fill="auto"/>
            <w:vAlign w:val="center"/>
          </w:tcPr>
          <w:p w14:paraId="2EE673FC" w14:textId="77777777" w:rsidR="00182821" w:rsidRPr="00B75E11" w:rsidRDefault="00182821" w:rsidP="002721B9">
            <w:pPr>
              <w:rPr>
                <w:sz w:val="24"/>
                <w:szCs w:val="24"/>
              </w:rPr>
            </w:pPr>
            <w:r w:rsidRPr="00B75E11">
              <w:rPr>
                <w:sz w:val="24"/>
                <w:szCs w:val="24"/>
              </w:rPr>
              <w:t>New England Baptist Surgery Center, LLC</w:t>
            </w:r>
          </w:p>
        </w:tc>
      </w:tr>
      <w:tr w:rsidR="00182821" w:rsidRPr="00182821" w14:paraId="2EBA29F1" w14:textId="77777777" w:rsidTr="00D93285">
        <w:trPr>
          <w:trHeight w:val="357"/>
        </w:trPr>
        <w:tc>
          <w:tcPr>
            <w:tcW w:w="4225" w:type="dxa"/>
            <w:shd w:val="clear" w:color="auto" w:fill="auto"/>
            <w:vAlign w:val="center"/>
          </w:tcPr>
          <w:p w14:paraId="42A9BB61" w14:textId="77777777" w:rsidR="00182821" w:rsidRPr="00B75E11" w:rsidRDefault="00182821" w:rsidP="002721B9">
            <w:pPr>
              <w:rPr>
                <w:sz w:val="24"/>
                <w:szCs w:val="24"/>
              </w:rPr>
            </w:pPr>
            <w:r w:rsidRPr="00B75E11">
              <w:rPr>
                <w:sz w:val="24"/>
                <w:szCs w:val="24"/>
              </w:rPr>
              <w:t xml:space="preserve">Applicant Address </w:t>
            </w:r>
          </w:p>
        </w:tc>
        <w:tc>
          <w:tcPr>
            <w:tcW w:w="5130" w:type="dxa"/>
            <w:shd w:val="clear" w:color="auto" w:fill="auto"/>
            <w:vAlign w:val="center"/>
          </w:tcPr>
          <w:p w14:paraId="04864964" w14:textId="77777777" w:rsidR="00182821" w:rsidRPr="00B75E11" w:rsidRDefault="00182821" w:rsidP="002721B9">
            <w:pPr>
              <w:rPr>
                <w:sz w:val="24"/>
                <w:szCs w:val="24"/>
                <w:lang w:val="fr-FR"/>
              </w:rPr>
            </w:pPr>
            <w:r w:rsidRPr="00B75E11">
              <w:rPr>
                <w:sz w:val="24"/>
                <w:szCs w:val="24"/>
              </w:rPr>
              <w:t>40 Allied Drive, Suite #200, Dedham, MA</w:t>
            </w:r>
          </w:p>
        </w:tc>
      </w:tr>
      <w:tr w:rsidR="007D2A1C" w:rsidRPr="00182821" w14:paraId="08A1C63A" w14:textId="77777777" w:rsidTr="00D93285">
        <w:trPr>
          <w:trHeight w:val="377"/>
        </w:trPr>
        <w:tc>
          <w:tcPr>
            <w:tcW w:w="4225" w:type="dxa"/>
            <w:shd w:val="clear" w:color="auto" w:fill="auto"/>
            <w:vAlign w:val="center"/>
          </w:tcPr>
          <w:p w14:paraId="36E7C743" w14:textId="77777777" w:rsidR="007D2A1C" w:rsidRPr="00B75E11" w:rsidRDefault="007D2A1C" w:rsidP="007D2A1C">
            <w:pPr>
              <w:rPr>
                <w:sz w:val="24"/>
                <w:szCs w:val="24"/>
              </w:rPr>
            </w:pPr>
            <w:r w:rsidRPr="00B75E11">
              <w:rPr>
                <w:sz w:val="24"/>
                <w:szCs w:val="24"/>
              </w:rPr>
              <w:t>Filing Date</w:t>
            </w:r>
          </w:p>
        </w:tc>
        <w:tc>
          <w:tcPr>
            <w:tcW w:w="5130" w:type="dxa"/>
            <w:shd w:val="clear" w:color="auto" w:fill="auto"/>
            <w:vAlign w:val="center"/>
          </w:tcPr>
          <w:p w14:paraId="74D41E78" w14:textId="35D7C633" w:rsidR="007D2A1C" w:rsidRPr="00B75E11" w:rsidRDefault="007D2A1C" w:rsidP="007D2A1C">
            <w:pPr>
              <w:rPr>
                <w:sz w:val="24"/>
                <w:szCs w:val="24"/>
              </w:rPr>
            </w:pPr>
            <w:r w:rsidRPr="00B75E11">
              <w:rPr>
                <w:rFonts w:cstheme="minorHAnsi"/>
                <w:sz w:val="24"/>
                <w:szCs w:val="24"/>
              </w:rPr>
              <w:t>September 10, 2022</w:t>
            </w:r>
          </w:p>
        </w:tc>
      </w:tr>
      <w:tr w:rsidR="007D2A1C" w:rsidRPr="00182821" w14:paraId="557523DB" w14:textId="77777777" w:rsidTr="00D93285">
        <w:trPr>
          <w:trHeight w:val="350"/>
        </w:trPr>
        <w:tc>
          <w:tcPr>
            <w:tcW w:w="4225" w:type="dxa"/>
            <w:shd w:val="clear" w:color="auto" w:fill="auto"/>
            <w:vAlign w:val="center"/>
          </w:tcPr>
          <w:p w14:paraId="413E5073" w14:textId="77777777" w:rsidR="007D2A1C" w:rsidRPr="00B75E11" w:rsidRDefault="007D2A1C" w:rsidP="007D2A1C">
            <w:pPr>
              <w:rPr>
                <w:sz w:val="24"/>
                <w:szCs w:val="24"/>
              </w:rPr>
            </w:pPr>
            <w:r w:rsidRPr="00B75E11">
              <w:rPr>
                <w:sz w:val="24"/>
                <w:szCs w:val="24"/>
              </w:rPr>
              <w:t>Type of DoN Application</w:t>
            </w:r>
          </w:p>
        </w:tc>
        <w:tc>
          <w:tcPr>
            <w:tcW w:w="5130" w:type="dxa"/>
            <w:shd w:val="clear" w:color="auto" w:fill="auto"/>
            <w:vAlign w:val="center"/>
          </w:tcPr>
          <w:p w14:paraId="0EA11A28" w14:textId="31DB6C11" w:rsidR="007D2A1C" w:rsidRPr="00B75E11" w:rsidRDefault="007D2A1C" w:rsidP="007D2A1C">
            <w:pPr>
              <w:rPr>
                <w:sz w:val="24"/>
                <w:szCs w:val="24"/>
              </w:rPr>
            </w:pPr>
            <w:r w:rsidRPr="00B75E11">
              <w:rPr>
                <w:rFonts w:cstheme="minorHAnsi"/>
                <w:sz w:val="24"/>
                <w:szCs w:val="24"/>
              </w:rPr>
              <w:t>Ambulatory Surgery (Transfer of Ownership)</w:t>
            </w:r>
          </w:p>
        </w:tc>
      </w:tr>
      <w:tr w:rsidR="007D2A1C" w:rsidRPr="00182821" w14:paraId="44A5DF3C" w14:textId="77777777" w:rsidTr="00D93285">
        <w:trPr>
          <w:trHeight w:val="350"/>
        </w:trPr>
        <w:tc>
          <w:tcPr>
            <w:tcW w:w="4225" w:type="dxa"/>
            <w:shd w:val="clear" w:color="auto" w:fill="auto"/>
            <w:vAlign w:val="center"/>
          </w:tcPr>
          <w:p w14:paraId="09ED72A9" w14:textId="77777777" w:rsidR="007D2A1C" w:rsidRPr="00B75E11" w:rsidRDefault="007D2A1C" w:rsidP="007D2A1C">
            <w:pPr>
              <w:rPr>
                <w:sz w:val="24"/>
                <w:szCs w:val="24"/>
              </w:rPr>
            </w:pPr>
            <w:r w:rsidRPr="00B75E11">
              <w:rPr>
                <w:sz w:val="24"/>
                <w:szCs w:val="24"/>
              </w:rPr>
              <w:t>Total Value</w:t>
            </w:r>
          </w:p>
        </w:tc>
        <w:tc>
          <w:tcPr>
            <w:tcW w:w="5130" w:type="dxa"/>
            <w:shd w:val="clear" w:color="auto" w:fill="auto"/>
            <w:vAlign w:val="center"/>
          </w:tcPr>
          <w:p w14:paraId="755478A9" w14:textId="49CDA456" w:rsidR="007D2A1C" w:rsidRPr="00B75E11" w:rsidRDefault="007D2A1C" w:rsidP="007D2A1C">
            <w:pPr>
              <w:rPr>
                <w:sz w:val="24"/>
                <w:szCs w:val="24"/>
              </w:rPr>
            </w:pPr>
            <w:r w:rsidRPr="00B75E11">
              <w:rPr>
                <w:rFonts w:cstheme="minorHAnsi"/>
                <w:sz w:val="24"/>
                <w:szCs w:val="24"/>
              </w:rPr>
              <w:t>$26,273,899.00</w:t>
            </w:r>
          </w:p>
        </w:tc>
      </w:tr>
      <w:tr w:rsidR="007D2A1C" w:rsidRPr="00182821" w14:paraId="64F27FE9" w14:textId="77777777" w:rsidTr="00D93285">
        <w:trPr>
          <w:trHeight w:val="350"/>
        </w:trPr>
        <w:tc>
          <w:tcPr>
            <w:tcW w:w="4225" w:type="dxa"/>
            <w:shd w:val="clear" w:color="auto" w:fill="auto"/>
            <w:vAlign w:val="center"/>
          </w:tcPr>
          <w:p w14:paraId="2A71D3BE" w14:textId="77777777" w:rsidR="007D2A1C" w:rsidRPr="00B75E11" w:rsidRDefault="007D2A1C" w:rsidP="007D2A1C">
            <w:pPr>
              <w:rPr>
                <w:sz w:val="24"/>
                <w:szCs w:val="24"/>
              </w:rPr>
            </w:pPr>
            <w:r w:rsidRPr="00B75E11">
              <w:rPr>
                <w:sz w:val="24"/>
                <w:szCs w:val="24"/>
              </w:rPr>
              <w:t>Project Number</w:t>
            </w:r>
          </w:p>
        </w:tc>
        <w:tc>
          <w:tcPr>
            <w:tcW w:w="5130" w:type="dxa"/>
            <w:shd w:val="clear" w:color="auto" w:fill="auto"/>
            <w:vAlign w:val="center"/>
          </w:tcPr>
          <w:p w14:paraId="6BD4FCC8" w14:textId="7126611D" w:rsidR="007D2A1C" w:rsidRPr="00B75E11" w:rsidRDefault="007D2A1C" w:rsidP="007D2A1C">
            <w:pPr>
              <w:rPr>
                <w:sz w:val="24"/>
                <w:szCs w:val="24"/>
              </w:rPr>
            </w:pPr>
            <w:r w:rsidRPr="00B75E11">
              <w:rPr>
                <w:rFonts w:cstheme="minorHAnsi"/>
                <w:sz w:val="24"/>
                <w:szCs w:val="24"/>
              </w:rPr>
              <w:t>NEBSC-22051121-TO</w:t>
            </w:r>
          </w:p>
        </w:tc>
      </w:tr>
      <w:tr w:rsidR="007D2A1C" w:rsidRPr="00182821" w14:paraId="2CA37068" w14:textId="77777777" w:rsidTr="00D93285">
        <w:trPr>
          <w:trHeight w:val="350"/>
        </w:trPr>
        <w:tc>
          <w:tcPr>
            <w:tcW w:w="4225" w:type="dxa"/>
            <w:shd w:val="clear" w:color="auto" w:fill="auto"/>
            <w:vAlign w:val="center"/>
          </w:tcPr>
          <w:p w14:paraId="46220634" w14:textId="77777777" w:rsidR="007D2A1C" w:rsidRPr="00B75E11" w:rsidRDefault="007D2A1C" w:rsidP="007D2A1C">
            <w:pPr>
              <w:rPr>
                <w:sz w:val="24"/>
                <w:szCs w:val="24"/>
              </w:rPr>
            </w:pPr>
            <w:r w:rsidRPr="00B75E11">
              <w:rPr>
                <w:sz w:val="24"/>
                <w:szCs w:val="24"/>
              </w:rPr>
              <w:t>Ten Taxpayer Group (TTG)</w:t>
            </w:r>
          </w:p>
        </w:tc>
        <w:tc>
          <w:tcPr>
            <w:tcW w:w="5130" w:type="dxa"/>
            <w:shd w:val="clear" w:color="auto" w:fill="auto"/>
            <w:vAlign w:val="center"/>
          </w:tcPr>
          <w:p w14:paraId="2254DCB2" w14:textId="0A8C1F06" w:rsidR="007D2A1C" w:rsidRPr="00C8675F" w:rsidRDefault="00FD5FE3" w:rsidP="007D2A1C">
            <w:pPr>
              <w:rPr>
                <w:sz w:val="24"/>
                <w:szCs w:val="24"/>
                <w:highlight w:val="yellow"/>
              </w:rPr>
            </w:pPr>
            <w:r w:rsidRPr="00FD5FE3">
              <w:rPr>
                <w:sz w:val="24"/>
                <w:szCs w:val="24"/>
              </w:rPr>
              <w:t>None</w:t>
            </w:r>
          </w:p>
        </w:tc>
      </w:tr>
      <w:tr w:rsidR="007D2A1C" w:rsidRPr="00182821" w14:paraId="76CD7A70" w14:textId="77777777" w:rsidTr="00D93285">
        <w:trPr>
          <w:trHeight w:val="350"/>
        </w:trPr>
        <w:tc>
          <w:tcPr>
            <w:tcW w:w="4225" w:type="dxa"/>
            <w:shd w:val="clear" w:color="auto" w:fill="auto"/>
            <w:vAlign w:val="center"/>
          </w:tcPr>
          <w:p w14:paraId="151C1429" w14:textId="77777777" w:rsidR="007D2A1C" w:rsidRPr="00B75E11" w:rsidRDefault="007D2A1C" w:rsidP="007D2A1C">
            <w:pPr>
              <w:rPr>
                <w:sz w:val="24"/>
                <w:szCs w:val="24"/>
              </w:rPr>
            </w:pPr>
            <w:r w:rsidRPr="00B75E11">
              <w:rPr>
                <w:sz w:val="24"/>
                <w:szCs w:val="24"/>
              </w:rPr>
              <w:t>Community Health Initiative (CHI)</w:t>
            </w:r>
            <w:r w:rsidRPr="00B75E11" w:rsidDel="00FB532E">
              <w:rPr>
                <w:sz w:val="24"/>
                <w:szCs w:val="24"/>
              </w:rPr>
              <w:t xml:space="preserve"> </w:t>
            </w:r>
          </w:p>
        </w:tc>
        <w:tc>
          <w:tcPr>
            <w:tcW w:w="5130" w:type="dxa"/>
            <w:shd w:val="clear" w:color="auto" w:fill="auto"/>
            <w:vAlign w:val="center"/>
          </w:tcPr>
          <w:p w14:paraId="713E1C38" w14:textId="6868889F" w:rsidR="007D2A1C" w:rsidRPr="00B75E11" w:rsidRDefault="007D2A1C" w:rsidP="007D2A1C">
            <w:pPr>
              <w:rPr>
                <w:sz w:val="24"/>
                <w:szCs w:val="24"/>
              </w:rPr>
            </w:pPr>
            <w:bookmarkStart w:id="0" w:name="_Hlk113779953"/>
            <w:r w:rsidRPr="00B75E11">
              <w:rPr>
                <w:rFonts w:cstheme="minorHAnsi"/>
                <w:sz w:val="24"/>
                <w:szCs w:val="24"/>
              </w:rPr>
              <w:t>$1,313,694.95</w:t>
            </w:r>
            <w:bookmarkEnd w:id="0"/>
          </w:p>
        </w:tc>
      </w:tr>
      <w:tr w:rsidR="007D2A1C" w:rsidRPr="00182821" w14:paraId="2794E264" w14:textId="77777777" w:rsidTr="00D93285">
        <w:trPr>
          <w:trHeight w:val="350"/>
        </w:trPr>
        <w:tc>
          <w:tcPr>
            <w:tcW w:w="4225" w:type="dxa"/>
            <w:shd w:val="clear" w:color="auto" w:fill="auto"/>
            <w:vAlign w:val="center"/>
          </w:tcPr>
          <w:p w14:paraId="43DF22AF" w14:textId="77777777" w:rsidR="007D2A1C" w:rsidRPr="00B75E11" w:rsidRDefault="007D2A1C" w:rsidP="007D2A1C">
            <w:pPr>
              <w:rPr>
                <w:sz w:val="24"/>
                <w:szCs w:val="24"/>
              </w:rPr>
            </w:pPr>
            <w:r w:rsidRPr="00B75E11">
              <w:rPr>
                <w:sz w:val="24"/>
                <w:szCs w:val="24"/>
              </w:rPr>
              <w:t>Staff Recommendation</w:t>
            </w:r>
          </w:p>
        </w:tc>
        <w:tc>
          <w:tcPr>
            <w:tcW w:w="5130" w:type="dxa"/>
            <w:shd w:val="clear" w:color="auto" w:fill="auto"/>
            <w:vAlign w:val="center"/>
          </w:tcPr>
          <w:p w14:paraId="62426120" w14:textId="0D5F4468" w:rsidR="007D2A1C" w:rsidRPr="00B75E11" w:rsidRDefault="007D2A1C" w:rsidP="007D2A1C">
            <w:pPr>
              <w:rPr>
                <w:sz w:val="24"/>
                <w:szCs w:val="24"/>
              </w:rPr>
            </w:pPr>
            <w:r w:rsidRPr="00B75E11">
              <w:rPr>
                <w:rFonts w:cstheme="minorHAnsi"/>
                <w:sz w:val="24"/>
                <w:szCs w:val="24"/>
              </w:rPr>
              <w:t>Approval</w:t>
            </w:r>
          </w:p>
        </w:tc>
      </w:tr>
      <w:tr w:rsidR="007D2A1C" w:rsidRPr="00182821" w14:paraId="25CB4FB9" w14:textId="77777777" w:rsidTr="00D93285">
        <w:trPr>
          <w:trHeight w:val="350"/>
        </w:trPr>
        <w:tc>
          <w:tcPr>
            <w:tcW w:w="4225" w:type="dxa"/>
            <w:shd w:val="clear" w:color="auto" w:fill="auto"/>
            <w:vAlign w:val="center"/>
          </w:tcPr>
          <w:p w14:paraId="15BDE109" w14:textId="77777777" w:rsidR="007D2A1C" w:rsidRPr="00B75E11" w:rsidRDefault="007D2A1C" w:rsidP="007D2A1C">
            <w:pPr>
              <w:rPr>
                <w:sz w:val="24"/>
                <w:szCs w:val="24"/>
              </w:rPr>
            </w:pPr>
            <w:r w:rsidRPr="00B75E11">
              <w:rPr>
                <w:sz w:val="24"/>
                <w:szCs w:val="24"/>
              </w:rPr>
              <w:t>Public Health Council</w:t>
            </w:r>
          </w:p>
        </w:tc>
        <w:tc>
          <w:tcPr>
            <w:tcW w:w="5130" w:type="dxa"/>
            <w:shd w:val="clear" w:color="auto" w:fill="auto"/>
            <w:vAlign w:val="center"/>
          </w:tcPr>
          <w:p w14:paraId="306ECD6B" w14:textId="1ACFFCCF" w:rsidR="007D2A1C" w:rsidRPr="00B75E11" w:rsidRDefault="007D2A1C" w:rsidP="007D2A1C">
            <w:pPr>
              <w:rPr>
                <w:sz w:val="24"/>
                <w:szCs w:val="24"/>
              </w:rPr>
            </w:pPr>
            <w:r w:rsidRPr="00B75E11">
              <w:rPr>
                <w:rFonts w:cstheme="minorHAnsi"/>
                <w:sz w:val="24"/>
                <w:szCs w:val="24"/>
              </w:rPr>
              <w:t>November 9, 2022</w:t>
            </w:r>
          </w:p>
        </w:tc>
      </w:tr>
      <w:tr w:rsidR="007D2A1C" w:rsidRPr="00182821" w14:paraId="7DC3B377" w14:textId="77777777" w:rsidTr="00182821">
        <w:trPr>
          <w:trHeight w:val="4769"/>
        </w:trPr>
        <w:tc>
          <w:tcPr>
            <w:tcW w:w="9355" w:type="dxa"/>
            <w:gridSpan w:val="2"/>
            <w:shd w:val="clear" w:color="auto" w:fill="auto"/>
            <w:vAlign w:val="center"/>
          </w:tcPr>
          <w:p w14:paraId="03BE3B7C" w14:textId="77777777" w:rsidR="007D2A1C" w:rsidRPr="00B75E11" w:rsidRDefault="007D2A1C" w:rsidP="004A36F2">
            <w:pPr>
              <w:spacing w:before="240" w:after="200"/>
              <w:jc w:val="center"/>
              <w:rPr>
                <w:sz w:val="24"/>
                <w:szCs w:val="24"/>
                <w:u w:val="single"/>
              </w:rPr>
            </w:pPr>
            <w:r w:rsidRPr="00B75E11">
              <w:rPr>
                <w:sz w:val="24"/>
                <w:szCs w:val="24"/>
                <w:u w:val="single"/>
              </w:rPr>
              <w:t>Project Summary and Regulatory Review</w:t>
            </w:r>
          </w:p>
          <w:p w14:paraId="33FCBE44" w14:textId="6073672C" w:rsidR="007D2A1C" w:rsidRPr="00B75E11" w:rsidRDefault="007D2A1C" w:rsidP="007D2A1C">
            <w:pPr>
              <w:rPr>
                <w:sz w:val="24"/>
                <w:szCs w:val="24"/>
              </w:rPr>
            </w:pPr>
            <w:bookmarkStart w:id="1" w:name="_Hlk115447196"/>
            <w:bookmarkStart w:id="2" w:name="_Hlk115447139"/>
            <w:bookmarkStart w:id="3" w:name="_Hlk115447058"/>
            <w:r w:rsidRPr="00B75E11">
              <w:rPr>
                <w:sz w:val="24"/>
                <w:szCs w:val="24"/>
              </w:rPr>
              <w:t>New England Baptist Surgery Center, LLC (Applicant, NEBSC) filed an application to establish a freestanding ambulatory surg</w:t>
            </w:r>
            <w:r w:rsidR="00373106">
              <w:rPr>
                <w:sz w:val="24"/>
                <w:szCs w:val="24"/>
              </w:rPr>
              <w:t>ery</w:t>
            </w:r>
            <w:r w:rsidRPr="00B75E11">
              <w:rPr>
                <w:sz w:val="24"/>
                <w:szCs w:val="24"/>
              </w:rPr>
              <w:t xml:space="preserve"> center (ASC) at 40 Allied Drive, Suite #200, Dedham, MA.</w:t>
            </w:r>
            <w:bookmarkEnd w:id="1"/>
            <w:r w:rsidRPr="00B75E11">
              <w:rPr>
                <w:sz w:val="24"/>
                <w:szCs w:val="24"/>
              </w:rPr>
              <w:t xml:space="preserve"> The Applicant, NEBSC, is owned by NEBSC Hospital Holdings, LLC (Hospital HoldCo) and NEBSC Surgeon Holdings, LLC (Surgeon HoldCo). Through the Proposed Project, ownership of an existing surgery center will inure to NEBSC, which will then secure a new clinic license as a freestanding ASC.</w:t>
            </w:r>
            <w:bookmarkStart w:id="4" w:name="_Hlk109838946"/>
            <w:r w:rsidRPr="00B75E11">
              <w:rPr>
                <w:sz w:val="24"/>
                <w:szCs w:val="24"/>
              </w:rPr>
              <w:t xml:space="preserve"> There are no changes in service, operating, or procedure rooms at the existing surgical center included in this Application. Currently, New England Baptist Hospital (NEBH) owns and operates the </w:t>
            </w:r>
            <w:bookmarkEnd w:id="4"/>
            <w:r w:rsidRPr="00B75E11">
              <w:rPr>
                <w:sz w:val="24"/>
                <w:szCs w:val="24"/>
              </w:rPr>
              <w:t xml:space="preserve">surgery center under its hospital license as a hospital outpatient department (HOPD). </w:t>
            </w:r>
          </w:p>
          <w:bookmarkEnd w:id="2"/>
          <w:p w14:paraId="5E4A1B18" w14:textId="7AAD67CD" w:rsidR="007D2A1C" w:rsidRPr="00B75E11" w:rsidRDefault="007D2A1C" w:rsidP="007D2A1C">
            <w:pPr>
              <w:rPr>
                <w:sz w:val="24"/>
                <w:szCs w:val="24"/>
              </w:rPr>
            </w:pPr>
          </w:p>
          <w:bookmarkEnd w:id="3"/>
          <w:p w14:paraId="0A79CD3F" w14:textId="77777777" w:rsidR="007D2A1C" w:rsidRPr="00B75E11" w:rsidRDefault="007D2A1C" w:rsidP="007D2A1C">
            <w:pPr>
              <w:spacing w:after="200"/>
              <w:rPr>
                <w:sz w:val="24"/>
                <w:szCs w:val="24"/>
              </w:rPr>
            </w:pPr>
            <w:r w:rsidRPr="00B75E11">
              <w:rPr>
                <w:sz w:val="24"/>
                <w:szCs w:val="24"/>
              </w:rPr>
              <w:t>Review of Applications for Ambulatory Surgery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tc>
      </w:tr>
    </w:tbl>
    <w:p w14:paraId="32869F72" w14:textId="34A48A6E" w:rsidR="00B75E11" w:rsidRDefault="00B75E11"/>
    <w:p w14:paraId="275F6ECF" w14:textId="77777777" w:rsidR="00B75E11" w:rsidRDefault="00B75E11">
      <w:r>
        <w:br w:type="page"/>
      </w:r>
    </w:p>
    <w:sdt>
      <w:sdtPr>
        <w:rPr>
          <w:rFonts w:asciiTheme="minorHAnsi" w:eastAsiaTheme="minorHAnsi" w:hAnsiTheme="minorHAnsi" w:cstheme="minorHAnsi"/>
          <w:color w:val="auto"/>
          <w:sz w:val="24"/>
          <w:szCs w:val="24"/>
        </w:rPr>
        <w:id w:val="-1335290179"/>
        <w:docPartObj>
          <w:docPartGallery w:val="Table of Contents"/>
          <w:docPartUnique/>
        </w:docPartObj>
      </w:sdtPr>
      <w:sdtEndPr>
        <w:rPr>
          <w:b/>
          <w:bCs/>
          <w:noProof/>
        </w:rPr>
      </w:sdtEndPr>
      <w:sdtContent>
        <w:p w14:paraId="53BE34C0" w14:textId="75658FD9" w:rsidR="00CB2E39" w:rsidRPr="00962CA3" w:rsidRDefault="00CB2E39">
          <w:pPr>
            <w:pStyle w:val="TOCHeading"/>
            <w:rPr>
              <w:rFonts w:asciiTheme="minorHAnsi" w:hAnsiTheme="minorHAnsi" w:cstheme="minorHAnsi"/>
              <w:b/>
              <w:bCs/>
              <w:sz w:val="28"/>
              <w:szCs w:val="28"/>
            </w:rPr>
          </w:pPr>
          <w:r w:rsidRPr="00962CA3">
            <w:rPr>
              <w:rFonts w:asciiTheme="minorHAnsi" w:hAnsiTheme="minorHAnsi" w:cstheme="minorHAnsi"/>
              <w:b/>
              <w:bCs/>
              <w:sz w:val="28"/>
              <w:szCs w:val="28"/>
            </w:rPr>
            <w:t>Table of Contents</w:t>
          </w:r>
        </w:p>
        <w:p w14:paraId="1CF32B92" w14:textId="7792E1E3" w:rsidR="00962CA3" w:rsidRPr="00962CA3" w:rsidRDefault="00CB2E39">
          <w:pPr>
            <w:pStyle w:val="TOC1"/>
            <w:rPr>
              <w:rFonts w:asciiTheme="minorHAnsi" w:eastAsiaTheme="minorEastAsia" w:hAnsiTheme="minorHAnsi" w:cstheme="minorHAnsi"/>
              <w:sz w:val="24"/>
              <w:szCs w:val="24"/>
            </w:rPr>
          </w:pPr>
          <w:r w:rsidRPr="00962CA3">
            <w:rPr>
              <w:rFonts w:asciiTheme="minorHAnsi" w:hAnsiTheme="minorHAnsi" w:cstheme="minorHAnsi"/>
              <w:sz w:val="24"/>
              <w:szCs w:val="24"/>
            </w:rPr>
            <w:fldChar w:fldCharType="begin"/>
          </w:r>
          <w:r w:rsidRPr="00962CA3">
            <w:rPr>
              <w:rFonts w:asciiTheme="minorHAnsi" w:hAnsiTheme="minorHAnsi" w:cstheme="minorHAnsi"/>
              <w:sz w:val="24"/>
              <w:szCs w:val="24"/>
            </w:rPr>
            <w:instrText xml:space="preserve"> TOC \o "1-3" \h \z \u </w:instrText>
          </w:r>
          <w:r w:rsidRPr="00962CA3">
            <w:rPr>
              <w:rFonts w:asciiTheme="minorHAnsi" w:hAnsiTheme="minorHAnsi" w:cstheme="minorHAnsi"/>
              <w:sz w:val="24"/>
              <w:szCs w:val="24"/>
            </w:rPr>
            <w:fldChar w:fldCharType="separate"/>
          </w:r>
          <w:hyperlink w:anchor="_Toc115776582" w:history="1">
            <w:r w:rsidR="00962CA3" w:rsidRPr="00962CA3">
              <w:rPr>
                <w:rStyle w:val="Hyperlink"/>
                <w:rFonts w:asciiTheme="minorHAnsi" w:hAnsiTheme="minorHAnsi" w:cstheme="minorHAnsi"/>
                <w:sz w:val="24"/>
                <w:szCs w:val="24"/>
              </w:rPr>
              <w:t>Background and Application Overview</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_Toc115776582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3</w:t>
            </w:r>
            <w:r w:rsidR="00962CA3" w:rsidRPr="00962CA3">
              <w:rPr>
                <w:rFonts w:asciiTheme="minorHAnsi" w:hAnsiTheme="minorHAnsi" w:cstheme="minorHAnsi"/>
                <w:webHidden/>
                <w:sz w:val="24"/>
                <w:szCs w:val="24"/>
              </w:rPr>
              <w:fldChar w:fldCharType="end"/>
            </w:r>
          </w:hyperlink>
        </w:p>
        <w:p w14:paraId="37DB50E3" w14:textId="2559E4DB" w:rsidR="00962CA3" w:rsidRPr="00962CA3" w:rsidRDefault="009A1F3E">
          <w:pPr>
            <w:pStyle w:val="TOC1"/>
            <w:rPr>
              <w:rFonts w:asciiTheme="minorHAnsi" w:eastAsiaTheme="minorEastAsia" w:hAnsiTheme="minorHAnsi" w:cstheme="minorHAnsi"/>
              <w:sz w:val="24"/>
              <w:szCs w:val="24"/>
            </w:rPr>
          </w:pPr>
          <w:hyperlink w:anchor="_Toc115776583" w:history="1">
            <w:r w:rsidR="00962CA3" w:rsidRPr="00962CA3">
              <w:rPr>
                <w:rStyle w:val="Hyperlink"/>
                <w:rFonts w:asciiTheme="minorHAnsi" w:hAnsiTheme="minorHAnsi" w:cstheme="minorHAnsi"/>
                <w:sz w:val="24"/>
                <w:szCs w:val="24"/>
              </w:rPr>
              <w:t>Patient Panel</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_Toc115776583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4</w:t>
            </w:r>
            <w:r w:rsidR="00962CA3" w:rsidRPr="00962CA3">
              <w:rPr>
                <w:rFonts w:asciiTheme="minorHAnsi" w:hAnsiTheme="minorHAnsi" w:cstheme="minorHAnsi"/>
                <w:webHidden/>
                <w:sz w:val="24"/>
                <w:szCs w:val="24"/>
              </w:rPr>
              <w:fldChar w:fldCharType="end"/>
            </w:r>
          </w:hyperlink>
        </w:p>
        <w:p w14:paraId="73BAEDED" w14:textId="0BB8C35D" w:rsidR="00962CA3" w:rsidRPr="00962CA3" w:rsidRDefault="009A1F3E">
          <w:pPr>
            <w:pStyle w:val="TOC1"/>
            <w:rPr>
              <w:rFonts w:asciiTheme="minorHAnsi" w:eastAsiaTheme="minorEastAsia" w:hAnsiTheme="minorHAnsi" w:cstheme="minorHAnsi"/>
              <w:sz w:val="24"/>
              <w:szCs w:val="24"/>
            </w:rPr>
          </w:pPr>
          <w:hyperlink w:anchor="_Toc115776584" w:history="1">
            <w:r w:rsidR="00962CA3" w:rsidRPr="00962CA3">
              <w:rPr>
                <w:rStyle w:val="Hyperlink"/>
                <w:rFonts w:asciiTheme="minorHAnsi" w:eastAsia="Calibri" w:hAnsiTheme="minorHAnsi" w:cstheme="minorHAnsi"/>
                <w:sz w:val="24"/>
                <w:szCs w:val="24"/>
              </w:rPr>
              <w:t>Factor 1: a) Patient Panel Need</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_Toc115776584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6</w:t>
            </w:r>
            <w:r w:rsidR="00962CA3" w:rsidRPr="00962CA3">
              <w:rPr>
                <w:rFonts w:asciiTheme="minorHAnsi" w:hAnsiTheme="minorHAnsi" w:cstheme="minorHAnsi"/>
                <w:webHidden/>
                <w:sz w:val="24"/>
                <w:szCs w:val="24"/>
              </w:rPr>
              <w:fldChar w:fldCharType="end"/>
            </w:r>
          </w:hyperlink>
        </w:p>
        <w:p w14:paraId="654698A7" w14:textId="026B3D97" w:rsidR="00962CA3" w:rsidRPr="00962CA3" w:rsidRDefault="009A1F3E">
          <w:pPr>
            <w:pStyle w:val="TOC1"/>
            <w:rPr>
              <w:rFonts w:asciiTheme="minorHAnsi" w:eastAsiaTheme="minorEastAsia" w:hAnsiTheme="minorHAnsi" w:cstheme="minorHAnsi"/>
              <w:sz w:val="24"/>
              <w:szCs w:val="24"/>
            </w:rPr>
          </w:pPr>
          <w:hyperlink w:anchor="_Toc115776585" w:history="1">
            <w:r w:rsidR="00962CA3" w:rsidRPr="00962CA3">
              <w:rPr>
                <w:rStyle w:val="Hyperlink"/>
                <w:rFonts w:asciiTheme="minorHAnsi" w:hAnsiTheme="minorHAnsi" w:cstheme="minorHAnsi"/>
                <w:sz w:val="24"/>
                <w:szCs w:val="24"/>
              </w:rPr>
              <w:t>Factor 1: b) Public Health Value: Improved Health Outcomes and Quality of Life; Assurances of Health Equity</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_Toc115776585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10</w:t>
            </w:r>
            <w:r w:rsidR="00962CA3" w:rsidRPr="00962CA3">
              <w:rPr>
                <w:rFonts w:asciiTheme="minorHAnsi" w:hAnsiTheme="minorHAnsi" w:cstheme="minorHAnsi"/>
                <w:webHidden/>
                <w:sz w:val="24"/>
                <w:szCs w:val="24"/>
              </w:rPr>
              <w:fldChar w:fldCharType="end"/>
            </w:r>
          </w:hyperlink>
        </w:p>
        <w:p w14:paraId="605B2CBC" w14:textId="4C9FC0A9" w:rsidR="00962CA3" w:rsidRPr="00962CA3" w:rsidRDefault="009A1F3E">
          <w:pPr>
            <w:pStyle w:val="TOC2"/>
            <w:rPr>
              <w:rFonts w:eastAsiaTheme="minorEastAsia" w:cstheme="minorHAnsi"/>
              <w:noProof/>
              <w:sz w:val="24"/>
              <w:szCs w:val="24"/>
            </w:rPr>
          </w:pPr>
          <w:hyperlink w:anchor="_Toc115776586" w:history="1">
            <w:r w:rsidR="00962CA3" w:rsidRPr="00962CA3">
              <w:rPr>
                <w:rStyle w:val="Hyperlink"/>
                <w:rFonts w:cstheme="minorHAnsi"/>
                <w:noProof/>
                <w:sz w:val="24"/>
                <w:szCs w:val="24"/>
              </w:rPr>
              <w:t>Factor 1: c) Efficiency, Continuity of Care, Coordination of Care</w:t>
            </w:r>
            <w:r w:rsidR="00962CA3" w:rsidRPr="00962CA3">
              <w:rPr>
                <w:rFonts w:cstheme="minorHAnsi"/>
                <w:noProof/>
                <w:webHidden/>
                <w:sz w:val="24"/>
                <w:szCs w:val="24"/>
              </w:rPr>
              <w:tab/>
            </w:r>
            <w:r w:rsidR="00962CA3" w:rsidRPr="00962CA3">
              <w:rPr>
                <w:rFonts w:cstheme="minorHAnsi"/>
                <w:noProof/>
                <w:webHidden/>
                <w:sz w:val="24"/>
                <w:szCs w:val="24"/>
              </w:rPr>
              <w:fldChar w:fldCharType="begin"/>
            </w:r>
            <w:r w:rsidR="00962CA3" w:rsidRPr="00962CA3">
              <w:rPr>
                <w:rFonts w:cstheme="minorHAnsi"/>
                <w:noProof/>
                <w:webHidden/>
                <w:sz w:val="24"/>
                <w:szCs w:val="24"/>
              </w:rPr>
              <w:instrText xml:space="preserve"> PAGEREF _Toc115776586 \h </w:instrText>
            </w:r>
            <w:r w:rsidR="00962CA3" w:rsidRPr="00962CA3">
              <w:rPr>
                <w:rFonts w:cstheme="minorHAnsi"/>
                <w:noProof/>
                <w:webHidden/>
                <w:sz w:val="24"/>
                <w:szCs w:val="24"/>
              </w:rPr>
            </w:r>
            <w:r w:rsidR="00962CA3" w:rsidRPr="00962CA3">
              <w:rPr>
                <w:rFonts w:cstheme="minorHAnsi"/>
                <w:noProof/>
                <w:webHidden/>
                <w:sz w:val="24"/>
                <w:szCs w:val="24"/>
              </w:rPr>
              <w:fldChar w:fldCharType="separate"/>
            </w:r>
            <w:r w:rsidR="00962CA3">
              <w:rPr>
                <w:rFonts w:cstheme="minorHAnsi"/>
                <w:noProof/>
                <w:webHidden/>
                <w:sz w:val="24"/>
                <w:szCs w:val="24"/>
              </w:rPr>
              <w:t>12</w:t>
            </w:r>
            <w:r w:rsidR="00962CA3" w:rsidRPr="00962CA3">
              <w:rPr>
                <w:rFonts w:cstheme="minorHAnsi"/>
                <w:noProof/>
                <w:webHidden/>
                <w:sz w:val="24"/>
                <w:szCs w:val="24"/>
              </w:rPr>
              <w:fldChar w:fldCharType="end"/>
            </w:r>
          </w:hyperlink>
        </w:p>
        <w:p w14:paraId="24D021FB" w14:textId="001D0273" w:rsidR="00962CA3" w:rsidRPr="00962CA3" w:rsidRDefault="009A1F3E">
          <w:pPr>
            <w:pStyle w:val="TOC1"/>
            <w:rPr>
              <w:rFonts w:asciiTheme="minorHAnsi" w:eastAsiaTheme="minorEastAsia" w:hAnsiTheme="minorHAnsi" w:cstheme="minorHAnsi"/>
              <w:sz w:val="24"/>
              <w:szCs w:val="24"/>
            </w:rPr>
          </w:pPr>
          <w:hyperlink w:anchor="_Toc115776587" w:history="1">
            <w:r w:rsidR="00962CA3" w:rsidRPr="00962CA3">
              <w:rPr>
                <w:rStyle w:val="Hyperlink"/>
                <w:rFonts w:asciiTheme="minorHAnsi" w:hAnsiTheme="minorHAnsi" w:cstheme="minorHAnsi"/>
                <w:sz w:val="24"/>
                <w:szCs w:val="24"/>
              </w:rPr>
              <w:t>Factor 1: d) Consultation</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_Toc115776587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13</w:t>
            </w:r>
            <w:r w:rsidR="00962CA3" w:rsidRPr="00962CA3">
              <w:rPr>
                <w:rFonts w:asciiTheme="minorHAnsi" w:hAnsiTheme="minorHAnsi" w:cstheme="minorHAnsi"/>
                <w:webHidden/>
                <w:sz w:val="24"/>
                <w:szCs w:val="24"/>
              </w:rPr>
              <w:fldChar w:fldCharType="end"/>
            </w:r>
          </w:hyperlink>
        </w:p>
        <w:p w14:paraId="5FB4736C" w14:textId="6806D962" w:rsidR="00962CA3" w:rsidRPr="00962CA3" w:rsidRDefault="009A1F3E">
          <w:pPr>
            <w:pStyle w:val="TOC1"/>
            <w:rPr>
              <w:rFonts w:asciiTheme="minorHAnsi" w:eastAsiaTheme="minorEastAsia" w:hAnsiTheme="minorHAnsi" w:cstheme="minorHAnsi"/>
              <w:sz w:val="24"/>
              <w:szCs w:val="24"/>
            </w:rPr>
          </w:pPr>
          <w:hyperlink w:anchor="_Toc115776588" w:history="1">
            <w:r w:rsidR="00962CA3" w:rsidRPr="00962CA3">
              <w:rPr>
                <w:rStyle w:val="Hyperlink"/>
                <w:rFonts w:asciiTheme="minorHAnsi" w:hAnsiTheme="minorHAnsi" w:cstheme="minorHAnsi"/>
                <w:sz w:val="24"/>
                <w:szCs w:val="24"/>
              </w:rPr>
              <w:t>Factor 1: e) Evidence of Sound Community Engagement through the Patient Panel</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_Toc115776588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13</w:t>
            </w:r>
            <w:r w:rsidR="00962CA3" w:rsidRPr="00962CA3">
              <w:rPr>
                <w:rFonts w:asciiTheme="minorHAnsi" w:hAnsiTheme="minorHAnsi" w:cstheme="minorHAnsi"/>
                <w:webHidden/>
                <w:sz w:val="24"/>
                <w:szCs w:val="24"/>
              </w:rPr>
              <w:fldChar w:fldCharType="end"/>
            </w:r>
          </w:hyperlink>
        </w:p>
        <w:p w14:paraId="28BCDCE3" w14:textId="32E66337" w:rsidR="00962CA3" w:rsidRPr="00962CA3" w:rsidRDefault="009A1F3E">
          <w:pPr>
            <w:pStyle w:val="TOC1"/>
            <w:rPr>
              <w:rFonts w:asciiTheme="minorHAnsi" w:eastAsiaTheme="minorEastAsia" w:hAnsiTheme="minorHAnsi" w:cstheme="minorHAnsi"/>
              <w:sz w:val="24"/>
              <w:szCs w:val="24"/>
            </w:rPr>
          </w:pPr>
          <w:hyperlink w:anchor="_Toc115776589" w:history="1">
            <w:r w:rsidR="00962CA3" w:rsidRPr="00962CA3">
              <w:rPr>
                <w:rStyle w:val="Hyperlink"/>
                <w:rFonts w:asciiTheme="minorHAnsi" w:hAnsiTheme="minorHAnsi" w:cstheme="minorHAnsi"/>
                <w:sz w:val="24"/>
                <w:szCs w:val="24"/>
              </w:rPr>
              <w:t>Factor 1: f) Competition on Price, Total Medical Expenses (TME), Costs and Other Measures of Health Care Spending</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_Toc115776589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14</w:t>
            </w:r>
            <w:r w:rsidR="00962CA3" w:rsidRPr="00962CA3">
              <w:rPr>
                <w:rFonts w:asciiTheme="minorHAnsi" w:hAnsiTheme="minorHAnsi" w:cstheme="minorHAnsi"/>
                <w:webHidden/>
                <w:sz w:val="24"/>
                <w:szCs w:val="24"/>
              </w:rPr>
              <w:fldChar w:fldCharType="end"/>
            </w:r>
          </w:hyperlink>
        </w:p>
        <w:p w14:paraId="7072C475" w14:textId="7DBBE5A6" w:rsidR="00962CA3" w:rsidRPr="00962CA3" w:rsidRDefault="009A1F3E">
          <w:pPr>
            <w:pStyle w:val="TOC2"/>
            <w:rPr>
              <w:rFonts w:eastAsiaTheme="minorEastAsia" w:cstheme="minorHAnsi"/>
              <w:noProof/>
              <w:sz w:val="24"/>
              <w:szCs w:val="24"/>
            </w:rPr>
          </w:pPr>
          <w:hyperlink w:anchor="_Toc115776590" w:history="1">
            <w:r w:rsidR="00962CA3" w:rsidRPr="00962CA3">
              <w:rPr>
                <w:rStyle w:val="Hyperlink"/>
                <w:rFonts w:cstheme="minorHAnsi"/>
                <w:noProof/>
                <w:sz w:val="24"/>
                <w:szCs w:val="24"/>
              </w:rPr>
              <w:t>Factor 1 Summary</w:t>
            </w:r>
            <w:r w:rsidR="00962CA3" w:rsidRPr="00962CA3">
              <w:rPr>
                <w:rFonts w:cstheme="minorHAnsi"/>
                <w:noProof/>
                <w:webHidden/>
                <w:sz w:val="24"/>
                <w:szCs w:val="24"/>
              </w:rPr>
              <w:tab/>
            </w:r>
            <w:r w:rsidR="00962CA3" w:rsidRPr="00962CA3">
              <w:rPr>
                <w:rFonts w:cstheme="minorHAnsi"/>
                <w:noProof/>
                <w:webHidden/>
                <w:sz w:val="24"/>
                <w:szCs w:val="24"/>
              </w:rPr>
              <w:fldChar w:fldCharType="begin"/>
            </w:r>
            <w:r w:rsidR="00962CA3" w:rsidRPr="00962CA3">
              <w:rPr>
                <w:rFonts w:cstheme="minorHAnsi"/>
                <w:noProof/>
                <w:webHidden/>
                <w:sz w:val="24"/>
                <w:szCs w:val="24"/>
              </w:rPr>
              <w:instrText xml:space="preserve"> PAGEREF _Toc115776590 \h </w:instrText>
            </w:r>
            <w:r w:rsidR="00962CA3" w:rsidRPr="00962CA3">
              <w:rPr>
                <w:rFonts w:cstheme="minorHAnsi"/>
                <w:noProof/>
                <w:webHidden/>
                <w:sz w:val="24"/>
                <w:szCs w:val="24"/>
              </w:rPr>
            </w:r>
            <w:r w:rsidR="00962CA3" w:rsidRPr="00962CA3">
              <w:rPr>
                <w:rFonts w:cstheme="minorHAnsi"/>
                <w:noProof/>
                <w:webHidden/>
                <w:sz w:val="24"/>
                <w:szCs w:val="24"/>
              </w:rPr>
              <w:fldChar w:fldCharType="separate"/>
            </w:r>
            <w:r w:rsidR="00962CA3">
              <w:rPr>
                <w:rFonts w:cstheme="minorHAnsi"/>
                <w:noProof/>
                <w:webHidden/>
                <w:sz w:val="24"/>
                <w:szCs w:val="24"/>
              </w:rPr>
              <w:t>16</w:t>
            </w:r>
            <w:r w:rsidR="00962CA3" w:rsidRPr="00962CA3">
              <w:rPr>
                <w:rFonts w:cstheme="minorHAnsi"/>
                <w:noProof/>
                <w:webHidden/>
                <w:sz w:val="24"/>
                <w:szCs w:val="24"/>
              </w:rPr>
              <w:fldChar w:fldCharType="end"/>
            </w:r>
          </w:hyperlink>
        </w:p>
        <w:p w14:paraId="7DE7AE17" w14:textId="6116CCDA" w:rsidR="00962CA3" w:rsidRPr="00962CA3" w:rsidRDefault="009A1F3E">
          <w:pPr>
            <w:pStyle w:val="TOC1"/>
            <w:rPr>
              <w:rFonts w:asciiTheme="minorHAnsi" w:eastAsiaTheme="minorEastAsia" w:hAnsiTheme="minorHAnsi" w:cstheme="minorHAnsi"/>
              <w:sz w:val="24"/>
              <w:szCs w:val="24"/>
            </w:rPr>
          </w:pPr>
          <w:hyperlink w:anchor="_Toc115776591" w:history="1">
            <w:r w:rsidR="00962CA3" w:rsidRPr="00962CA3">
              <w:rPr>
                <w:rStyle w:val="Hyperlink"/>
                <w:rFonts w:asciiTheme="minorHAnsi" w:hAnsiTheme="minorHAnsi" w:cstheme="minorHAnsi"/>
                <w:sz w:val="24"/>
                <w:szCs w:val="24"/>
              </w:rPr>
              <w:t>Factor 2: Cost Containment, Improved Public Health Outcomes, and Delivery System Transformation</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_Toc115776591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16</w:t>
            </w:r>
            <w:r w:rsidR="00962CA3" w:rsidRPr="00962CA3">
              <w:rPr>
                <w:rFonts w:asciiTheme="minorHAnsi" w:hAnsiTheme="minorHAnsi" w:cstheme="minorHAnsi"/>
                <w:webHidden/>
                <w:sz w:val="24"/>
                <w:szCs w:val="24"/>
              </w:rPr>
              <w:fldChar w:fldCharType="end"/>
            </w:r>
          </w:hyperlink>
        </w:p>
        <w:p w14:paraId="3C0EB6A5" w14:textId="04BFCF6E" w:rsidR="00962CA3" w:rsidRPr="00962CA3" w:rsidRDefault="009A1F3E">
          <w:pPr>
            <w:pStyle w:val="TOC1"/>
            <w:rPr>
              <w:rFonts w:asciiTheme="minorHAnsi" w:eastAsiaTheme="minorEastAsia" w:hAnsiTheme="minorHAnsi" w:cstheme="minorHAnsi"/>
              <w:sz w:val="24"/>
              <w:szCs w:val="24"/>
            </w:rPr>
          </w:pPr>
          <w:hyperlink w:anchor="_Toc115776592" w:history="1">
            <w:r w:rsidR="00962CA3" w:rsidRPr="00962CA3">
              <w:rPr>
                <w:rStyle w:val="Hyperlink"/>
                <w:rFonts w:asciiTheme="minorHAnsi" w:hAnsiTheme="minorHAnsi" w:cstheme="minorHAnsi"/>
                <w:sz w:val="24"/>
                <w:szCs w:val="24"/>
              </w:rPr>
              <w:t>Factor 2 Summary</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_Toc115776592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17</w:t>
            </w:r>
            <w:r w:rsidR="00962CA3" w:rsidRPr="00962CA3">
              <w:rPr>
                <w:rFonts w:asciiTheme="minorHAnsi" w:hAnsiTheme="minorHAnsi" w:cstheme="minorHAnsi"/>
                <w:webHidden/>
                <w:sz w:val="24"/>
                <w:szCs w:val="24"/>
              </w:rPr>
              <w:fldChar w:fldCharType="end"/>
            </w:r>
          </w:hyperlink>
        </w:p>
        <w:p w14:paraId="1B81AF63" w14:textId="11605163" w:rsidR="00962CA3" w:rsidRPr="00962CA3" w:rsidRDefault="009A1F3E">
          <w:pPr>
            <w:pStyle w:val="TOC1"/>
            <w:rPr>
              <w:rFonts w:asciiTheme="minorHAnsi" w:eastAsiaTheme="minorEastAsia" w:hAnsiTheme="minorHAnsi" w:cstheme="minorHAnsi"/>
              <w:sz w:val="24"/>
              <w:szCs w:val="24"/>
            </w:rPr>
          </w:pPr>
          <w:hyperlink w:anchor="_Toc115776593" w:history="1">
            <w:r w:rsidR="00962CA3" w:rsidRPr="00962CA3">
              <w:rPr>
                <w:rStyle w:val="Hyperlink"/>
                <w:rFonts w:asciiTheme="minorHAnsi" w:hAnsiTheme="minorHAnsi" w:cstheme="minorHAnsi"/>
                <w:sz w:val="24"/>
                <w:szCs w:val="24"/>
              </w:rPr>
              <w:t>Factor 3: Relevant Licensure/Oversight Compliance</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_Toc115776593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17</w:t>
            </w:r>
            <w:r w:rsidR="00962CA3" w:rsidRPr="00962CA3">
              <w:rPr>
                <w:rFonts w:asciiTheme="minorHAnsi" w:hAnsiTheme="minorHAnsi" w:cstheme="minorHAnsi"/>
                <w:webHidden/>
                <w:sz w:val="24"/>
                <w:szCs w:val="24"/>
              </w:rPr>
              <w:fldChar w:fldCharType="end"/>
            </w:r>
          </w:hyperlink>
        </w:p>
        <w:p w14:paraId="59321B77" w14:textId="3CDADC74" w:rsidR="00962CA3" w:rsidRPr="00962CA3" w:rsidRDefault="009A1F3E">
          <w:pPr>
            <w:pStyle w:val="TOC1"/>
            <w:rPr>
              <w:rFonts w:asciiTheme="minorHAnsi" w:eastAsiaTheme="minorEastAsia" w:hAnsiTheme="minorHAnsi" w:cstheme="minorHAnsi"/>
              <w:sz w:val="24"/>
              <w:szCs w:val="24"/>
            </w:rPr>
          </w:pPr>
          <w:hyperlink w:anchor="_Toc115776594" w:history="1">
            <w:r w:rsidR="00962CA3" w:rsidRPr="00962CA3">
              <w:rPr>
                <w:rStyle w:val="Hyperlink"/>
                <w:rFonts w:asciiTheme="minorHAnsi" w:hAnsiTheme="minorHAnsi" w:cstheme="minorHAnsi"/>
                <w:sz w:val="24"/>
                <w:szCs w:val="24"/>
              </w:rPr>
              <w:t>Factor 4: Financial Feasibility</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_Toc115776594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17</w:t>
            </w:r>
            <w:r w:rsidR="00962CA3" w:rsidRPr="00962CA3">
              <w:rPr>
                <w:rFonts w:asciiTheme="minorHAnsi" w:hAnsiTheme="minorHAnsi" w:cstheme="minorHAnsi"/>
                <w:webHidden/>
                <w:sz w:val="24"/>
                <w:szCs w:val="24"/>
              </w:rPr>
              <w:fldChar w:fldCharType="end"/>
            </w:r>
          </w:hyperlink>
        </w:p>
        <w:p w14:paraId="72548E67" w14:textId="6F72598A" w:rsidR="00962CA3" w:rsidRPr="00962CA3" w:rsidRDefault="009A1F3E">
          <w:pPr>
            <w:pStyle w:val="TOC1"/>
            <w:rPr>
              <w:rFonts w:asciiTheme="minorHAnsi" w:eastAsiaTheme="minorEastAsia" w:hAnsiTheme="minorHAnsi" w:cstheme="minorHAnsi"/>
              <w:sz w:val="24"/>
              <w:szCs w:val="24"/>
            </w:rPr>
          </w:pPr>
          <w:hyperlink w:anchor="_Toc115776595" w:history="1">
            <w:r w:rsidR="00962CA3" w:rsidRPr="00962CA3">
              <w:rPr>
                <w:rStyle w:val="Hyperlink"/>
                <w:rFonts w:asciiTheme="minorHAnsi" w:hAnsiTheme="minorHAnsi" w:cstheme="minorHAnsi"/>
                <w:sz w:val="24"/>
                <w:szCs w:val="24"/>
              </w:rPr>
              <w:t>Factor 5: Relative Merit</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_Toc115776595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20</w:t>
            </w:r>
            <w:r w:rsidR="00962CA3" w:rsidRPr="00962CA3">
              <w:rPr>
                <w:rFonts w:asciiTheme="minorHAnsi" w:hAnsiTheme="minorHAnsi" w:cstheme="minorHAnsi"/>
                <w:webHidden/>
                <w:sz w:val="24"/>
                <w:szCs w:val="24"/>
              </w:rPr>
              <w:fldChar w:fldCharType="end"/>
            </w:r>
          </w:hyperlink>
        </w:p>
        <w:p w14:paraId="30E7EE05" w14:textId="45AA59D3" w:rsidR="00962CA3" w:rsidRPr="00962CA3" w:rsidRDefault="009A1F3E">
          <w:pPr>
            <w:pStyle w:val="TOC1"/>
            <w:rPr>
              <w:rFonts w:asciiTheme="minorHAnsi" w:eastAsiaTheme="minorEastAsia" w:hAnsiTheme="minorHAnsi" w:cstheme="minorHAnsi"/>
              <w:sz w:val="24"/>
              <w:szCs w:val="24"/>
            </w:rPr>
          </w:pPr>
          <w:hyperlink w:anchor="_Toc115776596" w:history="1">
            <w:r w:rsidR="00962CA3" w:rsidRPr="00962CA3">
              <w:rPr>
                <w:rStyle w:val="Hyperlink"/>
                <w:rFonts w:asciiTheme="minorHAnsi" w:hAnsiTheme="minorHAnsi" w:cstheme="minorHAnsi"/>
                <w:sz w:val="24"/>
                <w:szCs w:val="24"/>
              </w:rPr>
              <w:t>Factor 6: Fulfillment of DPH Community-based Health Initiatives Guideline</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_Toc115776596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20</w:t>
            </w:r>
            <w:r w:rsidR="00962CA3" w:rsidRPr="00962CA3">
              <w:rPr>
                <w:rFonts w:asciiTheme="minorHAnsi" w:hAnsiTheme="minorHAnsi" w:cstheme="minorHAnsi"/>
                <w:webHidden/>
                <w:sz w:val="24"/>
                <w:szCs w:val="24"/>
              </w:rPr>
              <w:fldChar w:fldCharType="end"/>
            </w:r>
          </w:hyperlink>
        </w:p>
        <w:p w14:paraId="4CA2FF2C" w14:textId="7241444C" w:rsidR="00962CA3" w:rsidRPr="00962CA3" w:rsidRDefault="009A1F3E">
          <w:pPr>
            <w:pStyle w:val="TOC1"/>
            <w:rPr>
              <w:rFonts w:asciiTheme="minorHAnsi" w:eastAsiaTheme="minorEastAsia" w:hAnsiTheme="minorHAnsi" w:cstheme="minorHAnsi"/>
              <w:sz w:val="24"/>
              <w:szCs w:val="24"/>
            </w:rPr>
          </w:pPr>
          <w:hyperlink w:anchor="_Toc115776597" w:history="1">
            <w:r w:rsidR="00962CA3" w:rsidRPr="00962CA3">
              <w:rPr>
                <w:rStyle w:val="Hyperlink"/>
                <w:rFonts w:asciiTheme="minorHAnsi" w:hAnsiTheme="minorHAnsi" w:cstheme="minorHAnsi"/>
                <w:sz w:val="24"/>
                <w:szCs w:val="24"/>
              </w:rPr>
              <w:t>Findings and Recommendations</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_Toc115776597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22</w:t>
            </w:r>
            <w:r w:rsidR="00962CA3" w:rsidRPr="00962CA3">
              <w:rPr>
                <w:rFonts w:asciiTheme="minorHAnsi" w:hAnsiTheme="minorHAnsi" w:cstheme="minorHAnsi"/>
                <w:webHidden/>
                <w:sz w:val="24"/>
                <w:szCs w:val="24"/>
              </w:rPr>
              <w:fldChar w:fldCharType="end"/>
            </w:r>
          </w:hyperlink>
        </w:p>
        <w:p w14:paraId="24240E28" w14:textId="2DB16BD6" w:rsidR="00962CA3" w:rsidRPr="00962CA3" w:rsidRDefault="009A1F3E">
          <w:pPr>
            <w:pStyle w:val="TOC1"/>
            <w:rPr>
              <w:rFonts w:asciiTheme="minorHAnsi" w:eastAsiaTheme="minorEastAsia" w:hAnsiTheme="minorHAnsi" w:cstheme="minorHAnsi"/>
              <w:sz w:val="24"/>
              <w:szCs w:val="24"/>
            </w:rPr>
          </w:pPr>
          <w:hyperlink w:anchor="_Toc115776598" w:history="1">
            <w:r w:rsidR="00962CA3" w:rsidRPr="00962CA3">
              <w:rPr>
                <w:rStyle w:val="Hyperlink"/>
                <w:rFonts w:asciiTheme="minorHAnsi" w:hAnsiTheme="minorHAnsi" w:cstheme="minorHAnsi"/>
                <w:sz w:val="24"/>
                <w:szCs w:val="24"/>
              </w:rPr>
              <w:t>Other Conditions</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_Toc115776598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22</w:t>
            </w:r>
            <w:r w:rsidR="00962CA3" w:rsidRPr="00962CA3">
              <w:rPr>
                <w:rFonts w:asciiTheme="minorHAnsi" w:hAnsiTheme="minorHAnsi" w:cstheme="minorHAnsi"/>
                <w:webHidden/>
                <w:sz w:val="24"/>
                <w:szCs w:val="24"/>
              </w:rPr>
              <w:fldChar w:fldCharType="end"/>
            </w:r>
          </w:hyperlink>
        </w:p>
        <w:p w14:paraId="163FDFD6" w14:textId="55C531C2" w:rsidR="00962CA3" w:rsidRPr="00962CA3" w:rsidRDefault="009A1F3E">
          <w:pPr>
            <w:pStyle w:val="TOC1"/>
            <w:rPr>
              <w:rFonts w:asciiTheme="minorHAnsi" w:eastAsiaTheme="minorEastAsia" w:hAnsiTheme="minorHAnsi" w:cstheme="minorHAnsi"/>
              <w:sz w:val="24"/>
              <w:szCs w:val="24"/>
            </w:rPr>
          </w:pPr>
          <w:hyperlink w:anchor="_Toc115776599" w:history="1">
            <w:r w:rsidR="00962CA3" w:rsidRPr="00962CA3">
              <w:rPr>
                <w:rStyle w:val="Hyperlink"/>
                <w:rFonts w:asciiTheme="minorHAnsi" w:hAnsiTheme="minorHAnsi" w:cstheme="minorHAnsi"/>
                <w:sz w:val="24"/>
                <w:szCs w:val="24"/>
              </w:rPr>
              <w:t>Appendix  Quality Reporting Measures</w:t>
            </w:r>
            <w:r w:rsidR="00962CA3" w:rsidRPr="00962CA3">
              <w:rPr>
                <w:rFonts w:asciiTheme="minorHAnsi" w:hAnsiTheme="minorHAnsi" w:cstheme="minorHAnsi"/>
                <w:webHidden/>
                <w:sz w:val="24"/>
                <w:szCs w:val="24"/>
              </w:rPr>
              <w:tab/>
            </w:r>
            <w:r w:rsidR="00962CA3" w:rsidRPr="00962CA3">
              <w:rPr>
                <w:rFonts w:asciiTheme="minorHAnsi" w:hAnsiTheme="minorHAnsi" w:cstheme="minorHAnsi"/>
                <w:webHidden/>
                <w:sz w:val="24"/>
                <w:szCs w:val="24"/>
              </w:rPr>
              <w:fldChar w:fldCharType="begin"/>
            </w:r>
            <w:r w:rsidR="00962CA3" w:rsidRPr="00962CA3">
              <w:rPr>
                <w:rFonts w:asciiTheme="minorHAnsi" w:hAnsiTheme="minorHAnsi" w:cstheme="minorHAnsi"/>
                <w:webHidden/>
                <w:sz w:val="24"/>
                <w:szCs w:val="24"/>
              </w:rPr>
              <w:instrText xml:space="preserve"> PAGEREF _Toc115776599 \h </w:instrText>
            </w:r>
            <w:r w:rsidR="00962CA3" w:rsidRPr="00962CA3">
              <w:rPr>
                <w:rFonts w:asciiTheme="minorHAnsi" w:hAnsiTheme="minorHAnsi" w:cstheme="minorHAnsi"/>
                <w:webHidden/>
                <w:sz w:val="24"/>
                <w:szCs w:val="24"/>
              </w:rPr>
            </w:r>
            <w:r w:rsidR="00962CA3" w:rsidRPr="00962CA3">
              <w:rPr>
                <w:rFonts w:asciiTheme="minorHAnsi" w:hAnsiTheme="minorHAnsi" w:cstheme="minorHAnsi"/>
                <w:webHidden/>
                <w:sz w:val="24"/>
                <w:szCs w:val="24"/>
              </w:rPr>
              <w:fldChar w:fldCharType="separate"/>
            </w:r>
            <w:r w:rsidR="00962CA3">
              <w:rPr>
                <w:rFonts w:asciiTheme="minorHAnsi" w:hAnsiTheme="minorHAnsi" w:cstheme="minorHAnsi"/>
                <w:webHidden/>
                <w:sz w:val="24"/>
                <w:szCs w:val="24"/>
              </w:rPr>
              <w:t>24</w:t>
            </w:r>
            <w:r w:rsidR="00962CA3" w:rsidRPr="00962CA3">
              <w:rPr>
                <w:rFonts w:asciiTheme="minorHAnsi" w:hAnsiTheme="minorHAnsi" w:cstheme="minorHAnsi"/>
                <w:webHidden/>
                <w:sz w:val="24"/>
                <w:szCs w:val="24"/>
              </w:rPr>
              <w:fldChar w:fldCharType="end"/>
            </w:r>
          </w:hyperlink>
        </w:p>
        <w:p w14:paraId="42FA8F47" w14:textId="2B7ADD46" w:rsidR="00CB2E39" w:rsidRPr="002452C7" w:rsidRDefault="00CB2E39">
          <w:pPr>
            <w:rPr>
              <w:rFonts w:cstheme="minorHAnsi"/>
              <w:sz w:val="24"/>
              <w:szCs w:val="24"/>
            </w:rPr>
          </w:pPr>
          <w:r w:rsidRPr="00962CA3">
            <w:rPr>
              <w:rFonts w:cstheme="minorHAnsi"/>
              <w:b/>
              <w:bCs/>
              <w:noProof/>
              <w:sz w:val="24"/>
              <w:szCs w:val="24"/>
            </w:rPr>
            <w:fldChar w:fldCharType="end"/>
          </w:r>
        </w:p>
      </w:sdtContent>
    </w:sdt>
    <w:p w14:paraId="1E9F4F04" w14:textId="0AAD68DE" w:rsidR="00B12018" w:rsidRPr="00241F83" w:rsidRDefault="00D14F77" w:rsidP="00EA38CA">
      <w:pPr>
        <w:spacing w:line="240" w:lineRule="auto"/>
        <w:rPr>
          <w:rFonts w:cstheme="minorHAnsi"/>
        </w:rPr>
      </w:pPr>
      <w:r w:rsidRPr="00241F83">
        <w:rPr>
          <w:rFonts w:cstheme="minorHAnsi"/>
        </w:rPr>
        <w:br w:type="page"/>
      </w:r>
    </w:p>
    <w:p w14:paraId="39198539" w14:textId="77777777" w:rsidR="00944246" w:rsidRPr="00241F83" w:rsidRDefault="00944246" w:rsidP="00EA38CA">
      <w:pPr>
        <w:spacing w:after="0" w:line="240" w:lineRule="auto"/>
        <w:contextualSpacing/>
        <w:rPr>
          <w:rFonts w:cstheme="minorHAnsi"/>
          <w:sz w:val="24"/>
          <w:szCs w:val="24"/>
        </w:rPr>
        <w:sectPr w:rsidR="00944246" w:rsidRPr="00241F83" w:rsidSect="00182821">
          <w:footerReference w:type="default" r:id="rId8"/>
          <w:footerReference w:type="first" r:id="rId9"/>
          <w:endnotePr>
            <w:numFmt w:val="lowerLetter"/>
          </w:endnotePr>
          <w:pgSz w:w="12240" w:h="15840"/>
          <w:pgMar w:top="1350" w:right="1080" w:bottom="1440" w:left="1080" w:header="720" w:footer="720" w:gutter="0"/>
          <w:cols w:space="720"/>
          <w:titlePg/>
          <w:docGrid w:linePitch="360"/>
        </w:sectPr>
      </w:pPr>
      <w:bookmarkStart w:id="5" w:name="_Hlk30359795"/>
      <w:bookmarkStart w:id="6" w:name="_Toc17474921"/>
    </w:p>
    <w:p w14:paraId="387C849A" w14:textId="3AC30618" w:rsidR="00B0533D" w:rsidRDefault="00B0533D" w:rsidP="00B044A8">
      <w:pPr>
        <w:pStyle w:val="Heading1"/>
        <w:spacing w:before="0" w:line="240" w:lineRule="auto"/>
        <w:rPr>
          <w:rFonts w:asciiTheme="minorHAnsi" w:hAnsiTheme="minorHAnsi" w:cstheme="minorHAnsi"/>
        </w:rPr>
      </w:pPr>
      <w:bookmarkStart w:id="7" w:name="_Toc17151134"/>
      <w:bookmarkStart w:id="8" w:name="_Toc17228947"/>
      <w:bookmarkStart w:id="9" w:name="_Toc17731303"/>
      <w:bookmarkStart w:id="10" w:name="_Toc17748221"/>
      <w:bookmarkStart w:id="11" w:name="_Toc17748448"/>
      <w:bookmarkStart w:id="12" w:name="_Toc17748692"/>
      <w:bookmarkStart w:id="13" w:name="_Toc18922392"/>
      <w:bookmarkStart w:id="14" w:name="_Toc23110213"/>
      <w:bookmarkStart w:id="15" w:name="_Toc23157976"/>
      <w:bookmarkStart w:id="16" w:name="_Toc23323238"/>
      <w:bookmarkStart w:id="17" w:name="_Toc23324244"/>
      <w:bookmarkStart w:id="18" w:name="_Toc23424528"/>
      <w:bookmarkStart w:id="19" w:name="_Toc29755670"/>
      <w:bookmarkStart w:id="20" w:name="_Toc115776582"/>
      <w:bookmarkStart w:id="21" w:name="_Toc28797399"/>
      <w:bookmarkStart w:id="22" w:name="_Toc29755677"/>
      <w:bookmarkStart w:id="23" w:name="_Toc27567690"/>
      <w:bookmarkStart w:id="24" w:name="_Toc17151137"/>
      <w:bookmarkEnd w:id="5"/>
      <w:r w:rsidRPr="00241F83">
        <w:rPr>
          <w:rFonts w:asciiTheme="minorHAnsi" w:hAnsiTheme="minorHAnsi" w:cstheme="minorHAnsi"/>
        </w:rPr>
        <w:lastRenderedPageBreak/>
        <w:t>Background</w:t>
      </w:r>
      <w:bookmarkEnd w:id="7"/>
      <w:bookmarkEnd w:id="8"/>
      <w:bookmarkEnd w:id="9"/>
      <w:bookmarkEnd w:id="10"/>
      <w:bookmarkEnd w:id="11"/>
      <w:bookmarkEnd w:id="12"/>
      <w:bookmarkEnd w:id="13"/>
      <w:bookmarkEnd w:id="14"/>
      <w:bookmarkEnd w:id="15"/>
      <w:bookmarkEnd w:id="16"/>
      <w:bookmarkEnd w:id="17"/>
      <w:bookmarkEnd w:id="18"/>
      <w:bookmarkEnd w:id="19"/>
      <w:r w:rsidR="00106BF4" w:rsidRPr="00241F83">
        <w:rPr>
          <w:rFonts w:asciiTheme="minorHAnsi" w:hAnsiTheme="minorHAnsi" w:cstheme="minorHAnsi"/>
        </w:rPr>
        <w:t xml:space="preserve"> </w:t>
      </w:r>
      <w:r w:rsidRPr="00241F83">
        <w:rPr>
          <w:rFonts w:asciiTheme="minorHAnsi" w:hAnsiTheme="minorHAnsi" w:cstheme="minorHAnsi"/>
        </w:rPr>
        <w:t>and Application Overview</w:t>
      </w:r>
      <w:bookmarkEnd w:id="20"/>
    </w:p>
    <w:p w14:paraId="66CD9039" w14:textId="77777777" w:rsidR="00B044A8" w:rsidRPr="00B044A8" w:rsidRDefault="00B044A8" w:rsidP="00B044A8">
      <w:pPr>
        <w:spacing w:after="0"/>
      </w:pPr>
    </w:p>
    <w:p w14:paraId="5EBDB273" w14:textId="5BC19A26" w:rsidR="00BA4F98" w:rsidRDefault="00B65833" w:rsidP="00555638">
      <w:pPr>
        <w:pStyle w:val="NoSpacing"/>
        <w:rPr>
          <w:rFonts w:cstheme="minorHAnsi"/>
          <w:color w:val="000000"/>
          <w:sz w:val="24"/>
          <w:szCs w:val="24"/>
        </w:rPr>
      </w:pPr>
      <w:bookmarkStart w:id="25" w:name="_Hlk115164175"/>
      <w:r w:rsidRPr="00182821">
        <w:rPr>
          <w:rFonts w:cstheme="minorHAnsi"/>
          <w:color w:val="000000"/>
          <w:sz w:val="24"/>
          <w:szCs w:val="24"/>
        </w:rPr>
        <w:t xml:space="preserve">New England Baptist Surgery Center, </w:t>
      </w:r>
      <w:r w:rsidR="001D68CB" w:rsidRPr="00241F83">
        <w:rPr>
          <w:rFonts w:cstheme="minorHAnsi"/>
          <w:color w:val="000000"/>
          <w:sz w:val="24"/>
          <w:szCs w:val="24"/>
        </w:rPr>
        <w:t>LLC (</w:t>
      </w:r>
      <w:r>
        <w:rPr>
          <w:rFonts w:cstheme="minorHAnsi"/>
          <w:color w:val="000000"/>
          <w:sz w:val="24"/>
          <w:szCs w:val="24"/>
        </w:rPr>
        <w:t xml:space="preserve">NEBSC, </w:t>
      </w:r>
      <w:r w:rsidR="00D33E4C" w:rsidRPr="00241F83">
        <w:rPr>
          <w:rFonts w:cstheme="minorHAnsi"/>
          <w:color w:val="000000"/>
          <w:sz w:val="24"/>
          <w:szCs w:val="24"/>
        </w:rPr>
        <w:t>Applicant</w:t>
      </w:r>
      <w:r w:rsidR="001D68CB" w:rsidRPr="00241F83">
        <w:rPr>
          <w:rFonts w:cstheme="minorHAnsi"/>
          <w:color w:val="000000"/>
          <w:sz w:val="24"/>
          <w:szCs w:val="24"/>
        </w:rPr>
        <w:t xml:space="preserve">) is a newly formed joint venture created for the purpose of </w:t>
      </w:r>
      <w:r w:rsidR="00567D47">
        <w:rPr>
          <w:rFonts w:cstheme="minorHAnsi"/>
          <w:color w:val="000000"/>
          <w:sz w:val="24"/>
          <w:szCs w:val="24"/>
        </w:rPr>
        <w:t>creat</w:t>
      </w:r>
      <w:r w:rsidR="001D68CB" w:rsidRPr="00241F83">
        <w:rPr>
          <w:rFonts w:cstheme="minorHAnsi"/>
          <w:color w:val="000000"/>
          <w:sz w:val="24"/>
          <w:szCs w:val="24"/>
        </w:rPr>
        <w:t>ing the proposed</w:t>
      </w:r>
      <w:r w:rsidR="00567D47">
        <w:rPr>
          <w:rFonts w:cstheme="minorHAnsi"/>
          <w:color w:val="000000"/>
          <w:sz w:val="24"/>
          <w:szCs w:val="24"/>
        </w:rPr>
        <w:t xml:space="preserve"> freestanding ambulatory surgery center</w:t>
      </w:r>
      <w:r w:rsidR="001D68CB" w:rsidRPr="00241F83">
        <w:rPr>
          <w:rFonts w:cstheme="minorHAnsi"/>
          <w:color w:val="000000"/>
          <w:sz w:val="24"/>
          <w:szCs w:val="24"/>
        </w:rPr>
        <w:t xml:space="preserve"> </w:t>
      </w:r>
      <w:r w:rsidR="00567D47">
        <w:rPr>
          <w:rFonts w:cstheme="minorHAnsi"/>
          <w:color w:val="000000"/>
          <w:sz w:val="24"/>
          <w:szCs w:val="24"/>
        </w:rPr>
        <w:t>(</w:t>
      </w:r>
      <w:r w:rsidR="001D68CB" w:rsidRPr="00241F83">
        <w:rPr>
          <w:rFonts w:cstheme="minorHAnsi"/>
          <w:color w:val="000000"/>
          <w:sz w:val="24"/>
          <w:szCs w:val="24"/>
        </w:rPr>
        <w:t>ASC</w:t>
      </w:r>
      <w:r w:rsidR="00567D47">
        <w:rPr>
          <w:rFonts w:cstheme="minorHAnsi"/>
          <w:color w:val="000000"/>
          <w:sz w:val="24"/>
          <w:szCs w:val="24"/>
        </w:rPr>
        <w:t>) from an existing hospital</w:t>
      </w:r>
      <w:r w:rsidR="00BA4F98">
        <w:rPr>
          <w:rFonts w:cstheme="minorHAnsi"/>
          <w:color w:val="000000"/>
          <w:sz w:val="24"/>
          <w:szCs w:val="24"/>
        </w:rPr>
        <w:t>-</w:t>
      </w:r>
      <w:r w:rsidR="00567D47">
        <w:rPr>
          <w:rFonts w:cstheme="minorHAnsi"/>
          <w:color w:val="000000"/>
          <w:sz w:val="24"/>
          <w:szCs w:val="24"/>
        </w:rPr>
        <w:t xml:space="preserve">based </w:t>
      </w:r>
      <w:r w:rsidR="004A36F2">
        <w:rPr>
          <w:rFonts w:cstheme="minorHAnsi"/>
          <w:color w:val="000000"/>
          <w:sz w:val="24"/>
          <w:szCs w:val="24"/>
        </w:rPr>
        <w:t xml:space="preserve">outpatient </w:t>
      </w:r>
      <w:r w:rsidR="00623C15">
        <w:rPr>
          <w:rFonts w:cstheme="minorHAnsi"/>
          <w:color w:val="000000"/>
          <w:sz w:val="24"/>
          <w:szCs w:val="24"/>
        </w:rPr>
        <w:t xml:space="preserve">surgical </w:t>
      </w:r>
      <w:r w:rsidR="00567D47">
        <w:rPr>
          <w:rFonts w:cstheme="minorHAnsi"/>
          <w:color w:val="000000"/>
          <w:sz w:val="24"/>
          <w:szCs w:val="24"/>
        </w:rPr>
        <w:t>satellite (HOPD</w:t>
      </w:r>
      <w:r w:rsidR="00623C15">
        <w:rPr>
          <w:rStyle w:val="FootnoteReference"/>
          <w:rFonts w:cstheme="minorHAnsi"/>
          <w:color w:val="000000"/>
          <w:sz w:val="24"/>
          <w:szCs w:val="24"/>
        </w:rPr>
        <w:footnoteReference w:id="1"/>
      </w:r>
      <w:r w:rsidR="00567D47">
        <w:rPr>
          <w:rFonts w:cstheme="minorHAnsi"/>
          <w:color w:val="000000"/>
          <w:sz w:val="24"/>
          <w:szCs w:val="24"/>
        </w:rPr>
        <w:t>)</w:t>
      </w:r>
      <w:r w:rsidR="001D68CB" w:rsidRPr="00241F83">
        <w:rPr>
          <w:rFonts w:cstheme="minorHAnsi"/>
          <w:color w:val="000000"/>
          <w:sz w:val="24"/>
          <w:szCs w:val="24"/>
        </w:rPr>
        <w:t xml:space="preserve">. </w:t>
      </w:r>
      <w:r w:rsidRPr="00B65833">
        <w:rPr>
          <w:rFonts w:cstheme="minorHAnsi"/>
          <w:color w:val="000000"/>
          <w:sz w:val="24"/>
          <w:szCs w:val="24"/>
        </w:rPr>
        <w:t>The Applicant, NEBSC, is owned by NEBSC Hospital Holdings, LLC (Hospital HoldCo)</w:t>
      </w:r>
      <w:r w:rsidR="00C8675F">
        <w:rPr>
          <w:rFonts w:cstheme="minorHAnsi"/>
          <w:color w:val="000000"/>
          <w:sz w:val="24"/>
          <w:szCs w:val="24"/>
        </w:rPr>
        <w:t xml:space="preserve">, </w:t>
      </w:r>
      <w:r w:rsidR="007E044C">
        <w:rPr>
          <w:rFonts w:cstheme="minorHAnsi"/>
          <w:color w:val="000000"/>
          <w:sz w:val="24"/>
          <w:szCs w:val="24"/>
        </w:rPr>
        <w:t>51%</w:t>
      </w:r>
      <w:r w:rsidR="00C8675F">
        <w:rPr>
          <w:rFonts w:cstheme="minorHAnsi"/>
          <w:color w:val="000000"/>
          <w:sz w:val="24"/>
          <w:szCs w:val="24"/>
        </w:rPr>
        <w:t>,</w:t>
      </w:r>
      <w:r w:rsidR="007E044C">
        <w:rPr>
          <w:rFonts w:cstheme="minorHAnsi"/>
          <w:color w:val="000000"/>
          <w:sz w:val="24"/>
          <w:szCs w:val="24"/>
        </w:rPr>
        <w:t xml:space="preserve"> </w:t>
      </w:r>
      <w:r w:rsidRPr="00B65833">
        <w:rPr>
          <w:rFonts w:cstheme="minorHAnsi"/>
          <w:color w:val="000000"/>
          <w:sz w:val="24"/>
          <w:szCs w:val="24"/>
        </w:rPr>
        <w:t>and NEBSC Surgeon Holdings, LLC (Surgeon HoldCo)</w:t>
      </w:r>
      <w:r w:rsidR="007E044C">
        <w:rPr>
          <w:rFonts w:cstheme="minorHAnsi"/>
          <w:color w:val="000000"/>
          <w:sz w:val="24"/>
          <w:szCs w:val="24"/>
        </w:rPr>
        <w:t>, 49%</w:t>
      </w:r>
      <w:r w:rsidRPr="00B65833">
        <w:rPr>
          <w:rFonts w:cstheme="minorHAnsi"/>
          <w:color w:val="000000"/>
          <w:sz w:val="24"/>
          <w:szCs w:val="24"/>
        </w:rPr>
        <w:t xml:space="preserve">. </w:t>
      </w:r>
      <w:bookmarkStart w:id="26" w:name="_Hlk115074094"/>
      <w:r w:rsidR="003042C7" w:rsidRPr="003042C7">
        <w:rPr>
          <w:rFonts w:cstheme="minorHAnsi"/>
          <w:color w:val="000000"/>
          <w:sz w:val="24"/>
          <w:szCs w:val="24"/>
        </w:rPr>
        <w:t>Hospital Holdco is majority owned by New England Baptist Hospital (NEBH) (85.6%) and Constitution Surgery Alliance (CSA),</w:t>
      </w:r>
      <w:r w:rsidR="003042C7" w:rsidRPr="003042C7">
        <w:rPr>
          <w:rFonts w:cstheme="minorHAnsi"/>
          <w:color w:val="000000"/>
          <w:sz w:val="24"/>
          <w:szCs w:val="24"/>
          <w:vertAlign w:val="superscript"/>
        </w:rPr>
        <w:footnoteReference w:id="2"/>
      </w:r>
      <w:r w:rsidR="003042C7" w:rsidRPr="003042C7">
        <w:rPr>
          <w:rFonts w:cstheme="minorHAnsi"/>
          <w:color w:val="000000"/>
          <w:sz w:val="24"/>
          <w:szCs w:val="24"/>
        </w:rPr>
        <w:t xml:space="preserve"> (14.4%). CSA will manage the ASC. </w:t>
      </w:r>
      <w:bookmarkEnd w:id="26"/>
      <w:r w:rsidR="007E044C">
        <w:rPr>
          <w:rFonts w:cstheme="minorHAnsi"/>
          <w:color w:val="000000"/>
          <w:sz w:val="24"/>
          <w:szCs w:val="24"/>
        </w:rPr>
        <w:t xml:space="preserve">Both </w:t>
      </w:r>
      <w:r w:rsidR="00B9274B">
        <w:rPr>
          <w:rFonts w:cstheme="minorHAnsi"/>
          <w:color w:val="000000"/>
          <w:sz w:val="24"/>
          <w:szCs w:val="24"/>
        </w:rPr>
        <w:t xml:space="preserve">LLC’s, </w:t>
      </w:r>
      <w:r w:rsidRPr="00B65833">
        <w:rPr>
          <w:rFonts w:cstheme="minorHAnsi"/>
          <w:color w:val="000000"/>
          <w:sz w:val="24"/>
          <w:szCs w:val="24"/>
        </w:rPr>
        <w:t>Hospital HoldCo</w:t>
      </w:r>
      <w:r w:rsidR="007E044C">
        <w:rPr>
          <w:rFonts w:cstheme="minorHAnsi"/>
          <w:color w:val="000000"/>
          <w:sz w:val="24"/>
          <w:szCs w:val="24"/>
        </w:rPr>
        <w:t>, and Surgeon HoldC</w:t>
      </w:r>
      <w:r w:rsidR="00B9274B">
        <w:rPr>
          <w:rFonts w:cstheme="minorHAnsi"/>
          <w:color w:val="000000"/>
          <w:sz w:val="24"/>
          <w:szCs w:val="24"/>
        </w:rPr>
        <w:t xml:space="preserve">o, were </w:t>
      </w:r>
      <w:r w:rsidRPr="00B65833">
        <w:rPr>
          <w:rFonts w:cstheme="minorHAnsi"/>
          <w:color w:val="000000"/>
          <w:sz w:val="24"/>
          <w:szCs w:val="24"/>
        </w:rPr>
        <w:t xml:space="preserve">formed for the purpose of participating </w:t>
      </w:r>
      <w:r w:rsidR="007E044C">
        <w:rPr>
          <w:rFonts w:cstheme="minorHAnsi"/>
          <w:color w:val="000000"/>
          <w:sz w:val="24"/>
          <w:szCs w:val="24"/>
        </w:rPr>
        <w:t>the NE</w:t>
      </w:r>
      <w:r w:rsidR="00D93285">
        <w:rPr>
          <w:rFonts w:cstheme="minorHAnsi"/>
          <w:color w:val="000000"/>
          <w:sz w:val="24"/>
          <w:szCs w:val="24"/>
        </w:rPr>
        <w:t>B</w:t>
      </w:r>
      <w:r w:rsidR="007E044C">
        <w:rPr>
          <w:rFonts w:cstheme="minorHAnsi"/>
          <w:color w:val="000000"/>
          <w:sz w:val="24"/>
          <w:szCs w:val="24"/>
        </w:rPr>
        <w:t xml:space="preserve">SC </w:t>
      </w:r>
      <w:r w:rsidRPr="00B65833">
        <w:rPr>
          <w:rFonts w:cstheme="minorHAnsi"/>
          <w:color w:val="000000"/>
          <w:sz w:val="24"/>
          <w:szCs w:val="24"/>
        </w:rPr>
        <w:t>joint venture</w:t>
      </w:r>
      <w:r w:rsidR="00C8675F">
        <w:rPr>
          <w:rFonts w:cstheme="minorHAnsi"/>
          <w:color w:val="000000"/>
          <w:sz w:val="24"/>
          <w:szCs w:val="24"/>
        </w:rPr>
        <w:t>.</w:t>
      </w:r>
      <w:r w:rsidR="00B9274B">
        <w:rPr>
          <w:rFonts w:cstheme="minorHAnsi"/>
          <w:color w:val="000000"/>
          <w:sz w:val="24"/>
          <w:szCs w:val="24"/>
        </w:rPr>
        <w:t xml:space="preserve"> </w:t>
      </w:r>
      <w:r w:rsidR="00F620DE">
        <w:rPr>
          <w:rFonts w:cstheme="minorHAnsi"/>
          <w:color w:val="000000"/>
          <w:sz w:val="24"/>
          <w:szCs w:val="24"/>
        </w:rPr>
        <w:t xml:space="preserve">The ownership relationships are illustrated in </w:t>
      </w:r>
      <w:r w:rsidR="00A84D19">
        <w:rPr>
          <w:rFonts w:cstheme="minorHAnsi"/>
          <w:color w:val="000000"/>
          <w:sz w:val="24"/>
          <w:szCs w:val="24"/>
        </w:rPr>
        <w:t>T</w:t>
      </w:r>
      <w:r w:rsidR="00F620DE">
        <w:rPr>
          <w:rFonts w:cstheme="minorHAnsi"/>
          <w:color w:val="000000"/>
          <w:sz w:val="24"/>
          <w:szCs w:val="24"/>
        </w:rPr>
        <w:t xml:space="preserve">able </w:t>
      </w:r>
      <w:r w:rsidR="00A84D19">
        <w:rPr>
          <w:rFonts w:cstheme="minorHAnsi"/>
          <w:color w:val="000000"/>
          <w:sz w:val="24"/>
          <w:szCs w:val="24"/>
        </w:rPr>
        <w:t xml:space="preserve">1, </w:t>
      </w:r>
      <w:r w:rsidR="00F620DE">
        <w:rPr>
          <w:rFonts w:cstheme="minorHAnsi"/>
          <w:color w:val="000000"/>
          <w:sz w:val="24"/>
          <w:szCs w:val="24"/>
        </w:rPr>
        <w:t>below.</w:t>
      </w:r>
    </w:p>
    <w:p w14:paraId="53643348" w14:textId="257EBB2E" w:rsidR="00A84D19" w:rsidRDefault="00A84D19" w:rsidP="00555638">
      <w:pPr>
        <w:pStyle w:val="NoSpacing"/>
        <w:rPr>
          <w:rFonts w:cstheme="minorHAnsi"/>
          <w:color w:val="000000"/>
          <w:sz w:val="24"/>
          <w:szCs w:val="24"/>
        </w:rPr>
      </w:pPr>
    </w:p>
    <w:p w14:paraId="09DF8E3C" w14:textId="12ADA6A3" w:rsidR="00A84D19" w:rsidRPr="00A84D19" w:rsidRDefault="00A84D19" w:rsidP="00A84D19">
      <w:pPr>
        <w:pStyle w:val="NoSpacing"/>
        <w:jc w:val="center"/>
        <w:rPr>
          <w:rFonts w:cstheme="minorHAnsi"/>
          <w:b/>
          <w:bCs/>
          <w:color w:val="000000"/>
          <w:sz w:val="24"/>
          <w:szCs w:val="24"/>
        </w:rPr>
      </w:pPr>
      <w:r w:rsidRPr="00A84D19">
        <w:rPr>
          <w:rFonts w:cstheme="minorHAnsi"/>
          <w:b/>
          <w:bCs/>
          <w:color w:val="000000"/>
          <w:sz w:val="24"/>
          <w:szCs w:val="24"/>
        </w:rPr>
        <w:t>Table 1: Ownership Structure of New England Baptist Surgery Center</w:t>
      </w:r>
    </w:p>
    <w:bookmarkEnd w:id="25"/>
    <w:p w14:paraId="0055A40B" w14:textId="34BE3353" w:rsidR="00F620DE" w:rsidRDefault="00A84D19" w:rsidP="00555638">
      <w:pPr>
        <w:pStyle w:val="NoSpacing"/>
        <w:rPr>
          <w:rFonts w:cstheme="minorHAnsi"/>
          <w:color w:val="000000"/>
          <w:sz w:val="24"/>
          <w:szCs w:val="24"/>
        </w:rPr>
      </w:pPr>
      <w:r>
        <w:rPr>
          <w:rFonts w:cstheme="minorHAnsi"/>
          <w:color w:val="000000"/>
          <w:sz w:val="24"/>
          <w:szCs w:val="24"/>
        </w:rPr>
        <w:t xml:space="preserve"> </w:t>
      </w:r>
    </w:p>
    <w:tbl>
      <w:tblPr>
        <w:tblStyle w:val="TableGrid"/>
        <w:tblW w:w="9471" w:type="dxa"/>
        <w:jc w:val="center"/>
        <w:tblLook w:val="04A0" w:firstRow="1" w:lastRow="0" w:firstColumn="1" w:lastColumn="0" w:noHBand="0" w:noVBand="1"/>
      </w:tblPr>
      <w:tblGrid>
        <w:gridCol w:w="1694"/>
        <w:gridCol w:w="4619"/>
        <w:gridCol w:w="3158"/>
      </w:tblGrid>
      <w:tr w:rsidR="00F620DE" w14:paraId="624528DB" w14:textId="77777777" w:rsidTr="006750C2">
        <w:trPr>
          <w:cantSplit/>
          <w:trHeight w:val="388"/>
          <w:jc w:val="center"/>
        </w:trPr>
        <w:tc>
          <w:tcPr>
            <w:tcW w:w="9471" w:type="dxa"/>
            <w:gridSpan w:val="3"/>
            <w:shd w:val="clear" w:color="auto" w:fill="D8F6F8"/>
          </w:tcPr>
          <w:p w14:paraId="0E8D6AC1" w14:textId="77777777" w:rsidR="00F620DE" w:rsidRPr="004A36F2" w:rsidRDefault="00F620DE" w:rsidP="004A36F2">
            <w:pPr>
              <w:jc w:val="center"/>
              <w:rPr>
                <w:b/>
                <w:bCs/>
                <w:sz w:val="24"/>
                <w:szCs w:val="24"/>
              </w:rPr>
            </w:pPr>
            <w:r w:rsidRPr="004A36F2">
              <w:rPr>
                <w:b/>
                <w:bCs/>
                <w:sz w:val="24"/>
                <w:szCs w:val="24"/>
              </w:rPr>
              <w:t>New England Baptist Surgery Center (NEBSC)</w:t>
            </w:r>
          </w:p>
        </w:tc>
      </w:tr>
      <w:tr w:rsidR="00F620DE" w14:paraId="47243F38" w14:textId="77777777" w:rsidTr="006750C2">
        <w:trPr>
          <w:cantSplit/>
          <w:trHeight w:val="388"/>
          <w:jc w:val="center"/>
        </w:trPr>
        <w:tc>
          <w:tcPr>
            <w:tcW w:w="6313" w:type="dxa"/>
            <w:gridSpan w:val="2"/>
          </w:tcPr>
          <w:p w14:paraId="123D42FC" w14:textId="77777777" w:rsidR="00F620DE" w:rsidRPr="004A36F2" w:rsidRDefault="00F620DE" w:rsidP="00A84D19">
            <w:pPr>
              <w:rPr>
                <w:sz w:val="24"/>
                <w:szCs w:val="24"/>
              </w:rPr>
            </w:pPr>
            <w:r w:rsidRPr="004A36F2">
              <w:rPr>
                <w:sz w:val="24"/>
                <w:szCs w:val="24"/>
              </w:rPr>
              <w:t>NEBSC Hospital Holdings, LLC (Hospital HoldCo)</w:t>
            </w:r>
          </w:p>
        </w:tc>
        <w:tc>
          <w:tcPr>
            <w:tcW w:w="3157" w:type="dxa"/>
          </w:tcPr>
          <w:p w14:paraId="533F86D3" w14:textId="77777777" w:rsidR="00F620DE" w:rsidRPr="004A36F2" w:rsidRDefault="00F620DE" w:rsidP="00A84D19">
            <w:pPr>
              <w:rPr>
                <w:sz w:val="24"/>
                <w:szCs w:val="24"/>
              </w:rPr>
            </w:pPr>
            <w:r w:rsidRPr="004A36F2">
              <w:rPr>
                <w:sz w:val="24"/>
                <w:szCs w:val="24"/>
              </w:rPr>
              <w:t>51%</w:t>
            </w:r>
          </w:p>
        </w:tc>
      </w:tr>
      <w:tr w:rsidR="00F620DE" w14:paraId="2A6A0D56" w14:textId="77777777" w:rsidTr="006750C2">
        <w:trPr>
          <w:cantSplit/>
          <w:trHeight w:val="388"/>
          <w:jc w:val="center"/>
        </w:trPr>
        <w:tc>
          <w:tcPr>
            <w:tcW w:w="1694" w:type="dxa"/>
            <w:tcBorders>
              <w:right w:val="nil"/>
            </w:tcBorders>
          </w:tcPr>
          <w:p w14:paraId="549A16C4" w14:textId="77777777" w:rsidR="00F620DE" w:rsidRDefault="00F620DE" w:rsidP="00A84D19"/>
        </w:tc>
        <w:tc>
          <w:tcPr>
            <w:tcW w:w="4618" w:type="dxa"/>
            <w:tcBorders>
              <w:left w:val="nil"/>
            </w:tcBorders>
          </w:tcPr>
          <w:p w14:paraId="36684BB9" w14:textId="77777777" w:rsidR="00F620DE" w:rsidRPr="004A36F2" w:rsidRDefault="00F620DE" w:rsidP="00A84D19">
            <w:pPr>
              <w:jc w:val="right"/>
              <w:rPr>
                <w:rFonts w:cstheme="minorHAnsi"/>
                <w:color w:val="000000"/>
              </w:rPr>
            </w:pPr>
            <w:r w:rsidRPr="004A36F2">
              <w:rPr>
                <w:rFonts w:cstheme="minorHAnsi"/>
                <w:color w:val="000000"/>
              </w:rPr>
              <w:t xml:space="preserve">New England Baptist Hospital (NEBH) </w:t>
            </w:r>
          </w:p>
        </w:tc>
        <w:tc>
          <w:tcPr>
            <w:tcW w:w="3157" w:type="dxa"/>
          </w:tcPr>
          <w:p w14:paraId="5A2DCEF9" w14:textId="77777777" w:rsidR="00F620DE" w:rsidRPr="004A36F2" w:rsidRDefault="00F620DE" w:rsidP="00A84D19">
            <w:pPr>
              <w:jc w:val="right"/>
            </w:pPr>
            <w:r w:rsidRPr="004A36F2">
              <w:t>85.6%</w:t>
            </w:r>
          </w:p>
        </w:tc>
      </w:tr>
      <w:tr w:rsidR="00F620DE" w14:paraId="37CF82F3" w14:textId="77777777" w:rsidTr="006750C2">
        <w:trPr>
          <w:cantSplit/>
          <w:trHeight w:val="400"/>
          <w:jc w:val="center"/>
        </w:trPr>
        <w:tc>
          <w:tcPr>
            <w:tcW w:w="1694" w:type="dxa"/>
            <w:tcBorders>
              <w:right w:val="nil"/>
            </w:tcBorders>
          </w:tcPr>
          <w:p w14:paraId="418E5EC7" w14:textId="77777777" w:rsidR="00F620DE" w:rsidRDefault="00F620DE" w:rsidP="00A84D19"/>
        </w:tc>
        <w:tc>
          <w:tcPr>
            <w:tcW w:w="4618" w:type="dxa"/>
            <w:tcBorders>
              <w:left w:val="nil"/>
            </w:tcBorders>
          </w:tcPr>
          <w:p w14:paraId="0DD6DD86" w14:textId="77777777" w:rsidR="00F620DE" w:rsidRPr="004A36F2" w:rsidRDefault="00F620DE" w:rsidP="00A84D19">
            <w:pPr>
              <w:jc w:val="right"/>
              <w:rPr>
                <w:rFonts w:cstheme="minorHAnsi"/>
                <w:color w:val="000000"/>
              </w:rPr>
            </w:pPr>
            <w:r w:rsidRPr="004A36F2">
              <w:rPr>
                <w:rFonts w:cstheme="minorHAnsi"/>
                <w:color w:val="000000"/>
              </w:rPr>
              <w:t>Constitution Surgery Alliance (CSA)</w:t>
            </w:r>
          </w:p>
        </w:tc>
        <w:tc>
          <w:tcPr>
            <w:tcW w:w="3157" w:type="dxa"/>
          </w:tcPr>
          <w:p w14:paraId="06FD205F" w14:textId="77777777" w:rsidR="00F620DE" w:rsidRPr="004A36F2" w:rsidRDefault="00F620DE" w:rsidP="00A84D19">
            <w:pPr>
              <w:jc w:val="right"/>
            </w:pPr>
            <w:r w:rsidRPr="004A36F2">
              <w:t>14.4%</w:t>
            </w:r>
          </w:p>
        </w:tc>
      </w:tr>
      <w:tr w:rsidR="00F620DE" w14:paraId="61613042" w14:textId="77777777" w:rsidTr="006750C2">
        <w:trPr>
          <w:cantSplit/>
          <w:trHeight w:val="388"/>
          <w:jc w:val="center"/>
        </w:trPr>
        <w:tc>
          <w:tcPr>
            <w:tcW w:w="6313" w:type="dxa"/>
            <w:gridSpan w:val="2"/>
          </w:tcPr>
          <w:p w14:paraId="2EDF8516" w14:textId="77777777" w:rsidR="00F620DE" w:rsidRPr="004A36F2" w:rsidRDefault="00F620DE" w:rsidP="00A84D19">
            <w:pPr>
              <w:rPr>
                <w:sz w:val="24"/>
                <w:szCs w:val="24"/>
              </w:rPr>
            </w:pPr>
            <w:r w:rsidRPr="004A36F2">
              <w:rPr>
                <w:rFonts w:cstheme="minorHAnsi"/>
                <w:color w:val="000000"/>
                <w:sz w:val="24"/>
                <w:szCs w:val="24"/>
              </w:rPr>
              <w:t>NEBSC Surgeon Holdings, LLC (Surgeon HoldCo)</w:t>
            </w:r>
          </w:p>
        </w:tc>
        <w:tc>
          <w:tcPr>
            <w:tcW w:w="3157" w:type="dxa"/>
          </w:tcPr>
          <w:p w14:paraId="50016A8B" w14:textId="77777777" w:rsidR="00F620DE" w:rsidRPr="004A36F2" w:rsidRDefault="00F620DE" w:rsidP="00A84D19">
            <w:pPr>
              <w:rPr>
                <w:sz w:val="24"/>
                <w:szCs w:val="24"/>
              </w:rPr>
            </w:pPr>
            <w:r w:rsidRPr="004A36F2">
              <w:rPr>
                <w:sz w:val="24"/>
                <w:szCs w:val="24"/>
              </w:rPr>
              <w:t>49%</w:t>
            </w:r>
          </w:p>
        </w:tc>
      </w:tr>
    </w:tbl>
    <w:p w14:paraId="6A4767D8" w14:textId="77777777" w:rsidR="00F620DE" w:rsidRDefault="00F620DE" w:rsidP="00555638">
      <w:pPr>
        <w:pStyle w:val="NoSpacing"/>
        <w:rPr>
          <w:rFonts w:cstheme="minorHAnsi"/>
          <w:color w:val="000000"/>
          <w:sz w:val="24"/>
          <w:szCs w:val="24"/>
        </w:rPr>
      </w:pPr>
    </w:p>
    <w:p w14:paraId="690FB591" w14:textId="54E51E31" w:rsidR="0034761D" w:rsidRDefault="0034761D" w:rsidP="0034761D">
      <w:pPr>
        <w:pStyle w:val="NoSpacing"/>
        <w:rPr>
          <w:rFonts w:cstheme="minorHAnsi"/>
          <w:color w:val="000000"/>
          <w:sz w:val="24"/>
          <w:szCs w:val="24"/>
        </w:rPr>
      </w:pPr>
      <w:r w:rsidRPr="0034761D">
        <w:rPr>
          <w:rFonts w:cstheme="minorHAnsi"/>
          <w:color w:val="000000"/>
          <w:sz w:val="24"/>
          <w:szCs w:val="24"/>
        </w:rPr>
        <w:t>NEBH</w:t>
      </w:r>
      <w:r w:rsidR="003042C7">
        <w:rPr>
          <w:rStyle w:val="FootnoteReference"/>
          <w:rFonts w:cstheme="minorHAnsi"/>
          <w:color w:val="000000"/>
          <w:sz w:val="24"/>
          <w:szCs w:val="24"/>
        </w:rPr>
        <w:footnoteReference w:id="3"/>
      </w:r>
      <w:r w:rsidRPr="0034761D">
        <w:rPr>
          <w:rFonts w:cstheme="minorHAnsi"/>
          <w:color w:val="000000"/>
          <w:sz w:val="24"/>
          <w:szCs w:val="24"/>
        </w:rPr>
        <w:t xml:space="preserve"> </w:t>
      </w:r>
      <w:r w:rsidR="004F6967">
        <w:rPr>
          <w:rFonts w:cstheme="minorHAnsi"/>
          <w:color w:val="000000"/>
          <w:sz w:val="24"/>
          <w:szCs w:val="24"/>
        </w:rPr>
        <w:t xml:space="preserve">currently </w:t>
      </w:r>
      <w:r w:rsidRPr="0034761D">
        <w:rPr>
          <w:rFonts w:cstheme="minorHAnsi"/>
          <w:color w:val="000000"/>
          <w:sz w:val="24"/>
          <w:szCs w:val="24"/>
        </w:rPr>
        <w:t xml:space="preserve">owns and operates the </w:t>
      </w:r>
      <w:r w:rsidR="00567D47">
        <w:rPr>
          <w:rFonts w:cstheme="minorHAnsi"/>
          <w:color w:val="000000"/>
          <w:sz w:val="24"/>
          <w:szCs w:val="24"/>
        </w:rPr>
        <w:t xml:space="preserve">HOPD, which is </w:t>
      </w:r>
      <w:r w:rsidR="00483D77">
        <w:rPr>
          <w:rFonts w:cstheme="minorHAnsi"/>
          <w:color w:val="000000"/>
          <w:sz w:val="24"/>
          <w:szCs w:val="24"/>
        </w:rPr>
        <w:t xml:space="preserve">located </w:t>
      </w:r>
      <w:r w:rsidR="00567D47">
        <w:rPr>
          <w:rFonts w:cstheme="minorHAnsi"/>
          <w:color w:val="000000"/>
          <w:sz w:val="24"/>
          <w:szCs w:val="24"/>
        </w:rPr>
        <w:t xml:space="preserve">at </w:t>
      </w:r>
      <w:r w:rsidRPr="0034761D">
        <w:rPr>
          <w:rFonts w:cstheme="minorHAnsi"/>
          <w:color w:val="000000"/>
          <w:sz w:val="24"/>
          <w:szCs w:val="24"/>
        </w:rPr>
        <w:t xml:space="preserve">the </w:t>
      </w:r>
      <w:bookmarkStart w:id="27" w:name="_Hlk115075445"/>
      <w:r w:rsidRPr="0034761D">
        <w:rPr>
          <w:rFonts w:cstheme="minorHAnsi"/>
          <w:color w:val="000000"/>
          <w:sz w:val="24"/>
          <w:szCs w:val="24"/>
        </w:rPr>
        <w:t>New England Baptist Outpatient Care Center</w:t>
      </w:r>
      <w:bookmarkEnd w:id="27"/>
      <w:r w:rsidRPr="0034761D">
        <w:rPr>
          <w:rFonts w:cstheme="minorHAnsi"/>
          <w:color w:val="000000"/>
          <w:sz w:val="24"/>
          <w:szCs w:val="24"/>
        </w:rPr>
        <w:t xml:space="preserve">. </w:t>
      </w:r>
      <w:r w:rsidR="004F6967">
        <w:rPr>
          <w:rFonts w:cstheme="minorHAnsi"/>
          <w:color w:val="000000"/>
          <w:sz w:val="24"/>
          <w:szCs w:val="24"/>
        </w:rPr>
        <w:t xml:space="preserve">The Center also offers other </w:t>
      </w:r>
      <w:r w:rsidRPr="0034761D">
        <w:rPr>
          <w:rFonts w:cstheme="minorHAnsi"/>
          <w:color w:val="000000"/>
          <w:sz w:val="24"/>
          <w:szCs w:val="24"/>
        </w:rPr>
        <w:t xml:space="preserve">services </w:t>
      </w:r>
      <w:r w:rsidR="00483D77">
        <w:rPr>
          <w:rFonts w:cstheme="minorHAnsi"/>
          <w:color w:val="000000"/>
          <w:sz w:val="24"/>
          <w:szCs w:val="24"/>
        </w:rPr>
        <w:t xml:space="preserve">separate from </w:t>
      </w:r>
      <w:r w:rsidR="004F6967">
        <w:rPr>
          <w:rFonts w:cstheme="minorHAnsi"/>
          <w:color w:val="000000"/>
          <w:sz w:val="24"/>
          <w:szCs w:val="24"/>
        </w:rPr>
        <w:t>the</w:t>
      </w:r>
      <w:r w:rsidR="00483D77">
        <w:rPr>
          <w:rFonts w:cstheme="minorHAnsi"/>
          <w:color w:val="000000"/>
          <w:sz w:val="24"/>
          <w:szCs w:val="24"/>
        </w:rPr>
        <w:t xml:space="preserve"> t</w:t>
      </w:r>
      <w:r w:rsidR="004F6967">
        <w:rPr>
          <w:rFonts w:cstheme="minorHAnsi"/>
          <w:color w:val="000000"/>
          <w:sz w:val="24"/>
          <w:szCs w:val="24"/>
        </w:rPr>
        <w:t xml:space="preserve">his </w:t>
      </w:r>
      <w:r w:rsidR="00567D47">
        <w:rPr>
          <w:rFonts w:cstheme="minorHAnsi"/>
          <w:color w:val="000000"/>
          <w:sz w:val="24"/>
          <w:szCs w:val="24"/>
        </w:rPr>
        <w:t xml:space="preserve">Proposed Project, </w:t>
      </w:r>
      <w:r w:rsidR="004F6967">
        <w:rPr>
          <w:rFonts w:cstheme="minorHAnsi"/>
          <w:color w:val="000000"/>
          <w:sz w:val="24"/>
          <w:szCs w:val="24"/>
        </w:rPr>
        <w:t xml:space="preserve">including </w:t>
      </w:r>
      <w:r w:rsidRPr="0034761D">
        <w:rPr>
          <w:rFonts w:cstheme="minorHAnsi"/>
          <w:color w:val="000000"/>
          <w:sz w:val="24"/>
          <w:szCs w:val="24"/>
        </w:rPr>
        <w:t>physician consults, hand therapy, an interdisciplinary pain management program, imaging, osteopathic manipulative medicine, outpatient rehabilitation (physical, occupational and hand therapy), the Spine Center, and sports performance.</w:t>
      </w:r>
    </w:p>
    <w:p w14:paraId="43600E89" w14:textId="77777777" w:rsidR="00B65833" w:rsidRDefault="00B65833" w:rsidP="00555638">
      <w:pPr>
        <w:pStyle w:val="NoSpacing"/>
        <w:rPr>
          <w:rFonts w:cstheme="minorHAnsi"/>
          <w:color w:val="000000"/>
          <w:sz w:val="24"/>
          <w:szCs w:val="24"/>
        </w:rPr>
      </w:pPr>
    </w:p>
    <w:p w14:paraId="74D2270A" w14:textId="0BC4F556" w:rsidR="0025134E" w:rsidRDefault="007E044C" w:rsidP="00555638">
      <w:pPr>
        <w:pStyle w:val="NoSpacing"/>
        <w:rPr>
          <w:rFonts w:cstheme="minorHAnsi"/>
          <w:color w:val="000000"/>
          <w:sz w:val="24"/>
          <w:szCs w:val="24"/>
        </w:rPr>
      </w:pPr>
      <w:r>
        <w:rPr>
          <w:rFonts w:cstheme="minorHAnsi"/>
          <w:color w:val="000000"/>
          <w:sz w:val="24"/>
          <w:szCs w:val="24"/>
        </w:rPr>
        <w:t>Surgeon Ho</w:t>
      </w:r>
      <w:r w:rsidR="00A97681">
        <w:rPr>
          <w:rFonts w:cstheme="minorHAnsi"/>
          <w:color w:val="000000"/>
          <w:sz w:val="24"/>
          <w:szCs w:val="24"/>
        </w:rPr>
        <w:t>l</w:t>
      </w:r>
      <w:r>
        <w:rPr>
          <w:rFonts w:cstheme="minorHAnsi"/>
          <w:color w:val="000000"/>
          <w:sz w:val="24"/>
          <w:szCs w:val="24"/>
        </w:rPr>
        <w:t xml:space="preserve">dCo </w:t>
      </w:r>
      <w:r w:rsidR="001D68CB" w:rsidRPr="00241F83">
        <w:rPr>
          <w:rFonts w:cstheme="minorHAnsi"/>
          <w:color w:val="000000"/>
          <w:sz w:val="24"/>
          <w:szCs w:val="24"/>
        </w:rPr>
        <w:t xml:space="preserve">is composed of orthopedic surgeons who </w:t>
      </w:r>
      <w:r>
        <w:rPr>
          <w:rFonts w:cstheme="minorHAnsi"/>
          <w:color w:val="000000"/>
          <w:sz w:val="24"/>
          <w:szCs w:val="24"/>
        </w:rPr>
        <w:t xml:space="preserve">currently </w:t>
      </w:r>
      <w:r w:rsidR="0001369B">
        <w:rPr>
          <w:rFonts w:cstheme="minorHAnsi"/>
          <w:color w:val="000000"/>
          <w:sz w:val="24"/>
          <w:szCs w:val="24"/>
        </w:rPr>
        <w:t xml:space="preserve">perform surgeries at </w:t>
      </w:r>
      <w:r>
        <w:rPr>
          <w:rFonts w:cstheme="minorHAnsi"/>
          <w:color w:val="000000"/>
          <w:sz w:val="24"/>
          <w:szCs w:val="24"/>
        </w:rPr>
        <w:t xml:space="preserve">the </w:t>
      </w:r>
      <w:r w:rsidR="0034761D">
        <w:rPr>
          <w:rFonts w:cstheme="minorHAnsi"/>
          <w:color w:val="000000"/>
          <w:sz w:val="24"/>
          <w:szCs w:val="24"/>
        </w:rPr>
        <w:t xml:space="preserve">existing </w:t>
      </w:r>
      <w:r w:rsidR="00483D77">
        <w:rPr>
          <w:rFonts w:cstheme="minorHAnsi"/>
          <w:color w:val="000000"/>
          <w:sz w:val="24"/>
          <w:szCs w:val="24"/>
        </w:rPr>
        <w:t>HOPD</w:t>
      </w:r>
      <w:r>
        <w:rPr>
          <w:rFonts w:cstheme="minorHAnsi"/>
          <w:color w:val="000000"/>
          <w:sz w:val="24"/>
          <w:szCs w:val="24"/>
        </w:rPr>
        <w:t xml:space="preserve">, </w:t>
      </w:r>
      <w:r w:rsidR="0001369B">
        <w:rPr>
          <w:rFonts w:cstheme="minorHAnsi"/>
          <w:color w:val="000000"/>
          <w:sz w:val="24"/>
          <w:szCs w:val="24"/>
        </w:rPr>
        <w:t xml:space="preserve">and who </w:t>
      </w:r>
      <w:r w:rsidR="008631D9">
        <w:rPr>
          <w:rFonts w:cstheme="minorHAnsi"/>
          <w:color w:val="000000"/>
          <w:sz w:val="24"/>
          <w:szCs w:val="24"/>
        </w:rPr>
        <w:t>will</w:t>
      </w:r>
      <w:r w:rsidR="001D68CB" w:rsidRPr="00241F83">
        <w:rPr>
          <w:rFonts w:cstheme="minorHAnsi"/>
          <w:color w:val="000000"/>
          <w:sz w:val="24"/>
          <w:szCs w:val="24"/>
        </w:rPr>
        <w:t xml:space="preserve"> </w:t>
      </w:r>
      <w:r w:rsidR="008631D9">
        <w:rPr>
          <w:rFonts w:cstheme="minorHAnsi"/>
          <w:color w:val="000000"/>
          <w:sz w:val="24"/>
          <w:szCs w:val="24"/>
        </w:rPr>
        <w:t xml:space="preserve">continue to </w:t>
      </w:r>
      <w:r w:rsidR="001D68CB" w:rsidRPr="00241F83">
        <w:rPr>
          <w:rFonts w:cstheme="minorHAnsi"/>
          <w:color w:val="000000"/>
          <w:sz w:val="24"/>
          <w:szCs w:val="24"/>
        </w:rPr>
        <w:t>perfor</w:t>
      </w:r>
      <w:r w:rsidR="001D68CB" w:rsidRPr="00BD5D6D">
        <w:rPr>
          <w:rFonts w:cstheme="minorHAnsi"/>
          <w:color w:val="000000"/>
          <w:sz w:val="24"/>
          <w:szCs w:val="24"/>
        </w:rPr>
        <w:t xml:space="preserve">m surgeries </w:t>
      </w:r>
      <w:r w:rsidR="0034761D">
        <w:rPr>
          <w:rFonts w:cstheme="minorHAnsi"/>
          <w:color w:val="000000"/>
          <w:sz w:val="24"/>
          <w:szCs w:val="24"/>
        </w:rPr>
        <w:t>there under the new</w:t>
      </w:r>
      <w:r w:rsidR="001D68CB" w:rsidRPr="00BD5D6D">
        <w:rPr>
          <w:rFonts w:cstheme="minorHAnsi"/>
          <w:color w:val="000000"/>
          <w:sz w:val="24"/>
          <w:szCs w:val="24"/>
        </w:rPr>
        <w:t xml:space="preserve"> </w:t>
      </w:r>
      <w:r>
        <w:rPr>
          <w:rFonts w:cstheme="minorHAnsi"/>
          <w:color w:val="000000"/>
          <w:sz w:val="24"/>
          <w:szCs w:val="24"/>
        </w:rPr>
        <w:t>NEBSC.</w:t>
      </w:r>
      <w:r w:rsidR="000B7985">
        <w:rPr>
          <w:rFonts w:cstheme="minorHAnsi"/>
          <w:color w:val="000000"/>
          <w:sz w:val="24"/>
          <w:szCs w:val="24"/>
        </w:rPr>
        <w:t xml:space="preserve"> The </w:t>
      </w:r>
      <w:r w:rsidR="000B7985" w:rsidRPr="000B7985">
        <w:rPr>
          <w:rFonts w:cstheme="minorHAnsi"/>
          <w:color w:val="000000"/>
          <w:sz w:val="24"/>
          <w:szCs w:val="24"/>
        </w:rPr>
        <w:t xml:space="preserve">surgeon partners represent a variety of </w:t>
      </w:r>
      <w:r w:rsidR="000B7985">
        <w:rPr>
          <w:rFonts w:cstheme="minorHAnsi"/>
          <w:color w:val="000000"/>
          <w:sz w:val="24"/>
          <w:szCs w:val="24"/>
        </w:rPr>
        <w:t xml:space="preserve">orthopedic </w:t>
      </w:r>
      <w:r w:rsidR="000B7985" w:rsidRPr="000B7985">
        <w:rPr>
          <w:rFonts w:cstheme="minorHAnsi"/>
          <w:color w:val="000000"/>
          <w:sz w:val="24"/>
          <w:szCs w:val="24"/>
        </w:rPr>
        <w:t xml:space="preserve">sub-specialties, including: </w:t>
      </w:r>
      <w:r w:rsidR="0034761D">
        <w:rPr>
          <w:rFonts w:cstheme="minorHAnsi"/>
          <w:color w:val="000000"/>
          <w:sz w:val="24"/>
          <w:szCs w:val="24"/>
        </w:rPr>
        <w:t>Total Joint Replacements (</w:t>
      </w:r>
      <w:r w:rsidR="00BD5643">
        <w:rPr>
          <w:rFonts w:cstheme="minorHAnsi"/>
          <w:color w:val="000000"/>
          <w:sz w:val="24"/>
          <w:szCs w:val="24"/>
        </w:rPr>
        <w:t xml:space="preserve">TJR, </w:t>
      </w:r>
      <w:r w:rsidR="000B7985" w:rsidRPr="000B7985">
        <w:rPr>
          <w:rFonts w:cstheme="minorHAnsi"/>
          <w:color w:val="000000"/>
          <w:sz w:val="24"/>
          <w:szCs w:val="24"/>
        </w:rPr>
        <w:t>arthroplasty), hip preservation, and the Sports Medicine subspecialties of foot and ankle, hand, and general sports surgery</w:t>
      </w:r>
      <w:r w:rsidR="000B7985">
        <w:rPr>
          <w:rFonts w:cstheme="minorHAnsi"/>
          <w:color w:val="000000"/>
          <w:sz w:val="24"/>
          <w:szCs w:val="24"/>
        </w:rPr>
        <w:t>.</w:t>
      </w:r>
      <w:r w:rsidR="00D93285" w:rsidRPr="00D93285">
        <w:rPr>
          <w:rFonts w:cstheme="minorHAnsi"/>
          <w:color w:val="000000"/>
          <w:sz w:val="24"/>
          <w:szCs w:val="24"/>
        </w:rPr>
        <w:t xml:space="preserve"> </w:t>
      </w:r>
      <w:r w:rsidR="00D93285" w:rsidRPr="004557E2">
        <w:rPr>
          <w:rFonts w:cstheme="minorHAnsi"/>
          <w:color w:val="000000"/>
          <w:sz w:val="24"/>
          <w:szCs w:val="24"/>
        </w:rPr>
        <w:t xml:space="preserve">As of </w:t>
      </w:r>
      <w:r w:rsidR="0034761D" w:rsidRPr="004557E2">
        <w:rPr>
          <w:rFonts w:cstheme="minorHAnsi"/>
          <w:color w:val="000000"/>
          <w:sz w:val="24"/>
          <w:szCs w:val="24"/>
        </w:rPr>
        <w:t>July</w:t>
      </w:r>
      <w:r w:rsidR="00D93285" w:rsidRPr="00D93285">
        <w:rPr>
          <w:rFonts w:cstheme="minorHAnsi"/>
          <w:color w:val="000000"/>
          <w:sz w:val="24"/>
          <w:szCs w:val="24"/>
        </w:rPr>
        <w:t xml:space="preserve"> </w:t>
      </w:r>
      <w:r w:rsidR="00D93285">
        <w:rPr>
          <w:rFonts w:cstheme="minorHAnsi"/>
          <w:color w:val="000000"/>
          <w:sz w:val="24"/>
          <w:szCs w:val="24"/>
        </w:rPr>
        <w:t xml:space="preserve">2022, </w:t>
      </w:r>
      <w:r w:rsidR="00D93285" w:rsidRPr="00D93285">
        <w:rPr>
          <w:rFonts w:cstheme="minorHAnsi"/>
          <w:color w:val="000000"/>
          <w:sz w:val="24"/>
          <w:szCs w:val="24"/>
        </w:rPr>
        <w:t xml:space="preserve">membership of Surgeon Holdco </w:t>
      </w:r>
      <w:r w:rsidR="00BD5643">
        <w:rPr>
          <w:rFonts w:cstheme="minorHAnsi"/>
          <w:color w:val="000000"/>
          <w:sz w:val="24"/>
          <w:szCs w:val="24"/>
        </w:rPr>
        <w:t>was</w:t>
      </w:r>
      <w:r w:rsidR="00D93285" w:rsidRPr="00D93285">
        <w:rPr>
          <w:rFonts w:cstheme="minorHAnsi"/>
          <w:color w:val="000000"/>
          <w:sz w:val="24"/>
          <w:szCs w:val="24"/>
        </w:rPr>
        <w:t xml:space="preserve"> not closed.</w:t>
      </w:r>
    </w:p>
    <w:p w14:paraId="0B81AEAC" w14:textId="77777777" w:rsidR="0025134E" w:rsidRDefault="0025134E" w:rsidP="00555638">
      <w:pPr>
        <w:pStyle w:val="NoSpacing"/>
        <w:rPr>
          <w:rFonts w:cstheme="minorHAnsi"/>
          <w:color w:val="000000"/>
          <w:sz w:val="24"/>
          <w:szCs w:val="24"/>
        </w:rPr>
      </w:pPr>
    </w:p>
    <w:p w14:paraId="46D3663C" w14:textId="44C46BD6" w:rsidR="0025134E" w:rsidRDefault="00E145BD" w:rsidP="00E05D88">
      <w:pPr>
        <w:pStyle w:val="NoSpacing"/>
        <w:rPr>
          <w:rFonts w:cstheme="minorHAnsi"/>
          <w:b/>
          <w:bCs/>
          <w:color w:val="000000"/>
          <w:sz w:val="24"/>
          <w:szCs w:val="24"/>
        </w:rPr>
      </w:pPr>
      <w:r w:rsidRPr="00E145BD">
        <w:rPr>
          <w:rFonts w:cstheme="minorHAnsi"/>
          <w:color w:val="000000"/>
          <w:sz w:val="24"/>
          <w:szCs w:val="24"/>
        </w:rPr>
        <w:t xml:space="preserve"> </w:t>
      </w:r>
      <w:r w:rsidRPr="00E145BD">
        <w:rPr>
          <w:rFonts w:cstheme="minorHAnsi"/>
          <w:b/>
          <w:bCs/>
          <w:color w:val="000000"/>
          <w:sz w:val="24"/>
          <w:szCs w:val="24"/>
        </w:rPr>
        <w:t xml:space="preserve">The </w:t>
      </w:r>
      <w:r w:rsidR="00B044A8">
        <w:rPr>
          <w:rFonts w:cstheme="minorHAnsi"/>
          <w:b/>
          <w:bCs/>
          <w:color w:val="000000"/>
          <w:sz w:val="24"/>
          <w:szCs w:val="24"/>
        </w:rPr>
        <w:t>Proposed</w:t>
      </w:r>
      <w:r w:rsidRPr="00E145BD">
        <w:rPr>
          <w:rFonts w:cstheme="minorHAnsi"/>
          <w:b/>
          <w:bCs/>
          <w:color w:val="000000"/>
          <w:sz w:val="24"/>
          <w:szCs w:val="24"/>
        </w:rPr>
        <w:t xml:space="preserve"> Project</w:t>
      </w:r>
    </w:p>
    <w:p w14:paraId="316BA49E" w14:textId="4A9ECB61" w:rsidR="001A67ED" w:rsidRDefault="001A67ED" w:rsidP="00E05D88">
      <w:pPr>
        <w:pStyle w:val="NoSpacing"/>
        <w:rPr>
          <w:rFonts w:cstheme="minorHAnsi"/>
          <w:b/>
          <w:bCs/>
          <w:color w:val="000000"/>
          <w:sz w:val="24"/>
          <w:szCs w:val="24"/>
        </w:rPr>
      </w:pPr>
    </w:p>
    <w:p w14:paraId="0555E0D4" w14:textId="2FA08914" w:rsidR="001A67ED" w:rsidRDefault="00F0135F" w:rsidP="00E05D88">
      <w:pPr>
        <w:pStyle w:val="NoSpacing"/>
        <w:rPr>
          <w:rFonts w:cstheme="minorHAnsi"/>
          <w:color w:val="000000"/>
          <w:sz w:val="24"/>
          <w:szCs w:val="24"/>
        </w:rPr>
      </w:pPr>
      <w:r>
        <w:rPr>
          <w:rFonts w:cstheme="minorHAnsi"/>
          <w:color w:val="000000"/>
          <w:sz w:val="24"/>
          <w:szCs w:val="24"/>
        </w:rPr>
        <w:t xml:space="preserve">This Proposed Project </w:t>
      </w:r>
      <w:r w:rsidR="00567D47">
        <w:rPr>
          <w:rFonts w:cstheme="minorHAnsi"/>
          <w:color w:val="000000"/>
          <w:sz w:val="24"/>
          <w:szCs w:val="24"/>
        </w:rPr>
        <w:t xml:space="preserve">is to convert an existing HOPD </w:t>
      </w:r>
      <w:r w:rsidR="00D11708">
        <w:rPr>
          <w:rFonts w:cstheme="minorHAnsi"/>
          <w:color w:val="000000"/>
          <w:sz w:val="24"/>
          <w:szCs w:val="24"/>
        </w:rPr>
        <w:t>into a Freestanding ASC. S</w:t>
      </w:r>
      <w:r w:rsidR="00D11708" w:rsidRPr="00D11708">
        <w:rPr>
          <w:rFonts w:cstheme="minorHAnsi"/>
          <w:color w:val="000000"/>
          <w:sz w:val="24"/>
          <w:szCs w:val="24"/>
        </w:rPr>
        <w:t xml:space="preserve">ince the existing surgical site will no longer be licensed as a </w:t>
      </w:r>
      <w:r w:rsidR="00D11708">
        <w:rPr>
          <w:rFonts w:cstheme="minorHAnsi"/>
          <w:color w:val="000000"/>
          <w:sz w:val="24"/>
          <w:szCs w:val="24"/>
        </w:rPr>
        <w:t>HOPD</w:t>
      </w:r>
      <w:r w:rsidR="00D11708" w:rsidRPr="00D11708">
        <w:rPr>
          <w:rFonts w:cstheme="minorHAnsi"/>
          <w:color w:val="000000"/>
          <w:sz w:val="24"/>
          <w:szCs w:val="24"/>
        </w:rPr>
        <w:t xml:space="preserve">, but rather as a </w:t>
      </w:r>
      <w:r w:rsidR="003042C7">
        <w:rPr>
          <w:rFonts w:cstheme="minorHAnsi"/>
          <w:color w:val="000000"/>
          <w:sz w:val="24"/>
          <w:szCs w:val="24"/>
        </w:rPr>
        <w:t xml:space="preserve">separate entity, a </w:t>
      </w:r>
      <w:r w:rsidR="00D11708" w:rsidRPr="00D11708">
        <w:rPr>
          <w:rFonts w:cstheme="minorHAnsi"/>
          <w:color w:val="000000"/>
          <w:sz w:val="24"/>
          <w:szCs w:val="24"/>
        </w:rPr>
        <w:t>new ASC Clinic</w:t>
      </w:r>
      <w:r w:rsidR="00D11708">
        <w:rPr>
          <w:rFonts w:cstheme="minorHAnsi"/>
          <w:color w:val="000000"/>
          <w:sz w:val="24"/>
          <w:szCs w:val="24"/>
        </w:rPr>
        <w:t>,</w:t>
      </w:r>
      <w:r w:rsidR="00D11708" w:rsidRPr="00D11708">
        <w:rPr>
          <w:rFonts w:cstheme="minorHAnsi"/>
          <w:color w:val="000000"/>
          <w:sz w:val="24"/>
          <w:szCs w:val="24"/>
        </w:rPr>
        <w:t xml:space="preserve"> </w:t>
      </w:r>
      <w:r w:rsidR="00483D77">
        <w:rPr>
          <w:rFonts w:cstheme="minorHAnsi"/>
          <w:color w:val="000000"/>
          <w:sz w:val="24"/>
          <w:szCs w:val="24"/>
        </w:rPr>
        <w:t xml:space="preserve">it </w:t>
      </w:r>
      <w:r w:rsidRPr="00F0135F">
        <w:rPr>
          <w:rFonts w:cstheme="minorHAnsi"/>
          <w:color w:val="000000"/>
          <w:sz w:val="24"/>
          <w:szCs w:val="24"/>
        </w:rPr>
        <w:t>mu</w:t>
      </w:r>
      <w:r w:rsidR="00D11708">
        <w:rPr>
          <w:rFonts w:cstheme="minorHAnsi"/>
          <w:color w:val="000000"/>
          <w:sz w:val="24"/>
          <w:szCs w:val="24"/>
        </w:rPr>
        <w:t>s</w:t>
      </w:r>
      <w:r w:rsidRPr="00F0135F">
        <w:rPr>
          <w:rFonts w:cstheme="minorHAnsi"/>
          <w:color w:val="000000"/>
          <w:sz w:val="24"/>
          <w:szCs w:val="24"/>
        </w:rPr>
        <w:t>t be reviewed under Substantial Change in Service (105 CMR 100.715)</w:t>
      </w:r>
      <w:r w:rsidR="00483D77">
        <w:rPr>
          <w:rFonts w:cstheme="minorHAnsi"/>
          <w:color w:val="000000"/>
          <w:sz w:val="24"/>
          <w:szCs w:val="24"/>
        </w:rPr>
        <w:t>;</w:t>
      </w:r>
      <w:r w:rsidR="00483D77" w:rsidRPr="00483D77">
        <w:rPr>
          <w:rFonts w:cstheme="minorHAnsi"/>
          <w:color w:val="000000"/>
          <w:sz w:val="24"/>
          <w:szCs w:val="24"/>
        </w:rPr>
        <w:t xml:space="preserve"> it cannot be reviewed by DoN as a Transfer of Ownership (105 CMR 100.735)</w:t>
      </w:r>
      <w:r w:rsidR="000E7AEB">
        <w:rPr>
          <w:rFonts w:cstheme="minorHAnsi"/>
          <w:color w:val="000000"/>
          <w:sz w:val="24"/>
          <w:szCs w:val="24"/>
        </w:rPr>
        <w:t>.</w:t>
      </w:r>
    </w:p>
    <w:p w14:paraId="66804543" w14:textId="77777777" w:rsidR="00F0135F" w:rsidRPr="00E145BD" w:rsidRDefault="00F0135F" w:rsidP="00E05D88">
      <w:pPr>
        <w:pStyle w:val="NoSpacing"/>
        <w:rPr>
          <w:rFonts w:cstheme="minorHAnsi"/>
          <w:b/>
          <w:bCs/>
          <w:color w:val="000000"/>
          <w:sz w:val="24"/>
          <w:szCs w:val="24"/>
        </w:rPr>
      </w:pPr>
    </w:p>
    <w:p w14:paraId="1A0156C9" w14:textId="2249F495" w:rsidR="003042C7" w:rsidRPr="003042C7" w:rsidRDefault="00D11708" w:rsidP="003042C7">
      <w:pPr>
        <w:pStyle w:val="NoSpacing"/>
        <w:rPr>
          <w:rFonts w:cstheme="minorHAnsi"/>
          <w:color w:val="000000"/>
          <w:sz w:val="24"/>
          <w:szCs w:val="24"/>
        </w:rPr>
      </w:pPr>
      <w:r>
        <w:rPr>
          <w:rFonts w:cstheme="minorHAnsi"/>
          <w:color w:val="000000"/>
          <w:sz w:val="24"/>
          <w:szCs w:val="24"/>
        </w:rPr>
        <w:t>T</w:t>
      </w:r>
      <w:r w:rsidR="00E145BD">
        <w:rPr>
          <w:rFonts w:cstheme="minorHAnsi"/>
          <w:color w:val="000000"/>
          <w:sz w:val="24"/>
          <w:szCs w:val="24"/>
        </w:rPr>
        <w:t xml:space="preserve">he site </w:t>
      </w:r>
      <w:r w:rsidR="008508D9">
        <w:rPr>
          <w:rFonts w:cstheme="minorHAnsi"/>
          <w:color w:val="000000"/>
          <w:sz w:val="24"/>
          <w:szCs w:val="24"/>
        </w:rPr>
        <w:t>of this Proposed Project is</w:t>
      </w:r>
      <w:r w:rsidR="00E05D88" w:rsidRPr="00E05D88">
        <w:rPr>
          <w:rFonts w:cstheme="minorHAnsi"/>
          <w:color w:val="000000"/>
          <w:sz w:val="24"/>
          <w:szCs w:val="24"/>
        </w:rPr>
        <w:t xml:space="preserve"> </w:t>
      </w:r>
      <w:r w:rsidR="001C5416" w:rsidRPr="001C5416">
        <w:rPr>
          <w:rFonts w:cstheme="minorHAnsi"/>
          <w:color w:val="000000"/>
          <w:sz w:val="24"/>
          <w:szCs w:val="24"/>
        </w:rPr>
        <w:t xml:space="preserve">approximately 33,000 gross square feet </w:t>
      </w:r>
      <w:r w:rsidR="00E145BD">
        <w:rPr>
          <w:rFonts w:cstheme="minorHAnsi"/>
          <w:color w:val="000000"/>
          <w:sz w:val="24"/>
          <w:szCs w:val="24"/>
        </w:rPr>
        <w:t>co</w:t>
      </w:r>
      <w:r w:rsidR="008D18BB">
        <w:rPr>
          <w:rFonts w:cstheme="minorHAnsi"/>
          <w:color w:val="000000"/>
          <w:sz w:val="24"/>
          <w:szCs w:val="24"/>
        </w:rPr>
        <w:t>m</w:t>
      </w:r>
      <w:r w:rsidR="00E145BD">
        <w:rPr>
          <w:rFonts w:cstheme="minorHAnsi"/>
          <w:color w:val="000000"/>
          <w:sz w:val="24"/>
          <w:szCs w:val="24"/>
        </w:rPr>
        <w:t>prised</w:t>
      </w:r>
      <w:r w:rsidR="00E05D88" w:rsidRPr="00E05D88">
        <w:rPr>
          <w:rFonts w:cstheme="minorHAnsi"/>
          <w:color w:val="000000"/>
          <w:sz w:val="24"/>
          <w:szCs w:val="24"/>
        </w:rPr>
        <w:t xml:space="preserve"> of 8 operating suites, pre­operative and post-op/recovery areas, 2 procedure rooms located within the pre-op PACU suite, administrative offices, and a patient lobby and waiting area</w:t>
      </w:r>
      <w:r w:rsidR="001C5416">
        <w:rPr>
          <w:rFonts w:cstheme="minorHAnsi"/>
          <w:color w:val="000000"/>
          <w:sz w:val="24"/>
          <w:szCs w:val="24"/>
        </w:rPr>
        <w:t>.</w:t>
      </w:r>
      <w:r w:rsidR="000E7AEB">
        <w:rPr>
          <w:rStyle w:val="FootnoteReference"/>
          <w:rFonts w:cstheme="minorHAnsi"/>
          <w:color w:val="000000"/>
          <w:sz w:val="24"/>
          <w:szCs w:val="24"/>
        </w:rPr>
        <w:footnoteReference w:id="4"/>
      </w:r>
      <w:r w:rsidR="001C5416">
        <w:rPr>
          <w:rFonts w:cstheme="minorHAnsi"/>
          <w:color w:val="000000"/>
          <w:sz w:val="24"/>
          <w:szCs w:val="24"/>
        </w:rPr>
        <w:t xml:space="preserve"> T</w:t>
      </w:r>
      <w:r w:rsidR="00E05D88" w:rsidRPr="00E05D88">
        <w:rPr>
          <w:rFonts w:cstheme="minorHAnsi"/>
          <w:color w:val="000000"/>
          <w:sz w:val="24"/>
          <w:szCs w:val="24"/>
        </w:rPr>
        <w:t>here will be no change in the number of operating suites or procedure rooms</w:t>
      </w:r>
      <w:r w:rsidR="00E05D88">
        <w:rPr>
          <w:rFonts w:cstheme="minorHAnsi"/>
          <w:color w:val="000000"/>
          <w:sz w:val="24"/>
          <w:szCs w:val="24"/>
        </w:rPr>
        <w:t>, and NEBSC will continue so specialize in orthopedic surgery.</w:t>
      </w:r>
      <w:r>
        <w:rPr>
          <w:rFonts w:cstheme="minorHAnsi"/>
          <w:color w:val="000000"/>
          <w:sz w:val="24"/>
          <w:szCs w:val="24"/>
        </w:rPr>
        <w:t xml:space="preserve"> </w:t>
      </w:r>
      <w:r w:rsidR="003042C7" w:rsidRPr="003042C7">
        <w:rPr>
          <w:rFonts w:cstheme="minorHAnsi"/>
          <w:color w:val="000000"/>
          <w:sz w:val="24"/>
          <w:szCs w:val="24"/>
        </w:rPr>
        <w:t>While there is no substantial construction</w:t>
      </w:r>
      <w:r w:rsidR="003042C7" w:rsidRPr="003042C7">
        <w:rPr>
          <w:rFonts w:cstheme="minorHAnsi"/>
          <w:color w:val="000000"/>
          <w:sz w:val="24"/>
          <w:szCs w:val="24"/>
          <w:vertAlign w:val="superscript"/>
        </w:rPr>
        <w:footnoteReference w:id="5"/>
      </w:r>
      <w:r w:rsidR="003042C7" w:rsidRPr="003042C7">
        <w:rPr>
          <w:rFonts w:cstheme="minorHAnsi"/>
          <w:color w:val="000000"/>
          <w:sz w:val="24"/>
          <w:szCs w:val="24"/>
        </w:rPr>
        <w:t xml:space="preserve"> for the Proposed Project, the total value of the project of $26,273,899 is based on the market rate for transferring ownership of the space from NEBH to NEBSC.</w:t>
      </w:r>
    </w:p>
    <w:p w14:paraId="611B9354" w14:textId="406B2CE5" w:rsidR="00E05D88" w:rsidRPr="00E05D88" w:rsidRDefault="00E05D88" w:rsidP="00E05D88">
      <w:pPr>
        <w:pStyle w:val="NoSpacing"/>
        <w:rPr>
          <w:rFonts w:cstheme="minorHAnsi"/>
          <w:color w:val="000000"/>
          <w:sz w:val="24"/>
          <w:szCs w:val="24"/>
        </w:rPr>
      </w:pPr>
    </w:p>
    <w:p w14:paraId="310EC094" w14:textId="24B00A4B" w:rsidR="000B7985" w:rsidRDefault="00555638" w:rsidP="000B7985">
      <w:pPr>
        <w:pStyle w:val="NoSpacing"/>
        <w:rPr>
          <w:sz w:val="24"/>
          <w:szCs w:val="24"/>
        </w:rPr>
      </w:pPr>
      <w:r w:rsidRPr="00D4346E">
        <w:rPr>
          <w:sz w:val="24"/>
          <w:szCs w:val="24"/>
        </w:rPr>
        <w:t>The Applicant states</w:t>
      </w:r>
      <w:r w:rsidR="008631D9" w:rsidRPr="008631D9">
        <w:rPr>
          <w:sz w:val="24"/>
          <w:szCs w:val="24"/>
        </w:rPr>
        <w:t xml:space="preserve">, </w:t>
      </w:r>
      <w:r w:rsidR="00D11708">
        <w:rPr>
          <w:sz w:val="24"/>
          <w:szCs w:val="24"/>
        </w:rPr>
        <w:t xml:space="preserve">while responding to market forces, </w:t>
      </w:r>
      <w:r w:rsidR="008631D9" w:rsidRPr="008631D9">
        <w:rPr>
          <w:sz w:val="24"/>
          <w:szCs w:val="24"/>
        </w:rPr>
        <w:t xml:space="preserve">the Proposed Project will serve existing and new patients in the service area </w:t>
      </w:r>
      <w:r w:rsidR="008631D9">
        <w:rPr>
          <w:sz w:val="24"/>
          <w:szCs w:val="24"/>
        </w:rPr>
        <w:t xml:space="preserve">more </w:t>
      </w:r>
      <w:r w:rsidR="008631D9" w:rsidRPr="008631D9">
        <w:rPr>
          <w:sz w:val="24"/>
          <w:szCs w:val="24"/>
        </w:rPr>
        <w:t xml:space="preserve">efficiently, cost effectively and with </w:t>
      </w:r>
      <w:r w:rsidR="008631D9">
        <w:rPr>
          <w:sz w:val="24"/>
          <w:szCs w:val="24"/>
        </w:rPr>
        <w:t xml:space="preserve">the same </w:t>
      </w:r>
      <w:r w:rsidR="008631D9" w:rsidRPr="008631D9">
        <w:rPr>
          <w:sz w:val="24"/>
          <w:szCs w:val="24"/>
        </w:rPr>
        <w:t>high quality</w:t>
      </w:r>
      <w:r w:rsidR="00A14206">
        <w:rPr>
          <w:sz w:val="24"/>
          <w:szCs w:val="24"/>
        </w:rPr>
        <w:t xml:space="preserve"> and outcomes</w:t>
      </w:r>
      <w:r w:rsidR="008631D9" w:rsidRPr="008631D9">
        <w:rPr>
          <w:sz w:val="24"/>
          <w:szCs w:val="24"/>
        </w:rPr>
        <w:t>.</w:t>
      </w:r>
      <w:r w:rsidR="000B7985">
        <w:rPr>
          <w:sz w:val="24"/>
          <w:szCs w:val="24"/>
        </w:rPr>
        <w:t xml:space="preserve"> </w:t>
      </w:r>
      <w:r w:rsidR="00A14206">
        <w:rPr>
          <w:sz w:val="24"/>
          <w:szCs w:val="24"/>
        </w:rPr>
        <w:t>As described further herein, t</w:t>
      </w:r>
      <w:r w:rsidR="008631D9" w:rsidRPr="008631D9">
        <w:rPr>
          <w:sz w:val="24"/>
          <w:szCs w:val="24"/>
        </w:rPr>
        <w:t>he ASC will reduce costs for patients, commercial and government payers, and for the Commonwealth</w:t>
      </w:r>
      <w:r w:rsidR="00A14206">
        <w:rPr>
          <w:sz w:val="24"/>
          <w:szCs w:val="24"/>
        </w:rPr>
        <w:t xml:space="preserve"> while </w:t>
      </w:r>
      <w:r w:rsidRPr="00D4346E">
        <w:rPr>
          <w:sz w:val="24"/>
          <w:szCs w:val="24"/>
        </w:rPr>
        <w:t>maximiz</w:t>
      </w:r>
      <w:r w:rsidR="00A14206">
        <w:rPr>
          <w:sz w:val="24"/>
          <w:szCs w:val="24"/>
        </w:rPr>
        <w:t>ing</w:t>
      </w:r>
      <w:r w:rsidRPr="00D4346E">
        <w:rPr>
          <w:sz w:val="24"/>
          <w:szCs w:val="24"/>
        </w:rPr>
        <w:t xml:space="preserve"> operational efficiencies by </w:t>
      </w:r>
      <w:r w:rsidR="00BD5D6D" w:rsidRPr="00D4346E">
        <w:rPr>
          <w:sz w:val="24"/>
          <w:szCs w:val="24"/>
        </w:rPr>
        <w:t>utilizing</w:t>
      </w:r>
      <w:r w:rsidRPr="00D4346E">
        <w:rPr>
          <w:sz w:val="24"/>
          <w:szCs w:val="24"/>
        </w:rPr>
        <w:t xml:space="preserve"> a dedicated staff and an experienced management company</w:t>
      </w:r>
      <w:r w:rsidR="008631D9">
        <w:rPr>
          <w:sz w:val="24"/>
          <w:szCs w:val="24"/>
        </w:rPr>
        <w:t xml:space="preserve">, </w:t>
      </w:r>
      <w:r w:rsidR="008631D9" w:rsidRPr="008631D9">
        <w:rPr>
          <w:sz w:val="24"/>
          <w:szCs w:val="24"/>
        </w:rPr>
        <w:t>CSA.</w:t>
      </w:r>
      <w:r w:rsidR="000B7985">
        <w:rPr>
          <w:sz w:val="24"/>
          <w:szCs w:val="24"/>
        </w:rPr>
        <w:t xml:space="preserve"> </w:t>
      </w:r>
    </w:p>
    <w:p w14:paraId="602DFEA4" w14:textId="06DD2D59" w:rsidR="00235EED" w:rsidRDefault="00235EED" w:rsidP="000B7985">
      <w:pPr>
        <w:pStyle w:val="NoSpacing"/>
        <w:rPr>
          <w:sz w:val="24"/>
          <w:szCs w:val="24"/>
        </w:rPr>
      </w:pPr>
    </w:p>
    <w:p w14:paraId="39B4E428" w14:textId="5130EF7B" w:rsidR="00C83E14" w:rsidRPr="00241F83" w:rsidRDefault="003501E4" w:rsidP="00B044A8">
      <w:pPr>
        <w:pStyle w:val="Heading1"/>
        <w:spacing w:before="0" w:line="240" w:lineRule="auto"/>
        <w:rPr>
          <w:rFonts w:asciiTheme="minorHAnsi" w:hAnsiTheme="minorHAnsi" w:cstheme="minorHAnsi"/>
        </w:rPr>
      </w:pPr>
      <w:bookmarkStart w:id="28" w:name="_Toc115776583"/>
      <w:r w:rsidRPr="00241F83">
        <w:rPr>
          <w:rFonts w:asciiTheme="minorHAnsi" w:hAnsiTheme="minorHAnsi" w:cstheme="minorHAnsi"/>
        </w:rPr>
        <w:t>P</w:t>
      </w:r>
      <w:r w:rsidR="00C83E14" w:rsidRPr="00241F83">
        <w:rPr>
          <w:rFonts w:asciiTheme="minorHAnsi" w:hAnsiTheme="minorHAnsi" w:cstheme="minorHAnsi"/>
        </w:rPr>
        <w:t>atient Panel</w:t>
      </w:r>
      <w:r w:rsidR="00C83E14" w:rsidRPr="00241F83">
        <w:rPr>
          <w:rFonts w:asciiTheme="minorHAnsi" w:hAnsiTheme="minorHAnsi" w:cstheme="minorHAnsi"/>
          <w:b w:val="0"/>
          <w:vertAlign w:val="superscript"/>
        </w:rPr>
        <w:footnoteReference w:id="6"/>
      </w:r>
      <w:bookmarkEnd w:id="21"/>
      <w:bookmarkEnd w:id="22"/>
      <w:bookmarkEnd w:id="28"/>
    </w:p>
    <w:bookmarkEnd w:id="23"/>
    <w:p w14:paraId="5D27817B" w14:textId="00F46018" w:rsidR="00601D8F" w:rsidRDefault="00E05D88" w:rsidP="00B044A8">
      <w:pPr>
        <w:spacing w:after="0" w:line="240" w:lineRule="auto"/>
        <w:rPr>
          <w:rFonts w:eastAsia="Times New Roman" w:cstheme="minorHAnsi"/>
          <w:color w:val="000000"/>
          <w:sz w:val="24"/>
          <w:szCs w:val="24"/>
        </w:rPr>
      </w:pPr>
      <w:r w:rsidRPr="00E05D88">
        <w:rPr>
          <w:rFonts w:eastAsia="Times New Roman" w:cstheme="minorHAnsi"/>
          <w:color w:val="000000"/>
          <w:sz w:val="24"/>
          <w:szCs w:val="24"/>
        </w:rPr>
        <w:t>Since the Applicant is a new</w:t>
      </w:r>
      <w:r w:rsidR="009D0258">
        <w:rPr>
          <w:rFonts w:eastAsia="Times New Roman" w:cstheme="minorHAnsi"/>
          <w:color w:val="000000"/>
          <w:sz w:val="24"/>
          <w:szCs w:val="24"/>
        </w:rPr>
        <w:t xml:space="preserve">ly formed </w:t>
      </w:r>
      <w:r w:rsidRPr="00E05D88">
        <w:rPr>
          <w:rFonts w:eastAsia="Times New Roman" w:cstheme="minorHAnsi"/>
          <w:color w:val="000000"/>
          <w:sz w:val="24"/>
          <w:szCs w:val="24"/>
        </w:rPr>
        <w:t xml:space="preserve">joint venture, it does not have its own patient panel. As such, </w:t>
      </w:r>
      <w:r w:rsidR="00270FFF" w:rsidRPr="00270FFF">
        <w:rPr>
          <w:rFonts w:eastAsia="Times New Roman" w:cstheme="minorHAnsi"/>
          <w:color w:val="000000"/>
          <w:sz w:val="24"/>
          <w:szCs w:val="24"/>
        </w:rPr>
        <w:t>the Applicant anticipates the Patient Panel for the proposed project</w:t>
      </w:r>
      <w:r w:rsidR="00270FFF">
        <w:rPr>
          <w:rFonts w:eastAsia="Times New Roman" w:cstheme="minorHAnsi"/>
          <w:color w:val="000000"/>
          <w:sz w:val="24"/>
          <w:szCs w:val="24"/>
        </w:rPr>
        <w:t xml:space="preserve"> will be that of NEBH’s </w:t>
      </w:r>
      <w:r w:rsidR="00D11708">
        <w:rPr>
          <w:rFonts w:eastAsia="Times New Roman" w:cstheme="minorHAnsi"/>
          <w:color w:val="000000"/>
          <w:sz w:val="24"/>
          <w:szCs w:val="24"/>
        </w:rPr>
        <w:t xml:space="preserve">aforementioned </w:t>
      </w:r>
      <w:r w:rsidR="00270FFF">
        <w:rPr>
          <w:rFonts w:eastAsia="Times New Roman" w:cstheme="minorHAnsi"/>
          <w:color w:val="000000"/>
          <w:sz w:val="24"/>
          <w:szCs w:val="24"/>
        </w:rPr>
        <w:t>HOPD surgery center</w:t>
      </w:r>
      <w:r w:rsidR="00DA19FA">
        <w:rPr>
          <w:rFonts w:eastAsia="Times New Roman" w:cstheme="minorHAnsi"/>
          <w:color w:val="000000"/>
          <w:sz w:val="24"/>
          <w:szCs w:val="24"/>
        </w:rPr>
        <w:t xml:space="preserve"> </w:t>
      </w:r>
      <w:r w:rsidR="00093560">
        <w:rPr>
          <w:rFonts w:eastAsia="Times New Roman" w:cstheme="minorHAnsi"/>
          <w:color w:val="000000"/>
          <w:sz w:val="24"/>
          <w:szCs w:val="24"/>
        </w:rPr>
        <w:t xml:space="preserve">in </w:t>
      </w:r>
      <w:r w:rsidR="00DA19FA">
        <w:rPr>
          <w:rFonts w:eastAsia="Times New Roman" w:cstheme="minorHAnsi"/>
          <w:color w:val="000000"/>
          <w:sz w:val="24"/>
          <w:szCs w:val="24"/>
        </w:rPr>
        <w:t>Dedham</w:t>
      </w:r>
      <w:r w:rsidR="00A14206">
        <w:rPr>
          <w:rFonts w:eastAsia="Times New Roman" w:cstheme="minorHAnsi"/>
          <w:color w:val="000000"/>
          <w:sz w:val="24"/>
          <w:szCs w:val="24"/>
        </w:rPr>
        <w:t>.</w:t>
      </w:r>
      <w:r w:rsidR="00270FFF">
        <w:rPr>
          <w:rFonts w:eastAsia="Times New Roman" w:cstheme="minorHAnsi"/>
          <w:color w:val="000000"/>
          <w:sz w:val="24"/>
          <w:szCs w:val="24"/>
        </w:rPr>
        <w:t xml:space="preserve"> </w:t>
      </w:r>
      <w:r w:rsidR="00D4075F">
        <w:rPr>
          <w:rFonts w:eastAsia="Times New Roman" w:cstheme="minorHAnsi"/>
          <w:color w:val="000000"/>
          <w:sz w:val="24"/>
          <w:szCs w:val="24"/>
        </w:rPr>
        <w:t>Table 2 shows t</w:t>
      </w:r>
      <w:r w:rsidR="00270FFF" w:rsidRPr="00270FFF">
        <w:rPr>
          <w:rFonts w:eastAsia="Times New Roman" w:cstheme="minorHAnsi"/>
          <w:color w:val="000000"/>
          <w:sz w:val="24"/>
          <w:szCs w:val="24"/>
        </w:rPr>
        <w:t xml:space="preserve">he </w:t>
      </w:r>
      <w:r w:rsidR="009E3481" w:rsidRPr="00270FFF">
        <w:rPr>
          <w:rFonts w:eastAsia="Times New Roman" w:cstheme="minorHAnsi"/>
          <w:color w:val="000000"/>
          <w:sz w:val="24"/>
          <w:szCs w:val="24"/>
        </w:rPr>
        <w:t xml:space="preserve">Patient Panel </w:t>
      </w:r>
      <w:r w:rsidR="00D4075F">
        <w:rPr>
          <w:rFonts w:eastAsia="Times New Roman" w:cstheme="minorHAnsi"/>
          <w:color w:val="000000"/>
          <w:sz w:val="24"/>
          <w:szCs w:val="24"/>
        </w:rPr>
        <w:t xml:space="preserve">demographic </w:t>
      </w:r>
      <w:r w:rsidR="00270FFF" w:rsidRPr="00270FFF">
        <w:rPr>
          <w:rFonts w:eastAsia="Times New Roman" w:cstheme="minorHAnsi"/>
          <w:color w:val="000000"/>
          <w:sz w:val="24"/>
          <w:szCs w:val="24"/>
        </w:rPr>
        <w:t>information</w:t>
      </w:r>
      <w:r w:rsidR="00215ED2">
        <w:rPr>
          <w:rFonts w:eastAsia="Times New Roman" w:cstheme="minorHAnsi"/>
          <w:color w:val="000000"/>
          <w:sz w:val="24"/>
          <w:szCs w:val="24"/>
        </w:rPr>
        <w:t xml:space="preserve"> </w:t>
      </w:r>
      <w:r w:rsidR="00093560">
        <w:rPr>
          <w:rFonts w:eastAsia="Times New Roman" w:cstheme="minorHAnsi"/>
          <w:color w:val="000000"/>
          <w:sz w:val="24"/>
          <w:szCs w:val="24"/>
        </w:rPr>
        <w:t xml:space="preserve">for </w:t>
      </w:r>
      <w:r w:rsidR="00785A99" w:rsidRPr="00785A99">
        <w:rPr>
          <w:rFonts w:eastAsia="Times New Roman" w:cstheme="minorHAnsi"/>
          <w:color w:val="000000"/>
          <w:sz w:val="24"/>
          <w:szCs w:val="24"/>
        </w:rPr>
        <w:t xml:space="preserve">unique patients </w:t>
      </w:r>
      <w:r w:rsidR="00093560">
        <w:rPr>
          <w:rFonts w:eastAsia="Times New Roman" w:cstheme="minorHAnsi"/>
          <w:color w:val="000000"/>
          <w:sz w:val="24"/>
          <w:szCs w:val="24"/>
        </w:rPr>
        <w:t xml:space="preserve">who had an orthopedic procedure </w:t>
      </w:r>
      <w:r w:rsidR="00785A99" w:rsidRPr="00785A99">
        <w:rPr>
          <w:rFonts w:eastAsia="Times New Roman" w:cstheme="minorHAnsi"/>
          <w:color w:val="000000"/>
          <w:sz w:val="24"/>
          <w:szCs w:val="24"/>
        </w:rPr>
        <w:t>over a 36-month period</w:t>
      </w:r>
      <w:r w:rsidR="00215ED2" w:rsidRPr="00215ED2">
        <w:rPr>
          <w:rFonts w:eastAsia="Times New Roman" w:cstheme="minorHAnsi"/>
          <w:color w:val="000000"/>
          <w:sz w:val="24"/>
          <w:szCs w:val="24"/>
        </w:rPr>
        <w:t xml:space="preserve"> October 2019 – September 2021</w:t>
      </w:r>
      <w:r w:rsidR="00215ED2">
        <w:rPr>
          <w:rFonts w:eastAsia="Times New Roman" w:cstheme="minorHAnsi"/>
          <w:color w:val="000000"/>
          <w:sz w:val="24"/>
          <w:szCs w:val="24"/>
        </w:rPr>
        <w:t>.</w:t>
      </w:r>
    </w:p>
    <w:p w14:paraId="3A173483" w14:textId="27465D7C" w:rsidR="004E67AF" w:rsidRDefault="004E67AF" w:rsidP="00B044A8">
      <w:pPr>
        <w:spacing w:after="0" w:line="240" w:lineRule="auto"/>
        <w:rPr>
          <w:rFonts w:eastAsia="Times New Roman" w:cstheme="minorHAnsi"/>
          <w:color w:val="000000"/>
          <w:sz w:val="24"/>
          <w:szCs w:val="24"/>
        </w:rPr>
      </w:pPr>
    </w:p>
    <w:p w14:paraId="517D1F75" w14:textId="482CBB4C" w:rsidR="004E67AF" w:rsidRDefault="004E67AF" w:rsidP="00B044A8">
      <w:pPr>
        <w:spacing w:after="0" w:line="240" w:lineRule="auto"/>
        <w:rPr>
          <w:rFonts w:eastAsia="Times New Roman" w:cstheme="minorHAnsi"/>
          <w:color w:val="000000"/>
          <w:sz w:val="24"/>
          <w:szCs w:val="24"/>
        </w:rPr>
      </w:pPr>
    </w:p>
    <w:p w14:paraId="4E1901E1" w14:textId="77777777" w:rsidR="004E67AF" w:rsidRDefault="004E67AF" w:rsidP="00B044A8">
      <w:pPr>
        <w:spacing w:after="0" w:line="240" w:lineRule="auto"/>
        <w:rPr>
          <w:rFonts w:eastAsia="Times New Roman" w:cstheme="minorHAnsi"/>
          <w:color w:val="000000"/>
          <w:sz w:val="24"/>
          <w:szCs w:val="24"/>
        </w:rPr>
      </w:pPr>
    </w:p>
    <w:p w14:paraId="15C96E68" w14:textId="6B9D5BA7" w:rsidR="00215ED2" w:rsidRDefault="00215ED2" w:rsidP="00B044A8">
      <w:pPr>
        <w:spacing w:after="0" w:line="240" w:lineRule="auto"/>
        <w:rPr>
          <w:rFonts w:eastAsia="Times New Roman" w:cstheme="minorHAnsi"/>
          <w:color w:val="000000"/>
          <w:sz w:val="24"/>
          <w:szCs w:val="24"/>
        </w:rPr>
      </w:pPr>
    </w:p>
    <w:p w14:paraId="0ED207A3" w14:textId="3DDC6935" w:rsidR="00215ED2" w:rsidRPr="00E74C38" w:rsidRDefault="00215ED2" w:rsidP="00E74C38">
      <w:pPr>
        <w:jc w:val="center"/>
        <w:rPr>
          <w:rFonts w:eastAsia="Times New Roman"/>
          <w:b/>
          <w:bCs/>
          <w:color w:val="000000" w:themeColor="text1"/>
          <w:sz w:val="24"/>
          <w:szCs w:val="24"/>
        </w:rPr>
      </w:pPr>
      <w:r w:rsidRPr="00215ED2">
        <w:rPr>
          <w:rFonts w:eastAsia="Times New Roman" w:cstheme="minorHAnsi"/>
          <w:b/>
          <w:bCs/>
          <w:color w:val="000000"/>
          <w:sz w:val="24"/>
          <w:szCs w:val="24"/>
        </w:rPr>
        <w:t xml:space="preserve">Table </w:t>
      </w:r>
      <w:r w:rsidR="00A84D19">
        <w:rPr>
          <w:rFonts w:eastAsia="Times New Roman" w:cstheme="minorHAnsi"/>
          <w:b/>
          <w:bCs/>
          <w:color w:val="000000"/>
          <w:sz w:val="24"/>
          <w:szCs w:val="24"/>
        </w:rPr>
        <w:t>2</w:t>
      </w:r>
      <w:r w:rsidR="00D4075F">
        <w:rPr>
          <w:rFonts w:eastAsia="Times New Roman" w:cstheme="minorHAnsi"/>
          <w:b/>
          <w:bCs/>
          <w:color w:val="000000"/>
          <w:sz w:val="24"/>
          <w:szCs w:val="24"/>
        </w:rPr>
        <w:t>:</w:t>
      </w:r>
      <w:r w:rsidRPr="00215ED2">
        <w:rPr>
          <w:rFonts w:eastAsia="Times New Roman" w:cstheme="minorHAnsi"/>
          <w:b/>
          <w:bCs/>
          <w:color w:val="000000"/>
          <w:sz w:val="24"/>
          <w:szCs w:val="24"/>
        </w:rPr>
        <w:t xml:space="preserve"> Patient Panel Demographics </w:t>
      </w:r>
      <w:r w:rsidR="00E74C38">
        <w:rPr>
          <w:rFonts w:eastAsia="Times New Roman"/>
          <w:b/>
          <w:bCs/>
          <w:color w:val="000000" w:themeColor="text1"/>
          <w:sz w:val="24"/>
          <w:szCs w:val="24"/>
        </w:rPr>
        <w:t>Summary</w:t>
      </w:r>
      <w:r w:rsidR="00E74C38">
        <w:rPr>
          <w:rStyle w:val="FootnoteReference"/>
          <w:rFonts w:eastAsia="Times New Roman"/>
          <w:b/>
          <w:bCs/>
          <w:color w:val="000000" w:themeColor="text1"/>
          <w:sz w:val="24"/>
          <w:szCs w:val="24"/>
        </w:rPr>
        <w:footnoteReference w:id="7"/>
      </w:r>
      <w:r w:rsidR="00E74C38">
        <w:rPr>
          <w:rFonts w:eastAsia="Times New Roman"/>
          <w:b/>
          <w:bCs/>
          <w:color w:val="000000" w:themeColor="text1"/>
          <w:sz w:val="24"/>
          <w:szCs w:val="24"/>
        </w:rPr>
        <w:t xml:space="preserve"> </w:t>
      </w:r>
      <w:r w:rsidRPr="00215ED2">
        <w:rPr>
          <w:rFonts w:eastAsia="Times New Roman" w:cstheme="minorHAnsi"/>
          <w:b/>
          <w:bCs/>
          <w:color w:val="000000"/>
          <w:sz w:val="24"/>
          <w:szCs w:val="24"/>
        </w:rPr>
        <w:t>FY19-FY21</w:t>
      </w:r>
    </w:p>
    <w:tbl>
      <w:tblPr>
        <w:tblStyle w:val="TableGrid"/>
        <w:tblW w:w="0" w:type="auto"/>
        <w:jc w:val="center"/>
        <w:tblLook w:val="04A0" w:firstRow="1" w:lastRow="0" w:firstColumn="1" w:lastColumn="0" w:noHBand="0" w:noVBand="1"/>
      </w:tblPr>
      <w:tblGrid>
        <w:gridCol w:w="3758"/>
        <w:gridCol w:w="2246"/>
        <w:gridCol w:w="984"/>
      </w:tblGrid>
      <w:tr w:rsidR="00215ED2" w:rsidRPr="00215ED2" w14:paraId="07DD2BE1" w14:textId="77777777" w:rsidTr="002B501C">
        <w:trPr>
          <w:cantSplit/>
          <w:trHeight w:val="300"/>
          <w:tblHeader/>
          <w:jc w:val="center"/>
        </w:trPr>
        <w:tc>
          <w:tcPr>
            <w:tcW w:w="3758" w:type="dxa"/>
            <w:shd w:val="clear" w:color="auto" w:fill="DDFFFF"/>
            <w:noWrap/>
            <w:vAlign w:val="center"/>
            <w:hideMark/>
          </w:tcPr>
          <w:p w14:paraId="4EB82E2F" w14:textId="3D15CC75" w:rsidR="00215ED2" w:rsidRPr="00215ED2" w:rsidRDefault="00215ED2" w:rsidP="00215ED2">
            <w:pPr>
              <w:rPr>
                <w:rFonts w:eastAsia="Times New Roman" w:cstheme="minorHAnsi"/>
                <w:b/>
                <w:bCs/>
                <w:color w:val="000000"/>
                <w:sz w:val="24"/>
                <w:szCs w:val="24"/>
              </w:rPr>
            </w:pPr>
            <w:r w:rsidRPr="00215ED2">
              <w:rPr>
                <w:rFonts w:eastAsia="Times New Roman" w:cstheme="minorHAnsi"/>
                <w:b/>
                <w:bCs/>
                <w:color w:val="000000"/>
                <w:sz w:val="24"/>
                <w:szCs w:val="24"/>
              </w:rPr>
              <w:t xml:space="preserve">Demographic </w:t>
            </w:r>
            <w:r w:rsidR="00093560">
              <w:rPr>
                <w:rFonts w:eastAsia="Times New Roman" w:cstheme="minorHAnsi"/>
                <w:b/>
                <w:bCs/>
                <w:color w:val="000000"/>
                <w:sz w:val="24"/>
                <w:szCs w:val="24"/>
              </w:rPr>
              <w:t>Characteristics</w:t>
            </w:r>
          </w:p>
        </w:tc>
        <w:tc>
          <w:tcPr>
            <w:tcW w:w="2246" w:type="dxa"/>
            <w:shd w:val="clear" w:color="auto" w:fill="DDFFFF"/>
            <w:noWrap/>
            <w:vAlign w:val="center"/>
            <w:hideMark/>
          </w:tcPr>
          <w:p w14:paraId="0AD0AFF9" w14:textId="1B7A91D1" w:rsidR="00215ED2" w:rsidRPr="00215ED2" w:rsidRDefault="00093560" w:rsidP="00215ED2">
            <w:pPr>
              <w:rPr>
                <w:rFonts w:eastAsia="Times New Roman" w:cstheme="minorHAnsi"/>
                <w:b/>
                <w:color w:val="000000"/>
                <w:sz w:val="24"/>
                <w:szCs w:val="24"/>
              </w:rPr>
            </w:pPr>
            <w:r>
              <w:rPr>
                <w:rFonts w:eastAsia="Times New Roman" w:cstheme="minorHAnsi"/>
                <w:b/>
                <w:color w:val="000000"/>
                <w:sz w:val="24"/>
                <w:szCs w:val="24"/>
              </w:rPr>
              <w:t>Unique Patients</w:t>
            </w:r>
          </w:p>
        </w:tc>
        <w:tc>
          <w:tcPr>
            <w:tcW w:w="984" w:type="dxa"/>
            <w:shd w:val="clear" w:color="auto" w:fill="DDFFFF"/>
            <w:noWrap/>
            <w:vAlign w:val="center"/>
            <w:hideMark/>
          </w:tcPr>
          <w:p w14:paraId="02FB9058" w14:textId="77777777" w:rsidR="00215ED2" w:rsidRPr="00215ED2" w:rsidRDefault="00215ED2" w:rsidP="00215ED2">
            <w:pPr>
              <w:rPr>
                <w:rFonts w:eastAsia="Times New Roman" w:cstheme="minorHAnsi"/>
                <w:b/>
                <w:color w:val="000000"/>
                <w:sz w:val="24"/>
                <w:szCs w:val="24"/>
              </w:rPr>
            </w:pPr>
            <w:r w:rsidRPr="00215ED2">
              <w:rPr>
                <w:rFonts w:eastAsia="Times New Roman" w:cstheme="minorHAnsi"/>
                <w:b/>
                <w:color w:val="000000"/>
                <w:sz w:val="24"/>
                <w:szCs w:val="24"/>
              </w:rPr>
              <w:t>Percent</w:t>
            </w:r>
          </w:p>
        </w:tc>
      </w:tr>
      <w:tr w:rsidR="00215ED2" w:rsidRPr="00215ED2" w14:paraId="76104FE4" w14:textId="77777777" w:rsidTr="002B501C">
        <w:trPr>
          <w:cantSplit/>
          <w:trHeight w:val="300"/>
          <w:jc w:val="center"/>
        </w:trPr>
        <w:tc>
          <w:tcPr>
            <w:tcW w:w="3758" w:type="dxa"/>
            <w:noWrap/>
            <w:vAlign w:val="center"/>
            <w:hideMark/>
          </w:tcPr>
          <w:p w14:paraId="4AE91B26" w14:textId="77777777" w:rsidR="00215ED2" w:rsidRPr="00215ED2" w:rsidRDefault="00215ED2" w:rsidP="00215ED2">
            <w:pPr>
              <w:rPr>
                <w:rFonts w:eastAsia="Times New Roman" w:cstheme="minorHAnsi"/>
                <w:b/>
                <w:bCs/>
                <w:color w:val="000000"/>
                <w:sz w:val="24"/>
                <w:szCs w:val="24"/>
              </w:rPr>
            </w:pPr>
            <w:r w:rsidRPr="00215ED2">
              <w:rPr>
                <w:rFonts w:eastAsia="Times New Roman" w:cstheme="minorHAnsi"/>
                <w:b/>
                <w:bCs/>
                <w:color w:val="000000"/>
                <w:sz w:val="24"/>
                <w:szCs w:val="24"/>
              </w:rPr>
              <w:t>Gender</w:t>
            </w:r>
          </w:p>
        </w:tc>
        <w:tc>
          <w:tcPr>
            <w:tcW w:w="2246" w:type="dxa"/>
            <w:noWrap/>
            <w:vAlign w:val="center"/>
            <w:hideMark/>
          </w:tcPr>
          <w:p w14:paraId="6BC36B6A" w14:textId="77777777" w:rsidR="00215ED2" w:rsidRPr="00215ED2" w:rsidRDefault="00215ED2" w:rsidP="00215ED2">
            <w:pPr>
              <w:rPr>
                <w:rFonts w:eastAsia="Times New Roman" w:cstheme="minorHAnsi"/>
                <w:b/>
                <w:bCs/>
                <w:color w:val="000000"/>
                <w:sz w:val="24"/>
                <w:szCs w:val="24"/>
              </w:rPr>
            </w:pPr>
          </w:p>
        </w:tc>
        <w:tc>
          <w:tcPr>
            <w:tcW w:w="984" w:type="dxa"/>
            <w:noWrap/>
            <w:vAlign w:val="center"/>
            <w:hideMark/>
          </w:tcPr>
          <w:p w14:paraId="42FCC4A2" w14:textId="77777777" w:rsidR="00215ED2" w:rsidRPr="00215ED2" w:rsidRDefault="00215ED2" w:rsidP="00215ED2">
            <w:pPr>
              <w:rPr>
                <w:rFonts w:eastAsia="Times New Roman" w:cstheme="minorHAnsi"/>
                <w:color w:val="000000"/>
                <w:sz w:val="24"/>
                <w:szCs w:val="24"/>
              </w:rPr>
            </w:pPr>
          </w:p>
        </w:tc>
      </w:tr>
      <w:tr w:rsidR="00215ED2" w:rsidRPr="00215ED2" w14:paraId="50B6863D" w14:textId="77777777" w:rsidTr="002B501C">
        <w:trPr>
          <w:cantSplit/>
          <w:trHeight w:val="300"/>
          <w:jc w:val="center"/>
        </w:trPr>
        <w:tc>
          <w:tcPr>
            <w:tcW w:w="3758" w:type="dxa"/>
            <w:tcBorders>
              <w:bottom w:val="single" w:sz="4" w:space="0" w:color="auto"/>
            </w:tcBorders>
            <w:noWrap/>
            <w:vAlign w:val="center"/>
            <w:hideMark/>
          </w:tcPr>
          <w:p w14:paraId="6AD5E43F"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Male</w:t>
            </w:r>
          </w:p>
        </w:tc>
        <w:tc>
          <w:tcPr>
            <w:tcW w:w="2246" w:type="dxa"/>
            <w:tcBorders>
              <w:bottom w:val="single" w:sz="4" w:space="0" w:color="auto"/>
            </w:tcBorders>
            <w:noWrap/>
            <w:vAlign w:val="center"/>
            <w:hideMark/>
          </w:tcPr>
          <w:p w14:paraId="2AA23FFF"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4,176</w:t>
            </w:r>
          </w:p>
        </w:tc>
        <w:tc>
          <w:tcPr>
            <w:tcW w:w="984" w:type="dxa"/>
            <w:tcBorders>
              <w:bottom w:val="single" w:sz="4" w:space="0" w:color="auto"/>
            </w:tcBorders>
            <w:noWrap/>
            <w:vAlign w:val="center"/>
            <w:hideMark/>
          </w:tcPr>
          <w:p w14:paraId="2D7DDDE6"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47.1%</w:t>
            </w:r>
          </w:p>
        </w:tc>
      </w:tr>
      <w:tr w:rsidR="00215ED2" w:rsidRPr="00215ED2" w14:paraId="7DA4AFE4" w14:textId="77777777" w:rsidTr="002B501C">
        <w:trPr>
          <w:cantSplit/>
          <w:trHeight w:val="300"/>
          <w:jc w:val="center"/>
        </w:trPr>
        <w:tc>
          <w:tcPr>
            <w:tcW w:w="3758" w:type="dxa"/>
            <w:tcBorders>
              <w:bottom w:val="nil"/>
            </w:tcBorders>
            <w:noWrap/>
            <w:vAlign w:val="center"/>
            <w:hideMark/>
          </w:tcPr>
          <w:p w14:paraId="0548A928"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Female</w:t>
            </w:r>
          </w:p>
        </w:tc>
        <w:tc>
          <w:tcPr>
            <w:tcW w:w="2246" w:type="dxa"/>
            <w:tcBorders>
              <w:bottom w:val="nil"/>
            </w:tcBorders>
            <w:noWrap/>
            <w:vAlign w:val="center"/>
            <w:hideMark/>
          </w:tcPr>
          <w:p w14:paraId="4F8E1296"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4,692</w:t>
            </w:r>
          </w:p>
        </w:tc>
        <w:tc>
          <w:tcPr>
            <w:tcW w:w="984" w:type="dxa"/>
            <w:tcBorders>
              <w:bottom w:val="nil"/>
            </w:tcBorders>
            <w:noWrap/>
            <w:vAlign w:val="center"/>
            <w:hideMark/>
          </w:tcPr>
          <w:p w14:paraId="186BE108"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52.9%</w:t>
            </w:r>
          </w:p>
        </w:tc>
      </w:tr>
      <w:tr w:rsidR="00215ED2" w:rsidRPr="00215ED2" w14:paraId="7FED0837" w14:textId="77777777" w:rsidTr="002B501C">
        <w:trPr>
          <w:cantSplit/>
          <w:trHeight w:val="300"/>
          <w:jc w:val="center"/>
        </w:trPr>
        <w:tc>
          <w:tcPr>
            <w:tcW w:w="3758" w:type="dxa"/>
            <w:tcBorders>
              <w:top w:val="nil"/>
            </w:tcBorders>
            <w:noWrap/>
            <w:vAlign w:val="center"/>
            <w:hideMark/>
          </w:tcPr>
          <w:p w14:paraId="31FCC2AD"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Total</w:t>
            </w:r>
          </w:p>
        </w:tc>
        <w:tc>
          <w:tcPr>
            <w:tcW w:w="2246" w:type="dxa"/>
            <w:tcBorders>
              <w:top w:val="nil"/>
            </w:tcBorders>
            <w:noWrap/>
            <w:vAlign w:val="center"/>
            <w:hideMark/>
          </w:tcPr>
          <w:p w14:paraId="48C542A2"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8,868</w:t>
            </w:r>
          </w:p>
        </w:tc>
        <w:tc>
          <w:tcPr>
            <w:tcW w:w="984" w:type="dxa"/>
            <w:tcBorders>
              <w:top w:val="nil"/>
            </w:tcBorders>
            <w:noWrap/>
            <w:vAlign w:val="center"/>
            <w:hideMark/>
          </w:tcPr>
          <w:p w14:paraId="529A2E3F"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100.0%</w:t>
            </w:r>
          </w:p>
        </w:tc>
      </w:tr>
      <w:tr w:rsidR="00215ED2" w:rsidRPr="00215ED2" w14:paraId="1EF14FC0" w14:textId="77777777" w:rsidTr="002B501C">
        <w:trPr>
          <w:trHeight w:val="300"/>
          <w:jc w:val="center"/>
        </w:trPr>
        <w:tc>
          <w:tcPr>
            <w:tcW w:w="3758" w:type="dxa"/>
            <w:noWrap/>
            <w:vAlign w:val="center"/>
            <w:hideMark/>
          </w:tcPr>
          <w:p w14:paraId="5F4507C0" w14:textId="77777777" w:rsidR="00215ED2" w:rsidRPr="00215ED2" w:rsidRDefault="00215ED2" w:rsidP="00215ED2">
            <w:pPr>
              <w:rPr>
                <w:rFonts w:eastAsia="Times New Roman" w:cstheme="minorHAnsi"/>
                <w:b/>
                <w:bCs/>
                <w:color w:val="000000"/>
                <w:sz w:val="24"/>
                <w:szCs w:val="24"/>
              </w:rPr>
            </w:pPr>
            <w:r w:rsidRPr="00215ED2">
              <w:rPr>
                <w:rFonts w:eastAsia="Times New Roman" w:cstheme="minorHAnsi"/>
                <w:b/>
                <w:bCs/>
                <w:color w:val="000000"/>
                <w:sz w:val="24"/>
                <w:szCs w:val="24"/>
              </w:rPr>
              <w:lastRenderedPageBreak/>
              <w:t>Age</w:t>
            </w:r>
          </w:p>
        </w:tc>
        <w:tc>
          <w:tcPr>
            <w:tcW w:w="2246" w:type="dxa"/>
            <w:noWrap/>
            <w:vAlign w:val="center"/>
            <w:hideMark/>
          </w:tcPr>
          <w:p w14:paraId="764734B4" w14:textId="77777777" w:rsidR="00215ED2" w:rsidRPr="00215ED2" w:rsidRDefault="00215ED2" w:rsidP="00215ED2">
            <w:pPr>
              <w:rPr>
                <w:rFonts w:eastAsia="Times New Roman" w:cstheme="minorHAnsi"/>
                <w:b/>
                <w:bCs/>
                <w:color w:val="000000"/>
                <w:sz w:val="24"/>
                <w:szCs w:val="24"/>
              </w:rPr>
            </w:pPr>
          </w:p>
        </w:tc>
        <w:tc>
          <w:tcPr>
            <w:tcW w:w="984" w:type="dxa"/>
            <w:noWrap/>
            <w:vAlign w:val="center"/>
            <w:hideMark/>
          </w:tcPr>
          <w:p w14:paraId="24BDC312" w14:textId="77777777" w:rsidR="00215ED2" w:rsidRPr="00215ED2" w:rsidRDefault="00215ED2" w:rsidP="00215ED2">
            <w:pPr>
              <w:rPr>
                <w:rFonts w:eastAsia="Times New Roman" w:cstheme="minorHAnsi"/>
                <w:color w:val="000000"/>
                <w:sz w:val="24"/>
                <w:szCs w:val="24"/>
              </w:rPr>
            </w:pPr>
          </w:p>
        </w:tc>
      </w:tr>
      <w:tr w:rsidR="00215ED2" w:rsidRPr="00215ED2" w14:paraId="6E660D36" w14:textId="77777777" w:rsidTr="002B501C">
        <w:trPr>
          <w:trHeight w:val="300"/>
          <w:jc w:val="center"/>
        </w:trPr>
        <w:tc>
          <w:tcPr>
            <w:tcW w:w="3758" w:type="dxa"/>
            <w:noWrap/>
            <w:vAlign w:val="center"/>
            <w:hideMark/>
          </w:tcPr>
          <w:p w14:paraId="2A8D33CC"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0 to 17</w:t>
            </w:r>
          </w:p>
        </w:tc>
        <w:tc>
          <w:tcPr>
            <w:tcW w:w="2246" w:type="dxa"/>
            <w:noWrap/>
            <w:vAlign w:val="center"/>
            <w:hideMark/>
          </w:tcPr>
          <w:p w14:paraId="0608D1AF"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149</w:t>
            </w:r>
          </w:p>
        </w:tc>
        <w:tc>
          <w:tcPr>
            <w:tcW w:w="984" w:type="dxa"/>
            <w:noWrap/>
            <w:vAlign w:val="center"/>
            <w:hideMark/>
          </w:tcPr>
          <w:p w14:paraId="1B60DF5F"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1.7%</w:t>
            </w:r>
          </w:p>
        </w:tc>
      </w:tr>
      <w:tr w:rsidR="00215ED2" w:rsidRPr="00215ED2" w14:paraId="6C59ED65" w14:textId="77777777" w:rsidTr="002B501C">
        <w:trPr>
          <w:trHeight w:val="300"/>
          <w:jc w:val="center"/>
        </w:trPr>
        <w:tc>
          <w:tcPr>
            <w:tcW w:w="3758" w:type="dxa"/>
            <w:noWrap/>
            <w:vAlign w:val="center"/>
            <w:hideMark/>
          </w:tcPr>
          <w:p w14:paraId="5C15B851"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18 to 64</w:t>
            </w:r>
          </w:p>
        </w:tc>
        <w:tc>
          <w:tcPr>
            <w:tcW w:w="2246" w:type="dxa"/>
            <w:noWrap/>
            <w:vAlign w:val="center"/>
            <w:hideMark/>
          </w:tcPr>
          <w:p w14:paraId="484CE440"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7,011</w:t>
            </w:r>
          </w:p>
        </w:tc>
        <w:tc>
          <w:tcPr>
            <w:tcW w:w="984" w:type="dxa"/>
            <w:noWrap/>
            <w:vAlign w:val="center"/>
            <w:hideMark/>
          </w:tcPr>
          <w:p w14:paraId="48DD4982"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79.1%</w:t>
            </w:r>
          </w:p>
        </w:tc>
      </w:tr>
      <w:tr w:rsidR="00215ED2" w:rsidRPr="00215ED2" w14:paraId="4D253AC7" w14:textId="77777777" w:rsidTr="002B501C">
        <w:trPr>
          <w:trHeight w:val="300"/>
          <w:jc w:val="center"/>
        </w:trPr>
        <w:tc>
          <w:tcPr>
            <w:tcW w:w="3758" w:type="dxa"/>
            <w:noWrap/>
            <w:vAlign w:val="center"/>
            <w:hideMark/>
          </w:tcPr>
          <w:p w14:paraId="50F52E7B"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65+</w:t>
            </w:r>
          </w:p>
        </w:tc>
        <w:tc>
          <w:tcPr>
            <w:tcW w:w="2246" w:type="dxa"/>
            <w:noWrap/>
            <w:vAlign w:val="center"/>
            <w:hideMark/>
          </w:tcPr>
          <w:p w14:paraId="69050903"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1,708</w:t>
            </w:r>
          </w:p>
        </w:tc>
        <w:tc>
          <w:tcPr>
            <w:tcW w:w="984" w:type="dxa"/>
            <w:noWrap/>
            <w:vAlign w:val="center"/>
            <w:hideMark/>
          </w:tcPr>
          <w:p w14:paraId="01379A40" w14:textId="49CF8936"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19.</w:t>
            </w:r>
            <w:r w:rsidR="00537418">
              <w:rPr>
                <w:rFonts w:eastAsia="Times New Roman" w:cstheme="minorHAnsi"/>
                <w:color w:val="000000"/>
                <w:sz w:val="24"/>
                <w:szCs w:val="24"/>
              </w:rPr>
              <w:t>2</w:t>
            </w:r>
            <w:r w:rsidRPr="00215ED2">
              <w:rPr>
                <w:rFonts w:eastAsia="Times New Roman" w:cstheme="minorHAnsi"/>
                <w:color w:val="000000"/>
                <w:sz w:val="24"/>
                <w:szCs w:val="24"/>
              </w:rPr>
              <w:t>%</w:t>
            </w:r>
          </w:p>
        </w:tc>
      </w:tr>
      <w:tr w:rsidR="00215ED2" w:rsidRPr="00215ED2" w14:paraId="3729223A" w14:textId="77777777" w:rsidTr="002B501C">
        <w:trPr>
          <w:trHeight w:val="300"/>
          <w:jc w:val="center"/>
        </w:trPr>
        <w:tc>
          <w:tcPr>
            <w:tcW w:w="3758" w:type="dxa"/>
            <w:noWrap/>
            <w:vAlign w:val="center"/>
            <w:hideMark/>
          </w:tcPr>
          <w:p w14:paraId="284CC09C"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Total</w:t>
            </w:r>
          </w:p>
        </w:tc>
        <w:tc>
          <w:tcPr>
            <w:tcW w:w="2246" w:type="dxa"/>
            <w:noWrap/>
            <w:vAlign w:val="center"/>
            <w:hideMark/>
          </w:tcPr>
          <w:p w14:paraId="2385D739"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8,868</w:t>
            </w:r>
          </w:p>
        </w:tc>
        <w:tc>
          <w:tcPr>
            <w:tcW w:w="984" w:type="dxa"/>
            <w:noWrap/>
            <w:vAlign w:val="center"/>
            <w:hideMark/>
          </w:tcPr>
          <w:p w14:paraId="609E622C"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100.0%</w:t>
            </w:r>
          </w:p>
        </w:tc>
      </w:tr>
      <w:tr w:rsidR="00215ED2" w:rsidRPr="00215ED2" w14:paraId="65494227" w14:textId="77777777" w:rsidTr="002B501C">
        <w:trPr>
          <w:trHeight w:val="300"/>
          <w:jc w:val="center"/>
        </w:trPr>
        <w:tc>
          <w:tcPr>
            <w:tcW w:w="3758" w:type="dxa"/>
            <w:noWrap/>
            <w:vAlign w:val="center"/>
            <w:hideMark/>
          </w:tcPr>
          <w:p w14:paraId="3EE50085" w14:textId="77777777" w:rsidR="00215ED2" w:rsidRPr="00215ED2" w:rsidRDefault="00215ED2" w:rsidP="00215ED2">
            <w:pPr>
              <w:rPr>
                <w:rFonts w:eastAsia="Times New Roman" w:cstheme="minorHAnsi"/>
                <w:b/>
                <w:bCs/>
                <w:color w:val="000000"/>
                <w:sz w:val="24"/>
                <w:szCs w:val="24"/>
              </w:rPr>
            </w:pPr>
            <w:r w:rsidRPr="00215ED2">
              <w:rPr>
                <w:rFonts w:eastAsia="Times New Roman" w:cstheme="minorHAnsi"/>
                <w:b/>
                <w:bCs/>
                <w:color w:val="000000"/>
                <w:sz w:val="24"/>
                <w:szCs w:val="24"/>
              </w:rPr>
              <w:t>Race</w:t>
            </w:r>
          </w:p>
        </w:tc>
        <w:tc>
          <w:tcPr>
            <w:tcW w:w="2246" w:type="dxa"/>
            <w:noWrap/>
            <w:vAlign w:val="center"/>
            <w:hideMark/>
          </w:tcPr>
          <w:p w14:paraId="7251CDC6" w14:textId="77777777" w:rsidR="00215ED2" w:rsidRPr="00215ED2" w:rsidRDefault="00215ED2" w:rsidP="00215ED2">
            <w:pPr>
              <w:rPr>
                <w:rFonts w:eastAsia="Times New Roman" w:cstheme="minorHAnsi"/>
                <w:b/>
                <w:bCs/>
                <w:color w:val="000000"/>
                <w:sz w:val="24"/>
                <w:szCs w:val="24"/>
              </w:rPr>
            </w:pPr>
          </w:p>
        </w:tc>
        <w:tc>
          <w:tcPr>
            <w:tcW w:w="984" w:type="dxa"/>
            <w:noWrap/>
            <w:vAlign w:val="center"/>
            <w:hideMark/>
          </w:tcPr>
          <w:p w14:paraId="47500E81" w14:textId="77777777" w:rsidR="00215ED2" w:rsidRPr="00215ED2" w:rsidRDefault="00215ED2" w:rsidP="00215ED2">
            <w:pPr>
              <w:rPr>
                <w:rFonts w:eastAsia="Times New Roman" w:cstheme="minorHAnsi"/>
                <w:color w:val="000000"/>
                <w:sz w:val="24"/>
                <w:szCs w:val="24"/>
              </w:rPr>
            </w:pPr>
          </w:p>
        </w:tc>
      </w:tr>
      <w:tr w:rsidR="00215ED2" w:rsidRPr="00215ED2" w14:paraId="3AED371B" w14:textId="77777777" w:rsidTr="002B501C">
        <w:trPr>
          <w:trHeight w:val="300"/>
          <w:jc w:val="center"/>
        </w:trPr>
        <w:tc>
          <w:tcPr>
            <w:tcW w:w="3758" w:type="dxa"/>
            <w:noWrap/>
            <w:vAlign w:val="center"/>
            <w:hideMark/>
          </w:tcPr>
          <w:p w14:paraId="467BC376"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White</w:t>
            </w:r>
          </w:p>
        </w:tc>
        <w:tc>
          <w:tcPr>
            <w:tcW w:w="2246" w:type="dxa"/>
            <w:noWrap/>
            <w:vAlign w:val="center"/>
            <w:hideMark/>
          </w:tcPr>
          <w:p w14:paraId="150651EC"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7,496</w:t>
            </w:r>
          </w:p>
        </w:tc>
        <w:tc>
          <w:tcPr>
            <w:tcW w:w="984" w:type="dxa"/>
            <w:noWrap/>
            <w:vAlign w:val="center"/>
            <w:hideMark/>
          </w:tcPr>
          <w:p w14:paraId="2E818C39"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84.5%</w:t>
            </w:r>
          </w:p>
        </w:tc>
      </w:tr>
      <w:tr w:rsidR="00215ED2" w:rsidRPr="00215ED2" w14:paraId="65545480" w14:textId="77777777" w:rsidTr="002B501C">
        <w:trPr>
          <w:trHeight w:val="300"/>
          <w:jc w:val="center"/>
        </w:trPr>
        <w:tc>
          <w:tcPr>
            <w:tcW w:w="3758" w:type="dxa"/>
            <w:noWrap/>
            <w:vAlign w:val="center"/>
            <w:hideMark/>
          </w:tcPr>
          <w:p w14:paraId="3967DCD4"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Black or African American</w:t>
            </w:r>
          </w:p>
        </w:tc>
        <w:tc>
          <w:tcPr>
            <w:tcW w:w="2246" w:type="dxa"/>
            <w:noWrap/>
            <w:vAlign w:val="center"/>
            <w:hideMark/>
          </w:tcPr>
          <w:p w14:paraId="608F7892"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644</w:t>
            </w:r>
          </w:p>
        </w:tc>
        <w:tc>
          <w:tcPr>
            <w:tcW w:w="984" w:type="dxa"/>
            <w:noWrap/>
            <w:vAlign w:val="center"/>
            <w:hideMark/>
          </w:tcPr>
          <w:p w14:paraId="7B1164C8"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7.3%</w:t>
            </w:r>
          </w:p>
        </w:tc>
      </w:tr>
      <w:tr w:rsidR="00215ED2" w:rsidRPr="00215ED2" w14:paraId="15F5B227" w14:textId="77777777" w:rsidTr="002B501C">
        <w:trPr>
          <w:trHeight w:val="300"/>
          <w:jc w:val="center"/>
        </w:trPr>
        <w:tc>
          <w:tcPr>
            <w:tcW w:w="3758" w:type="dxa"/>
            <w:noWrap/>
            <w:vAlign w:val="center"/>
            <w:hideMark/>
          </w:tcPr>
          <w:p w14:paraId="6F3A987A"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Asian</w:t>
            </w:r>
          </w:p>
        </w:tc>
        <w:tc>
          <w:tcPr>
            <w:tcW w:w="2246" w:type="dxa"/>
            <w:noWrap/>
            <w:vAlign w:val="center"/>
            <w:hideMark/>
          </w:tcPr>
          <w:p w14:paraId="35F86254"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235</w:t>
            </w:r>
          </w:p>
        </w:tc>
        <w:tc>
          <w:tcPr>
            <w:tcW w:w="984" w:type="dxa"/>
            <w:noWrap/>
            <w:vAlign w:val="center"/>
            <w:hideMark/>
          </w:tcPr>
          <w:p w14:paraId="14E0FA79"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2.6%</w:t>
            </w:r>
          </w:p>
        </w:tc>
      </w:tr>
      <w:tr w:rsidR="00215ED2" w:rsidRPr="00215ED2" w14:paraId="2577F716" w14:textId="77777777" w:rsidTr="002B501C">
        <w:trPr>
          <w:trHeight w:val="300"/>
          <w:jc w:val="center"/>
        </w:trPr>
        <w:tc>
          <w:tcPr>
            <w:tcW w:w="3758" w:type="dxa"/>
            <w:noWrap/>
            <w:vAlign w:val="center"/>
            <w:hideMark/>
          </w:tcPr>
          <w:p w14:paraId="0DC02C81"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Other</w:t>
            </w:r>
          </w:p>
        </w:tc>
        <w:tc>
          <w:tcPr>
            <w:tcW w:w="2246" w:type="dxa"/>
            <w:noWrap/>
            <w:vAlign w:val="center"/>
            <w:hideMark/>
          </w:tcPr>
          <w:p w14:paraId="20781C65"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305</w:t>
            </w:r>
          </w:p>
        </w:tc>
        <w:tc>
          <w:tcPr>
            <w:tcW w:w="984" w:type="dxa"/>
            <w:noWrap/>
            <w:vAlign w:val="center"/>
            <w:hideMark/>
          </w:tcPr>
          <w:p w14:paraId="3AE605C4"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3.4%</w:t>
            </w:r>
          </w:p>
        </w:tc>
      </w:tr>
      <w:tr w:rsidR="00215ED2" w:rsidRPr="00215ED2" w14:paraId="454A1653" w14:textId="77777777" w:rsidTr="002B501C">
        <w:trPr>
          <w:trHeight w:val="300"/>
          <w:jc w:val="center"/>
        </w:trPr>
        <w:tc>
          <w:tcPr>
            <w:tcW w:w="3758" w:type="dxa"/>
            <w:noWrap/>
            <w:vAlign w:val="center"/>
            <w:hideMark/>
          </w:tcPr>
          <w:p w14:paraId="064EDA64"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Unknown</w:t>
            </w:r>
          </w:p>
        </w:tc>
        <w:tc>
          <w:tcPr>
            <w:tcW w:w="2246" w:type="dxa"/>
            <w:noWrap/>
            <w:vAlign w:val="center"/>
            <w:hideMark/>
          </w:tcPr>
          <w:p w14:paraId="1A1CE82D"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157</w:t>
            </w:r>
          </w:p>
        </w:tc>
        <w:tc>
          <w:tcPr>
            <w:tcW w:w="984" w:type="dxa"/>
            <w:noWrap/>
            <w:vAlign w:val="center"/>
            <w:hideMark/>
          </w:tcPr>
          <w:p w14:paraId="6203C283"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1.8%</w:t>
            </w:r>
          </w:p>
        </w:tc>
      </w:tr>
      <w:tr w:rsidR="00215ED2" w:rsidRPr="00215ED2" w14:paraId="0606427F" w14:textId="77777777" w:rsidTr="002B501C">
        <w:trPr>
          <w:trHeight w:val="300"/>
          <w:jc w:val="center"/>
        </w:trPr>
        <w:tc>
          <w:tcPr>
            <w:tcW w:w="3758" w:type="dxa"/>
            <w:noWrap/>
            <w:vAlign w:val="center"/>
            <w:hideMark/>
          </w:tcPr>
          <w:p w14:paraId="464735DC"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Other</w:t>
            </w:r>
          </w:p>
        </w:tc>
        <w:tc>
          <w:tcPr>
            <w:tcW w:w="2246" w:type="dxa"/>
            <w:noWrap/>
            <w:vAlign w:val="center"/>
            <w:hideMark/>
          </w:tcPr>
          <w:p w14:paraId="34EA0C3E"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31</w:t>
            </w:r>
          </w:p>
        </w:tc>
        <w:tc>
          <w:tcPr>
            <w:tcW w:w="984" w:type="dxa"/>
            <w:noWrap/>
            <w:vAlign w:val="center"/>
            <w:hideMark/>
          </w:tcPr>
          <w:p w14:paraId="11E47FC4"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0.3%</w:t>
            </w:r>
          </w:p>
        </w:tc>
      </w:tr>
      <w:tr w:rsidR="00215ED2" w:rsidRPr="00215ED2" w14:paraId="552EFFDA" w14:textId="77777777" w:rsidTr="002B501C">
        <w:trPr>
          <w:trHeight w:val="300"/>
          <w:jc w:val="center"/>
        </w:trPr>
        <w:tc>
          <w:tcPr>
            <w:tcW w:w="3758" w:type="dxa"/>
            <w:noWrap/>
            <w:vAlign w:val="center"/>
            <w:hideMark/>
          </w:tcPr>
          <w:p w14:paraId="3931AFC5"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Total</w:t>
            </w:r>
          </w:p>
        </w:tc>
        <w:tc>
          <w:tcPr>
            <w:tcW w:w="2246" w:type="dxa"/>
            <w:noWrap/>
            <w:vAlign w:val="center"/>
            <w:hideMark/>
          </w:tcPr>
          <w:p w14:paraId="4230E3CB"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8,868</w:t>
            </w:r>
          </w:p>
        </w:tc>
        <w:tc>
          <w:tcPr>
            <w:tcW w:w="984" w:type="dxa"/>
            <w:noWrap/>
            <w:vAlign w:val="center"/>
            <w:hideMark/>
          </w:tcPr>
          <w:p w14:paraId="689FCAAB"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100.0%</w:t>
            </w:r>
          </w:p>
        </w:tc>
      </w:tr>
      <w:tr w:rsidR="00215ED2" w:rsidRPr="00215ED2" w14:paraId="50B90D2F" w14:textId="77777777" w:rsidTr="002B501C">
        <w:trPr>
          <w:trHeight w:val="300"/>
          <w:jc w:val="center"/>
        </w:trPr>
        <w:tc>
          <w:tcPr>
            <w:tcW w:w="3758" w:type="dxa"/>
            <w:noWrap/>
            <w:vAlign w:val="center"/>
            <w:hideMark/>
          </w:tcPr>
          <w:p w14:paraId="11D16FEF" w14:textId="77777777" w:rsidR="00215ED2" w:rsidRPr="00215ED2" w:rsidRDefault="00215ED2" w:rsidP="00215ED2">
            <w:pPr>
              <w:rPr>
                <w:rFonts w:eastAsia="Times New Roman" w:cstheme="minorHAnsi"/>
                <w:b/>
                <w:bCs/>
                <w:color w:val="000000"/>
                <w:sz w:val="24"/>
                <w:szCs w:val="24"/>
              </w:rPr>
            </w:pPr>
            <w:r w:rsidRPr="00215ED2">
              <w:rPr>
                <w:rFonts w:eastAsia="Times New Roman" w:cstheme="minorHAnsi"/>
                <w:b/>
                <w:bCs/>
                <w:color w:val="000000"/>
                <w:sz w:val="24"/>
                <w:szCs w:val="24"/>
              </w:rPr>
              <w:t>Zip Codes Summary</w:t>
            </w:r>
          </w:p>
        </w:tc>
        <w:tc>
          <w:tcPr>
            <w:tcW w:w="2246" w:type="dxa"/>
            <w:noWrap/>
            <w:vAlign w:val="center"/>
            <w:hideMark/>
          </w:tcPr>
          <w:p w14:paraId="2ABFED55" w14:textId="77777777" w:rsidR="00215ED2" w:rsidRPr="00215ED2" w:rsidRDefault="00215ED2" w:rsidP="00215ED2">
            <w:pPr>
              <w:rPr>
                <w:rFonts w:eastAsia="Times New Roman" w:cstheme="minorHAnsi"/>
                <w:b/>
                <w:bCs/>
                <w:color w:val="000000"/>
                <w:sz w:val="24"/>
                <w:szCs w:val="24"/>
              </w:rPr>
            </w:pPr>
          </w:p>
        </w:tc>
        <w:tc>
          <w:tcPr>
            <w:tcW w:w="984" w:type="dxa"/>
            <w:noWrap/>
            <w:vAlign w:val="center"/>
            <w:hideMark/>
          </w:tcPr>
          <w:p w14:paraId="200090A0" w14:textId="77777777" w:rsidR="00215ED2" w:rsidRPr="00215ED2" w:rsidRDefault="00215ED2" w:rsidP="00215ED2">
            <w:pPr>
              <w:rPr>
                <w:rFonts w:eastAsia="Times New Roman" w:cstheme="minorHAnsi"/>
                <w:color w:val="000000"/>
                <w:sz w:val="24"/>
                <w:szCs w:val="24"/>
              </w:rPr>
            </w:pPr>
          </w:p>
        </w:tc>
      </w:tr>
      <w:tr w:rsidR="00215ED2" w:rsidRPr="00215ED2" w14:paraId="48534C2D" w14:textId="77777777" w:rsidTr="002B501C">
        <w:trPr>
          <w:trHeight w:val="300"/>
          <w:jc w:val="center"/>
        </w:trPr>
        <w:tc>
          <w:tcPr>
            <w:tcW w:w="3758" w:type="dxa"/>
            <w:noWrap/>
            <w:vAlign w:val="center"/>
            <w:hideMark/>
          </w:tcPr>
          <w:p w14:paraId="663BB3B7"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MA</w:t>
            </w:r>
          </w:p>
        </w:tc>
        <w:tc>
          <w:tcPr>
            <w:tcW w:w="2246" w:type="dxa"/>
            <w:noWrap/>
            <w:vAlign w:val="center"/>
            <w:hideMark/>
          </w:tcPr>
          <w:p w14:paraId="1B6A660C"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8,342</w:t>
            </w:r>
          </w:p>
        </w:tc>
        <w:tc>
          <w:tcPr>
            <w:tcW w:w="984" w:type="dxa"/>
            <w:noWrap/>
            <w:vAlign w:val="center"/>
            <w:hideMark/>
          </w:tcPr>
          <w:p w14:paraId="5BD9A9C8"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94.1%</w:t>
            </w:r>
          </w:p>
        </w:tc>
      </w:tr>
      <w:tr w:rsidR="00215ED2" w:rsidRPr="00215ED2" w14:paraId="6460E839" w14:textId="77777777" w:rsidTr="002B501C">
        <w:trPr>
          <w:trHeight w:val="300"/>
          <w:jc w:val="center"/>
        </w:trPr>
        <w:tc>
          <w:tcPr>
            <w:tcW w:w="3758" w:type="dxa"/>
            <w:noWrap/>
            <w:vAlign w:val="center"/>
            <w:hideMark/>
          </w:tcPr>
          <w:p w14:paraId="3E9E311D"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NH</w:t>
            </w:r>
          </w:p>
        </w:tc>
        <w:tc>
          <w:tcPr>
            <w:tcW w:w="2246" w:type="dxa"/>
            <w:noWrap/>
            <w:vAlign w:val="center"/>
            <w:hideMark/>
          </w:tcPr>
          <w:p w14:paraId="55CF0C69"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209</w:t>
            </w:r>
          </w:p>
        </w:tc>
        <w:tc>
          <w:tcPr>
            <w:tcW w:w="984" w:type="dxa"/>
            <w:noWrap/>
            <w:vAlign w:val="center"/>
            <w:hideMark/>
          </w:tcPr>
          <w:p w14:paraId="031C010C"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2.4%</w:t>
            </w:r>
          </w:p>
        </w:tc>
      </w:tr>
      <w:tr w:rsidR="00215ED2" w:rsidRPr="00215ED2" w14:paraId="4FF38FEE" w14:textId="77777777" w:rsidTr="002B501C">
        <w:trPr>
          <w:trHeight w:val="300"/>
          <w:jc w:val="center"/>
        </w:trPr>
        <w:tc>
          <w:tcPr>
            <w:tcW w:w="3758" w:type="dxa"/>
            <w:noWrap/>
            <w:vAlign w:val="center"/>
            <w:hideMark/>
          </w:tcPr>
          <w:p w14:paraId="74B9BBC2"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RI</w:t>
            </w:r>
          </w:p>
        </w:tc>
        <w:tc>
          <w:tcPr>
            <w:tcW w:w="2246" w:type="dxa"/>
            <w:noWrap/>
            <w:vAlign w:val="center"/>
            <w:hideMark/>
          </w:tcPr>
          <w:p w14:paraId="1464E549"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146</w:t>
            </w:r>
          </w:p>
        </w:tc>
        <w:tc>
          <w:tcPr>
            <w:tcW w:w="984" w:type="dxa"/>
            <w:noWrap/>
            <w:vAlign w:val="center"/>
            <w:hideMark/>
          </w:tcPr>
          <w:p w14:paraId="7DBCD2E5"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1.6%</w:t>
            </w:r>
          </w:p>
        </w:tc>
      </w:tr>
      <w:tr w:rsidR="00215ED2" w:rsidRPr="00215ED2" w14:paraId="1153B82F" w14:textId="77777777" w:rsidTr="002B501C">
        <w:trPr>
          <w:trHeight w:val="300"/>
          <w:jc w:val="center"/>
        </w:trPr>
        <w:tc>
          <w:tcPr>
            <w:tcW w:w="3758" w:type="dxa"/>
            <w:noWrap/>
            <w:vAlign w:val="center"/>
            <w:hideMark/>
          </w:tcPr>
          <w:p w14:paraId="4DE5774D"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ME</w:t>
            </w:r>
          </w:p>
        </w:tc>
        <w:tc>
          <w:tcPr>
            <w:tcW w:w="2246" w:type="dxa"/>
            <w:noWrap/>
            <w:vAlign w:val="center"/>
            <w:hideMark/>
          </w:tcPr>
          <w:p w14:paraId="771E96A4"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42</w:t>
            </w:r>
          </w:p>
        </w:tc>
        <w:tc>
          <w:tcPr>
            <w:tcW w:w="984" w:type="dxa"/>
            <w:noWrap/>
            <w:vAlign w:val="center"/>
            <w:hideMark/>
          </w:tcPr>
          <w:p w14:paraId="6B861154"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0.5%</w:t>
            </w:r>
          </w:p>
        </w:tc>
      </w:tr>
      <w:tr w:rsidR="00215ED2" w:rsidRPr="00215ED2" w14:paraId="1300E14C" w14:textId="77777777" w:rsidTr="002B501C">
        <w:trPr>
          <w:trHeight w:val="300"/>
          <w:jc w:val="center"/>
        </w:trPr>
        <w:tc>
          <w:tcPr>
            <w:tcW w:w="3758" w:type="dxa"/>
            <w:noWrap/>
            <w:vAlign w:val="center"/>
            <w:hideMark/>
          </w:tcPr>
          <w:p w14:paraId="53CD8F81"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Other</w:t>
            </w:r>
          </w:p>
        </w:tc>
        <w:tc>
          <w:tcPr>
            <w:tcW w:w="2246" w:type="dxa"/>
            <w:noWrap/>
            <w:vAlign w:val="center"/>
            <w:hideMark/>
          </w:tcPr>
          <w:p w14:paraId="10073D0E"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129</w:t>
            </w:r>
          </w:p>
        </w:tc>
        <w:tc>
          <w:tcPr>
            <w:tcW w:w="984" w:type="dxa"/>
            <w:noWrap/>
            <w:vAlign w:val="center"/>
            <w:hideMark/>
          </w:tcPr>
          <w:p w14:paraId="00BDF8DD" w14:textId="77777777" w:rsidR="00215ED2" w:rsidRPr="00215ED2" w:rsidRDefault="00215ED2" w:rsidP="00215ED2">
            <w:pPr>
              <w:rPr>
                <w:rFonts w:eastAsia="Times New Roman" w:cstheme="minorHAnsi"/>
                <w:color w:val="000000"/>
                <w:sz w:val="24"/>
                <w:szCs w:val="24"/>
              </w:rPr>
            </w:pPr>
            <w:r w:rsidRPr="00215ED2">
              <w:rPr>
                <w:rFonts w:eastAsia="Times New Roman" w:cstheme="minorHAnsi"/>
                <w:color w:val="000000"/>
                <w:sz w:val="24"/>
                <w:szCs w:val="24"/>
              </w:rPr>
              <w:t>1.5%</w:t>
            </w:r>
          </w:p>
        </w:tc>
      </w:tr>
      <w:tr w:rsidR="00215ED2" w:rsidRPr="00215ED2" w14:paraId="163A0988" w14:textId="77777777" w:rsidTr="002B501C">
        <w:trPr>
          <w:trHeight w:val="60"/>
          <w:jc w:val="center"/>
        </w:trPr>
        <w:tc>
          <w:tcPr>
            <w:tcW w:w="3758" w:type="dxa"/>
            <w:noWrap/>
            <w:vAlign w:val="center"/>
            <w:hideMark/>
          </w:tcPr>
          <w:p w14:paraId="23CFDE21" w14:textId="77777777" w:rsidR="00215ED2" w:rsidRPr="00A84D19" w:rsidRDefault="00215ED2" w:rsidP="00215ED2">
            <w:pPr>
              <w:rPr>
                <w:rFonts w:eastAsia="Times New Roman" w:cstheme="minorHAnsi"/>
                <w:b/>
                <w:bCs/>
                <w:color w:val="000000"/>
                <w:sz w:val="24"/>
                <w:szCs w:val="24"/>
              </w:rPr>
            </w:pPr>
            <w:r w:rsidRPr="00A84D19">
              <w:rPr>
                <w:rFonts w:eastAsia="Times New Roman" w:cstheme="minorHAnsi"/>
                <w:b/>
                <w:bCs/>
                <w:color w:val="000000"/>
                <w:sz w:val="24"/>
                <w:szCs w:val="24"/>
              </w:rPr>
              <w:t>Total</w:t>
            </w:r>
          </w:p>
        </w:tc>
        <w:tc>
          <w:tcPr>
            <w:tcW w:w="2246" w:type="dxa"/>
            <w:noWrap/>
            <w:vAlign w:val="center"/>
            <w:hideMark/>
          </w:tcPr>
          <w:p w14:paraId="78895BD5" w14:textId="77777777" w:rsidR="00215ED2" w:rsidRPr="00A84D19" w:rsidRDefault="00215ED2" w:rsidP="00215ED2">
            <w:pPr>
              <w:rPr>
                <w:rFonts w:eastAsia="Times New Roman" w:cstheme="minorHAnsi"/>
                <w:b/>
                <w:bCs/>
                <w:color w:val="000000"/>
                <w:sz w:val="24"/>
                <w:szCs w:val="24"/>
              </w:rPr>
            </w:pPr>
            <w:r w:rsidRPr="00A84D19">
              <w:rPr>
                <w:rFonts w:eastAsia="Times New Roman" w:cstheme="minorHAnsi"/>
                <w:b/>
                <w:bCs/>
                <w:color w:val="000000"/>
                <w:sz w:val="24"/>
                <w:szCs w:val="24"/>
              </w:rPr>
              <w:t>8,868</w:t>
            </w:r>
          </w:p>
        </w:tc>
        <w:tc>
          <w:tcPr>
            <w:tcW w:w="984" w:type="dxa"/>
            <w:noWrap/>
            <w:vAlign w:val="center"/>
            <w:hideMark/>
          </w:tcPr>
          <w:p w14:paraId="4894F9A5" w14:textId="77777777" w:rsidR="00215ED2" w:rsidRPr="00A84D19" w:rsidRDefault="00215ED2" w:rsidP="00215ED2">
            <w:pPr>
              <w:rPr>
                <w:rFonts w:eastAsia="Times New Roman" w:cstheme="minorHAnsi"/>
                <w:b/>
                <w:bCs/>
                <w:color w:val="000000"/>
                <w:sz w:val="24"/>
                <w:szCs w:val="24"/>
              </w:rPr>
            </w:pPr>
            <w:r w:rsidRPr="00A84D19">
              <w:rPr>
                <w:rFonts w:eastAsia="Times New Roman" w:cstheme="minorHAnsi"/>
                <w:b/>
                <w:bCs/>
                <w:color w:val="000000"/>
                <w:sz w:val="24"/>
                <w:szCs w:val="24"/>
              </w:rPr>
              <w:t>100.0%</w:t>
            </w:r>
          </w:p>
        </w:tc>
      </w:tr>
    </w:tbl>
    <w:p w14:paraId="066D26EF" w14:textId="791A680C" w:rsidR="00270FFF" w:rsidRPr="00601D8F" w:rsidRDefault="00270FFF" w:rsidP="00B044A8">
      <w:pPr>
        <w:spacing w:after="0" w:line="240" w:lineRule="auto"/>
        <w:rPr>
          <w:rFonts w:eastAsia="Times New Roman" w:cstheme="minorHAnsi"/>
          <w:color w:val="000000"/>
          <w:sz w:val="24"/>
          <w:szCs w:val="24"/>
        </w:rPr>
      </w:pPr>
    </w:p>
    <w:p w14:paraId="087F8171" w14:textId="0EFB4DA3" w:rsidR="00601D8F" w:rsidRDefault="00601D8F" w:rsidP="00601D8F">
      <w:pPr>
        <w:spacing w:after="0" w:line="240" w:lineRule="auto"/>
        <w:rPr>
          <w:rFonts w:eastAsia="Times New Roman" w:cstheme="minorHAnsi"/>
          <w:color w:val="000000"/>
          <w:sz w:val="24"/>
          <w:szCs w:val="24"/>
        </w:rPr>
      </w:pPr>
      <w:r w:rsidRPr="00270FFF">
        <w:rPr>
          <w:rFonts w:eastAsia="Times New Roman" w:cstheme="minorHAnsi"/>
          <w:color w:val="000000"/>
          <w:sz w:val="24"/>
          <w:szCs w:val="24"/>
        </w:rPr>
        <w:t xml:space="preserve">Highlights </w:t>
      </w:r>
      <w:r>
        <w:rPr>
          <w:rFonts w:eastAsia="Times New Roman" w:cstheme="minorHAnsi"/>
          <w:color w:val="000000"/>
          <w:sz w:val="24"/>
          <w:szCs w:val="24"/>
        </w:rPr>
        <w:t xml:space="preserve">of the data during the reporting period </w:t>
      </w:r>
      <w:r w:rsidRPr="00270FFF">
        <w:rPr>
          <w:rFonts w:eastAsia="Times New Roman" w:cstheme="minorHAnsi"/>
          <w:color w:val="000000"/>
          <w:sz w:val="24"/>
          <w:szCs w:val="24"/>
        </w:rPr>
        <w:t>include:</w:t>
      </w:r>
    </w:p>
    <w:p w14:paraId="1E958663" w14:textId="77777777" w:rsidR="00601D8F" w:rsidRPr="00270FFF" w:rsidRDefault="00601D8F" w:rsidP="00601D8F">
      <w:pPr>
        <w:spacing w:after="0" w:line="240" w:lineRule="auto"/>
        <w:rPr>
          <w:rFonts w:eastAsia="Times New Roman" w:cstheme="minorHAnsi"/>
          <w:color w:val="000000"/>
          <w:sz w:val="24"/>
          <w:szCs w:val="24"/>
        </w:rPr>
      </w:pPr>
    </w:p>
    <w:p w14:paraId="6B4031DD" w14:textId="2CBE0333" w:rsidR="00601D8F" w:rsidRPr="00FE62EF" w:rsidRDefault="00601D8F" w:rsidP="00680DE6">
      <w:pPr>
        <w:numPr>
          <w:ilvl w:val="0"/>
          <w:numId w:val="18"/>
        </w:numPr>
        <w:spacing w:after="0" w:line="240" w:lineRule="auto"/>
        <w:rPr>
          <w:rFonts w:eastAsia="Times New Roman" w:cstheme="minorHAnsi"/>
          <w:color w:val="000000"/>
          <w:sz w:val="24"/>
          <w:szCs w:val="24"/>
        </w:rPr>
      </w:pPr>
      <w:r w:rsidRPr="00FE62EF">
        <w:rPr>
          <w:rFonts w:eastAsia="Times New Roman" w:cstheme="minorHAnsi"/>
          <w:b/>
          <w:bCs/>
          <w:color w:val="000000"/>
          <w:sz w:val="24"/>
          <w:szCs w:val="24"/>
        </w:rPr>
        <w:t xml:space="preserve">Gender: </w:t>
      </w:r>
      <w:r w:rsidRPr="00FE62EF">
        <w:rPr>
          <w:rFonts w:eastAsia="Times New Roman" w:cstheme="minorHAnsi"/>
          <w:color w:val="000000"/>
          <w:sz w:val="24"/>
          <w:szCs w:val="24"/>
        </w:rPr>
        <w:t xml:space="preserve">Over the reporting period, the gender mix </w:t>
      </w:r>
      <w:r w:rsidR="00FE62EF" w:rsidRPr="00FE62EF">
        <w:rPr>
          <w:rFonts w:eastAsia="Times New Roman" w:cstheme="minorHAnsi"/>
          <w:color w:val="000000"/>
          <w:sz w:val="24"/>
          <w:szCs w:val="24"/>
        </w:rPr>
        <w:t>was 52.9</w:t>
      </w:r>
      <w:r w:rsidR="00FE62EF" w:rsidRPr="00FE62EF" w:rsidDel="6C360D62">
        <w:rPr>
          <w:rFonts w:eastAsia="Times New Roman" w:cstheme="minorHAnsi"/>
          <w:color w:val="000000"/>
          <w:sz w:val="24"/>
          <w:szCs w:val="24"/>
        </w:rPr>
        <w:t xml:space="preserve"> </w:t>
      </w:r>
      <w:r w:rsidR="00FE62EF" w:rsidRPr="00FE62EF">
        <w:rPr>
          <w:rFonts w:eastAsia="Times New Roman" w:cstheme="minorHAnsi"/>
          <w:color w:val="000000"/>
          <w:sz w:val="24"/>
          <w:szCs w:val="24"/>
        </w:rPr>
        <w:t>% females</w:t>
      </w:r>
      <w:r w:rsidR="004E67AF">
        <w:rPr>
          <w:rFonts w:eastAsia="Times New Roman" w:cstheme="minorHAnsi"/>
          <w:color w:val="000000"/>
          <w:sz w:val="24"/>
          <w:szCs w:val="24"/>
        </w:rPr>
        <w:t>,</w:t>
      </w:r>
      <w:r w:rsidR="00FE62EF" w:rsidRPr="00FE62EF">
        <w:rPr>
          <w:rFonts w:eastAsia="Times New Roman" w:cstheme="minorHAnsi"/>
          <w:color w:val="000000"/>
          <w:sz w:val="24"/>
          <w:szCs w:val="24"/>
        </w:rPr>
        <w:t xml:space="preserve"> and 47.1% males</w:t>
      </w:r>
      <w:r w:rsidR="00FE62EF">
        <w:rPr>
          <w:rFonts w:eastAsia="Times New Roman" w:cstheme="minorHAnsi"/>
          <w:color w:val="000000"/>
          <w:sz w:val="24"/>
          <w:szCs w:val="24"/>
        </w:rPr>
        <w:t>.</w:t>
      </w:r>
    </w:p>
    <w:p w14:paraId="18C5DBD5" w14:textId="5F9AFBD5" w:rsidR="00601D8F" w:rsidRDefault="00601D8F" w:rsidP="00601D8F">
      <w:pPr>
        <w:numPr>
          <w:ilvl w:val="0"/>
          <w:numId w:val="18"/>
        </w:numPr>
        <w:spacing w:after="0" w:line="240" w:lineRule="auto"/>
        <w:rPr>
          <w:rFonts w:eastAsia="Times New Roman" w:cstheme="minorHAnsi"/>
          <w:color w:val="000000"/>
          <w:sz w:val="24"/>
          <w:szCs w:val="24"/>
        </w:rPr>
      </w:pPr>
      <w:r w:rsidRPr="00611777">
        <w:rPr>
          <w:rFonts w:eastAsia="Times New Roman" w:cstheme="minorHAnsi"/>
          <w:b/>
          <w:bCs/>
          <w:color w:val="000000"/>
          <w:sz w:val="24"/>
          <w:szCs w:val="24"/>
        </w:rPr>
        <w:t>Age:</w:t>
      </w:r>
      <w:r w:rsidRPr="00611777">
        <w:rPr>
          <w:rFonts w:eastAsia="Times New Roman" w:cstheme="minorHAnsi"/>
          <w:color w:val="000000"/>
          <w:sz w:val="24"/>
          <w:szCs w:val="24"/>
        </w:rPr>
        <w:t xml:space="preserve"> </w:t>
      </w:r>
      <w:r>
        <w:rPr>
          <w:rFonts w:eastAsia="Times New Roman" w:cstheme="minorHAnsi"/>
          <w:color w:val="000000"/>
          <w:sz w:val="24"/>
          <w:szCs w:val="24"/>
        </w:rPr>
        <w:t>1.</w:t>
      </w:r>
      <w:r w:rsidR="00537418">
        <w:rPr>
          <w:rFonts w:eastAsia="Times New Roman" w:cstheme="minorHAnsi"/>
          <w:color w:val="000000"/>
          <w:sz w:val="24"/>
          <w:szCs w:val="24"/>
        </w:rPr>
        <w:t>7</w:t>
      </w:r>
      <w:r>
        <w:rPr>
          <w:rFonts w:eastAsia="Times New Roman" w:cstheme="minorHAnsi"/>
          <w:color w:val="000000"/>
          <w:sz w:val="24"/>
          <w:szCs w:val="24"/>
        </w:rPr>
        <w:t>%, 79.</w:t>
      </w:r>
      <w:r w:rsidR="00537418">
        <w:rPr>
          <w:rFonts w:eastAsia="Times New Roman" w:cstheme="minorHAnsi"/>
          <w:color w:val="000000"/>
          <w:sz w:val="24"/>
          <w:szCs w:val="24"/>
        </w:rPr>
        <w:t>1</w:t>
      </w:r>
      <w:r>
        <w:rPr>
          <w:rFonts w:eastAsia="Times New Roman" w:cstheme="minorHAnsi"/>
          <w:color w:val="000000"/>
          <w:sz w:val="24"/>
          <w:szCs w:val="24"/>
        </w:rPr>
        <w:t>% and 19</w:t>
      </w:r>
      <w:r w:rsidR="00537418">
        <w:rPr>
          <w:rFonts w:eastAsia="Times New Roman" w:cstheme="minorHAnsi"/>
          <w:color w:val="000000"/>
          <w:sz w:val="24"/>
          <w:szCs w:val="24"/>
        </w:rPr>
        <w:t>.2</w:t>
      </w:r>
      <w:r>
        <w:rPr>
          <w:rFonts w:eastAsia="Times New Roman" w:cstheme="minorHAnsi"/>
          <w:color w:val="000000"/>
          <w:sz w:val="24"/>
          <w:szCs w:val="24"/>
        </w:rPr>
        <w:t>% were in the 1-17, 18-64, and 65 plus age cohorts respectively.</w:t>
      </w:r>
    </w:p>
    <w:p w14:paraId="798F2742" w14:textId="78BC2FC8" w:rsidR="00601D8F" w:rsidRPr="00537418" w:rsidRDefault="00601D8F" w:rsidP="00537418">
      <w:pPr>
        <w:numPr>
          <w:ilvl w:val="0"/>
          <w:numId w:val="18"/>
        </w:numPr>
        <w:spacing w:after="0" w:line="240" w:lineRule="auto"/>
        <w:rPr>
          <w:rFonts w:eastAsia="Times New Roman" w:cstheme="minorHAnsi"/>
          <w:color w:val="000000"/>
          <w:sz w:val="24"/>
          <w:szCs w:val="24"/>
        </w:rPr>
      </w:pPr>
      <w:r w:rsidRPr="009E3481">
        <w:rPr>
          <w:rFonts w:eastAsia="Times New Roman" w:cstheme="minorHAnsi"/>
          <w:b/>
          <w:bCs/>
          <w:color w:val="000000"/>
          <w:sz w:val="24"/>
          <w:szCs w:val="24"/>
        </w:rPr>
        <w:t xml:space="preserve">Race: </w:t>
      </w:r>
      <w:r w:rsidR="00537418" w:rsidRPr="00537418">
        <w:rPr>
          <w:rFonts w:eastAsia="Times New Roman" w:cstheme="minorHAnsi"/>
          <w:color w:val="000000"/>
          <w:sz w:val="24"/>
          <w:szCs w:val="24"/>
        </w:rPr>
        <w:t>Based on self-reported data, 84.5% of the Patient Panel identified as white, 7.3% identified as Black or African American, 2.6% identified as Asian, and 2.0% identified as Hispanic/Latino.</w:t>
      </w:r>
    </w:p>
    <w:p w14:paraId="212F45C2" w14:textId="3069F266" w:rsidR="005A3828" w:rsidRDefault="00601D8F" w:rsidP="00680DE6">
      <w:pPr>
        <w:numPr>
          <w:ilvl w:val="0"/>
          <w:numId w:val="18"/>
        </w:numPr>
        <w:spacing w:after="0" w:line="240" w:lineRule="auto"/>
        <w:rPr>
          <w:rFonts w:eastAsia="Times New Roman" w:cstheme="minorHAnsi"/>
          <w:color w:val="000000"/>
          <w:sz w:val="24"/>
          <w:szCs w:val="24"/>
        </w:rPr>
      </w:pPr>
      <w:r w:rsidRPr="004C7A42">
        <w:rPr>
          <w:rFonts w:eastAsia="Times New Roman" w:cstheme="minorHAnsi"/>
          <w:b/>
          <w:bCs/>
          <w:color w:val="000000"/>
          <w:sz w:val="24"/>
          <w:szCs w:val="24"/>
        </w:rPr>
        <w:t>Patient Origin</w:t>
      </w:r>
      <w:r w:rsidR="004C7A42" w:rsidRPr="004C7A42">
        <w:rPr>
          <w:rFonts w:eastAsia="Times New Roman" w:cstheme="minorHAnsi"/>
          <w:b/>
          <w:bCs/>
          <w:color w:val="000000"/>
          <w:sz w:val="24"/>
          <w:szCs w:val="24"/>
        </w:rPr>
        <w:t>:</w:t>
      </w:r>
      <w:r w:rsidRPr="004C7A42">
        <w:rPr>
          <w:rFonts w:eastAsia="Times New Roman" w:cstheme="minorHAnsi"/>
          <w:color w:val="000000"/>
          <w:sz w:val="24"/>
          <w:szCs w:val="24"/>
        </w:rPr>
        <w:t xml:space="preserve"> </w:t>
      </w:r>
      <w:r w:rsidR="00620E64">
        <w:rPr>
          <w:rFonts w:eastAsia="Times New Roman" w:cstheme="minorHAnsi"/>
          <w:color w:val="000000"/>
          <w:sz w:val="24"/>
          <w:szCs w:val="24"/>
        </w:rPr>
        <w:t>Representing a broad geographic reach, t</w:t>
      </w:r>
      <w:r w:rsidR="004C7A42">
        <w:rPr>
          <w:rFonts w:eastAsia="Times New Roman" w:cstheme="minorHAnsi"/>
          <w:color w:val="000000"/>
          <w:sz w:val="24"/>
          <w:szCs w:val="24"/>
        </w:rPr>
        <w:t xml:space="preserve">he Applicant </w:t>
      </w:r>
      <w:r w:rsidR="00620E64">
        <w:rPr>
          <w:rFonts w:eastAsia="Times New Roman" w:cstheme="minorHAnsi"/>
          <w:color w:val="000000"/>
          <w:sz w:val="24"/>
          <w:szCs w:val="24"/>
        </w:rPr>
        <w:t xml:space="preserve">demonstrated that </w:t>
      </w:r>
      <w:r w:rsidR="004C7A42">
        <w:rPr>
          <w:rFonts w:eastAsia="Times New Roman" w:cstheme="minorHAnsi"/>
          <w:color w:val="000000"/>
          <w:sz w:val="24"/>
          <w:szCs w:val="24"/>
        </w:rPr>
        <w:t>75% of the Patient Panel reside</w:t>
      </w:r>
      <w:r w:rsidR="00620E64">
        <w:rPr>
          <w:rFonts w:eastAsia="Times New Roman" w:cstheme="minorHAnsi"/>
          <w:color w:val="000000"/>
          <w:sz w:val="24"/>
          <w:szCs w:val="24"/>
        </w:rPr>
        <w:t xml:space="preserve">d in </w:t>
      </w:r>
      <w:r w:rsidR="00620E64" w:rsidRPr="00620E64">
        <w:rPr>
          <w:rFonts w:eastAsia="Times New Roman" w:cstheme="minorHAnsi"/>
          <w:color w:val="000000"/>
          <w:sz w:val="24"/>
          <w:szCs w:val="24"/>
        </w:rPr>
        <w:t xml:space="preserve">97 </w:t>
      </w:r>
      <w:r w:rsidR="00FE62EF">
        <w:rPr>
          <w:rFonts w:eastAsia="Times New Roman" w:cstheme="minorHAnsi"/>
          <w:color w:val="000000"/>
          <w:sz w:val="24"/>
          <w:szCs w:val="24"/>
        </w:rPr>
        <w:t xml:space="preserve">Massachusetts </w:t>
      </w:r>
      <w:r w:rsidR="00620E64" w:rsidRPr="00620E64">
        <w:rPr>
          <w:rFonts w:eastAsia="Times New Roman" w:cstheme="minorHAnsi"/>
          <w:color w:val="000000"/>
          <w:sz w:val="24"/>
          <w:szCs w:val="24"/>
        </w:rPr>
        <w:t xml:space="preserve">towns </w:t>
      </w:r>
      <w:r w:rsidR="00620E64">
        <w:rPr>
          <w:rFonts w:eastAsia="Times New Roman" w:cstheme="minorHAnsi"/>
          <w:color w:val="000000"/>
          <w:sz w:val="24"/>
          <w:szCs w:val="24"/>
        </w:rPr>
        <w:t>during t</w:t>
      </w:r>
      <w:r w:rsidR="004C7A42">
        <w:rPr>
          <w:rFonts w:eastAsia="Times New Roman" w:cstheme="minorHAnsi"/>
          <w:color w:val="000000"/>
          <w:sz w:val="24"/>
          <w:szCs w:val="24"/>
        </w:rPr>
        <w:t xml:space="preserve">he </w:t>
      </w:r>
      <w:r w:rsidR="001E04E3">
        <w:rPr>
          <w:rFonts w:eastAsia="Times New Roman" w:cstheme="minorHAnsi"/>
          <w:color w:val="000000"/>
          <w:sz w:val="24"/>
          <w:szCs w:val="24"/>
        </w:rPr>
        <w:t>three-year</w:t>
      </w:r>
      <w:r w:rsidR="004C7A42">
        <w:rPr>
          <w:rFonts w:eastAsia="Times New Roman" w:cstheme="minorHAnsi"/>
          <w:color w:val="000000"/>
          <w:sz w:val="24"/>
          <w:szCs w:val="24"/>
        </w:rPr>
        <w:t xml:space="preserve"> reporting period</w:t>
      </w:r>
      <w:r w:rsidR="00620E64">
        <w:rPr>
          <w:rFonts w:eastAsia="Times New Roman" w:cstheme="minorHAnsi"/>
          <w:color w:val="000000"/>
          <w:sz w:val="24"/>
          <w:szCs w:val="24"/>
        </w:rPr>
        <w:t>.</w:t>
      </w:r>
      <w:r w:rsidR="004C7A42">
        <w:rPr>
          <w:rFonts w:eastAsia="Times New Roman" w:cstheme="minorHAnsi"/>
          <w:color w:val="000000"/>
          <w:sz w:val="24"/>
          <w:szCs w:val="24"/>
        </w:rPr>
        <w:t xml:space="preserve"> </w:t>
      </w:r>
      <w:r w:rsidR="00620E64">
        <w:rPr>
          <w:rFonts w:eastAsia="Times New Roman" w:cstheme="minorHAnsi"/>
          <w:color w:val="000000"/>
          <w:sz w:val="24"/>
          <w:szCs w:val="24"/>
        </w:rPr>
        <w:t>T</w:t>
      </w:r>
      <w:r w:rsidR="004C7A42">
        <w:rPr>
          <w:rFonts w:eastAsia="Times New Roman" w:cstheme="minorHAnsi"/>
          <w:color w:val="000000"/>
          <w:sz w:val="24"/>
          <w:szCs w:val="24"/>
        </w:rPr>
        <w:t xml:space="preserve">he city of Boston contributed the largest percentage of patients 13.1% with the next largest </w:t>
      </w:r>
      <w:r w:rsidR="00620E64">
        <w:rPr>
          <w:rFonts w:eastAsia="Times New Roman" w:cstheme="minorHAnsi"/>
          <w:color w:val="000000"/>
          <w:sz w:val="24"/>
          <w:szCs w:val="24"/>
        </w:rPr>
        <w:t xml:space="preserve">percentage, 2.5% coming from </w:t>
      </w:r>
      <w:r w:rsidR="004C7A42">
        <w:rPr>
          <w:rFonts w:eastAsia="Times New Roman" w:cstheme="minorHAnsi"/>
          <w:color w:val="000000"/>
          <w:sz w:val="24"/>
          <w:szCs w:val="24"/>
        </w:rPr>
        <w:t>Newton</w:t>
      </w:r>
      <w:r w:rsidR="00620E64">
        <w:rPr>
          <w:rFonts w:eastAsia="Times New Roman" w:cstheme="minorHAnsi"/>
          <w:color w:val="000000"/>
          <w:sz w:val="24"/>
          <w:szCs w:val="24"/>
        </w:rPr>
        <w:t xml:space="preserve">. </w:t>
      </w:r>
      <w:r w:rsidR="00FE62EF">
        <w:rPr>
          <w:rFonts w:eastAsia="Times New Roman" w:cstheme="minorHAnsi"/>
          <w:color w:val="000000"/>
          <w:sz w:val="24"/>
          <w:szCs w:val="24"/>
        </w:rPr>
        <w:t>(5.9% resided out of state or other.)</w:t>
      </w:r>
      <w:r w:rsidR="00E74C38">
        <w:rPr>
          <w:rFonts w:eastAsia="Times New Roman" w:cstheme="minorHAnsi"/>
          <w:color w:val="000000"/>
          <w:sz w:val="24"/>
          <w:szCs w:val="24"/>
        </w:rPr>
        <w:t xml:space="preserve"> </w:t>
      </w:r>
    </w:p>
    <w:p w14:paraId="6B850ED7" w14:textId="6A973B80" w:rsidR="004E67AF" w:rsidRDefault="004E67AF" w:rsidP="004E67AF">
      <w:pPr>
        <w:spacing w:after="0" w:line="240" w:lineRule="auto"/>
        <w:rPr>
          <w:rFonts w:eastAsia="Times New Roman" w:cstheme="minorHAnsi"/>
          <w:color w:val="000000"/>
          <w:sz w:val="24"/>
          <w:szCs w:val="24"/>
        </w:rPr>
      </w:pPr>
    </w:p>
    <w:p w14:paraId="46D27ED5" w14:textId="14588959" w:rsidR="004E67AF" w:rsidRDefault="004E67AF" w:rsidP="004E67AF">
      <w:pPr>
        <w:spacing w:after="0" w:line="240" w:lineRule="auto"/>
        <w:rPr>
          <w:rFonts w:eastAsia="Times New Roman" w:cstheme="minorHAnsi"/>
          <w:color w:val="000000"/>
          <w:sz w:val="24"/>
          <w:szCs w:val="24"/>
        </w:rPr>
      </w:pPr>
    </w:p>
    <w:p w14:paraId="2399D840" w14:textId="6009DC93" w:rsidR="004E67AF" w:rsidRDefault="004E67AF" w:rsidP="004E67AF">
      <w:pPr>
        <w:spacing w:after="0" w:line="240" w:lineRule="auto"/>
        <w:rPr>
          <w:rFonts w:eastAsia="Times New Roman" w:cstheme="minorHAnsi"/>
          <w:color w:val="000000"/>
          <w:sz w:val="24"/>
          <w:szCs w:val="24"/>
        </w:rPr>
      </w:pPr>
    </w:p>
    <w:p w14:paraId="755FDE9F" w14:textId="79EC7730" w:rsidR="004E67AF" w:rsidRDefault="004E67AF" w:rsidP="004E67AF">
      <w:pPr>
        <w:spacing w:after="0" w:line="240" w:lineRule="auto"/>
        <w:rPr>
          <w:rFonts w:eastAsia="Times New Roman" w:cstheme="minorHAnsi"/>
          <w:color w:val="000000"/>
          <w:sz w:val="24"/>
          <w:szCs w:val="24"/>
        </w:rPr>
      </w:pPr>
    </w:p>
    <w:p w14:paraId="7FA56F55" w14:textId="08AD1CAC" w:rsidR="004E67AF" w:rsidRDefault="004E67AF" w:rsidP="004E67AF">
      <w:pPr>
        <w:spacing w:after="0" w:line="240" w:lineRule="auto"/>
        <w:rPr>
          <w:rFonts w:eastAsia="Times New Roman" w:cstheme="minorHAnsi"/>
          <w:color w:val="000000"/>
          <w:sz w:val="24"/>
          <w:szCs w:val="24"/>
        </w:rPr>
      </w:pPr>
    </w:p>
    <w:p w14:paraId="7431B1A5" w14:textId="31790BDE" w:rsidR="004E67AF" w:rsidRDefault="004E67AF" w:rsidP="004E67AF">
      <w:pPr>
        <w:spacing w:after="0" w:line="240" w:lineRule="auto"/>
        <w:rPr>
          <w:rFonts w:eastAsia="Times New Roman" w:cstheme="minorHAnsi"/>
          <w:color w:val="000000"/>
          <w:sz w:val="24"/>
          <w:szCs w:val="24"/>
        </w:rPr>
      </w:pPr>
    </w:p>
    <w:p w14:paraId="0BC9001E" w14:textId="77777777" w:rsidR="004E67AF" w:rsidRDefault="004E67AF" w:rsidP="004E67AF">
      <w:pPr>
        <w:spacing w:after="0" w:line="240" w:lineRule="auto"/>
        <w:rPr>
          <w:rFonts w:eastAsia="Times New Roman" w:cstheme="minorHAnsi"/>
          <w:color w:val="000000"/>
          <w:sz w:val="24"/>
          <w:szCs w:val="24"/>
        </w:rPr>
      </w:pPr>
    </w:p>
    <w:p w14:paraId="1B2EE312" w14:textId="70C9E7CD" w:rsidR="008F22A7" w:rsidRDefault="008F22A7" w:rsidP="008F22A7">
      <w:pPr>
        <w:spacing w:after="0" w:line="240" w:lineRule="auto"/>
        <w:ind w:left="720"/>
        <w:rPr>
          <w:rFonts w:eastAsia="Times New Roman" w:cstheme="minorHAnsi"/>
          <w:b/>
          <w:bCs/>
          <w:color w:val="000000"/>
          <w:sz w:val="24"/>
          <w:szCs w:val="24"/>
        </w:rPr>
      </w:pPr>
    </w:p>
    <w:p w14:paraId="0CCEA181" w14:textId="2C19C5F5" w:rsidR="008F22A7" w:rsidRDefault="008F22A7" w:rsidP="008F22A7">
      <w:pPr>
        <w:spacing w:after="0" w:line="240" w:lineRule="auto"/>
        <w:ind w:left="720"/>
        <w:jc w:val="center"/>
        <w:rPr>
          <w:rFonts w:eastAsia="Times New Roman" w:cstheme="minorHAnsi"/>
          <w:color w:val="000000"/>
          <w:sz w:val="24"/>
          <w:szCs w:val="24"/>
        </w:rPr>
      </w:pPr>
      <w:r>
        <w:rPr>
          <w:rFonts w:eastAsia="Times New Roman" w:cstheme="minorHAnsi"/>
          <w:b/>
          <w:bCs/>
          <w:color w:val="000000"/>
          <w:sz w:val="24"/>
          <w:szCs w:val="24"/>
        </w:rPr>
        <w:lastRenderedPageBreak/>
        <w:t xml:space="preserve">Table </w:t>
      </w:r>
      <w:r w:rsidR="00D4075F">
        <w:rPr>
          <w:rFonts w:eastAsia="Times New Roman" w:cstheme="minorHAnsi"/>
          <w:b/>
          <w:bCs/>
          <w:color w:val="000000"/>
          <w:sz w:val="24"/>
          <w:szCs w:val="24"/>
        </w:rPr>
        <w:t>3:</w:t>
      </w:r>
      <w:r>
        <w:rPr>
          <w:rFonts w:eastAsia="Times New Roman" w:cstheme="minorHAnsi"/>
          <w:b/>
          <w:bCs/>
          <w:color w:val="000000"/>
          <w:sz w:val="24"/>
          <w:szCs w:val="24"/>
        </w:rPr>
        <w:t xml:space="preserve"> Payor Mix FY 19- Quarter 1 FY 22</w:t>
      </w:r>
    </w:p>
    <w:p w14:paraId="30D2F756" w14:textId="28676CFE" w:rsidR="008F22A7" w:rsidRDefault="008F22A7" w:rsidP="008F22A7">
      <w:pPr>
        <w:spacing w:after="0" w:line="240" w:lineRule="auto"/>
        <w:rPr>
          <w:rFonts w:eastAsia="Times New Roman" w:cstheme="minorHAnsi"/>
          <w:color w:val="000000"/>
          <w:sz w:val="24"/>
          <w:szCs w:val="24"/>
        </w:rPr>
      </w:pPr>
    </w:p>
    <w:tbl>
      <w:tblPr>
        <w:tblW w:w="9340" w:type="dxa"/>
        <w:tblLook w:val="04A0" w:firstRow="1" w:lastRow="0" w:firstColumn="1" w:lastColumn="0" w:noHBand="0" w:noVBand="1"/>
      </w:tblPr>
      <w:tblGrid>
        <w:gridCol w:w="959"/>
        <w:gridCol w:w="877"/>
        <w:gridCol w:w="940"/>
        <w:gridCol w:w="892"/>
        <w:gridCol w:w="820"/>
        <w:gridCol w:w="1570"/>
        <w:gridCol w:w="815"/>
        <w:gridCol w:w="815"/>
        <w:gridCol w:w="815"/>
        <w:gridCol w:w="837"/>
      </w:tblGrid>
      <w:tr w:rsidR="008F22A7" w:rsidRPr="008F22A7" w14:paraId="1A96311B" w14:textId="77777777" w:rsidTr="007F7A64">
        <w:trPr>
          <w:cantSplit/>
          <w:trHeight w:val="300"/>
          <w:tblHeader/>
        </w:trPr>
        <w:tc>
          <w:tcPr>
            <w:tcW w:w="4490" w:type="dxa"/>
            <w:gridSpan w:val="5"/>
            <w:tcBorders>
              <w:top w:val="single" w:sz="8" w:space="0" w:color="auto"/>
              <w:left w:val="single" w:sz="8" w:space="0" w:color="auto"/>
              <w:bottom w:val="single" w:sz="8" w:space="0" w:color="auto"/>
              <w:right w:val="single" w:sz="8" w:space="0" w:color="000000"/>
            </w:tcBorders>
            <w:shd w:val="clear" w:color="auto" w:fill="DDFFFF"/>
            <w:noWrap/>
            <w:vAlign w:val="center"/>
            <w:hideMark/>
          </w:tcPr>
          <w:p w14:paraId="67168741"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APM Contract Percentages</w:t>
            </w:r>
          </w:p>
        </w:tc>
        <w:tc>
          <w:tcPr>
            <w:tcW w:w="4850" w:type="dxa"/>
            <w:gridSpan w:val="5"/>
            <w:tcBorders>
              <w:top w:val="single" w:sz="8" w:space="0" w:color="auto"/>
              <w:left w:val="nil"/>
              <w:bottom w:val="single" w:sz="8" w:space="0" w:color="auto"/>
              <w:right w:val="single" w:sz="8" w:space="0" w:color="000000"/>
            </w:tcBorders>
            <w:shd w:val="clear" w:color="auto" w:fill="DDFFFF"/>
            <w:noWrap/>
            <w:vAlign w:val="center"/>
            <w:hideMark/>
          </w:tcPr>
          <w:p w14:paraId="664FB316"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Non-ACO and Non- APM Contracts</w:t>
            </w:r>
          </w:p>
        </w:tc>
      </w:tr>
      <w:tr w:rsidR="00D9488A" w:rsidRPr="008F22A7" w14:paraId="5E66D6F5" w14:textId="77777777" w:rsidTr="007F7A64">
        <w:trPr>
          <w:cantSplit/>
          <w:trHeight w:val="300"/>
          <w:tblHead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EE691AF" w14:textId="77777777" w:rsidR="008F22A7" w:rsidRPr="008F22A7" w:rsidRDefault="008F22A7" w:rsidP="00C8675F">
            <w:pPr>
              <w:spacing w:after="0" w:line="240" w:lineRule="auto"/>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78" w:type="dxa"/>
            <w:tcBorders>
              <w:top w:val="nil"/>
              <w:left w:val="nil"/>
              <w:bottom w:val="single" w:sz="8" w:space="0" w:color="auto"/>
              <w:right w:val="single" w:sz="8" w:space="0" w:color="auto"/>
            </w:tcBorders>
            <w:shd w:val="clear" w:color="auto" w:fill="auto"/>
            <w:noWrap/>
            <w:vAlign w:val="center"/>
            <w:hideMark/>
          </w:tcPr>
          <w:p w14:paraId="3E6F94E1"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FY 19</w:t>
            </w:r>
          </w:p>
        </w:tc>
        <w:tc>
          <w:tcPr>
            <w:tcW w:w="940" w:type="dxa"/>
            <w:tcBorders>
              <w:top w:val="nil"/>
              <w:left w:val="nil"/>
              <w:bottom w:val="single" w:sz="8" w:space="0" w:color="auto"/>
              <w:right w:val="single" w:sz="8" w:space="0" w:color="auto"/>
            </w:tcBorders>
            <w:shd w:val="clear" w:color="auto" w:fill="auto"/>
            <w:noWrap/>
            <w:vAlign w:val="center"/>
            <w:hideMark/>
          </w:tcPr>
          <w:p w14:paraId="59AF5F51"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FY 20</w:t>
            </w:r>
          </w:p>
        </w:tc>
        <w:tc>
          <w:tcPr>
            <w:tcW w:w="892" w:type="dxa"/>
            <w:tcBorders>
              <w:top w:val="nil"/>
              <w:left w:val="nil"/>
              <w:bottom w:val="single" w:sz="8" w:space="0" w:color="auto"/>
              <w:right w:val="single" w:sz="8" w:space="0" w:color="auto"/>
            </w:tcBorders>
            <w:shd w:val="clear" w:color="auto" w:fill="auto"/>
            <w:noWrap/>
            <w:vAlign w:val="center"/>
            <w:hideMark/>
          </w:tcPr>
          <w:p w14:paraId="37E88FA0"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FY 21</w:t>
            </w:r>
          </w:p>
        </w:tc>
        <w:tc>
          <w:tcPr>
            <w:tcW w:w="820" w:type="dxa"/>
            <w:tcBorders>
              <w:top w:val="nil"/>
              <w:left w:val="nil"/>
              <w:bottom w:val="single" w:sz="8" w:space="0" w:color="auto"/>
              <w:right w:val="single" w:sz="8" w:space="0" w:color="auto"/>
            </w:tcBorders>
            <w:shd w:val="clear" w:color="auto" w:fill="auto"/>
            <w:noWrap/>
            <w:vAlign w:val="center"/>
            <w:hideMark/>
          </w:tcPr>
          <w:p w14:paraId="2B165081" w14:textId="4D7701D0" w:rsidR="00D9488A"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Q1</w:t>
            </w:r>
          </w:p>
          <w:p w14:paraId="6FDAC7DC" w14:textId="1F44BD13"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FY 22</w:t>
            </w:r>
          </w:p>
        </w:tc>
        <w:tc>
          <w:tcPr>
            <w:tcW w:w="1571" w:type="dxa"/>
            <w:tcBorders>
              <w:top w:val="nil"/>
              <w:left w:val="nil"/>
              <w:bottom w:val="single" w:sz="8" w:space="0" w:color="auto"/>
              <w:right w:val="single" w:sz="8" w:space="0" w:color="auto"/>
            </w:tcBorders>
            <w:shd w:val="clear" w:color="auto" w:fill="auto"/>
            <w:noWrap/>
            <w:vAlign w:val="center"/>
            <w:hideMark/>
          </w:tcPr>
          <w:p w14:paraId="373241DA"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 </w:t>
            </w:r>
          </w:p>
        </w:tc>
        <w:tc>
          <w:tcPr>
            <w:tcW w:w="814" w:type="dxa"/>
            <w:tcBorders>
              <w:top w:val="nil"/>
              <w:left w:val="nil"/>
              <w:bottom w:val="single" w:sz="8" w:space="0" w:color="auto"/>
              <w:right w:val="single" w:sz="8" w:space="0" w:color="auto"/>
            </w:tcBorders>
            <w:shd w:val="clear" w:color="auto" w:fill="auto"/>
            <w:noWrap/>
            <w:vAlign w:val="center"/>
            <w:hideMark/>
          </w:tcPr>
          <w:p w14:paraId="1E1516A6"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FY 19</w:t>
            </w:r>
          </w:p>
        </w:tc>
        <w:tc>
          <w:tcPr>
            <w:tcW w:w="814" w:type="dxa"/>
            <w:tcBorders>
              <w:top w:val="nil"/>
              <w:left w:val="nil"/>
              <w:bottom w:val="single" w:sz="8" w:space="0" w:color="auto"/>
              <w:right w:val="single" w:sz="8" w:space="0" w:color="auto"/>
            </w:tcBorders>
            <w:shd w:val="clear" w:color="auto" w:fill="auto"/>
            <w:noWrap/>
            <w:vAlign w:val="center"/>
            <w:hideMark/>
          </w:tcPr>
          <w:p w14:paraId="2A12989A"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FY 20</w:t>
            </w:r>
          </w:p>
        </w:tc>
        <w:tc>
          <w:tcPr>
            <w:tcW w:w="814" w:type="dxa"/>
            <w:tcBorders>
              <w:top w:val="nil"/>
              <w:left w:val="nil"/>
              <w:bottom w:val="single" w:sz="8" w:space="0" w:color="auto"/>
              <w:right w:val="single" w:sz="8" w:space="0" w:color="auto"/>
            </w:tcBorders>
            <w:shd w:val="clear" w:color="auto" w:fill="auto"/>
            <w:noWrap/>
            <w:vAlign w:val="center"/>
            <w:hideMark/>
          </w:tcPr>
          <w:p w14:paraId="26750B90" w14:textId="77777777"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FY 21</w:t>
            </w:r>
          </w:p>
        </w:tc>
        <w:tc>
          <w:tcPr>
            <w:tcW w:w="837" w:type="dxa"/>
            <w:tcBorders>
              <w:top w:val="nil"/>
              <w:left w:val="nil"/>
              <w:bottom w:val="single" w:sz="8" w:space="0" w:color="auto"/>
              <w:right w:val="single" w:sz="8" w:space="0" w:color="auto"/>
            </w:tcBorders>
            <w:shd w:val="clear" w:color="auto" w:fill="auto"/>
            <w:noWrap/>
            <w:vAlign w:val="center"/>
            <w:hideMark/>
          </w:tcPr>
          <w:p w14:paraId="622D6244" w14:textId="698D6A7E" w:rsidR="00D9488A"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Q1</w:t>
            </w:r>
          </w:p>
          <w:p w14:paraId="73494EF4" w14:textId="78835A55"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FY 22</w:t>
            </w:r>
          </w:p>
        </w:tc>
      </w:tr>
      <w:tr w:rsidR="00D9488A" w:rsidRPr="008F22A7" w14:paraId="2AF5BA77" w14:textId="77777777" w:rsidTr="007F7A64">
        <w:trPr>
          <w:cantSplit/>
          <w:trHeight w:val="730"/>
        </w:trPr>
        <w:tc>
          <w:tcPr>
            <w:tcW w:w="960" w:type="dxa"/>
            <w:vMerge w:val="restart"/>
            <w:tcBorders>
              <w:top w:val="nil"/>
              <w:left w:val="single" w:sz="8" w:space="0" w:color="auto"/>
              <w:bottom w:val="nil"/>
              <w:right w:val="single" w:sz="8" w:space="0" w:color="auto"/>
            </w:tcBorders>
            <w:shd w:val="clear" w:color="auto" w:fill="auto"/>
            <w:vAlign w:val="center"/>
            <w:hideMark/>
          </w:tcPr>
          <w:p w14:paraId="2A5159A2" w14:textId="57CD4BE5"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ACO and APM Contract</w:t>
            </w:r>
          </w:p>
        </w:tc>
        <w:tc>
          <w:tcPr>
            <w:tcW w:w="878" w:type="dxa"/>
            <w:tcBorders>
              <w:top w:val="nil"/>
              <w:left w:val="nil"/>
              <w:bottom w:val="nil"/>
              <w:right w:val="single" w:sz="8" w:space="0" w:color="auto"/>
            </w:tcBorders>
            <w:shd w:val="clear" w:color="auto" w:fill="auto"/>
            <w:noWrap/>
            <w:vAlign w:val="center"/>
            <w:hideMark/>
          </w:tcPr>
          <w:p w14:paraId="0DE87385"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5.20%</w:t>
            </w:r>
          </w:p>
        </w:tc>
        <w:tc>
          <w:tcPr>
            <w:tcW w:w="940" w:type="dxa"/>
            <w:tcBorders>
              <w:top w:val="nil"/>
              <w:left w:val="nil"/>
              <w:bottom w:val="nil"/>
              <w:right w:val="single" w:sz="8" w:space="0" w:color="auto"/>
            </w:tcBorders>
            <w:shd w:val="clear" w:color="auto" w:fill="auto"/>
            <w:noWrap/>
            <w:vAlign w:val="center"/>
            <w:hideMark/>
          </w:tcPr>
          <w:p w14:paraId="29A47CBA"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3.70%</w:t>
            </w:r>
          </w:p>
        </w:tc>
        <w:tc>
          <w:tcPr>
            <w:tcW w:w="892" w:type="dxa"/>
            <w:tcBorders>
              <w:top w:val="nil"/>
              <w:left w:val="nil"/>
              <w:bottom w:val="nil"/>
              <w:right w:val="single" w:sz="8" w:space="0" w:color="auto"/>
            </w:tcBorders>
            <w:shd w:val="clear" w:color="auto" w:fill="auto"/>
            <w:noWrap/>
            <w:vAlign w:val="center"/>
            <w:hideMark/>
          </w:tcPr>
          <w:p w14:paraId="2651A305"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3.60%</w:t>
            </w:r>
          </w:p>
        </w:tc>
        <w:tc>
          <w:tcPr>
            <w:tcW w:w="820" w:type="dxa"/>
            <w:tcBorders>
              <w:top w:val="nil"/>
              <w:left w:val="nil"/>
              <w:bottom w:val="nil"/>
              <w:right w:val="single" w:sz="8" w:space="0" w:color="auto"/>
            </w:tcBorders>
            <w:shd w:val="clear" w:color="auto" w:fill="auto"/>
            <w:noWrap/>
            <w:vAlign w:val="center"/>
            <w:hideMark/>
          </w:tcPr>
          <w:p w14:paraId="24E7BA2E"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4.90%</w:t>
            </w:r>
          </w:p>
        </w:tc>
        <w:tc>
          <w:tcPr>
            <w:tcW w:w="1571" w:type="dxa"/>
            <w:tcBorders>
              <w:top w:val="nil"/>
              <w:left w:val="nil"/>
              <w:bottom w:val="single" w:sz="8" w:space="0" w:color="auto"/>
              <w:right w:val="single" w:sz="8" w:space="0" w:color="auto"/>
            </w:tcBorders>
            <w:shd w:val="clear" w:color="auto" w:fill="auto"/>
            <w:vAlign w:val="center"/>
            <w:hideMark/>
          </w:tcPr>
          <w:p w14:paraId="68DE3580" w14:textId="77777777" w:rsidR="008F22A7" w:rsidRPr="008F22A7" w:rsidRDefault="008F22A7" w:rsidP="00C8675F">
            <w:pPr>
              <w:spacing w:after="0" w:line="240" w:lineRule="auto"/>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Commercial PPO/Indemnity</w:t>
            </w:r>
          </w:p>
        </w:tc>
        <w:tc>
          <w:tcPr>
            <w:tcW w:w="814" w:type="dxa"/>
            <w:tcBorders>
              <w:top w:val="nil"/>
              <w:left w:val="nil"/>
              <w:bottom w:val="single" w:sz="8" w:space="0" w:color="auto"/>
              <w:right w:val="single" w:sz="8" w:space="0" w:color="auto"/>
            </w:tcBorders>
            <w:shd w:val="clear" w:color="auto" w:fill="auto"/>
            <w:noWrap/>
            <w:vAlign w:val="center"/>
            <w:hideMark/>
          </w:tcPr>
          <w:p w14:paraId="2FB75195"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9.80%</w:t>
            </w:r>
          </w:p>
        </w:tc>
        <w:tc>
          <w:tcPr>
            <w:tcW w:w="814" w:type="dxa"/>
            <w:tcBorders>
              <w:top w:val="nil"/>
              <w:left w:val="nil"/>
              <w:bottom w:val="single" w:sz="8" w:space="0" w:color="auto"/>
              <w:right w:val="single" w:sz="8" w:space="0" w:color="auto"/>
            </w:tcBorders>
            <w:shd w:val="clear" w:color="auto" w:fill="auto"/>
            <w:noWrap/>
            <w:vAlign w:val="center"/>
            <w:hideMark/>
          </w:tcPr>
          <w:p w14:paraId="26C1920E"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9.20%</w:t>
            </w:r>
          </w:p>
        </w:tc>
        <w:tc>
          <w:tcPr>
            <w:tcW w:w="814" w:type="dxa"/>
            <w:tcBorders>
              <w:top w:val="nil"/>
              <w:left w:val="nil"/>
              <w:bottom w:val="single" w:sz="8" w:space="0" w:color="auto"/>
              <w:right w:val="single" w:sz="8" w:space="0" w:color="auto"/>
            </w:tcBorders>
            <w:shd w:val="clear" w:color="auto" w:fill="auto"/>
            <w:noWrap/>
            <w:vAlign w:val="center"/>
            <w:hideMark/>
          </w:tcPr>
          <w:p w14:paraId="6B0CDD27"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8.00%</w:t>
            </w:r>
          </w:p>
        </w:tc>
        <w:tc>
          <w:tcPr>
            <w:tcW w:w="837" w:type="dxa"/>
            <w:tcBorders>
              <w:top w:val="nil"/>
              <w:left w:val="nil"/>
              <w:bottom w:val="single" w:sz="8" w:space="0" w:color="auto"/>
              <w:right w:val="single" w:sz="8" w:space="0" w:color="auto"/>
            </w:tcBorders>
            <w:shd w:val="clear" w:color="auto" w:fill="auto"/>
            <w:noWrap/>
            <w:vAlign w:val="center"/>
            <w:hideMark/>
          </w:tcPr>
          <w:p w14:paraId="678D189A"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10.20%</w:t>
            </w:r>
          </w:p>
        </w:tc>
      </w:tr>
      <w:tr w:rsidR="00D9488A" w:rsidRPr="008F22A7" w14:paraId="10958FB6" w14:textId="77777777" w:rsidTr="007F7A64">
        <w:trPr>
          <w:cantSplit/>
          <w:trHeight w:val="530"/>
        </w:trPr>
        <w:tc>
          <w:tcPr>
            <w:tcW w:w="960" w:type="dxa"/>
            <w:vMerge/>
            <w:tcBorders>
              <w:top w:val="nil"/>
              <w:left w:val="single" w:sz="8" w:space="0" w:color="auto"/>
              <w:bottom w:val="nil"/>
              <w:right w:val="single" w:sz="8" w:space="0" w:color="auto"/>
            </w:tcBorders>
            <w:vAlign w:val="center"/>
            <w:hideMark/>
          </w:tcPr>
          <w:p w14:paraId="2FFF3E00" w14:textId="77777777" w:rsidR="008F22A7" w:rsidRPr="008F22A7" w:rsidRDefault="008F22A7" w:rsidP="00C8675F">
            <w:pPr>
              <w:spacing w:after="0" w:line="240" w:lineRule="auto"/>
              <w:rPr>
                <w:rFonts w:ascii="Calibri" w:eastAsia="Times New Roman" w:hAnsi="Calibri" w:cs="Calibri"/>
                <w:b/>
                <w:bCs/>
                <w:color w:val="000000"/>
                <w:sz w:val="20"/>
                <w:szCs w:val="20"/>
              </w:rPr>
            </w:pPr>
          </w:p>
        </w:tc>
        <w:tc>
          <w:tcPr>
            <w:tcW w:w="878" w:type="dxa"/>
            <w:tcBorders>
              <w:top w:val="nil"/>
              <w:left w:val="nil"/>
              <w:bottom w:val="nil"/>
              <w:right w:val="single" w:sz="8" w:space="0" w:color="auto"/>
            </w:tcBorders>
            <w:shd w:val="clear" w:color="auto" w:fill="auto"/>
            <w:noWrap/>
            <w:vAlign w:val="center"/>
            <w:hideMark/>
          </w:tcPr>
          <w:p w14:paraId="6DFA4683"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940" w:type="dxa"/>
            <w:tcBorders>
              <w:top w:val="nil"/>
              <w:left w:val="nil"/>
              <w:bottom w:val="nil"/>
              <w:right w:val="single" w:sz="8" w:space="0" w:color="auto"/>
            </w:tcBorders>
            <w:shd w:val="clear" w:color="auto" w:fill="auto"/>
            <w:noWrap/>
            <w:vAlign w:val="center"/>
            <w:hideMark/>
          </w:tcPr>
          <w:p w14:paraId="356FF87E"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92" w:type="dxa"/>
            <w:tcBorders>
              <w:top w:val="nil"/>
              <w:left w:val="nil"/>
              <w:bottom w:val="nil"/>
              <w:right w:val="single" w:sz="8" w:space="0" w:color="auto"/>
            </w:tcBorders>
            <w:shd w:val="clear" w:color="auto" w:fill="auto"/>
            <w:noWrap/>
            <w:vAlign w:val="center"/>
            <w:hideMark/>
          </w:tcPr>
          <w:p w14:paraId="239CB8A4"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20" w:type="dxa"/>
            <w:tcBorders>
              <w:top w:val="nil"/>
              <w:left w:val="nil"/>
              <w:bottom w:val="nil"/>
              <w:right w:val="single" w:sz="8" w:space="0" w:color="auto"/>
            </w:tcBorders>
            <w:shd w:val="clear" w:color="auto" w:fill="auto"/>
            <w:noWrap/>
            <w:vAlign w:val="center"/>
            <w:hideMark/>
          </w:tcPr>
          <w:p w14:paraId="4E642E44"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1571" w:type="dxa"/>
            <w:tcBorders>
              <w:top w:val="nil"/>
              <w:left w:val="nil"/>
              <w:bottom w:val="single" w:sz="8" w:space="0" w:color="auto"/>
              <w:right w:val="single" w:sz="8" w:space="0" w:color="auto"/>
            </w:tcBorders>
            <w:shd w:val="clear" w:color="auto" w:fill="auto"/>
            <w:vAlign w:val="center"/>
            <w:hideMark/>
          </w:tcPr>
          <w:p w14:paraId="744FB380" w14:textId="77777777" w:rsidR="008F22A7" w:rsidRPr="008F22A7" w:rsidRDefault="008F22A7" w:rsidP="00C8675F">
            <w:pPr>
              <w:spacing w:after="0" w:line="240" w:lineRule="auto"/>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Commercial HMO/POS</w:t>
            </w:r>
          </w:p>
        </w:tc>
        <w:tc>
          <w:tcPr>
            <w:tcW w:w="814" w:type="dxa"/>
            <w:tcBorders>
              <w:top w:val="nil"/>
              <w:left w:val="nil"/>
              <w:bottom w:val="single" w:sz="8" w:space="0" w:color="auto"/>
              <w:right w:val="single" w:sz="8" w:space="0" w:color="auto"/>
            </w:tcBorders>
            <w:shd w:val="clear" w:color="auto" w:fill="auto"/>
            <w:noWrap/>
            <w:vAlign w:val="center"/>
            <w:hideMark/>
          </w:tcPr>
          <w:p w14:paraId="30A63CAC"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60.60%</w:t>
            </w:r>
          </w:p>
        </w:tc>
        <w:tc>
          <w:tcPr>
            <w:tcW w:w="814" w:type="dxa"/>
            <w:tcBorders>
              <w:top w:val="nil"/>
              <w:left w:val="nil"/>
              <w:bottom w:val="single" w:sz="8" w:space="0" w:color="auto"/>
              <w:right w:val="single" w:sz="8" w:space="0" w:color="auto"/>
            </w:tcBorders>
            <w:shd w:val="clear" w:color="auto" w:fill="auto"/>
            <w:noWrap/>
            <w:vAlign w:val="center"/>
            <w:hideMark/>
          </w:tcPr>
          <w:p w14:paraId="74726008"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61.80%</w:t>
            </w:r>
          </w:p>
        </w:tc>
        <w:tc>
          <w:tcPr>
            <w:tcW w:w="814" w:type="dxa"/>
            <w:tcBorders>
              <w:top w:val="nil"/>
              <w:left w:val="nil"/>
              <w:bottom w:val="single" w:sz="8" w:space="0" w:color="auto"/>
              <w:right w:val="single" w:sz="8" w:space="0" w:color="auto"/>
            </w:tcBorders>
            <w:shd w:val="clear" w:color="auto" w:fill="auto"/>
            <w:noWrap/>
            <w:vAlign w:val="center"/>
            <w:hideMark/>
          </w:tcPr>
          <w:p w14:paraId="62DB1308"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61.90%</w:t>
            </w:r>
          </w:p>
        </w:tc>
        <w:tc>
          <w:tcPr>
            <w:tcW w:w="837" w:type="dxa"/>
            <w:tcBorders>
              <w:top w:val="nil"/>
              <w:left w:val="nil"/>
              <w:bottom w:val="single" w:sz="8" w:space="0" w:color="auto"/>
              <w:right w:val="single" w:sz="8" w:space="0" w:color="auto"/>
            </w:tcBorders>
            <w:shd w:val="clear" w:color="auto" w:fill="auto"/>
            <w:noWrap/>
            <w:vAlign w:val="center"/>
            <w:hideMark/>
          </w:tcPr>
          <w:p w14:paraId="09760B20"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61.50%</w:t>
            </w:r>
          </w:p>
        </w:tc>
      </w:tr>
      <w:tr w:rsidR="00D9488A" w:rsidRPr="008F22A7" w14:paraId="609B7AC2" w14:textId="77777777" w:rsidTr="007F7A64">
        <w:trPr>
          <w:cantSplit/>
          <w:trHeight w:val="300"/>
        </w:trPr>
        <w:tc>
          <w:tcPr>
            <w:tcW w:w="960" w:type="dxa"/>
            <w:tcBorders>
              <w:top w:val="nil"/>
              <w:left w:val="single" w:sz="8" w:space="0" w:color="auto"/>
              <w:bottom w:val="nil"/>
              <w:right w:val="single" w:sz="8" w:space="0" w:color="auto"/>
            </w:tcBorders>
            <w:shd w:val="clear" w:color="auto" w:fill="auto"/>
            <w:vAlign w:val="center"/>
            <w:hideMark/>
          </w:tcPr>
          <w:p w14:paraId="54B6FEBA"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78" w:type="dxa"/>
            <w:tcBorders>
              <w:top w:val="nil"/>
              <w:left w:val="nil"/>
              <w:bottom w:val="nil"/>
              <w:right w:val="single" w:sz="8" w:space="0" w:color="auto"/>
            </w:tcBorders>
            <w:shd w:val="clear" w:color="auto" w:fill="auto"/>
            <w:noWrap/>
            <w:vAlign w:val="center"/>
            <w:hideMark/>
          </w:tcPr>
          <w:p w14:paraId="0B56F599"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940" w:type="dxa"/>
            <w:tcBorders>
              <w:top w:val="nil"/>
              <w:left w:val="nil"/>
              <w:bottom w:val="nil"/>
              <w:right w:val="single" w:sz="8" w:space="0" w:color="auto"/>
            </w:tcBorders>
            <w:shd w:val="clear" w:color="auto" w:fill="auto"/>
            <w:noWrap/>
            <w:vAlign w:val="center"/>
            <w:hideMark/>
          </w:tcPr>
          <w:p w14:paraId="2218A1C3"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92" w:type="dxa"/>
            <w:tcBorders>
              <w:top w:val="nil"/>
              <w:left w:val="nil"/>
              <w:bottom w:val="nil"/>
              <w:right w:val="single" w:sz="8" w:space="0" w:color="auto"/>
            </w:tcBorders>
            <w:shd w:val="clear" w:color="auto" w:fill="auto"/>
            <w:noWrap/>
            <w:vAlign w:val="center"/>
            <w:hideMark/>
          </w:tcPr>
          <w:p w14:paraId="26026BA4"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20" w:type="dxa"/>
            <w:tcBorders>
              <w:top w:val="nil"/>
              <w:left w:val="nil"/>
              <w:bottom w:val="nil"/>
              <w:right w:val="single" w:sz="8" w:space="0" w:color="auto"/>
            </w:tcBorders>
            <w:shd w:val="clear" w:color="auto" w:fill="auto"/>
            <w:noWrap/>
            <w:vAlign w:val="center"/>
            <w:hideMark/>
          </w:tcPr>
          <w:p w14:paraId="45E83617"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1571" w:type="dxa"/>
            <w:tcBorders>
              <w:top w:val="nil"/>
              <w:left w:val="nil"/>
              <w:bottom w:val="single" w:sz="8" w:space="0" w:color="auto"/>
              <w:right w:val="single" w:sz="8" w:space="0" w:color="auto"/>
            </w:tcBorders>
            <w:shd w:val="clear" w:color="auto" w:fill="auto"/>
            <w:noWrap/>
            <w:vAlign w:val="center"/>
            <w:hideMark/>
          </w:tcPr>
          <w:p w14:paraId="786FDD14" w14:textId="77777777" w:rsidR="008F22A7" w:rsidRPr="008F22A7" w:rsidRDefault="008F22A7" w:rsidP="00C8675F">
            <w:pPr>
              <w:spacing w:after="0" w:line="240" w:lineRule="auto"/>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MassHealth</w:t>
            </w:r>
          </w:p>
        </w:tc>
        <w:tc>
          <w:tcPr>
            <w:tcW w:w="814" w:type="dxa"/>
            <w:tcBorders>
              <w:top w:val="nil"/>
              <w:left w:val="nil"/>
              <w:bottom w:val="single" w:sz="8" w:space="0" w:color="auto"/>
              <w:right w:val="single" w:sz="8" w:space="0" w:color="auto"/>
            </w:tcBorders>
            <w:shd w:val="clear" w:color="auto" w:fill="auto"/>
            <w:noWrap/>
            <w:vAlign w:val="center"/>
            <w:hideMark/>
          </w:tcPr>
          <w:p w14:paraId="76814877"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0.90%</w:t>
            </w:r>
          </w:p>
        </w:tc>
        <w:tc>
          <w:tcPr>
            <w:tcW w:w="814" w:type="dxa"/>
            <w:tcBorders>
              <w:top w:val="nil"/>
              <w:left w:val="nil"/>
              <w:bottom w:val="single" w:sz="8" w:space="0" w:color="auto"/>
              <w:right w:val="single" w:sz="8" w:space="0" w:color="auto"/>
            </w:tcBorders>
            <w:shd w:val="clear" w:color="auto" w:fill="auto"/>
            <w:noWrap/>
            <w:vAlign w:val="center"/>
            <w:hideMark/>
          </w:tcPr>
          <w:p w14:paraId="58C5F557"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1.10%</w:t>
            </w:r>
          </w:p>
        </w:tc>
        <w:tc>
          <w:tcPr>
            <w:tcW w:w="814" w:type="dxa"/>
            <w:tcBorders>
              <w:top w:val="nil"/>
              <w:left w:val="nil"/>
              <w:bottom w:val="single" w:sz="8" w:space="0" w:color="auto"/>
              <w:right w:val="single" w:sz="8" w:space="0" w:color="auto"/>
            </w:tcBorders>
            <w:shd w:val="clear" w:color="auto" w:fill="auto"/>
            <w:noWrap/>
            <w:vAlign w:val="center"/>
            <w:hideMark/>
          </w:tcPr>
          <w:p w14:paraId="3D61EB0A"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1.70%</w:t>
            </w:r>
          </w:p>
        </w:tc>
        <w:tc>
          <w:tcPr>
            <w:tcW w:w="837" w:type="dxa"/>
            <w:tcBorders>
              <w:top w:val="nil"/>
              <w:left w:val="nil"/>
              <w:bottom w:val="single" w:sz="8" w:space="0" w:color="auto"/>
              <w:right w:val="single" w:sz="8" w:space="0" w:color="auto"/>
            </w:tcBorders>
            <w:shd w:val="clear" w:color="auto" w:fill="auto"/>
            <w:noWrap/>
            <w:vAlign w:val="center"/>
            <w:hideMark/>
          </w:tcPr>
          <w:p w14:paraId="7082AFB4"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0.90%</w:t>
            </w:r>
          </w:p>
        </w:tc>
      </w:tr>
      <w:tr w:rsidR="008F22A7" w:rsidRPr="008F22A7" w14:paraId="1D979A55" w14:textId="77777777" w:rsidTr="007F7A64">
        <w:trPr>
          <w:cantSplit/>
          <w:trHeight w:val="300"/>
        </w:trPr>
        <w:tc>
          <w:tcPr>
            <w:tcW w:w="4490" w:type="dxa"/>
            <w:gridSpan w:val="5"/>
            <w:tcBorders>
              <w:top w:val="single" w:sz="4" w:space="0" w:color="auto"/>
              <w:left w:val="single" w:sz="4" w:space="0" w:color="auto"/>
              <w:bottom w:val="single" w:sz="4" w:space="0" w:color="auto"/>
              <w:right w:val="single" w:sz="4" w:space="0" w:color="000000"/>
            </w:tcBorders>
            <w:shd w:val="thinDiagStripe" w:color="000000" w:fill="auto"/>
            <w:noWrap/>
            <w:vAlign w:val="bottom"/>
            <w:hideMark/>
          </w:tcPr>
          <w:p w14:paraId="47C153BF"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1571" w:type="dxa"/>
            <w:tcBorders>
              <w:top w:val="nil"/>
              <w:left w:val="nil"/>
              <w:bottom w:val="single" w:sz="8" w:space="0" w:color="auto"/>
              <w:right w:val="single" w:sz="8" w:space="0" w:color="auto"/>
            </w:tcBorders>
            <w:shd w:val="clear" w:color="auto" w:fill="auto"/>
            <w:noWrap/>
            <w:vAlign w:val="center"/>
            <w:hideMark/>
          </w:tcPr>
          <w:p w14:paraId="5EB6961C" w14:textId="77777777" w:rsidR="008F22A7" w:rsidRPr="008F22A7" w:rsidRDefault="008F22A7" w:rsidP="00C8675F">
            <w:pPr>
              <w:spacing w:after="0" w:line="240" w:lineRule="auto"/>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Managed Medicaid</w:t>
            </w:r>
          </w:p>
        </w:tc>
        <w:tc>
          <w:tcPr>
            <w:tcW w:w="814" w:type="dxa"/>
            <w:tcBorders>
              <w:top w:val="nil"/>
              <w:left w:val="nil"/>
              <w:bottom w:val="single" w:sz="8" w:space="0" w:color="auto"/>
              <w:right w:val="single" w:sz="8" w:space="0" w:color="auto"/>
            </w:tcBorders>
            <w:shd w:val="clear" w:color="auto" w:fill="auto"/>
            <w:noWrap/>
            <w:vAlign w:val="center"/>
            <w:hideMark/>
          </w:tcPr>
          <w:p w14:paraId="1DA99434"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0.70%</w:t>
            </w:r>
          </w:p>
        </w:tc>
        <w:tc>
          <w:tcPr>
            <w:tcW w:w="814" w:type="dxa"/>
            <w:tcBorders>
              <w:top w:val="nil"/>
              <w:left w:val="nil"/>
              <w:bottom w:val="single" w:sz="8" w:space="0" w:color="auto"/>
              <w:right w:val="single" w:sz="8" w:space="0" w:color="auto"/>
            </w:tcBorders>
            <w:shd w:val="clear" w:color="auto" w:fill="auto"/>
            <w:noWrap/>
            <w:vAlign w:val="center"/>
            <w:hideMark/>
          </w:tcPr>
          <w:p w14:paraId="0DA7552D"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1.50%</w:t>
            </w:r>
          </w:p>
        </w:tc>
        <w:tc>
          <w:tcPr>
            <w:tcW w:w="814" w:type="dxa"/>
            <w:tcBorders>
              <w:top w:val="nil"/>
              <w:left w:val="nil"/>
              <w:bottom w:val="single" w:sz="8" w:space="0" w:color="auto"/>
              <w:right w:val="single" w:sz="8" w:space="0" w:color="auto"/>
            </w:tcBorders>
            <w:shd w:val="clear" w:color="auto" w:fill="auto"/>
            <w:noWrap/>
            <w:vAlign w:val="center"/>
            <w:hideMark/>
          </w:tcPr>
          <w:p w14:paraId="677B615B"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3.40%</w:t>
            </w:r>
          </w:p>
        </w:tc>
        <w:tc>
          <w:tcPr>
            <w:tcW w:w="837" w:type="dxa"/>
            <w:tcBorders>
              <w:top w:val="nil"/>
              <w:left w:val="nil"/>
              <w:bottom w:val="single" w:sz="8" w:space="0" w:color="auto"/>
              <w:right w:val="single" w:sz="8" w:space="0" w:color="auto"/>
            </w:tcBorders>
            <w:shd w:val="clear" w:color="auto" w:fill="auto"/>
            <w:noWrap/>
            <w:vAlign w:val="center"/>
            <w:hideMark/>
          </w:tcPr>
          <w:p w14:paraId="0352E13D"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2.00%</w:t>
            </w:r>
          </w:p>
        </w:tc>
      </w:tr>
      <w:tr w:rsidR="00D9488A" w:rsidRPr="008F22A7" w14:paraId="4ACC94CD" w14:textId="77777777" w:rsidTr="007F7A64">
        <w:trPr>
          <w:cantSplit/>
          <w:trHeight w:val="970"/>
        </w:trPr>
        <w:tc>
          <w:tcPr>
            <w:tcW w:w="960" w:type="dxa"/>
            <w:vMerge w:val="restart"/>
            <w:tcBorders>
              <w:top w:val="nil"/>
              <w:left w:val="single" w:sz="8" w:space="0" w:color="auto"/>
              <w:bottom w:val="nil"/>
              <w:right w:val="single" w:sz="8" w:space="0" w:color="auto"/>
            </w:tcBorders>
            <w:shd w:val="clear" w:color="auto" w:fill="auto"/>
            <w:vAlign w:val="center"/>
            <w:hideMark/>
          </w:tcPr>
          <w:p w14:paraId="5C08790F" w14:textId="79E56289" w:rsidR="008F22A7" w:rsidRPr="008F22A7" w:rsidRDefault="008F22A7" w:rsidP="00C8675F">
            <w:pPr>
              <w:spacing w:after="0" w:line="240" w:lineRule="auto"/>
              <w:jc w:val="center"/>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Non-ACO and Non- APM Contract</w:t>
            </w:r>
          </w:p>
        </w:tc>
        <w:tc>
          <w:tcPr>
            <w:tcW w:w="878" w:type="dxa"/>
            <w:tcBorders>
              <w:top w:val="nil"/>
              <w:left w:val="nil"/>
              <w:bottom w:val="nil"/>
              <w:right w:val="single" w:sz="8" w:space="0" w:color="auto"/>
            </w:tcBorders>
            <w:shd w:val="clear" w:color="auto" w:fill="auto"/>
            <w:noWrap/>
            <w:vAlign w:val="center"/>
            <w:hideMark/>
          </w:tcPr>
          <w:p w14:paraId="4C191E8C"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94.80%</w:t>
            </w:r>
          </w:p>
        </w:tc>
        <w:tc>
          <w:tcPr>
            <w:tcW w:w="940" w:type="dxa"/>
            <w:tcBorders>
              <w:top w:val="nil"/>
              <w:left w:val="nil"/>
              <w:bottom w:val="nil"/>
              <w:right w:val="single" w:sz="8" w:space="0" w:color="auto"/>
            </w:tcBorders>
            <w:shd w:val="clear" w:color="auto" w:fill="auto"/>
            <w:noWrap/>
            <w:vAlign w:val="center"/>
            <w:hideMark/>
          </w:tcPr>
          <w:p w14:paraId="7AB5C27D"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96.30%</w:t>
            </w:r>
          </w:p>
        </w:tc>
        <w:tc>
          <w:tcPr>
            <w:tcW w:w="892" w:type="dxa"/>
            <w:tcBorders>
              <w:top w:val="nil"/>
              <w:left w:val="nil"/>
              <w:bottom w:val="nil"/>
              <w:right w:val="single" w:sz="8" w:space="0" w:color="auto"/>
            </w:tcBorders>
            <w:shd w:val="clear" w:color="auto" w:fill="auto"/>
            <w:noWrap/>
            <w:vAlign w:val="center"/>
            <w:hideMark/>
          </w:tcPr>
          <w:p w14:paraId="29F32940"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96.40%</w:t>
            </w:r>
          </w:p>
        </w:tc>
        <w:tc>
          <w:tcPr>
            <w:tcW w:w="820" w:type="dxa"/>
            <w:tcBorders>
              <w:top w:val="nil"/>
              <w:left w:val="nil"/>
              <w:bottom w:val="nil"/>
              <w:right w:val="single" w:sz="8" w:space="0" w:color="auto"/>
            </w:tcBorders>
            <w:shd w:val="clear" w:color="auto" w:fill="auto"/>
            <w:noWrap/>
            <w:vAlign w:val="center"/>
            <w:hideMark/>
          </w:tcPr>
          <w:p w14:paraId="70824F31"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95.10%</w:t>
            </w:r>
          </w:p>
        </w:tc>
        <w:tc>
          <w:tcPr>
            <w:tcW w:w="1571" w:type="dxa"/>
            <w:tcBorders>
              <w:top w:val="nil"/>
              <w:left w:val="nil"/>
              <w:bottom w:val="single" w:sz="8" w:space="0" w:color="auto"/>
              <w:right w:val="single" w:sz="8" w:space="0" w:color="auto"/>
            </w:tcBorders>
            <w:shd w:val="clear" w:color="auto" w:fill="auto"/>
            <w:vAlign w:val="center"/>
            <w:hideMark/>
          </w:tcPr>
          <w:p w14:paraId="52250DED" w14:textId="77777777" w:rsidR="008F22A7" w:rsidRPr="008F22A7" w:rsidRDefault="008F22A7" w:rsidP="00C8675F">
            <w:pPr>
              <w:spacing w:after="0" w:line="240" w:lineRule="auto"/>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Commercial Medicare</w:t>
            </w:r>
          </w:p>
        </w:tc>
        <w:tc>
          <w:tcPr>
            <w:tcW w:w="814" w:type="dxa"/>
            <w:tcBorders>
              <w:top w:val="nil"/>
              <w:left w:val="nil"/>
              <w:bottom w:val="single" w:sz="8" w:space="0" w:color="auto"/>
              <w:right w:val="single" w:sz="8" w:space="0" w:color="auto"/>
            </w:tcBorders>
            <w:shd w:val="clear" w:color="auto" w:fill="auto"/>
            <w:noWrap/>
            <w:vAlign w:val="center"/>
            <w:hideMark/>
          </w:tcPr>
          <w:p w14:paraId="72941223"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5.00%</w:t>
            </w:r>
          </w:p>
        </w:tc>
        <w:tc>
          <w:tcPr>
            <w:tcW w:w="814" w:type="dxa"/>
            <w:tcBorders>
              <w:top w:val="nil"/>
              <w:left w:val="nil"/>
              <w:bottom w:val="single" w:sz="8" w:space="0" w:color="auto"/>
              <w:right w:val="single" w:sz="8" w:space="0" w:color="auto"/>
            </w:tcBorders>
            <w:shd w:val="clear" w:color="auto" w:fill="auto"/>
            <w:noWrap/>
            <w:vAlign w:val="center"/>
            <w:hideMark/>
          </w:tcPr>
          <w:p w14:paraId="3588CF23"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4.20%</w:t>
            </w:r>
          </w:p>
        </w:tc>
        <w:tc>
          <w:tcPr>
            <w:tcW w:w="814" w:type="dxa"/>
            <w:tcBorders>
              <w:top w:val="nil"/>
              <w:left w:val="nil"/>
              <w:bottom w:val="single" w:sz="8" w:space="0" w:color="auto"/>
              <w:right w:val="single" w:sz="8" w:space="0" w:color="auto"/>
            </w:tcBorders>
            <w:shd w:val="clear" w:color="auto" w:fill="auto"/>
            <w:noWrap/>
            <w:vAlign w:val="center"/>
            <w:hideMark/>
          </w:tcPr>
          <w:p w14:paraId="5C7F4675"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4.50%</w:t>
            </w:r>
          </w:p>
        </w:tc>
        <w:tc>
          <w:tcPr>
            <w:tcW w:w="837" w:type="dxa"/>
            <w:tcBorders>
              <w:top w:val="nil"/>
              <w:left w:val="nil"/>
              <w:bottom w:val="single" w:sz="8" w:space="0" w:color="auto"/>
              <w:right w:val="single" w:sz="8" w:space="0" w:color="auto"/>
            </w:tcBorders>
            <w:shd w:val="clear" w:color="auto" w:fill="auto"/>
            <w:noWrap/>
            <w:vAlign w:val="center"/>
            <w:hideMark/>
          </w:tcPr>
          <w:p w14:paraId="19BEE10E"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4.10%</w:t>
            </w:r>
          </w:p>
        </w:tc>
      </w:tr>
      <w:tr w:rsidR="00D9488A" w:rsidRPr="008F22A7" w14:paraId="1979950D" w14:textId="77777777" w:rsidTr="007F7A64">
        <w:trPr>
          <w:cantSplit/>
          <w:trHeight w:val="300"/>
        </w:trPr>
        <w:tc>
          <w:tcPr>
            <w:tcW w:w="960" w:type="dxa"/>
            <w:vMerge/>
            <w:tcBorders>
              <w:top w:val="nil"/>
              <w:left w:val="single" w:sz="8" w:space="0" w:color="auto"/>
              <w:bottom w:val="nil"/>
              <w:right w:val="single" w:sz="8" w:space="0" w:color="auto"/>
            </w:tcBorders>
            <w:vAlign w:val="center"/>
            <w:hideMark/>
          </w:tcPr>
          <w:p w14:paraId="25755796" w14:textId="77777777" w:rsidR="008F22A7" w:rsidRPr="008F22A7" w:rsidRDefault="008F22A7" w:rsidP="00C8675F">
            <w:pPr>
              <w:spacing w:after="0" w:line="240" w:lineRule="auto"/>
              <w:rPr>
                <w:rFonts w:ascii="Calibri" w:eastAsia="Times New Roman" w:hAnsi="Calibri" w:cs="Calibri"/>
                <w:b/>
                <w:bCs/>
                <w:color w:val="000000"/>
                <w:sz w:val="20"/>
                <w:szCs w:val="20"/>
              </w:rPr>
            </w:pPr>
          </w:p>
        </w:tc>
        <w:tc>
          <w:tcPr>
            <w:tcW w:w="878" w:type="dxa"/>
            <w:tcBorders>
              <w:top w:val="nil"/>
              <w:left w:val="nil"/>
              <w:bottom w:val="nil"/>
              <w:right w:val="single" w:sz="8" w:space="0" w:color="auto"/>
            </w:tcBorders>
            <w:shd w:val="clear" w:color="auto" w:fill="auto"/>
            <w:noWrap/>
            <w:vAlign w:val="center"/>
            <w:hideMark/>
          </w:tcPr>
          <w:p w14:paraId="21ADEA8A"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940" w:type="dxa"/>
            <w:tcBorders>
              <w:top w:val="nil"/>
              <w:left w:val="nil"/>
              <w:bottom w:val="nil"/>
              <w:right w:val="single" w:sz="8" w:space="0" w:color="auto"/>
            </w:tcBorders>
            <w:shd w:val="clear" w:color="auto" w:fill="auto"/>
            <w:noWrap/>
            <w:vAlign w:val="center"/>
            <w:hideMark/>
          </w:tcPr>
          <w:p w14:paraId="280B69D4"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92" w:type="dxa"/>
            <w:tcBorders>
              <w:top w:val="nil"/>
              <w:left w:val="nil"/>
              <w:bottom w:val="nil"/>
              <w:right w:val="single" w:sz="8" w:space="0" w:color="auto"/>
            </w:tcBorders>
            <w:shd w:val="clear" w:color="auto" w:fill="auto"/>
            <w:noWrap/>
            <w:vAlign w:val="center"/>
            <w:hideMark/>
          </w:tcPr>
          <w:p w14:paraId="58E7BE9C"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20" w:type="dxa"/>
            <w:tcBorders>
              <w:top w:val="nil"/>
              <w:left w:val="nil"/>
              <w:bottom w:val="nil"/>
              <w:right w:val="single" w:sz="8" w:space="0" w:color="auto"/>
            </w:tcBorders>
            <w:shd w:val="clear" w:color="auto" w:fill="auto"/>
            <w:noWrap/>
            <w:vAlign w:val="center"/>
            <w:hideMark/>
          </w:tcPr>
          <w:p w14:paraId="4D884348"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1571" w:type="dxa"/>
            <w:tcBorders>
              <w:top w:val="nil"/>
              <w:left w:val="nil"/>
              <w:bottom w:val="single" w:sz="8" w:space="0" w:color="auto"/>
              <w:right w:val="single" w:sz="8" w:space="0" w:color="auto"/>
            </w:tcBorders>
            <w:shd w:val="clear" w:color="auto" w:fill="auto"/>
            <w:noWrap/>
            <w:vAlign w:val="center"/>
            <w:hideMark/>
          </w:tcPr>
          <w:p w14:paraId="7F8A0E79" w14:textId="77777777" w:rsidR="008F22A7" w:rsidRPr="008F22A7" w:rsidRDefault="008F22A7" w:rsidP="00C8675F">
            <w:pPr>
              <w:spacing w:after="0" w:line="240" w:lineRule="auto"/>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Medicare FFS</w:t>
            </w:r>
          </w:p>
        </w:tc>
        <w:tc>
          <w:tcPr>
            <w:tcW w:w="814" w:type="dxa"/>
            <w:tcBorders>
              <w:top w:val="nil"/>
              <w:left w:val="nil"/>
              <w:bottom w:val="single" w:sz="8" w:space="0" w:color="auto"/>
              <w:right w:val="single" w:sz="8" w:space="0" w:color="auto"/>
            </w:tcBorders>
            <w:shd w:val="clear" w:color="auto" w:fill="auto"/>
            <w:noWrap/>
            <w:vAlign w:val="center"/>
            <w:hideMark/>
          </w:tcPr>
          <w:p w14:paraId="6E5A38AE"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13.70%</w:t>
            </w:r>
          </w:p>
        </w:tc>
        <w:tc>
          <w:tcPr>
            <w:tcW w:w="814" w:type="dxa"/>
            <w:tcBorders>
              <w:top w:val="nil"/>
              <w:left w:val="nil"/>
              <w:bottom w:val="single" w:sz="8" w:space="0" w:color="auto"/>
              <w:right w:val="single" w:sz="8" w:space="0" w:color="auto"/>
            </w:tcBorders>
            <w:shd w:val="clear" w:color="auto" w:fill="auto"/>
            <w:noWrap/>
            <w:vAlign w:val="center"/>
            <w:hideMark/>
          </w:tcPr>
          <w:p w14:paraId="163D6DD0"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13.90%</w:t>
            </w:r>
          </w:p>
        </w:tc>
        <w:tc>
          <w:tcPr>
            <w:tcW w:w="814" w:type="dxa"/>
            <w:tcBorders>
              <w:top w:val="nil"/>
              <w:left w:val="nil"/>
              <w:bottom w:val="single" w:sz="8" w:space="0" w:color="auto"/>
              <w:right w:val="single" w:sz="8" w:space="0" w:color="auto"/>
            </w:tcBorders>
            <w:shd w:val="clear" w:color="auto" w:fill="auto"/>
            <w:noWrap/>
            <w:vAlign w:val="center"/>
            <w:hideMark/>
          </w:tcPr>
          <w:p w14:paraId="4DAA8F1E"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13.20%</w:t>
            </w:r>
          </w:p>
        </w:tc>
        <w:tc>
          <w:tcPr>
            <w:tcW w:w="837" w:type="dxa"/>
            <w:tcBorders>
              <w:top w:val="nil"/>
              <w:left w:val="nil"/>
              <w:bottom w:val="single" w:sz="8" w:space="0" w:color="auto"/>
              <w:right w:val="single" w:sz="8" w:space="0" w:color="auto"/>
            </w:tcBorders>
            <w:shd w:val="clear" w:color="auto" w:fill="auto"/>
            <w:noWrap/>
            <w:vAlign w:val="center"/>
            <w:hideMark/>
          </w:tcPr>
          <w:p w14:paraId="23414179"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13.40%</w:t>
            </w:r>
          </w:p>
        </w:tc>
      </w:tr>
      <w:tr w:rsidR="00D9488A" w:rsidRPr="008F22A7" w14:paraId="7D69EAF8" w14:textId="77777777" w:rsidTr="007F7A64">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57E23F"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78" w:type="dxa"/>
            <w:tcBorders>
              <w:top w:val="nil"/>
              <w:left w:val="nil"/>
              <w:bottom w:val="single" w:sz="8" w:space="0" w:color="auto"/>
              <w:right w:val="single" w:sz="8" w:space="0" w:color="auto"/>
            </w:tcBorders>
            <w:shd w:val="clear" w:color="auto" w:fill="auto"/>
            <w:noWrap/>
            <w:vAlign w:val="center"/>
            <w:hideMark/>
          </w:tcPr>
          <w:p w14:paraId="0E8F7284"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940" w:type="dxa"/>
            <w:tcBorders>
              <w:top w:val="nil"/>
              <w:left w:val="nil"/>
              <w:bottom w:val="single" w:sz="8" w:space="0" w:color="auto"/>
              <w:right w:val="single" w:sz="8" w:space="0" w:color="auto"/>
            </w:tcBorders>
            <w:shd w:val="clear" w:color="auto" w:fill="auto"/>
            <w:noWrap/>
            <w:vAlign w:val="center"/>
            <w:hideMark/>
          </w:tcPr>
          <w:p w14:paraId="3028ED73"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92" w:type="dxa"/>
            <w:tcBorders>
              <w:top w:val="nil"/>
              <w:left w:val="nil"/>
              <w:bottom w:val="single" w:sz="8" w:space="0" w:color="auto"/>
              <w:right w:val="single" w:sz="8" w:space="0" w:color="auto"/>
            </w:tcBorders>
            <w:shd w:val="clear" w:color="auto" w:fill="auto"/>
            <w:noWrap/>
            <w:vAlign w:val="center"/>
            <w:hideMark/>
          </w:tcPr>
          <w:p w14:paraId="2D2A10CC"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820" w:type="dxa"/>
            <w:tcBorders>
              <w:top w:val="nil"/>
              <w:left w:val="nil"/>
              <w:bottom w:val="single" w:sz="8" w:space="0" w:color="auto"/>
              <w:right w:val="single" w:sz="8" w:space="0" w:color="auto"/>
            </w:tcBorders>
            <w:shd w:val="clear" w:color="auto" w:fill="auto"/>
            <w:noWrap/>
            <w:vAlign w:val="center"/>
            <w:hideMark/>
          </w:tcPr>
          <w:p w14:paraId="41D3288B" w14:textId="77777777" w:rsidR="008F22A7" w:rsidRPr="008F22A7" w:rsidRDefault="008F22A7" w:rsidP="00C8675F">
            <w:pPr>
              <w:spacing w:after="0" w:line="240" w:lineRule="auto"/>
              <w:jc w:val="center"/>
              <w:rPr>
                <w:rFonts w:ascii="Calibri" w:eastAsia="Times New Roman" w:hAnsi="Calibri" w:cs="Calibri"/>
                <w:color w:val="000000"/>
                <w:sz w:val="20"/>
                <w:szCs w:val="20"/>
              </w:rPr>
            </w:pPr>
            <w:r w:rsidRPr="008F22A7">
              <w:rPr>
                <w:rFonts w:ascii="Calibri" w:eastAsia="Times New Roman" w:hAnsi="Calibri" w:cs="Calibri"/>
                <w:color w:val="000000"/>
                <w:sz w:val="20"/>
                <w:szCs w:val="20"/>
              </w:rPr>
              <w:t> </w:t>
            </w:r>
          </w:p>
        </w:tc>
        <w:tc>
          <w:tcPr>
            <w:tcW w:w="1571" w:type="dxa"/>
            <w:tcBorders>
              <w:top w:val="nil"/>
              <w:left w:val="nil"/>
              <w:bottom w:val="single" w:sz="8" w:space="0" w:color="auto"/>
              <w:right w:val="single" w:sz="8" w:space="0" w:color="auto"/>
            </w:tcBorders>
            <w:shd w:val="clear" w:color="auto" w:fill="auto"/>
            <w:noWrap/>
            <w:vAlign w:val="center"/>
            <w:hideMark/>
          </w:tcPr>
          <w:p w14:paraId="5CC72C71" w14:textId="77777777" w:rsidR="008F22A7" w:rsidRPr="008F22A7" w:rsidRDefault="008F22A7" w:rsidP="00C8675F">
            <w:pPr>
              <w:spacing w:after="0" w:line="240" w:lineRule="auto"/>
              <w:rPr>
                <w:rFonts w:ascii="Calibri" w:eastAsia="Times New Roman" w:hAnsi="Calibri" w:cs="Calibri"/>
                <w:b/>
                <w:bCs/>
                <w:color w:val="000000"/>
                <w:sz w:val="20"/>
                <w:szCs w:val="20"/>
              </w:rPr>
            </w:pPr>
            <w:r w:rsidRPr="008F22A7">
              <w:rPr>
                <w:rFonts w:ascii="Calibri" w:eastAsia="Times New Roman" w:hAnsi="Calibri" w:cs="Calibri"/>
                <w:b/>
                <w:bCs/>
                <w:color w:val="000000"/>
                <w:sz w:val="20"/>
                <w:szCs w:val="20"/>
              </w:rPr>
              <w:t>All Other</w:t>
            </w:r>
          </w:p>
        </w:tc>
        <w:tc>
          <w:tcPr>
            <w:tcW w:w="814" w:type="dxa"/>
            <w:tcBorders>
              <w:top w:val="nil"/>
              <w:left w:val="nil"/>
              <w:bottom w:val="single" w:sz="8" w:space="0" w:color="auto"/>
              <w:right w:val="single" w:sz="8" w:space="0" w:color="auto"/>
            </w:tcBorders>
            <w:shd w:val="clear" w:color="auto" w:fill="auto"/>
            <w:noWrap/>
            <w:vAlign w:val="center"/>
            <w:hideMark/>
          </w:tcPr>
          <w:p w14:paraId="6000E3FC"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9.20%</w:t>
            </w:r>
          </w:p>
        </w:tc>
        <w:tc>
          <w:tcPr>
            <w:tcW w:w="814" w:type="dxa"/>
            <w:tcBorders>
              <w:top w:val="nil"/>
              <w:left w:val="nil"/>
              <w:bottom w:val="single" w:sz="8" w:space="0" w:color="auto"/>
              <w:right w:val="single" w:sz="8" w:space="0" w:color="auto"/>
            </w:tcBorders>
            <w:shd w:val="clear" w:color="auto" w:fill="auto"/>
            <w:noWrap/>
            <w:vAlign w:val="center"/>
            <w:hideMark/>
          </w:tcPr>
          <w:p w14:paraId="1D371AD5"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8.40%</w:t>
            </w:r>
          </w:p>
        </w:tc>
        <w:tc>
          <w:tcPr>
            <w:tcW w:w="814" w:type="dxa"/>
            <w:tcBorders>
              <w:top w:val="nil"/>
              <w:left w:val="nil"/>
              <w:bottom w:val="single" w:sz="8" w:space="0" w:color="auto"/>
              <w:right w:val="single" w:sz="8" w:space="0" w:color="auto"/>
            </w:tcBorders>
            <w:shd w:val="clear" w:color="auto" w:fill="auto"/>
            <w:noWrap/>
            <w:vAlign w:val="center"/>
            <w:hideMark/>
          </w:tcPr>
          <w:p w14:paraId="660D2083"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7.20%</w:t>
            </w:r>
          </w:p>
        </w:tc>
        <w:tc>
          <w:tcPr>
            <w:tcW w:w="837" w:type="dxa"/>
            <w:tcBorders>
              <w:top w:val="nil"/>
              <w:left w:val="nil"/>
              <w:bottom w:val="single" w:sz="8" w:space="0" w:color="auto"/>
              <w:right w:val="single" w:sz="8" w:space="0" w:color="auto"/>
            </w:tcBorders>
            <w:shd w:val="clear" w:color="auto" w:fill="auto"/>
            <w:noWrap/>
            <w:vAlign w:val="center"/>
            <w:hideMark/>
          </w:tcPr>
          <w:p w14:paraId="20A53834" w14:textId="77777777" w:rsidR="008F22A7" w:rsidRPr="008F22A7" w:rsidRDefault="008F22A7" w:rsidP="00C8675F">
            <w:pPr>
              <w:spacing w:after="0" w:line="240" w:lineRule="auto"/>
              <w:jc w:val="right"/>
              <w:rPr>
                <w:rFonts w:ascii="Calibri" w:eastAsia="Times New Roman" w:hAnsi="Calibri" w:cs="Calibri"/>
                <w:color w:val="000000"/>
                <w:sz w:val="20"/>
                <w:szCs w:val="20"/>
              </w:rPr>
            </w:pPr>
            <w:r w:rsidRPr="008F22A7">
              <w:rPr>
                <w:rFonts w:ascii="Calibri" w:eastAsia="Times New Roman" w:hAnsi="Calibri" w:cstheme="minorHAnsi"/>
                <w:color w:val="000000"/>
                <w:sz w:val="20"/>
                <w:szCs w:val="20"/>
              </w:rPr>
              <w:t>7.90%</w:t>
            </w:r>
          </w:p>
        </w:tc>
      </w:tr>
    </w:tbl>
    <w:p w14:paraId="22CD2271" w14:textId="77777777" w:rsidR="008F22A7" w:rsidRDefault="008F22A7" w:rsidP="008F22A7">
      <w:pPr>
        <w:spacing w:after="0" w:line="240" w:lineRule="auto"/>
        <w:rPr>
          <w:rFonts w:eastAsia="Times New Roman" w:cstheme="minorHAnsi"/>
          <w:color w:val="000000"/>
          <w:sz w:val="24"/>
          <w:szCs w:val="24"/>
        </w:rPr>
      </w:pPr>
    </w:p>
    <w:p w14:paraId="36395C45" w14:textId="07159792" w:rsidR="008F22A7" w:rsidRPr="008F22A7" w:rsidRDefault="005A3828" w:rsidP="008F22A7">
      <w:pPr>
        <w:spacing w:after="0" w:line="240" w:lineRule="auto"/>
        <w:rPr>
          <w:rFonts w:eastAsia="Times New Roman" w:cstheme="minorHAnsi"/>
          <w:color w:val="000000"/>
          <w:sz w:val="24"/>
          <w:szCs w:val="24"/>
        </w:rPr>
      </w:pPr>
      <w:r w:rsidRPr="008F22A7">
        <w:rPr>
          <w:rFonts w:eastAsia="Times New Roman" w:cstheme="minorHAnsi"/>
          <w:color w:val="000000"/>
          <w:sz w:val="24"/>
          <w:szCs w:val="24"/>
        </w:rPr>
        <w:t xml:space="preserve"> </w:t>
      </w:r>
    </w:p>
    <w:p w14:paraId="2759037B" w14:textId="15231C04" w:rsidR="00E04459" w:rsidRPr="008F22A7" w:rsidRDefault="008F22A7" w:rsidP="008F22A7">
      <w:pPr>
        <w:numPr>
          <w:ilvl w:val="0"/>
          <w:numId w:val="18"/>
        </w:numPr>
        <w:spacing w:after="0" w:line="240" w:lineRule="auto"/>
        <w:rPr>
          <w:rFonts w:eastAsia="Times New Roman" w:cstheme="minorHAnsi"/>
          <w:color w:val="000000"/>
          <w:sz w:val="24"/>
          <w:szCs w:val="24"/>
        </w:rPr>
      </w:pPr>
      <w:r w:rsidRPr="008F22A7">
        <w:rPr>
          <w:rFonts w:eastAsia="Times New Roman" w:cstheme="minorHAnsi"/>
          <w:b/>
          <w:bCs/>
          <w:color w:val="000000"/>
          <w:sz w:val="24"/>
          <w:szCs w:val="24"/>
        </w:rPr>
        <w:t>Payor Mix:</w:t>
      </w:r>
      <w:r w:rsidRPr="008F22A7">
        <w:rPr>
          <w:rFonts w:eastAsia="Times New Roman" w:cstheme="minorHAnsi"/>
          <w:color w:val="000000"/>
          <w:sz w:val="24"/>
          <w:szCs w:val="24"/>
        </w:rPr>
        <w:t xml:space="preserve"> The share of patients covered by MassHealth and Managed Medicaid increased from 1.6% in FY19 to 5.1% in FY21 and decreased to 2.9% in the first quarter of FY 22. (see Table </w:t>
      </w:r>
      <w:r w:rsidR="00A84D19">
        <w:rPr>
          <w:rFonts w:eastAsia="Times New Roman" w:cstheme="minorHAnsi"/>
          <w:color w:val="000000"/>
          <w:sz w:val="24"/>
          <w:szCs w:val="24"/>
        </w:rPr>
        <w:t>3</w:t>
      </w:r>
      <w:r w:rsidRPr="008F22A7">
        <w:rPr>
          <w:rFonts w:eastAsia="Times New Roman" w:cstheme="minorHAnsi"/>
          <w:color w:val="000000"/>
          <w:sz w:val="24"/>
          <w:szCs w:val="24"/>
        </w:rPr>
        <w:t>). The share of patients covered by an ACO/APM contract decreased from 5.2% in FY19 to 3.6% in FY21.</w:t>
      </w:r>
    </w:p>
    <w:p w14:paraId="697B48E2" w14:textId="77777777" w:rsidR="008F22A7" w:rsidRDefault="008F22A7" w:rsidP="008F22A7">
      <w:pPr>
        <w:spacing w:after="0" w:line="240" w:lineRule="auto"/>
        <w:ind w:left="360"/>
        <w:rPr>
          <w:rFonts w:eastAsia="Times New Roman" w:cstheme="minorHAnsi"/>
          <w:color w:val="000000"/>
          <w:sz w:val="24"/>
          <w:szCs w:val="24"/>
        </w:rPr>
      </w:pPr>
    </w:p>
    <w:p w14:paraId="76C52B0D" w14:textId="626468EB" w:rsidR="00AC68E5" w:rsidRPr="00241F83" w:rsidRDefault="00AC68E5" w:rsidP="001E04E3">
      <w:pPr>
        <w:pStyle w:val="Heading1"/>
        <w:spacing w:before="0" w:line="240" w:lineRule="auto"/>
        <w:rPr>
          <w:rFonts w:asciiTheme="minorHAnsi" w:eastAsia="Calibri" w:hAnsiTheme="minorHAnsi" w:cstheme="minorHAnsi"/>
        </w:rPr>
      </w:pPr>
      <w:bookmarkStart w:id="29" w:name="_Toc17731309"/>
      <w:bookmarkStart w:id="30" w:name="_Toc18922398"/>
      <w:bookmarkStart w:id="31" w:name="_Toc29755679"/>
      <w:bookmarkStart w:id="32" w:name="_Toc115776584"/>
      <w:bookmarkEnd w:id="24"/>
      <w:r w:rsidRPr="00241F83">
        <w:rPr>
          <w:rFonts w:asciiTheme="minorHAnsi" w:eastAsia="Calibri" w:hAnsiTheme="minorHAnsi" w:cstheme="minorHAnsi"/>
        </w:rPr>
        <w:t>Factor 1</w:t>
      </w:r>
      <w:r w:rsidR="000A431B" w:rsidRPr="00241F83">
        <w:rPr>
          <w:rFonts w:asciiTheme="minorHAnsi" w:eastAsia="Calibri" w:hAnsiTheme="minorHAnsi" w:cstheme="minorHAnsi"/>
        </w:rPr>
        <w:t xml:space="preserve">: </w:t>
      </w:r>
      <w:r w:rsidR="00B85B1D" w:rsidRPr="00241F83">
        <w:rPr>
          <w:rFonts w:asciiTheme="minorHAnsi" w:eastAsia="Calibri" w:hAnsiTheme="minorHAnsi" w:cstheme="minorHAnsi"/>
        </w:rPr>
        <w:t>a</w:t>
      </w:r>
      <w:r w:rsidR="000A431B" w:rsidRPr="00241F83">
        <w:rPr>
          <w:rFonts w:asciiTheme="minorHAnsi" w:eastAsia="Calibri" w:hAnsiTheme="minorHAnsi" w:cstheme="minorHAnsi"/>
        </w:rPr>
        <w:t>)</w:t>
      </w:r>
      <w:r w:rsidRPr="00241F83">
        <w:rPr>
          <w:rFonts w:asciiTheme="minorHAnsi" w:eastAsia="Calibri" w:hAnsiTheme="minorHAnsi" w:cstheme="minorHAnsi"/>
        </w:rPr>
        <w:t xml:space="preserve"> Patient Panel Need</w:t>
      </w:r>
      <w:bookmarkEnd w:id="29"/>
      <w:bookmarkEnd w:id="30"/>
      <w:bookmarkEnd w:id="31"/>
      <w:bookmarkEnd w:id="32"/>
    </w:p>
    <w:p w14:paraId="679C147B" w14:textId="77777777" w:rsidR="0059019F" w:rsidRPr="0059019F" w:rsidRDefault="0059019F" w:rsidP="0059019F">
      <w:pPr>
        <w:pStyle w:val="NormalWeb"/>
        <w:rPr>
          <w:rFonts w:asciiTheme="minorHAnsi" w:eastAsia="Calibri" w:hAnsiTheme="minorHAnsi" w:cstheme="minorHAnsi"/>
          <w:bCs/>
        </w:rPr>
      </w:pPr>
    </w:p>
    <w:p w14:paraId="00E7F1FC" w14:textId="68149546" w:rsidR="00496B38" w:rsidRPr="0059019F" w:rsidRDefault="00AC68E5" w:rsidP="0059019F">
      <w:pPr>
        <w:pStyle w:val="NormalWeb"/>
        <w:rPr>
          <w:rFonts w:asciiTheme="minorHAnsi" w:eastAsia="Times New Roman" w:hAnsiTheme="minorHAnsi" w:cstheme="minorHAnsi"/>
          <w:color w:val="000000"/>
        </w:rPr>
      </w:pPr>
      <w:r w:rsidRPr="0059019F">
        <w:rPr>
          <w:rFonts w:asciiTheme="minorHAnsi" w:eastAsia="Calibri" w:hAnsiTheme="minorHAnsi" w:cstheme="minorHAnsi"/>
          <w:bCs/>
        </w:rPr>
        <w:t xml:space="preserve">In this section, </w:t>
      </w:r>
      <w:r w:rsidR="001239C1" w:rsidRPr="0059019F">
        <w:rPr>
          <w:rFonts w:asciiTheme="minorHAnsi" w:eastAsia="Calibri" w:hAnsiTheme="minorHAnsi" w:cstheme="minorHAnsi"/>
          <w:bCs/>
        </w:rPr>
        <w:t xml:space="preserve">staff </w:t>
      </w:r>
      <w:r w:rsidRPr="0059019F">
        <w:rPr>
          <w:rFonts w:asciiTheme="minorHAnsi" w:eastAsia="Calibri" w:hAnsiTheme="minorHAnsi" w:cstheme="minorHAnsi"/>
          <w:bCs/>
        </w:rPr>
        <w:t>assess</w:t>
      </w:r>
      <w:r w:rsidR="001239C1" w:rsidRPr="0059019F">
        <w:rPr>
          <w:rFonts w:asciiTheme="minorHAnsi" w:eastAsia="Calibri" w:hAnsiTheme="minorHAnsi" w:cstheme="minorHAnsi"/>
          <w:bCs/>
        </w:rPr>
        <w:t>es</w:t>
      </w:r>
      <w:r w:rsidRPr="0059019F">
        <w:rPr>
          <w:rFonts w:asciiTheme="minorHAnsi" w:eastAsia="Calibri" w:hAnsiTheme="minorHAnsi" w:cstheme="minorHAnsi"/>
          <w:bCs/>
        </w:rPr>
        <w:t xml:space="preserve"> </w:t>
      </w:r>
      <w:r w:rsidR="00030F81" w:rsidRPr="0059019F">
        <w:rPr>
          <w:rFonts w:asciiTheme="minorHAnsi" w:eastAsia="Calibri" w:hAnsiTheme="minorHAnsi" w:cstheme="minorHAnsi"/>
          <w:bCs/>
        </w:rPr>
        <w:t xml:space="preserve">whether </w:t>
      </w:r>
      <w:r w:rsidRPr="0059019F">
        <w:rPr>
          <w:rFonts w:asciiTheme="minorHAnsi" w:eastAsia="Calibri" w:hAnsiTheme="minorHAnsi" w:cstheme="minorHAnsi"/>
          <w:bCs/>
        </w:rPr>
        <w:t xml:space="preserve">the </w:t>
      </w:r>
      <w:r w:rsidR="00D33E4C" w:rsidRPr="0059019F">
        <w:rPr>
          <w:rFonts w:asciiTheme="minorHAnsi" w:eastAsia="Calibri" w:hAnsiTheme="minorHAnsi" w:cstheme="minorHAnsi"/>
          <w:bCs/>
        </w:rPr>
        <w:t>Applicant</w:t>
      </w:r>
      <w:r w:rsidRPr="0059019F">
        <w:rPr>
          <w:rFonts w:asciiTheme="minorHAnsi" w:eastAsia="Calibri" w:hAnsiTheme="minorHAnsi" w:cstheme="minorHAnsi"/>
          <w:bCs/>
        </w:rPr>
        <w:t xml:space="preserve"> has sufficiently addressed</w:t>
      </w:r>
      <w:r w:rsidRPr="0059019F">
        <w:rPr>
          <w:rFonts w:asciiTheme="minorHAnsi" w:eastAsia="Calibri" w:hAnsiTheme="minorHAnsi" w:cstheme="minorHAnsi"/>
          <w:b/>
        </w:rPr>
        <w:t xml:space="preserve"> </w:t>
      </w:r>
      <w:r w:rsidR="00235B69" w:rsidRPr="0059019F">
        <w:rPr>
          <w:rFonts w:asciiTheme="minorHAnsi" w:eastAsia="Calibri" w:hAnsiTheme="minorHAnsi" w:cstheme="minorHAnsi"/>
        </w:rPr>
        <w:t>P</w:t>
      </w:r>
      <w:r w:rsidRPr="0059019F">
        <w:rPr>
          <w:rFonts w:asciiTheme="minorHAnsi" w:eastAsia="Calibri" w:hAnsiTheme="minorHAnsi" w:cstheme="minorHAnsi"/>
        </w:rPr>
        <w:t xml:space="preserve">atient </w:t>
      </w:r>
      <w:r w:rsidR="00235B69" w:rsidRPr="0059019F">
        <w:rPr>
          <w:rFonts w:asciiTheme="minorHAnsi" w:eastAsia="Calibri" w:hAnsiTheme="minorHAnsi" w:cstheme="minorHAnsi"/>
        </w:rPr>
        <w:t>P</w:t>
      </w:r>
      <w:r w:rsidRPr="0059019F">
        <w:rPr>
          <w:rFonts w:asciiTheme="minorHAnsi" w:eastAsia="Calibri" w:hAnsiTheme="minorHAnsi" w:cstheme="minorHAnsi"/>
        </w:rPr>
        <w:t xml:space="preserve">anel need </w:t>
      </w:r>
      <w:r w:rsidR="00C527E7" w:rsidRPr="0059019F">
        <w:rPr>
          <w:rFonts w:asciiTheme="minorHAnsi" w:eastAsia="Calibri" w:hAnsiTheme="minorHAnsi" w:cstheme="minorHAnsi"/>
        </w:rPr>
        <w:t>for</w:t>
      </w:r>
      <w:r w:rsidR="006256C7" w:rsidRPr="0059019F">
        <w:rPr>
          <w:rFonts w:asciiTheme="minorHAnsi" w:eastAsia="Calibri" w:hAnsiTheme="minorHAnsi" w:cstheme="minorHAnsi"/>
        </w:rPr>
        <w:t xml:space="preserve"> </w:t>
      </w:r>
      <w:r w:rsidR="006917C1" w:rsidRPr="0059019F">
        <w:rPr>
          <w:rFonts w:asciiTheme="minorHAnsi" w:eastAsia="Calibri" w:hAnsiTheme="minorHAnsi" w:cstheme="minorHAnsi"/>
        </w:rPr>
        <w:t xml:space="preserve">the </w:t>
      </w:r>
      <w:r w:rsidR="00DA25FC" w:rsidRPr="0059019F">
        <w:rPr>
          <w:rFonts w:asciiTheme="minorHAnsi" w:eastAsia="Calibri" w:hAnsiTheme="minorHAnsi" w:cstheme="minorHAnsi"/>
        </w:rPr>
        <w:t>P</w:t>
      </w:r>
      <w:r w:rsidR="006256C7" w:rsidRPr="0059019F">
        <w:rPr>
          <w:rFonts w:asciiTheme="minorHAnsi" w:eastAsia="Calibri" w:hAnsiTheme="minorHAnsi" w:cstheme="minorHAnsi"/>
        </w:rPr>
        <w:t xml:space="preserve">roposed </w:t>
      </w:r>
      <w:r w:rsidR="00DA25FC" w:rsidRPr="0059019F">
        <w:rPr>
          <w:rFonts w:asciiTheme="minorHAnsi" w:eastAsia="Calibri" w:hAnsiTheme="minorHAnsi" w:cstheme="minorHAnsi"/>
        </w:rPr>
        <w:t>P</w:t>
      </w:r>
      <w:r w:rsidR="006256C7" w:rsidRPr="0059019F">
        <w:rPr>
          <w:rFonts w:asciiTheme="minorHAnsi" w:eastAsia="Calibri" w:hAnsiTheme="minorHAnsi" w:cstheme="minorHAnsi"/>
        </w:rPr>
        <w:t>roject</w:t>
      </w:r>
      <w:r w:rsidR="00A3423E" w:rsidRPr="0059019F">
        <w:rPr>
          <w:rFonts w:asciiTheme="minorHAnsi" w:eastAsia="Calibri" w:hAnsiTheme="minorHAnsi" w:cstheme="minorHAnsi"/>
        </w:rPr>
        <w:t>.</w:t>
      </w:r>
      <w:r w:rsidR="00B35CC3" w:rsidRPr="0059019F">
        <w:rPr>
          <w:rFonts w:asciiTheme="minorHAnsi" w:eastAsia="Calibri" w:hAnsiTheme="minorHAnsi" w:cstheme="minorHAnsi"/>
        </w:rPr>
        <w:t xml:space="preserve"> </w:t>
      </w:r>
      <w:bookmarkEnd w:id="6"/>
      <w:r w:rsidR="007C4C78" w:rsidRPr="0059019F">
        <w:rPr>
          <w:rFonts w:asciiTheme="minorHAnsi" w:eastAsia="Times New Roman" w:hAnsiTheme="minorHAnsi" w:cstheme="minorHAnsi"/>
          <w:color w:val="000000"/>
        </w:rPr>
        <w:t xml:space="preserve">Because the </w:t>
      </w:r>
      <w:r w:rsidR="00D33E4C" w:rsidRPr="0059019F">
        <w:rPr>
          <w:rFonts w:asciiTheme="minorHAnsi" w:eastAsia="Times New Roman" w:hAnsiTheme="minorHAnsi" w:cstheme="minorHAnsi"/>
          <w:color w:val="000000"/>
        </w:rPr>
        <w:t>Applicant</w:t>
      </w:r>
      <w:r w:rsidR="007C4C78" w:rsidRPr="0059019F">
        <w:rPr>
          <w:rFonts w:asciiTheme="minorHAnsi" w:eastAsia="Times New Roman" w:hAnsiTheme="minorHAnsi" w:cstheme="minorHAnsi"/>
          <w:color w:val="000000"/>
        </w:rPr>
        <w:t xml:space="preserve"> anticipates that the proposed ASC will offer a similar set of </w:t>
      </w:r>
      <w:r w:rsidR="00496B38" w:rsidRPr="0059019F">
        <w:rPr>
          <w:rFonts w:asciiTheme="minorHAnsi" w:eastAsia="Times New Roman" w:hAnsiTheme="minorHAnsi" w:cstheme="minorHAnsi"/>
          <w:color w:val="000000"/>
        </w:rPr>
        <w:t xml:space="preserve">orthopedic </w:t>
      </w:r>
      <w:r w:rsidR="007C4C78" w:rsidRPr="0059019F">
        <w:rPr>
          <w:rFonts w:asciiTheme="minorHAnsi" w:eastAsia="Times New Roman" w:hAnsiTheme="minorHAnsi" w:cstheme="minorHAnsi"/>
          <w:color w:val="000000"/>
        </w:rPr>
        <w:t xml:space="preserve">services as the HOPD, the analysis of patient need focuses on historical </w:t>
      </w:r>
      <w:r w:rsidR="00496B38" w:rsidRPr="0059019F">
        <w:rPr>
          <w:rFonts w:asciiTheme="minorHAnsi" w:eastAsia="Times New Roman" w:hAnsiTheme="minorHAnsi" w:cstheme="minorHAnsi"/>
          <w:color w:val="000000"/>
        </w:rPr>
        <w:t>volume and projections</w:t>
      </w:r>
      <w:r w:rsidR="001924DC" w:rsidRPr="0059019F">
        <w:rPr>
          <w:rFonts w:asciiTheme="minorHAnsi" w:eastAsia="Times New Roman" w:hAnsiTheme="minorHAnsi" w:cstheme="minorHAnsi"/>
          <w:color w:val="000000"/>
        </w:rPr>
        <w:t xml:space="preserve"> based on demographic and </w:t>
      </w:r>
      <w:r w:rsidR="00D07683" w:rsidRPr="0059019F">
        <w:rPr>
          <w:rFonts w:asciiTheme="minorHAnsi" w:eastAsia="Times New Roman" w:hAnsiTheme="minorHAnsi" w:cstheme="minorHAnsi"/>
          <w:color w:val="000000"/>
        </w:rPr>
        <w:t>technologic and reimbursement trends</w:t>
      </w:r>
      <w:r w:rsidR="004E67AF">
        <w:rPr>
          <w:rFonts w:asciiTheme="minorHAnsi" w:eastAsia="Times New Roman" w:hAnsiTheme="minorHAnsi" w:cstheme="minorHAnsi"/>
          <w:color w:val="000000"/>
        </w:rPr>
        <w:t xml:space="preserve"> for ASC’s.</w:t>
      </w:r>
      <w:r w:rsidR="007C4C78" w:rsidRPr="0059019F">
        <w:rPr>
          <w:rFonts w:asciiTheme="minorHAnsi" w:eastAsia="Times New Roman" w:hAnsiTheme="minorHAnsi" w:cstheme="minorHAnsi"/>
          <w:color w:val="000000"/>
        </w:rPr>
        <w:t xml:space="preserve"> </w:t>
      </w:r>
    </w:p>
    <w:p w14:paraId="4532076C" w14:textId="670EFEED" w:rsidR="00DE44A9" w:rsidRPr="0059019F" w:rsidRDefault="00DE44A9" w:rsidP="0059019F">
      <w:pPr>
        <w:pStyle w:val="NormalWeb"/>
        <w:rPr>
          <w:rFonts w:asciiTheme="minorHAnsi" w:eastAsia="Times New Roman" w:hAnsiTheme="minorHAnsi" w:cstheme="minorHAnsi"/>
          <w:color w:val="000000"/>
        </w:rPr>
      </w:pPr>
    </w:p>
    <w:p w14:paraId="2BEF70EA" w14:textId="1B0474C5" w:rsidR="00DE44A9" w:rsidRPr="0059019F" w:rsidRDefault="00DE44A9" w:rsidP="0059019F">
      <w:pPr>
        <w:pStyle w:val="NormalWeb"/>
        <w:rPr>
          <w:rFonts w:asciiTheme="minorHAnsi" w:eastAsia="Times New Roman" w:hAnsiTheme="minorHAnsi" w:cstheme="minorHAnsi"/>
          <w:color w:val="000000"/>
        </w:rPr>
      </w:pPr>
      <w:r w:rsidRPr="0059019F">
        <w:rPr>
          <w:rFonts w:asciiTheme="minorHAnsi" w:eastAsia="Times New Roman" w:hAnsiTheme="minorHAnsi" w:cstheme="minorHAnsi"/>
          <w:color w:val="000000"/>
        </w:rPr>
        <w:t xml:space="preserve">The Applicant states that the main elements contributing to </w:t>
      </w:r>
      <w:r w:rsidR="00E036BE" w:rsidRPr="0059019F">
        <w:rPr>
          <w:rFonts w:asciiTheme="minorHAnsi" w:eastAsia="Times New Roman" w:hAnsiTheme="minorHAnsi" w:cstheme="minorHAnsi"/>
          <w:color w:val="000000"/>
        </w:rPr>
        <w:t xml:space="preserve">the </w:t>
      </w:r>
      <w:r w:rsidRPr="0059019F">
        <w:rPr>
          <w:rFonts w:asciiTheme="minorHAnsi" w:eastAsia="Times New Roman" w:hAnsiTheme="minorHAnsi" w:cstheme="minorHAnsi"/>
          <w:color w:val="000000"/>
        </w:rPr>
        <w:t xml:space="preserve">patient panel need for this </w:t>
      </w:r>
      <w:r w:rsidR="00E036BE" w:rsidRPr="0059019F">
        <w:rPr>
          <w:rFonts w:asciiTheme="minorHAnsi" w:eastAsia="Times New Roman" w:hAnsiTheme="minorHAnsi" w:cstheme="minorHAnsi"/>
          <w:color w:val="000000"/>
        </w:rPr>
        <w:t xml:space="preserve">Proposed Project </w:t>
      </w:r>
      <w:r w:rsidRPr="0059019F">
        <w:rPr>
          <w:rFonts w:asciiTheme="minorHAnsi" w:eastAsia="Times New Roman" w:hAnsiTheme="minorHAnsi" w:cstheme="minorHAnsi"/>
          <w:color w:val="000000"/>
        </w:rPr>
        <w:t>are</w:t>
      </w:r>
      <w:r w:rsidR="0093319F" w:rsidRPr="0059019F">
        <w:rPr>
          <w:rFonts w:asciiTheme="minorHAnsi" w:eastAsia="Times New Roman" w:hAnsiTheme="minorHAnsi" w:cstheme="minorHAnsi"/>
          <w:color w:val="000000"/>
        </w:rPr>
        <w:t>:</w:t>
      </w:r>
    </w:p>
    <w:p w14:paraId="15007852" w14:textId="77777777" w:rsidR="0093319F" w:rsidRPr="0059019F" w:rsidRDefault="0093319F" w:rsidP="0059019F">
      <w:pPr>
        <w:pStyle w:val="NormalWeb"/>
        <w:rPr>
          <w:rFonts w:asciiTheme="minorHAnsi" w:eastAsia="Times New Roman" w:hAnsiTheme="minorHAnsi" w:cstheme="minorHAnsi"/>
          <w:color w:val="000000"/>
        </w:rPr>
      </w:pPr>
    </w:p>
    <w:p w14:paraId="0C94F5FB" w14:textId="5BC3C89F" w:rsidR="000451E2" w:rsidRPr="0059019F" w:rsidRDefault="000451E2" w:rsidP="0059019F">
      <w:pPr>
        <w:pStyle w:val="ListParagraph"/>
        <w:numPr>
          <w:ilvl w:val="0"/>
          <w:numId w:val="28"/>
        </w:numPr>
        <w:spacing w:after="0" w:line="240" w:lineRule="auto"/>
        <w:rPr>
          <w:rFonts w:eastAsia="Times New Roman" w:cstheme="minorHAnsi"/>
          <w:sz w:val="24"/>
          <w:szCs w:val="24"/>
        </w:rPr>
      </w:pPr>
      <w:r w:rsidRPr="0059019F">
        <w:rPr>
          <w:rFonts w:eastAsia="Times New Roman" w:cstheme="minorHAnsi"/>
          <w:sz w:val="24"/>
          <w:szCs w:val="24"/>
        </w:rPr>
        <w:t xml:space="preserve">Increased </w:t>
      </w:r>
      <w:r w:rsidR="004E67AF">
        <w:rPr>
          <w:rFonts w:eastAsia="Times New Roman" w:cstheme="minorHAnsi"/>
          <w:sz w:val="24"/>
          <w:szCs w:val="24"/>
        </w:rPr>
        <w:t>d</w:t>
      </w:r>
      <w:r w:rsidRPr="0059019F">
        <w:rPr>
          <w:rFonts w:eastAsia="Times New Roman" w:cstheme="minorHAnsi"/>
          <w:sz w:val="24"/>
          <w:szCs w:val="24"/>
        </w:rPr>
        <w:t xml:space="preserve">emand for the </w:t>
      </w:r>
      <w:r w:rsidR="004E67AF">
        <w:rPr>
          <w:rFonts w:eastAsia="Times New Roman" w:cstheme="minorHAnsi"/>
          <w:sz w:val="24"/>
          <w:szCs w:val="24"/>
        </w:rPr>
        <w:t>f</w:t>
      </w:r>
      <w:r w:rsidRPr="0059019F">
        <w:rPr>
          <w:rFonts w:eastAsia="Times New Roman" w:cstheme="minorHAnsi"/>
          <w:sz w:val="24"/>
          <w:szCs w:val="24"/>
        </w:rPr>
        <w:t xml:space="preserve">acility’s </w:t>
      </w:r>
      <w:r w:rsidR="004E67AF">
        <w:rPr>
          <w:rFonts w:eastAsia="Times New Roman" w:cstheme="minorHAnsi"/>
          <w:sz w:val="24"/>
          <w:szCs w:val="24"/>
        </w:rPr>
        <w:t>se</w:t>
      </w:r>
      <w:r w:rsidRPr="0059019F">
        <w:rPr>
          <w:rFonts w:eastAsia="Times New Roman" w:cstheme="minorHAnsi"/>
          <w:sz w:val="24"/>
          <w:szCs w:val="24"/>
        </w:rPr>
        <w:t xml:space="preserve">rvices </w:t>
      </w:r>
    </w:p>
    <w:p w14:paraId="56B63AE7" w14:textId="2BB219AD" w:rsidR="00287F1A" w:rsidRPr="0059019F" w:rsidRDefault="0093319F" w:rsidP="0059019F">
      <w:pPr>
        <w:pStyle w:val="ListParagraph"/>
        <w:numPr>
          <w:ilvl w:val="0"/>
          <w:numId w:val="28"/>
        </w:numPr>
        <w:spacing w:line="240" w:lineRule="auto"/>
        <w:rPr>
          <w:rFonts w:eastAsia="Times New Roman" w:cstheme="minorHAnsi"/>
          <w:color w:val="000000"/>
          <w:sz w:val="24"/>
          <w:szCs w:val="24"/>
        </w:rPr>
      </w:pPr>
      <w:bookmarkStart w:id="33" w:name="_Hlk114497618"/>
      <w:r w:rsidRPr="0059019F">
        <w:rPr>
          <w:rFonts w:eastAsia="Times New Roman" w:cstheme="minorHAnsi"/>
          <w:color w:val="000000"/>
          <w:sz w:val="24"/>
          <w:szCs w:val="24"/>
        </w:rPr>
        <w:t xml:space="preserve">Advances in technology leading </w:t>
      </w:r>
      <w:r w:rsidR="00287F1A" w:rsidRPr="0059019F">
        <w:rPr>
          <w:rFonts w:eastAsia="Times New Roman" w:cstheme="minorHAnsi"/>
          <w:color w:val="000000"/>
          <w:sz w:val="24"/>
          <w:szCs w:val="24"/>
        </w:rPr>
        <w:t>the shift in the surgical procedures that can safely be performed in an outpatient environment</w:t>
      </w:r>
      <w:r w:rsidRPr="0059019F">
        <w:rPr>
          <w:rFonts w:eastAsia="Times New Roman" w:cstheme="minorHAnsi"/>
          <w:color w:val="000000"/>
          <w:sz w:val="24"/>
          <w:szCs w:val="24"/>
        </w:rPr>
        <w:t>,</w:t>
      </w:r>
    </w:p>
    <w:p w14:paraId="3BDB91BE" w14:textId="2D64B40F" w:rsidR="0093319F" w:rsidRPr="0059019F" w:rsidRDefault="0093319F" w:rsidP="0059019F">
      <w:pPr>
        <w:pStyle w:val="ListParagraph"/>
        <w:numPr>
          <w:ilvl w:val="1"/>
          <w:numId w:val="28"/>
        </w:numPr>
        <w:spacing w:line="240" w:lineRule="auto"/>
        <w:rPr>
          <w:rFonts w:eastAsia="Times New Roman" w:cstheme="minorHAnsi"/>
          <w:color w:val="000000"/>
          <w:sz w:val="24"/>
          <w:szCs w:val="24"/>
        </w:rPr>
      </w:pPr>
      <w:bookmarkStart w:id="34" w:name="_Hlk114673755"/>
      <w:bookmarkEnd w:id="33"/>
      <w:r w:rsidRPr="0059019F">
        <w:rPr>
          <w:rFonts w:eastAsia="Times New Roman" w:cstheme="minorHAnsi"/>
          <w:color w:val="000000"/>
          <w:sz w:val="24"/>
          <w:szCs w:val="24"/>
        </w:rPr>
        <w:t>the growth in demand from the aging population</w:t>
      </w:r>
      <w:bookmarkEnd w:id="34"/>
      <w:r w:rsidRPr="0059019F">
        <w:rPr>
          <w:rFonts w:eastAsia="Times New Roman" w:cstheme="minorHAnsi"/>
          <w:color w:val="000000"/>
          <w:sz w:val="24"/>
          <w:szCs w:val="24"/>
        </w:rPr>
        <w:t xml:space="preserve">, </w:t>
      </w:r>
    </w:p>
    <w:p w14:paraId="72AC5899" w14:textId="72CBB6CE" w:rsidR="0093319F" w:rsidRPr="0059019F" w:rsidRDefault="0093319F" w:rsidP="008F22A7">
      <w:pPr>
        <w:pStyle w:val="ListParagraph"/>
        <w:numPr>
          <w:ilvl w:val="1"/>
          <w:numId w:val="28"/>
        </w:numPr>
        <w:spacing w:after="0" w:line="240" w:lineRule="auto"/>
        <w:rPr>
          <w:rFonts w:eastAsia="Times New Roman" w:cstheme="minorHAnsi"/>
          <w:color w:val="000000"/>
          <w:sz w:val="24"/>
          <w:szCs w:val="24"/>
        </w:rPr>
      </w:pPr>
      <w:r w:rsidRPr="0059019F">
        <w:rPr>
          <w:rFonts w:eastAsia="Times New Roman" w:cstheme="minorHAnsi"/>
          <w:color w:val="000000"/>
          <w:sz w:val="24"/>
          <w:szCs w:val="24"/>
        </w:rPr>
        <w:t>growth in demand from sports related injuries,</w:t>
      </w:r>
    </w:p>
    <w:p w14:paraId="5387344C" w14:textId="3FCFF517" w:rsidR="00287F1A" w:rsidRDefault="00C51FD3" w:rsidP="0059019F">
      <w:pPr>
        <w:pStyle w:val="NormalWeb"/>
        <w:numPr>
          <w:ilvl w:val="0"/>
          <w:numId w:val="28"/>
        </w:numPr>
        <w:rPr>
          <w:rFonts w:asciiTheme="minorHAnsi" w:eastAsia="Times New Roman" w:hAnsiTheme="minorHAnsi" w:cstheme="minorHAnsi"/>
          <w:color w:val="000000"/>
        </w:rPr>
      </w:pPr>
      <w:bookmarkStart w:id="35" w:name="_Hlk114498844"/>
      <w:r w:rsidRPr="0059019F">
        <w:rPr>
          <w:rFonts w:asciiTheme="minorHAnsi" w:eastAsia="Times New Roman" w:hAnsiTheme="minorHAnsi" w:cstheme="minorHAnsi"/>
          <w:color w:val="000000"/>
        </w:rPr>
        <w:t>N</w:t>
      </w:r>
      <w:r w:rsidR="0093319F" w:rsidRPr="0059019F">
        <w:rPr>
          <w:rFonts w:asciiTheme="minorHAnsi" w:eastAsia="Times New Roman" w:hAnsiTheme="minorHAnsi" w:cstheme="minorHAnsi"/>
          <w:color w:val="000000"/>
        </w:rPr>
        <w:t xml:space="preserve">eed to </w:t>
      </w:r>
      <w:r w:rsidR="001E04E3">
        <w:rPr>
          <w:rFonts w:asciiTheme="minorHAnsi" w:eastAsia="Times New Roman" w:hAnsiTheme="minorHAnsi" w:cstheme="minorHAnsi"/>
          <w:color w:val="000000"/>
        </w:rPr>
        <w:t>free-</w:t>
      </w:r>
      <w:r w:rsidR="0093319F" w:rsidRPr="0059019F">
        <w:rPr>
          <w:rFonts w:asciiTheme="minorHAnsi" w:eastAsia="Times New Roman" w:hAnsiTheme="minorHAnsi" w:cstheme="minorHAnsi"/>
          <w:color w:val="000000"/>
        </w:rPr>
        <w:t>up NEBH</w:t>
      </w:r>
      <w:r w:rsidR="001E04E3">
        <w:rPr>
          <w:rFonts w:asciiTheme="minorHAnsi" w:eastAsia="Times New Roman" w:hAnsiTheme="minorHAnsi" w:cstheme="minorHAnsi"/>
          <w:color w:val="000000"/>
        </w:rPr>
        <w:t>’s</w:t>
      </w:r>
      <w:r w:rsidR="0093319F" w:rsidRPr="0059019F">
        <w:rPr>
          <w:rFonts w:asciiTheme="minorHAnsi" w:eastAsia="Times New Roman" w:hAnsiTheme="minorHAnsi" w:cstheme="minorHAnsi"/>
          <w:color w:val="000000"/>
        </w:rPr>
        <w:t xml:space="preserve"> </w:t>
      </w:r>
      <w:r w:rsidR="001E04E3" w:rsidRPr="001E04E3">
        <w:rPr>
          <w:rFonts w:asciiTheme="minorHAnsi" w:eastAsia="Times New Roman" w:hAnsiTheme="minorHAnsi" w:cstheme="minorHAnsi"/>
          <w:color w:val="000000"/>
        </w:rPr>
        <w:t xml:space="preserve">surgical suites </w:t>
      </w:r>
      <w:r w:rsidR="001E04E3">
        <w:rPr>
          <w:rFonts w:asciiTheme="minorHAnsi" w:eastAsia="Times New Roman" w:hAnsiTheme="minorHAnsi" w:cstheme="minorHAnsi"/>
          <w:color w:val="000000"/>
        </w:rPr>
        <w:t>to accommodate</w:t>
      </w:r>
      <w:r w:rsidR="0093319F" w:rsidRPr="0059019F">
        <w:rPr>
          <w:rFonts w:asciiTheme="minorHAnsi" w:eastAsia="Times New Roman" w:hAnsiTheme="minorHAnsi" w:cstheme="minorHAnsi"/>
          <w:color w:val="000000"/>
        </w:rPr>
        <w:t xml:space="preserve"> more complex procedures.</w:t>
      </w:r>
    </w:p>
    <w:p w14:paraId="27FA4421" w14:textId="45F6A6F2" w:rsidR="004E67AF" w:rsidRDefault="004E67AF" w:rsidP="004E67AF">
      <w:pPr>
        <w:pStyle w:val="NormalWeb"/>
        <w:rPr>
          <w:rFonts w:asciiTheme="minorHAnsi" w:eastAsia="Times New Roman" w:hAnsiTheme="minorHAnsi" w:cstheme="minorHAnsi"/>
          <w:color w:val="000000"/>
        </w:rPr>
      </w:pPr>
    </w:p>
    <w:p w14:paraId="226F647D" w14:textId="77777777" w:rsidR="004E67AF" w:rsidRPr="0059019F" w:rsidRDefault="004E67AF" w:rsidP="004E67AF">
      <w:pPr>
        <w:pStyle w:val="NormalWeb"/>
        <w:rPr>
          <w:rFonts w:asciiTheme="minorHAnsi" w:eastAsia="Times New Roman" w:hAnsiTheme="minorHAnsi" w:cstheme="minorHAnsi"/>
          <w:color w:val="000000"/>
        </w:rPr>
      </w:pPr>
    </w:p>
    <w:bookmarkEnd w:id="35"/>
    <w:p w14:paraId="036237BF" w14:textId="449CD4AC" w:rsidR="001924DC" w:rsidRPr="0059019F" w:rsidRDefault="001924DC" w:rsidP="0059019F">
      <w:pPr>
        <w:pStyle w:val="NormalWeb"/>
        <w:rPr>
          <w:rFonts w:asciiTheme="minorHAnsi" w:eastAsia="Times New Roman" w:hAnsiTheme="minorHAnsi" w:cstheme="minorHAnsi"/>
          <w:color w:val="000000"/>
        </w:rPr>
      </w:pPr>
    </w:p>
    <w:p w14:paraId="50FE27DB" w14:textId="77777777" w:rsidR="000451E2" w:rsidRPr="001E04E3" w:rsidRDefault="00EA5755" w:rsidP="001E04E3">
      <w:pPr>
        <w:spacing w:after="0" w:line="240" w:lineRule="auto"/>
        <w:rPr>
          <w:rFonts w:eastAsia="Times New Roman" w:cstheme="minorHAnsi"/>
          <w:b/>
          <w:bCs/>
          <w:sz w:val="24"/>
          <w:szCs w:val="24"/>
        </w:rPr>
      </w:pPr>
      <w:r w:rsidRPr="001E04E3">
        <w:rPr>
          <w:rFonts w:eastAsia="Times New Roman" w:cstheme="minorHAnsi"/>
          <w:b/>
          <w:bCs/>
          <w:color w:val="000000"/>
          <w:sz w:val="24"/>
          <w:szCs w:val="24"/>
        </w:rPr>
        <w:lastRenderedPageBreak/>
        <w:t xml:space="preserve">1. </w:t>
      </w:r>
      <w:r w:rsidR="000451E2" w:rsidRPr="001E04E3">
        <w:rPr>
          <w:rFonts w:eastAsia="Times New Roman" w:cstheme="minorHAnsi"/>
          <w:b/>
          <w:bCs/>
          <w:sz w:val="24"/>
          <w:szCs w:val="24"/>
        </w:rPr>
        <w:t xml:space="preserve">Increased Demand for the Facility’s Services </w:t>
      </w:r>
    </w:p>
    <w:p w14:paraId="2AFFE43E" w14:textId="414BE921" w:rsidR="000451E2" w:rsidRPr="0059019F" w:rsidRDefault="000451E2" w:rsidP="0059019F">
      <w:pPr>
        <w:pStyle w:val="NormalWeb"/>
        <w:rPr>
          <w:rFonts w:asciiTheme="minorHAnsi" w:eastAsia="Times New Roman" w:hAnsiTheme="minorHAnsi" w:cstheme="minorHAnsi"/>
          <w:color w:val="000000"/>
        </w:rPr>
      </w:pPr>
    </w:p>
    <w:p w14:paraId="54083D5E" w14:textId="77D0C888" w:rsidR="00D07683" w:rsidRPr="0059019F" w:rsidRDefault="00D07683" w:rsidP="0059019F">
      <w:pPr>
        <w:pStyle w:val="NormalWeb"/>
        <w:rPr>
          <w:rFonts w:asciiTheme="minorHAnsi" w:eastAsia="Times New Roman" w:hAnsiTheme="minorHAnsi" w:cstheme="minorHAnsi"/>
          <w:color w:val="000000"/>
        </w:rPr>
      </w:pPr>
      <w:r w:rsidRPr="0059019F">
        <w:rPr>
          <w:rFonts w:asciiTheme="minorHAnsi" w:eastAsia="Times New Roman" w:hAnsiTheme="minorHAnsi" w:cstheme="minorHAnsi"/>
          <w:color w:val="000000"/>
        </w:rPr>
        <w:t xml:space="preserve">The volume of outpatient orthopedic surgical services increased by 18.5% at the HOPD between FY 2019 and FY 2021, as shown in </w:t>
      </w:r>
      <w:r w:rsidRPr="00675214">
        <w:rPr>
          <w:rFonts w:asciiTheme="minorHAnsi" w:eastAsia="Times New Roman" w:hAnsiTheme="minorHAnsi" w:cstheme="minorHAnsi"/>
          <w:color w:val="000000"/>
        </w:rPr>
        <w:t>Table</w:t>
      </w:r>
      <w:r w:rsidR="00EA5755" w:rsidRPr="00675214">
        <w:rPr>
          <w:rFonts w:asciiTheme="minorHAnsi" w:eastAsia="Times New Roman" w:hAnsiTheme="minorHAnsi" w:cstheme="minorHAnsi"/>
          <w:color w:val="000000"/>
        </w:rPr>
        <w:t xml:space="preserve"> </w:t>
      </w:r>
      <w:r w:rsidR="00D4075F">
        <w:rPr>
          <w:rFonts w:asciiTheme="minorHAnsi" w:eastAsia="Times New Roman" w:hAnsiTheme="minorHAnsi" w:cstheme="minorHAnsi"/>
          <w:color w:val="000000"/>
        </w:rPr>
        <w:t>4</w:t>
      </w:r>
      <w:r w:rsidRPr="0059019F">
        <w:rPr>
          <w:rFonts w:asciiTheme="minorHAnsi" w:eastAsia="Times New Roman" w:hAnsiTheme="minorHAnsi" w:cstheme="minorHAnsi"/>
          <w:color w:val="000000"/>
        </w:rPr>
        <w:t>. Cumulatively accounting for 46.8% in 2019, to 44.3% in 2021 of the total, the most common procedures performed at the HOPD have been arthroscopy of the knee, hip and wrist endoscopy.</w:t>
      </w:r>
    </w:p>
    <w:p w14:paraId="183D6359" w14:textId="096A7EB7" w:rsidR="001924DC" w:rsidRDefault="001924DC" w:rsidP="007C4C78">
      <w:pPr>
        <w:pStyle w:val="NormalWeb"/>
        <w:rPr>
          <w:rFonts w:asciiTheme="minorHAnsi" w:eastAsia="Times New Roman" w:hAnsiTheme="minorHAnsi" w:cstheme="minorHAnsi"/>
          <w:color w:val="000000"/>
        </w:rPr>
      </w:pPr>
    </w:p>
    <w:p w14:paraId="5A10719D" w14:textId="55BE9FC4" w:rsidR="001924DC" w:rsidRPr="001924DC" w:rsidRDefault="001924DC" w:rsidP="00DE44A9">
      <w:pPr>
        <w:pStyle w:val="NormalWeb"/>
        <w:jc w:val="center"/>
        <w:rPr>
          <w:rFonts w:asciiTheme="minorHAnsi" w:eastAsia="Times New Roman" w:hAnsiTheme="minorHAnsi" w:cstheme="minorHAnsi"/>
          <w:b/>
          <w:color w:val="000000"/>
        </w:rPr>
      </w:pPr>
      <w:r w:rsidRPr="00675214">
        <w:rPr>
          <w:rFonts w:asciiTheme="minorHAnsi" w:eastAsia="Times New Roman" w:hAnsiTheme="minorHAnsi" w:cstheme="minorHAnsi"/>
          <w:b/>
          <w:color w:val="000000"/>
        </w:rPr>
        <w:t xml:space="preserve">Table </w:t>
      </w:r>
      <w:r w:rsidR="00D4075F">
        <w:rPr>
          <w:rFonts w:asciiTheme="minorHAnsi" w:eastAsia="Times New Roman" w:hAnsiTheme="minorHAnsi" w:cstheme="minorHAnsi"/>
          <w:b/>
          <w:color w:val="000000"/>
        </w:rPr>
        <w:t>4</w:t>
      </w:r>
      <w:r w:rsidRPr="001924DC">
        <w:rPr>
          <w:rFonts w:asciiTheme="minorHAnsi" w:eastAsia="Times New Roman" w:hAnsiTheme="minorHAnsi" w:cstheme="minorHAnsi"/>
          <w:b/>
          <w:color w:val="000000"/>
        </w:rPr>
        <w:t xml:space="preserve">: Orthopedic Surgical </w:t>
      </w:r>
      <w:r w:rsidR="002152E5">
        <w:rPr>
          <w:rFonts w:asciiTheme="minorHAnsi" w:eastAsia="Times New Roman" w:hAnsiTheme="minorHAnsi" w:cstheme="minorHAnsi"/>
          <w:b/>
          <w:color w:val="000000"/>
        </w:rPr>
        <w:t>Procedur</w:t>
      </w:r>
      <w:r w:rsidR="004557E2">
        <w:rPr>
          <w:rFonts w:asciiTheme="minorHAnsi" w:eastAsia="Times New Roman" w:hAnsiTheme="minorHAnsi" w:cstheme="minorHAnsi"/>
          <w:b/>
          <w:color w:val="000000"/>
        </w:rPr>
        <w:t>e</w:t>
      </w:r>
      <w:r w:rsidR="002152E5">
        <w:rPr>
          <w:rStyle w:val="FootnoteReference"/>
          <w:rFonts w:asciiTheme="minorHAnsi" w:eastAsia="Times New Roman" w:hAnsiTheme="minorHAnsi" w:cstheme="minorHAnsi"/>
          <w:b/>
          <w:color w:val="000000"/>
        </w:rPr>
        <w:footnoteReference w:id="8"/>
      </w:r>
      <w:r w:rsidR="004557E2">
        <w:rPr>
          <w:rFonts w:asciiTheme="minorHAnsi" w:eastAsia="Times New Roman" w:hAnsiTheme="minorHAnsi" w:cstheme="minorHAnsi"/>
          <w:b/>
          <w:color w:val="000000"/>
        </w:rPr>
        <w:t xml:space="preserve"> </w:t>
      </w:r>
      <w:r w:rsidR="002152E5">
        <w:rPr>
          <w:rFonts w:asciiTheme="minorHAnsi" w:eastAsia="Times New Roman" w:hAnsiTheme="minorHAnsi" w:cstheme="minorHAnsi"/>
          <w:b/>
          <w:color w:val="000000"/>
        </w:rPr>
        <w:t>Volume</w:t>
      </w:r>
      <w:r w:rsidRPr="001924DC">
        <w:rPr>
          <w:rFonts w:asciiTheme="minorHAnsi" w:eastAsia="Times New Roman" w:hAnsiTheme="minorHAnsi" w:cstheme="minorHAnsi"/>
          <w:b/>
          <w:color w:val="000000"/>
        </w:rPr>
        <w:t xml:space="preserve"> by Service Line at NEBH Dedham Site</w:t>
      </w:r>
      <w:r w:rsidR="002152E5">
        <w:rPr>
          <w:rFonts w:asciiTheme="minorHAnsi" w:eastAsia="Times New Roman" w:hAnsiTheme="minorHAnsi" w:cstheme="minorHAnsi"/>
          <w:b/>
          <w:color w:val="000000"/>
        </w:rPr>
        <w:t xml:space="preserve">            </w:t>
      </w:r>
      <w:r w:rsidRPr="001924DC">
        <w:rPr>
          <w:rFonts w:asciiTheme="minorHAnsi" w:eastAsia="Times New Roman" w:hAnsiTheme="minorHAnsi" w:cstheme="minorHAnsi"/>
          <w:b/>
          <w:color w:val="000000"/>
        </w:rPr>
        <w:t xml:space="preserve"> FY 2019 – FY 2021</w:t>
      </w:r>
    </w:p>
    <w:p w14:paraId="43E378E4" w14:textId="77777777" w:rsidR="001924DC" w:rsidRPr="001924DC" w:rsidRDefault="001924DC" w:rsidP="001924DC">
      <w:pPr>
        <w:pStyle w:val="NormalWeb"/>
        <w:rPr>
          <w:rFonts w:asciiTheme="minorHAnsi" w:eastAsia="Times New Roman" w:hAnsiTheme="minorHAnsi" w:cstheme="minorHAnsi"/>
          <w:b/>
          <w:color w:val="000000"/>
        </w:rPr>
      </w:pPr>
    </w:p>
    <w:tbl>
      <w:tblPr>
        <w:tblW w:w="7182" w:type="dxa"/>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left w:w="0" w:type="dxa"/>
          <w:right w:w="0" w:type="dxa"/>
        </w:tblCellMar>
        <w:tblLook w:val="01E0" w:firstRow="1" w:lastRow="1" w:firstColumn="1" w:lastColumn="1" w:noHBand="0" w:noVBand="0"/>
      </w:tblPr>
      <w:tblGrid>
        <w:gridCol w:w="4230"/>
        <w:gridCol w:w="890"/>
        <w:gridCol w:w="1031"/>
        <w:gridCol w:w="1031"/>
      </w:tblGrid>
      <w:tr w:rsidR="001924DC" w:rsidRPr="001924DC" w14:paraId="04809C7B" w14:textId="77777777" w:rsidTr="000D586E">
        <w:trPr>
          <w:cantSplit/>
          <w:trHeight w:val="246"/>
          <w:tblHeader/>
          <w:jc w:val="center"/>
        </w:trPr>
        <w:tc>
          <w:tcPr>
            <w:tcW w:w="4230" w:type="dxa"/>
            <w:tcBorders>
              <w:top w:val="single" w:sz="4" w:space="0" w:color="808080"/>
              <w:left w:val="single" w:sz="4" w:space="0" w:color="808080"/>
              <w:bottom w:val="single" w:sz="4" w:space="0" w:color="808080"/>
              <w:right w:val="single" w:sz="4" w:space="0" w:color="808080"/>
            </w:tcBorders>
            <w:shd w:val="clear" w:color="auto" w:fill="DDFFFF"/>
          </w:tcPr>
          <w:p w14:paraId="4BE76EC8" w14:textId="77777777" w:rsidR="001924DC" w:rsidRPr="001924DC" w:rsidRDefault="001924DC" w:rsidP="001924DC">
            <w:pPr>
              <w:pStyle w:val="NormalWeb"/>
              <w:rPr>
                <w:rFonts w:asciiTheme="minorHAnsi" w:eastAsia="Times New Roman" w:hAnsiTheme="minorHAnsi" w:cstheme="minorHAnsi"/>
                <w:b/>
                <w:color w:val="000000"/>
              </w:rPr>
            </w:pPr>
            <w:r w:rsidRPr="001924DC">
              <w:rPr>
                <w:rFonts w:asciiTheme="minorHAnsi" w:eastAsia="Times New Roman" w:hAnsiTheme="minorHAnsi" w:cstheme="minorHAnsi"/>
                <w:b/>
                <w:color w:val="000000"/>
              </w:rPr>
              <w:t>Service Line</w:t>
            </w:r>
          </w:p>
        </w:tc>
        <w:tc>
          <w:tcPr>
            <w:tcW w:w="890" w:type="dxa"/>
            <w:tcBorders>
              <w:top w:val="single" w:sz="4" w:space="0" w:color="808080"/>
              <w:left w:val="single" w:sz="4" w:space="0" w:color="808080"/>
              <w:bottom w:val="single" w:sz="4" w:space="0" w:color="808080"/>
              <w:right w:val="single" w:sz="4" w:space="0" w:color="808080"/>
            </w:tcBorders>
            <w:shd w:val="clear" w:color="auto" w:fill="DDFFFF"/>
          </w:tcPr>
          <w:p w14:paraId="0891CDD2" w14:textId="77777777" w:rsidR="001924DC" w:rsidRPr="001924DC" w:rsidRDefault="001924DC" w:rsidP="005A6FC7">
            <w:pPr>
              <w:pStyle w:val="NormalWeb"/>
              <w:jc w:val="center"/>
              <w:rPr>
                <w:rFonts w:asciiTheme="minorHAnsi" w:eastAsia="Times New Roman" w:hAnsiTheme="minorHAnsi" w:cstheme="minorHAnsi"/>
                <w:b/>
                <w:color w:val="000000"/>
              </w:rPr>
            </w:pPr>
            <w:r w:rsidRPr="001924DC">
              <w:rPr>
                <w:rFonts w:asciiTheme="minorHAnsi" w:eastAsia="Times New Roman" w:hAnsiTheme="minorHAnsi" w:cstheme="minorHAnsi"/>
                <w:b/>
                <w:color w:val="000000"/>
              </w:rPr>
              <w:t>FY 2019</w:t>
            </w:r>
          </w:p>
        </w:tc>
        <w:tc>
          <w:tcPr>
            <w:tcW w:w="1031" w:type="dxa"/>
            <w:tcBorders>
              <w:top w:val="single" w:sz="4" w:space="0" w:color="808080"/>
              <w:left w:val="single" w:sz="4" w:space="0" w:color="808080"/>
              <w:bottom w:val="single" w:sz="4" w:space="0" w:color="808080"/>
              <w:right w:val="single" w:sz="4" w:space="0" w:color="808080"/>
            </w:tcBorders>
            <w:shd w:val="clear" w:color="auto" w:fill="DDFFFF"/>
          </w:tcPr>
          <w:p w14:paraId="5C9198A0" w14:textId="77777777" w:rsidR="001924DC" w:rsidRPr="001924DC" w:rsidRDefault="001924DC" w:rsidP="005A6FC7">
            <w:pPr>
              <w:pStyle w:val="NormalWeb"/>
              <w:jc w:val="center"/>
              <w:rPr>
                <w:rFonts w:asciiTheme="minorHAnsi" w:eastAsia="Times New Roman" w:hAnsiTheme="minorHAnsi" w:cstheme="minorHAnsi"/>
                <w:b/>
                <w:color w:val="000000"/>
              </w:rPr>
            </w:pPr>
            <w:r w:rsidRPr="001924DC">
              <w:rPr>
                <w:rFonts w:asciiTheme="minorHAnsi" w:eastAsia="Times New Roman" w:hAnsiTheme="minorHAnsi" w:cstheme="minorHAnsi"/>
                <w:b/>
                <w:color w:val="000000"/>
              </w:rPr>
              <w:t>FY 2020</w:t>
            </w:r>
          </w:p>
        </w:tc>
        <w:tc>
          <w:tcPr>
            <w:tcW w:w="1031" w:type="dxa"/>
            <w:tcBorders>
              <w:top w:val="single" w:sz="4" w:space="0" w:color="808080"/>
              <w:left w:val="single" w:sz="4" w:space="0" w:color="808080"/>
              <w:bottom w:val="single" w:sz="4" w:space="0" w:color="808080"/>
              <w:right w:val="single" w:sz="4" w:space="0" w:color="808080"/>
            </w:tcBorders>
            <w:shd w:val="clear" w:color="auto" w:fill="DDFFFF"/>
          </w:tcPr>
          <w:p w14:paraId="589919D3" w14:textId="77777777" w:rsidR="001924DC" w:rsidRPr="001924DC" w:rsidRDefault="001924DC" w:rsidP="005A6FC7">
            <w:pPr>
              <w:pStyle w:val="NormalWeb"/>
              <w:jc w:val="center"/>
              <w:rPr>
                <w:rFonts w:asciiTheme="minorHAnsi" w:eastAsia="Times New Roman" w:hAnsiTheme="minorHAnsi" w:cstheme="minorHAnsi"/>
                <w:b/>
                <w:color w:val="000000"/>
              </w:rPr>
            </w:pPr>
            <w:r w:rsidRPr="001924DC">
              <w:rPr>
                <w:rFonts w:asciiTheme="minorHAnsi" w:eastAsia="Times New Roman" w:hAnsiTheme="minorHAnsi" w:cstheme="minorHAnsi"/>
                <w:b/>
                <w:color w:val="000000"/>
              </w:rPr>
              <w:t>FY 2021</w:t>
            </w:r>
          </w:p>
        </w:tc>
      </w:tr>
      <w:tr w:rsidR="001924DC" w:rsidRPr="001924DC" w14:paraId="29CFC005"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54FFD294"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Endoscopy/Arthroscopy Procedures on the Musculoskeletal System</w:t>
            </w:r>
          </w:p>
        </w:tc>
        <w:tc>
          <w:tcPr>
            <w:tcW w:w="890" w:type="dxa"/>
            <w:tcBorders>
              <w:top w:val="single" w:sz="4" w:space="0" w:color="808080"/>
              <w:left w:val="single" w:sz="4" w:space="0" w:color="808080"/>
              <w:bottom w:val="single" w:sz="4" w:space="0" w:color="808080"/>
              <w:right w:val="single" w:sz="4" w:space="0" w:color="808080"/>
            </w:tcBorders>
          </w:tcPr>
          <w:p w14:paraId="753E64EF"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1,499</w:t>
            </w:r>
          </w:p>
        </w:tc>
        <w:tc>
          <w:tcPr>
            <w:tcW w:w="1031" w:type="dxa"/>
            <w:tcBorders>
              <w:top w:val="single" w:sz="4" w:space="0" w:color="808080"/>
              <w:left w:val="single" w:sz="4" w:space="0" w:color="808080"/>
              <w:bottom w:val="single" w:sz="4" w:space="0" w:color="808080"/>
              <w:right w:val="single" w:sz="4" w:space="0" w:color="808080"/>
            </w:tcBorders>
          </w:tcPr>
          <w:p w14:paraId="75B3179D"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1,150</w:t>
            </w:r>
          </w:p>
        </w:tc>
        <w:tc>
          <w:tcPr>
            <w:tcW w:w="1031" w:type="dxa"/>
            <w:tcBorders>
              <w:top w:val="single" w:sz="4" w:space="0" w:color="808080"/>
              <w:left w:val="single" w:sz="4" w:space="0" w:color="808080"/>
              <w:bottom w:val="single" w:sz="4" w:space="0" w:color="808080"/>
              <w:right w:val="single" w:sz="4" w:space="0" w:color="808080"/>
            </w:tcBorders>
          </w:tcPr>
          <w:p w14:paraId="729DC65D"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1,680</w:t>
            </w:r>
          </w:p>
        </w:tc>
      </w:tr>
      <w:tr w:rsidR="001924DC" w:rsidRPr="001924DC" w14:paraId="3FA09105"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22063864"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Foot and Toes</w:t>
            </w:r>
          </w:p>
        </w:tc>
        <w:tc>
          <w:tcPr>
            <w:tcW w:w="890" w:type="dxa"/>
            <w:tcBorders>
              <w:top w:val="single" w:sz="4" w:space="0" w:color="808080"/>
              <w:left w:val="single" w:sz="4" w:space="0" w:color="808080"/>
              <w:bottom w:val="single" w:sz="4" w:space="0" w:color="808080"/>
              <w:right w:val="single" w:sz="4" w:space="0" w:color="808080"/>
            </w:tcBorders>
          </w:tcPr>
          <w:p w14:paraId="63AE0D1F"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492</w:t>
            </w:r>
          </w:p>
        </w:tc>
        <w:tc>
          <w:tcPr>
            <w:tcW w:w="1031" w:type="dxa"/>
            <w:tcBorders>
              <w:top w:val="single" w:sz="4" w:space="0" w:color="808080"/>
              <w:left w:val="single" w:sz="4" w:space="0" w:color="808080"/>
              <w:bottom w:val="single" w:sz="4" w:space="0" w:color="808080"/>
              <w:right w:val="single" w:sz="4" w:space="0" w:color="808080"/>
            </w:tcBorders>
          </w:tcPr>
          <w:p w14:paraId="273A5254"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405</w:t>
            </w:r>
          </w:p>
        </w:tc>
        <w:tc>
          <w:tcPr>
            <w:tcW w:w="1031" w:type="dxa"/>
            <w:tcBorders>
              <w:top w:val="single" w:sz="4" w:space="0" w:color="808080"/>
              <w:left w:val="single" w:sz="4" w:space="0" w:color="808080"/>
              <w:bottom w:val="single" w:sz="4" w:space="0" w:color="808080"/>
              <w:right w:val="single" w:sz="4" w:space="0" w:color="808080"/>
            </w:tcBorders>
          </w:tcPr>
          <w:p w14:paraId="037521DB"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563</w:t>
            </w:r>
          </w:p>
        </w:tc>
      </w:tr>
      <w:tr w:rsidR="001924DC" w:rsidRPr="001924DC" w14:paraId="5F7538A0"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0DE84B14"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Forearm and Wrist</w:t>
            </w:r>
          </w:p>
        </w:tc>
        <w:tc>
          <w:tcPr>
            <w:tcW w:w="890" w:type="dxa"/>
            <w:tcBorders>
              <w:top w:val="single" w:sz="4" w:space="0" w:color="808080"/>
              <w:left w:val="single" w:sz="4" w:space="0" w:color="808080"/>
              <w:bottom w:val="single" w:sz="4" w:space="0" w:color="808080"/>
              <w:right w:val="single" w:sz="4" w:space="0" w:color="808080"/>
            </w:tcBorders>
          </w:tcPr>
          <w:p w14:paraId="23950513"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283</w:t>
            </w:r>
          </w:p>
        </w:tc>
        <w:tc>
          <w:tcPr>
            <w:tcW w:w="1031" w:type="dxa"/>
            <w:tcBorders>
              <w:top w:val="single" w:sz="4" w:space="0" w:color="808080"/>
              <w:left w:val="single" w:sz="4" w:space="0" w:color="808080"/>
              <w:bottom w:val="single" w:sz="4" w:space="0" w:color="808080"/>
              <w:right w:val="single" w:sz="4" w:space="0" w:color="808080"/>
            </w:tcBorders>
          </w:tcPr>
          <w:p w14:paraId="26F07655"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239</w:t>
            </w:r>
          </w:p>
        </w:tc>
        <w:tc>
          <w:tcPr>
            <w:tcW w:w="1031" w:type="dxa"/>
            <w:tcBorders>
              <w:top w:val="single" w:sz="4" w:space="0" w:color="808080"/>
              <w:left w:val="single" w:sz="4" w:space="0" w:color="808080"/>
              <w:bottom w:val="single" w:sz="4" w:space="0" w:color="808080"/>
              <w:right w:val="single" w:sz="4" w:space="0" w:color="808080"/>
            </w:tcBorders>
          </w:tcPr>
          <w:p w14:paraId="71F858D8"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356</w:t>
            </w:r>
          </w:p>
        </w:tc>
      </w:tr>
      <w:tr w:rsidR="001924DC" w:rsidRPr="001924DC" w14:paraId="229E637F"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2F0A2A2B"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Hand and Fingers</w:t>
            </w:r>
          </w:p>
        </w:tc>
        <w:tc>
          <w:tcPr>
            <w:tcW w:w="890" w:type="dxa"/>
            <w:tcBorders>
              <w:top w:val="single" w:sz="4" w:space="0" w:color="808080"/>
              <w:left w:val="single" w:sz="4" w:space="0" w:color="808080"/>
              <w:bottom w:val="single" w:sz="4" w:space="0" w:color="808080"/>
              <w:right w:val="single" w:sz="4" w:space="0" w:color="808080"/>
            </w:tcBorders>
          </w:tcPr>
          <w:p w14:paraId="34007782"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283</w:t>
            </w:r>
          </w:p>
        </w:tc>
        <w:tc>
          <w:tcPr>
            <w:tcW w:w="1031" w:type="dxa"/>
            <w:tcBorders>
              <w:top w:val="single" w:sz="4" w:space="0" w:color="808080"/>
              <w:left w:val="single" w:sz="4" w:space="0" w:color="808080"/>
              <w:bottom w:val="single" w:sz="4" w:space="0" w:color="808080"/>
              <w:right w:val="single" w:sz="4" w:space="0" w:color="808080"/>
            </w:tcBorders>
          </w:tcPr>
          <w:p w14:paraId="10F57F6F"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219</w:t>
            </w:r>
          </w:p>
        </w:tc>
        <w:tc>
          <w:tcPr>
            <w:tcW w:w="1031" w:type="dxa"/>
            <w:tcBorders>
              <w:top w:val="single" w:sz="4" w:space="0" w:color="808080"/>
              <w:left w:val="single" w:sz="4" w:space="0" w:color="808080"/>
              <w:bottom w:val="single" w:sz="4" w:space="0" w:color="808080"/>
              <w:right w:val="single" w:sz="4" w:space="0" w:color="808080"/>
            </w:tcBorders>
          </w:tcPr>
          <w:p w14:paraId="35268A8F"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299</w:t>
            </w:r>
          </w:p>
        </w:tc>
      </w:tr>
      <w:tr w:rsidR="001924DC" w:rsidRPr="001924DC" w14:paraId="2F7248DF"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315BC6EB"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Leg (Tibia and Fibula) and Ankle Joint</w:t>
            </w:r>
          </w:p>
        </w:tc>
        <w:tc>
          <w:tcPr>
            <w:tcW w:w="890" w:type="dxa"/>
            <w:tcBorders>
              <w:top w:val="single" w:sz="4" w:space="0" w:color="808080"/>
              <w:left w:val="single" w:sz="4" w:space="0" w:color="808080"/>
              <w:bottom w:val="single" w:sz="4" w:space="0" w:color="808080"/>
              <w:right w:val="single" w:sz="4" w:space="0" w:color="808080"/>
            </w:tcBorders>
          </w:tcPr>
          <w:p w14:paraId="28EAFFA9"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143</w:t>
            </w:r>
          </w:p>
        </w:tc>
        <w:tc>
          <w:tcPr>
            <w:tcW w:w="1031" w:type="dxa"/>
            <w:tcBorders>
              <w:top w:val="single" w:sz="4" w:space="0" w:color="808080"/>
              <w:left w:val="single" w:sz="4" w:space="0" w:color="808080"/>
              <w:bottom w:val="single" w:sz="4" w:space="0" w:color="808080"/>
              <w:right w:val="single" w:sz="4" w:space="0" w:color="808080"/>
            </w:tcBorders>
          </w:tcPr>
          <w:p w14:paraId="5A5ECB83"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158</w:t>
            </w:r>
          </w:p>
        </w:tc>
        <w:tc>
          <w:tcPr>
            <w:tcW w:w="1031" w:type="dxa"/>
            <w:tcBorders>
              <w:top w:val="single" w:sz="4" w:space="0" w:color="808080"/>
              <w:left w:val="single" w:sz="4" w:space="0" w:color="808080"/>
              <w:bottom w:val="single" w:sz="4" w:space="0" w:color="808080"/>
              <w:right w:val="single" w:sz="4" w:space="0" w:color="808080"/>
            </w:tcBorders>
          </w:tcPr>
          <w:p w14:paraId="01B2479F"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242</w:t>
            </w:r>
          </w:p>
        </w:tc>
      </w:tr>
      <w:tr w:rsidR="001924DC" w:rsidRPr="001924DC" w14:paraId="3BA2666C"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4E627000"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General</w:t>
            </w:r>
          </w:p>
        </w:tc>
        <w:tc>
          <w:tcPr>
            <w:tcW w:w="890" w:type="dxa"/>
            <w:tcBorders>
              <w:top w:val="single" w:sz="4" w:space="0" w:color="808080"/>
              <w:left w:val="single" w:sz="4" w:space="0" w:color="808080"/>
              <w:bottom w:val="single" w:sz="4" w:space="0" w:color="808080"/>
              <w:right w:val="single" w:sz="4" w:space="0" w:color="808080"/>
            </w:tcBorders>
          </w:tcPr>
          <w:p w14:paraId="316F8A71"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205</w:t>
            </w:r>
          </w:p>
        </w:tc>
        <w:tc>
          <w:tcPr>
            <w:tcW w:w="1031" w:type="dxa"/>
            <w:tcBorders>
              <w:top w:val="single" w:sz="4" w:space="0" w:color="808080"/>
              <w:left w:val="single" w:sz="4" w:space="0" w:color="808080"/>
              <w:bottom w:val="single" w:sz="4" w:space="0" w:color="808080"/>
              <w:right w:val="single" w:sz="4" w:space="0" w:color="808080"/>
            </w:tcBorders>
          </w:tcPr>
          <w:p w14:paraId="1F1ECDBF"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175</w:t>
            </w:r>
          </w:p>
        </w:tc>
        <w:tc>
          <w:tcPr>
            <w:tcW w:w="1031" w:type="dxa"/>
            <w:tcBorders>
              <w:top w:val="single" w:sz="4" w:space="0" w:color="808080"/>
              <w:left w:val="single" w:sz="4" w:space="0" w:color="808080"/>
              <w:bottom w:val="single" w:sz="4" w:space="0" w:color="808080"/>
              <w:right w:val="single" w:sz="4" w:space="0" w:color="808080"/>
            </w:tcBorders>
          </w:tcPr>
          <w:p w14:paraId="7BC7D0CE"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174</w:t>
            </w:r>
          </w:p>
        </w:tc>
      </w:tr>
      <w:tr w:rsidR="001924DC" w:rsidRPr="001924DC" w14:paraId="59240B05"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6040132D" w14:textId="77777777" w:rsidR="001924DC" w:rsidRPr="001924DC" w:rsidRDefault="001924DC" w:rsidP="001924DC">
            <w:pPr>
              <w:pStyle w:val="NormalWeb"/>
              <w:rPr>
                <w:rFonts w:asciiTheme="minorHAnsi" w:eastAsia="Times New Roman" w:hAnsiTheme="minorHAnsi" w:cstheme="minorHAnsi"/>
                <w:color w:val="000000"/>
              </w:rPr>
            </w:pPr>
            <w:proofErr w:type="spellStart"/>
            <w:r w:rsidRPr="001924DC">
              <w:rPr>
                <w:rFonts w:asciiTheme="minorHAnsi" w:eastAsia="Times New Roman" w:hAnsiTheme="minorHAnsi" w:cstheme="minorHAnsi"/>
                <w:color w:val="000000"/>
              </w:rPr>
              <w:t>Humerus</w:t>
            </w:r>
            <w:proofErr w:type="spellEnd"/>
            <w:r w:rsidRPr="001924DC">
              <w:rPr>
                <w:rFonts w:asciiTheme="minorHAnsi" w:eastAsia="Times New Roman" w:hAnsiTheme="minorHAnsi" w:cstheme="minorHAnsi"/>
                <w:color w:val="000000"/>
              </w:rPr>
              <w:t xml:space="preserve"> (Upper Arm) and Elbow</w:t>
            </w:r>
          </w:p>
        </w:tc>
        <w:tc>
          <w:tcPr>
            <w:tcW w:w="890" w:type="dxa"/>
            <w:tcBorders>
              <w:top w:val="single" w:sz="4" w:space="0" w:color="808080"/>
              <w:left w:val="single" w:sz="4" w:space="0" w:color="808080"/>
              <w:bottom w:val="single" w:sz="4" w:space="0" w:color="808080"/>
              <w:right w:val="single" w:sz="4" w:space="0" w:color="808080"/>
            </w:tcBorders>
          </w:tcPr>
          <w:p w14:paraId="152C8C4D"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100</w:t>
            </w:r>
          </w:p>
        </w:tc>
        <w:tc>
          <w:tcPr>
            <w:tcW w:w="1031" w:type="dxa"/>
            <w:tcBorders>
              <w:top w:val="single" w:sz="4" w:space="0" w:color="808080"/>
              <w:left w:val="single" w:sz="4" w:space="0" w:color="808080"/>
              <w:bottom w:val="single" w:sz="4" w:space="0" w:color="808080"/>
              <w:right w:val="single" w:sz="4" w:space="0" w:color="808080"/>
            </w:tcBorders>
          </w:tcPr>
          <w:p w14:paraId="690F2F7A"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87</w:t>
            </w:r>
          </w:p>
        </w:tc>
        <w:tc>
          <w:tcPr>
            <w:tcW w:w="1031" w:type="dxa"/>
            <w:tcBorders>
              <w:top w:val="single" w:sz="4" w:space="0" w:color="808080"/>
              <w:left w:val="single" w:sz="4" w:space="0" w:color="808080"/>
              <w:bottom w:val="single" w:sz="4" w:space="0" w:color="808080"/>
              <w:right w:val="single" w:sz="4" w:space="0" w:color="808080"/>
            </w:tcBorders>
          </w:tcPr>
          <w:p w14:paraId="069D3C6E"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146</w:t>
            </w:r>
          </w:p>
        </w:tc>
      </w:tr>
      <w:tr w:rsidR="001924DC" w:rsidRPr="001924DC" w14:paraId="7988583B"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56C7AE75"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Femur (Thigh Region) and Knee Joint</w:t>
            </w:r>
          </w:p>
        </w:tc>
        <w:tc>
          <w:tcPr>
            <w:tcW w:w="890" w:type="dxa"/>
            <w:tcBorders>
              <w:top w:val="single" w:sz="4" w:space="0" w:color="808080"/>
              <w:left w:val="single" w:sz="4" w:space="0" w:color="808080"/>
              <w:bottom w:val="single" w:sz="4" w:space="0" w:color="808080"/>
              <w:right w:val="single" w:sz="4" w:space="0" w:color="808080"/>
            </w:tcBorders>
          </w:tcPr>
          <w:p w14:paraId="457CB112"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93</w:t>
            </w:r>
          </w:p>
        </w:tc>
        <w:tc>
          <w:tcPr>
            <w:tcW w:w="1031" w:type="dxa"/>
            <w:tcBorders>
              <w:top w:val="single" w:sz="4" w:space="0" w:color="808080"/>
              <w:left w:val="single" w:sz="4" w:space="0" w:color="808080"/>
              <w:bottom w:val="single" w:sz="4" w:space="0" w:color="808080"/>
              <w:right w:val="single" w:sz="4" w:space="0" w:color="808080"/>
            </w:tcBorders>
          </w:tcPr>
          <w:p w14:paraId="5BA1CEF6"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84</w:t>
            </w:r>
          </w:p>
        </w:tc>
        <w:tc>
          <w:tcPr>
            <w:tcW w:w="1031" w:type="dxa"/>
            <w:tcBorders>
              <w:top w:val="single" w:sz="4" w:space="0" w:color="808080"/>
              <w:left w:val="single" w:sz="4" w:space="0" w:color="808080"/>
              <w:bottom w:val="single" w:sz="4" w:space="0" w:color="808080"/>
              <w:right w:val="single" w:sz="4" w:space="0" w:color="808080"/>
            </w:tcBorders>
          </w:tcPr>
          <w:p w14:paraId="698DA1E2"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125</w:t>
            </w:r>
          </w:p>
        </w:tc>
      </w:tr>
      <w:tr w:rsidR="001924DC" w:rsidRPr="001924DC" w14:paraId="39DBC725"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7EADB64F"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Shoulder</w:t>
            </w:r>
          </w:p>
        </w:tc>
        <w:tc>
          <w:tcPr>
            <w:tcW w:w="890" w:type="dxa"/>
            <w:tcBorders>
              <w:top w:val="single" w:sz="4" w:space="0" w:color="808080"/>
              <w:left w:val="single" w:sz="4" w:space="0" w:color="808080"/>
              <w:bottom w:val="single" w:sz="4" w:space="0" w:color="808080"/>
              <w:right w:val="single" w:sz="4" w:space="0" w:color="808080"/>
            </w:tcBorders>
          </w:tcPr>
          <w:p w14:paraId="6937DDAC"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85</w:t>
            </w:r>
          </w:p>
        </w:tc>
        <w:tc>
          <w:tcPr>
            <w:tcW w:w="1031" w:type="dxa"/>
            <w:tcBorders>
              <w:top w:val="single" w:sz="4" w:space="0" w:color="808080"/>
              <w:left w:val="single" w:sz="4" w:space="0" w:color="808080"/>
              <w:bottom w:val="single" w:sz="4" w:space="0" w:color="808080"/>
              <w:right w:val="single" w:sz="4" w:space="0" w:color="808080"/>
            </w:tcBorders>
          </w:tcPr>
          <w:p w14:paraId="1F3FFBC2"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99</w:t>
            </w:r>
          </w:p>
        </w:tc>
        <w:tc>
          <w:tcPr>
            <w:tcW w:w="1031" w:type="dxa"/>
            <w:tcBorders>
              <w:top w:val="single" w:sz="4" w:space="0" w:color="808080"/>
              <w:left w:val="single" w:sz="4" w:space="0" w:color="808080"/>
              <w:bottom w:val="single" w:sz="4" w:space="0" w:color="808080"/>
              <w:right w:val="single" w:sz="4" w:space="0" w:color="808080"/>
            </w:tcBorders>
          </w:tcPr>
          <w:p w14:paraId="74AA0702"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101</w:t>
            </w:r>
          </w:p>
        </w:tc>
      </w:tr>
      <w:tr w:rsidR="001924DC" w:rsidRPr="001924DC" w14:paraId="3F5FF0AB"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3F73B42D" w14:textId="77777777" w:rsidR="001924DC" w:rsidRPr="001924DC" w:rsidRDefault="001924DC" w:rsidP="001924DC">
            <w:pPr>
              <w:pStyle w:val="NormalWeb"/>
              <w:rPr>
                <w:rFonts w:asciiTheme="minorHAnsi" w:eastAsia="Times New Roman" w:hAnsiTheme="minorHAnsi" w:cstheme="minorHAnsi"/>
                <w:color w:val="000000"/>
              </w:rPr>
            </w:pPr>
            <w:r w:rsidRPr="001924DC">
              <w:rPr>
                <w:rFonts w:asciiTheme="minorHAnsi" w:eastAsia="Times New Roman" w:hAnsiTheme="minorHAnsi" w:cstheme="minorHAnsi"/>
                <w:color w:val="000000"/>
              </w:rPr>
              <w:t>Other (including Pelvis and Hip Joint)</w:t>
            </w:r>
          </w:p>
        </w:tc>
        <w:tc>
          <w:tcPr>
            <w:tcW w:w="890" w:type="dxa"/>
            <w:tcBorders>
              <w:top w:val="single" w:sz="4" w:space="0" w:color="808080"/>
              <w:left w:val="single" w:sz="4" w:space="0" w:color="808080"/>
              <w:bottom w:val="single" w:sz="4" w:space="0" w:color="808080"/>
              <w:right w:val="single" w:sz="4" w:space="0" w:color="808080"/>
            </w:tcBorders>
          </w:tcPr>
          <w:p w14:paraId="54D4051A"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20</w:t>
            </w:r>
          </w:p>
        </w:tc>
        <w:tc>
          <w:tcPr>
            <w:tcW w:w="1031" w:type="dxa"/>
            <w:tcBorders>
              <w:top w:val="single" w:sz="4" w:space="0" w:color="808080"/>
              <w:left w:val="single" w:sz="4" w:space="0" w:color="808080"/>
              <w:bottom w:val="single" w:sz="4" w:space="0" w:color="808080"/>
              <w:right w:val="single" w:sz="4" w:space="0" w:color="808080"/>
            </w:tcBorders>
          </w:tcPr>
          <w:p w14:paraId="64D49FB8"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33</w:t>
            </w:r>
          </w:p>
        </w:tc>
        <w:tc>
          <w:tcPr>
            <w:tcW w:w="1031" w:type="dxa"/>
            <w:tcBorders>
              <w:top w:val="single" w:sz="4" w:space="0" w:color="808080"/>
              <w:left w:val="single" w:sz="4" w:space="0" w:color="808080"/>
              <w:bottom w:val="single" w:sz="4" w:space="0" w:color="808080"/>
              <w:right w:val="single" w:sz="4" w:space="0" w:color="808080"/>
            </w:tcBorders>
          </w:tcPr>
          <w:p w14:paraId="4C00378D" w14:textId="77777777" w:rsidR="001924DC" w:rsidRPr="001924DC" w:rsidRDefault="001924DC" w:rsidP="005A6FC7">
            <w:pPr>
              <w:pStyle w:val="NormalWeb"/>
              <w:jc w:val="right"/>
              <w:rPr>
                <w:rFonts w:asciiTheme="minorHAnsi" w:eastAsia="Times New Roman" w:hAnsiTheme="minorHAnsi" w:cstheme="minorHAnsi"/>
                <w:color w:val="000000"/>
              </w:rPr>
            </w:pPr>
            <w:r w:rsidRPr="001924DC">
              <w:rPr>
                <w:rFonts w:asciiTheme="minorHAnsi" w:eastAsia="Times New Roman" w:hAnsiTheme="minorHAnsi" w:cstheme="minorHAnsi"/>
                <w:color w:val="000000"/>
              </w:rPr>
              <w:t>111</w:t>
            </w:r>
          </w:p>
        </w:tc>
      </w:tr>
      <w:tr w:rsidR="001924DC" w:rsidRPr="001924DC" w14:paraId="7403B08D" w14:textId="77777777" w:rsidTr="000D586E">
        <w:trPr>
          <w:cantSplit/>
          <w:trHeight w:val="246"/>
          <w:jc w:val="center"/>
        </w:trPr>
        <w:tc>
          <w:tcPr>
            <w:tcW w:w="4230" w:type="dxa"/>
            <w:tcBorders>
              <w:top w:val="single" w:sz="4" w:space="0" w:color="808080"/>
              <w:left w:val="single" w:sz="4" w:space="0" w:color="808080"/>
              <w:bottom w:val="single" w:sz="4" w:space="0" w:color="808080"/>
              <w:right w:val="single" w:sz="4" w:space="0" w:color="808080"/>
            </w:tcBorders>
          </w:tcPr>
          <w:p w14:paraId="5EA09ECB" w14:textId="77777777" w:rsidR="001924DC" w:rsidRPr="001924DC" w:rsidRDefault="001924DC" w:rsidP="001924DC">
            <w:pPr>
              <w:pStyle w:val="NormalWeb"/>
              <w:rPr>
                <w:rFonts w:asciiTheme="minorHAnsi" w:eastAsia="Times New Roman" w:hAnsiTheme="minorHAnsi" w:cstheme="minorHAnsi"/>
                <w:b/>
                <w:color w:val="000000"/>
              </w:rPr>
            </w:pPr>
            <w:r w:rsidRPr="001924DC">
              <w:rPr>
                <w:rFonts w:asciiTheme="minorHAnsi" w:eastAsia="Times New Roman" w:hAnsiTheme="minorHAnsi" w:cstheme="minorHAnsi"/>
                <w:b/>
                <w:color w:val="000000"/>
              </w:rPr>
              <w:t>Total</w:t>
            </w:r>
          </w:p>
        </w:tc>
        <w:tc>
          <w:tcPr>
            <w:tcW w:w="890" w:type="dxa"/>
            <w:tcBorders>
              <w:top w:val="single" w:sz="4" w:space="0" w:color="808080"/>
              <w:left w:val="single" w:sz="4" w:space="0" w:color="808080"/>
              <w:bottom w:val="single" w:sz="4" w:space="0" w:color="808080"/>
              <w:right w:val="single" w:sz="4" w:space="0" w:color="808080"/>
            </w:tcBorders>
          </w:tcPr>
          <w:p w14:paraId="52F8C74F" w14:textId="77777777" w:rsidR="001924DC" w:rsidRPr="001924DC" w:rsidRDefault="001924DC" w:rsidP="005A6FC7">
            <w:pPr>
              <w:pStyle w:val="NormalWeb"/>
              <w:jc w:val="right"/>
              <w:rPr>
                <w:rFonts w:asciiTheme="minorHAnsi" w:eastAsia="Times New Roman" w:hAnsiTheme="minorHAnsi" w:cstheme="minorHAnsi"/>
                <w:b/>
                <w:color w:val="000000"/>
              </w:rPr>
            </w:pPr>
            <w:r w:rsidRPr="001924DC">
              <w:rPr>
                <w:rFonts w:asciiTheme="minorHAnsi" w:eastAsia="Times New Roman" w:hAnsiTheme="minorHAnsi" w:cstheme="minorHAnsi"/>
                <w:b/>
                <w:color w:val="000000"/>
              </w:rPr>
              <w:t>3,203</w:t>
            </w:r>
          </w:p>
        </w:tc>
        <w:tc>
          <w:tcPr>
            <w:tcW w:w="1031" w:type="dxa"/>
            <w:tcBorders>
              <w:top w:val="single" w:sz="4" w:space="0" w:color="808080"/>
              <w:left w:val="single" w:sz="4" w:space="0" w:color="808080"/>
              <w:bottom w:val="single" w:sz="4" w:space="0" w:color="808080"/>
              <w:right w:val="single" w:sz="4" w:space="0" w:color="808080"/>
            </w:tcBorders>
          </w:tcPr>
          <w:p w14:paraId="2D02FB51" w14:textId="77777777" w:rsidR="001924DC" w:rsidRPr="001924DC" w:rsidRDefault="001924DC" w:rsidP="005A6FC7">
            <w:pPr>
              <w:pStyle w:val="NormalWeb"/>
              <w:jc w:val="right"/>
              <w:rPr>
                <w:rFonts w:asciiTheme="minorHAnsi" w:eastAsia="Times New Roman" w:hAnsiTheme="minorHAnsi" w:cstheme="minorHAnsi"/>
                <w:b/>
                <w:color w:val="000000"/>
              </w:rPr>
            </w:pPr>
            <w:r w:rsidRPr="001924DC">
              <w:rPr>
                <w:rFonts w:asciiTheme="minorHAnsi" w:eastAsia="Times New Roman" w:hAnsiTheme="minorHAnsi" w:cstheme="minorHAnsi"/>
                <w:b/>
                <w:color w:val="000000"/>
              </w:rPr>
              <w:t>2,649</w:t>
            </w:r>
          </w:p>
        </w:tc>
        <w:tc>
          <w:tcPr>
            <w:tcW w:w="1031" w:type="dxa"/>
            <w:tcBorders>
              <w:top w:val="single" w:sz="4" w:space="0" w:color="808080"/>
              <w:left w:val="single" w:sz="4" w:space="0" w:color="808080"/>
              <w:bottom w:val="single" w:sz="4" w:space="0" w:color="808080"/>
              <w:right w:val="single" w:sz="4" w:space="0" w:color="808080"/>
            </w:tcBorders>
          </w:tcPr>
          <w:p w14:paraId="66700F31" w14:textId="77777777" w:rsidR="001924DC" w:rsidRPr="001924DC" w:rsidRDefault="001924DC" w:rsidP="005A6FC7">
            <w:pPr>
              <w:pStyle w:val="NormalWeb"/>
              <w:jc w:val="right"/>
              <w:rPr>
                <w:rFonts w:asciiTheme="minorHAnsi" w:eastAsia="Times New Roman" w:hAnsiTheme="minorHAnsi" w:cstheme="minorHAnsi"/>
                <w:b/>
                <w:color w:val="000000"/>
              </w:rPr>
            </w:pPr>
            <w:r w:rsidRPr="001924DC">
              <w:rPr>
                <w:rFonts w:asciiTheme="minorHAnsi" w:eastAsia="Times New Roman" w:hAnsiTheme="minorHAnsi" w:cstheme="minorHAnsi"/>
                <w:b/>
                <w:color w:val="000000"/>
              </w:rPr>
              <w:t>3,797</w:t>
            </w:r>
          </w:p>
        </w:tc>
      </w:tr>
    </w:tbl>
    <w:p w14:paraId="558BF730" w14:textId="77777777" w:rsidR="001924DC" w:rsidRPr="005A6FC7" w:rsidRDefault="001924DC" w:rsidP="007C4C78">
      <w:pPr>
        <w:pStyle w:val="NormalWeb"/>
        <w:rPr>
          <w:rFonts w:asciiTheme="minorHAnsi" w:eastAsia="Times New Roman" w:hAnsiTheme="minorHAnsi" w:cstheme="minorHAnsi"/>
          <w:color w:val="000000"/>
        </w:rPr>
      </w:pPr>
    </w:p>
    <w:p w14:paraId="3E6C10F4" w14:textId="77777777" w:rsidR="00496B38" w:rsidRDefault="00496B38" w:rsidP="007C4C78">
      <w:pPr>
        <w:pStyle w:val="NormalWeb"/>
        <w:rPr>
          <w:rFonts w:asciiTheme="minorHAnsi" w:eastAsia="Times New Roman" w:hAnsiTheme="minorHAnsi" w:cstheme="minorHAnsi"/>
          <w:color w:val="000000"/>
        </w:rPr>
      </w:pPr>
    </w:p>
    <w:p w14:paraId="6574FC38" w14:textId="35A223B4" w:rsidR="000451E2" w:rsidRPr="000451E2" w:rsidRDefault="000451E2" w:rsidP="001E04E3">
      <w:pPr>
        <w:spacing w:line="240" w:lineRule="auto"/>
        <w:rPr>
          <w:rFonts w:eastAsia="Times New Roman" w:cstheme="minorHAnsi"/>
          <w:b/>
          <w:bCs/>
          <w:color w:val="000000"/>
          <w:sz w:val="24"/>
          <w:szCs w:val="24"/>
        </w:rPr>
      </w:pPr>
      <w:r>
        <w:rPr>
          <w:rFonts w:eastAsia="Times New Roman" w:cstheme="minorHAnsi"/>
          <w:b/>
          <w:bCs/>
          <w:color w:val="000000"/>
          <w:sz w:val="24"/>
          <w:szCs w:val="24"/>
        </w:rPr>
        <w:t xml:space="preserve">2. </w:t>
      </w:r>
      <w:r w:rsidRPr="000451E2">
        <w:rPr>
          <w:rFonts w:eastAsia="Times New Roman" w:cstheme="minorHAnsi"/>
          <w:b/>
          <w:bCs/>
          <w:color w:val="000000"/>
          <w:sz w:val="24"/>
          <w:szCs w:val="24"/>
        </w:rPr>
        <w:t>Advances in technology leading the shift in the surgical procedures that can safely be performed in an outpatient environment</w:t>
      </w:r>
      <w:r>
        <w:rPr>
          <w:rFonts w:eastAsia="Times New Roman" w:cstheme="minorHAnsi"/>
          <w:b/>
          <w:bCs/>
          <w:color w:val="000000"/>
          <w:sz w:val="24"/>
          <w:szCs w:val="24"/>
        </w:rPr>
        <w:t>.</w:t>
      </w:r>
    </w:p>
    <w:p w14:paraId="2D9584FA" w14:textId="31D53275" w:rsidR="00C51FD3" w:rsidRPr="00C51FD3" w:rsidRDefault="000451E2" w:rsidP="00954A63">
      <w:pPr>
        <w:pStyle w:val="NormalWeb"/>
        <w:spacing w:before="240"/>
        <w:rPr>
          <w:rFonts w:asciiTheme="minorHAnsi" w:eastAsia="Times New Roman" w:hAnsiTheme="minorHAnsi" w:cstheme="minorHAnsi"/>
        </w:rPr>
      </w:pPr>
      <w:r>
        <w:rPr>
          <w:rFonts w:asciiTheme="minorHAnsi" w:eastAsia="Times New Roman" w:hAnsiTheme="minorHAnsi" w:cstheme="minorHAnsi"/>
        </w:rPr>
        <w:t>As a result</w:t>
      </w:r>
      <w:r w:rsidR="00954A63">
        <w:rPr>
          <w:rFonts w:asciiTheme="minorHAnsi" w:eastAsia="Times New Roman" w:hAnsiTheme="minorHAnsi" w:cstheme="minorHAnsi"/>
        </w:rPr>
        <w:t xml:space="preserve"> of </w:t>
      </w:r>
      <w:r>
        <w:rPr>
          <w:rFonts w:asciiTheme="minorHAnsi" w:eastAsia="Times New Roman" w:hAnsiTheme="minorHAnsi" w:cstheme="minorHAnsi"/>
        </w:rPr>
        <w:t xml:space="preserve">advances in surgical techniques and anesthesia, the shift in procedures from the inpatient to the outpatient setting have </w:t>
      </w:r>
      <w:r w:rsidR="002767EE">
        <w:rPr>
          <w:rFonts w:asciiTheme="minorHAnsi" w:eastAsia="Times New Roman" w:hAnsiTheme="minorHAnsi" w:cstheme="minorHAnsi"/>
        </w:rPr>
        <w:t>been increasing for lower acuity patients. This has benefited all age cohorts including the aging population</w:t>
      </w:r>
      <w:r w:rsidR="002767EE" w:rsidRPr="00C51FD3">
        <w:rPr>
          <w:rFonts w:asciiTheme="minorHAnsi" w:eastAsia="Times New Roman" w:hAnsiTheme="minorHAnsi" w:cstheme="minorHAnsi"/>
        </w:rPr>
        <w:t xml:space="preserve">. </w:t>
      </w:r>
      <w:r w:rsidR="00C51FD3" w:rsidRPr="00C51FD3">
        <w:rPr>
          <w:rFonts w:asciiTheme="minorHAnsi" w:eastAsia="Times New Roman" w:hAnsiTheme="minorHAnsi" w:cstheme="minorHAnsi"/>
        </w:rPr>
        <w:t>Nationally, TJRs are expected to grow significantly, with most growth occurring in outpatient settings.</w:t>
      </w:r>
      <w:r w:rsidR="00C51FD3" w:rsidRPr="00C51FD3">
        <w:rPr>
          <w:rFonts w:asciiTheme="minorHAnsi" w:eastAsia="Times New Roman" w:hAnsiTheme="minorHAnsi" w:cstheme="minorHAnsi"/>
          <w:vertAlign w:val="superscript"/>
        </w:rPr>
        <w:endnoteReference w:id="1"/>
      </w:r>
      <w:r w:rsidR="00C51FD3" w:rsidRPr="00C51FD3">
        <w:rPr>
          <w:rFonts w:asciiTheme="minorHAnsi" w:eastAsia="Times New Roman" w:hAnsiTheme="minorHAnsi" w:cstheme="minorHAnsi"/>
        </w:rPr>
        <w:t xml:space="preserve"> Going forward, the Applicant anticipates an increase in TJRs at the ASC, given the national and local trends.</w:t>
      </w:r>
    </w:p>
    <w:p w14:paraId="0FE468E1" w14:textId="77777777" w:rsidR="002767EE" w:rsidRDefault="002767EE" w:rsidP="002767EE">
      <w:pPr>
        <w:pStyle w:val="NormalWeb"/>
        <w:rPr>
          <w:rFonts w:asciiTheme="minorHAnsi" w:eastAsia="Times New Roman" w:hAnsiTheme="minorHAnsi" w:cstheme="minorHAnsi"/>
        </w:rPr>
      </w:pPr>
    </w:p>
    <w:p w14:paraId="552E54B1" w14:textId="2761D85A" w:rsidR="00C51FD3" w:rsidRPr="002767EE" w:rsidRDefault="002767EE" w:rsidP="002767EE">
      <w:pPr>
        <w:pStyle w:val="NormalWeb"/>
        <w:rPr>
          <w:rFonts w:asciiTheme="minorHAnsi" w:eastAsia="Times New Roman" w:hAnsiTheme="minorHAnsi" w:cstheme="minorHAnsi"/>
          <w:vertAlign w:val="superscript"/>
        </w:rPr>
      </w:pPr>
      <w:r>
        <w:rPr>
          <w:rFonts w:asciiTheme="minorHAnsi" w:eastAsia="Times New Roman" w:hAnsiTheme="minorHAnsi" w:cstheme="minorHAnsi"/>
        </w:rPr>
        <w:t xml:space="preserve">The Applicant notes that while </w:t>
      </w:r>
      <w:r w:rsidRPr="002767EE">
        <w:rPr>
          <w:rFonts w:asciiTheme="minorHAnsi" w:eastAsia="Times New Roman" w:hAnsiTheme="minorHAnsi" w:cstheme="minorHAnsi"/>
        </w:rPr>
        <w:t>COVID-19 and the associated suspensions of elective surgeries in Massachuset</w:t>
      </w:r>
      <w:r>
        <w:rPr>
          <w:rFonts w:asciiTheme="minorHAnsi" w:eastAsia="Times New Roman" w:hAnsiTheme="minorHAnsi" w:cstheme="minorHAnsi"/>
        </w:rPr>
        <w:t>ts temporarily depres</w:t>
      </w:r>
      <w:r w:rsidRPr="002767EE">
        <w:rPr>
          <w:rFonts w:asciiTheme="minorHAnsi" w:eastAsia="Times New Roman" w:hAnsiTheme="minorHAnsi" w:cstheme="minorHAnsi"/>
        </w:rPr>
        <w:t>s</w:t>
      </w:r>
      <w:r>
        <w:rPr>
          <w:rFonts w:asciiTheme="minorHAnsi" w:eastAsia="Times New Roman" w:hAnsiTheme="minorHAnsi" w:cstheme="minorHAnsi"/>
        </w:rPr>
        <w:t>ed demand</w:t>
      </w:r>
      <w:r w:rsidRPr="002767EE">
        <w:rPr>
          <w:rFonts w:asciiTheme="minorHAnsi" w:eastAsia="Times New Roman" w:hAnsiTheme="minorHAnsi" w:cstheme="minorHAnsi"/>
        </w:rPr>
        <w:t>,</w:t>
      </w:r>
      <w:r w:rsidR="00AA7573">
        <w:rPr>
          <w:rFonts w:asciiTheme="minorHAnsi" w:eastAsia="Times New Roman" w:hAnsiTheme="minorHAnsi" w:cstheme="minorHAnsi"/>
        </w:rPr>
        <w:t xml:space="preserve"> in </w:t>
      </w:r>
      <w:r w:rsidR="0059019F">
        <w:rPr>
          <w:rFonts w:asciiTheme="minorHAnsi" w:eastAsia="Times New Roman" w:hAnsiTheme="minorHAnsi" w:cstheme="minorHAnsi"/>
        </w:rPr>
        <w:t>2021</w:t>
      </w:r>
      <w:r w:rsidR="002921EA">
        <w:rPr>
          <w:rFonts w:asciiTheme="minorHAnsi" w:eastAsia="Times New Roman" w:hAnsiTheme="minorHAnsi" w:cstheme="minorHAnsi"/>
        </w:rPr>
        <w:t>,</w:t>
      </w:r>
      <w:r w:rsidR="0059019F">
        <w:rPr>
          <w:rFonts w:asciiTheme="minorHAnsi" w:eastAsia="Times New Roman" w:hAnsiTheme="minorHAnsi" w:cstheme="minorHAnsi"/>
        </w:rPr>
        <w:t xml:space="preserve"> demand surpassed that of 2019. </w:t>
      </w:r>
      <w:r w:rsidR="00AA7573">
        <w:rPr>
          <w:rFonts w:asciiTheme="minorHAnsi" w:eastAsia="Times New Roman" w:hAnsiTheme="minorHAnsi" w:cstheme="minorHAnsi"/>
        </w:rPr>
        <w:t>The Applicant</w:t>
      </w:r>
      <w:r w:rsidR="0059019F">
        <w:rPr>
          <w:rFonts w:asciiTheme="minorHAnsi" w:eastAsia="Times New Roman" w:hAnsiTheme="minorHAnsi" w:cstheme="minorHAnsi"/>
        </w:rPr>
        <w:t xml:space="preserve"> </w:t>
      </w:r>
      <w:r w:rsidR="00AA7573">
        <w:rPr>
          <w:rFonts w:asciiTheme="minorHAnsi" w:eastAsia="Times New Roman" w:hAnsiTheme="minorHAnsi" w:cstheme="minorHAnsi"/>
        </w:rPr>
        <w:t>cites research</w:t>
      </w:r>
      <w:r w:rsidR="0059019F">
        <w:rPr>
          <w:rFonts w:asciiTheme="minorHAnsi" w:eastAsia="Times New Roman" w:hAnsiTheme="minorHAnsi" w:cstheme="minorHAnsi"/>
        </w:rPr>
        <w:t xml:space="preserve"> that in</w:t>
      </w:r>
      <w:r w:rsidRPr="002767EE">
        <w:rPr>
          <w:rFonts w:asciiTheme="minorHAnsi" w:eastAsia="Times New Roman" w:hAnsiTheme="minorHAnsi" w:cstheme="minorHAnsi"/>
        </w:rPr>
        <w:t xml:space="preserve"> the next decade outpatient total hip and knee replacements are expected to see </w:t>
      </w:r>
      <w:r>
        <w:rPr>
          <w:rFonts w:asciiTheme="minorHAnsi" w:eastAsia="Times New Roman" w:hAnsiTheme="minorHAnsi" w:cstheme="minorHAnsi"/>
        </w:rPr>
        <w:t>substantial gr</w:t>
      </w:r>
      <w:r w:rsidRPr="002767EE">
        <w:rPr>
          <w:rFonts w:asciiTheme="minorHAnsi" w:eastAsia="Times New Roman" w:hAnsiTheme="minorHAnsi" w:cstheme="minorHAnsi"/>
        </w:rPr>
        <w:t>owth, resulting in a corresponding inpatient decline.</w:t>
      </w:r>
      <w:r w:rsidRPr="002767EE">
        <w:rPr>
          <w:rFonts w:asciiTheme="minorHAnsi" w:eastAsia="Times New Roman" w:hAnsiTheme="minorHAnsi" w:cstheme="minorHAnsi"/>
          <w:vertAlign w:val="superscript"/>
        </w:rPr>
        <w:endnoteReference w:id="2"/>
      </w:r>
      <w:r w:rsidRPr="002767EE">
        <w:rPr>
          <w:rFonts w:asciiTheme="minorHAnsi" w:eastAsia="Times New Roman" w:hAnsiTheme="minorHAnsi" w:cstheme="minorHAnsi"/>
        </w:rPr>
        <w:t xml:space="preserve"> A similar shift is anticipated from inpatient to outpatient </w:t>
      </w:r>
      <w:r>
        <w:rPr>
          <w:rFonts w:asciiTheme="minorHAnsi" w:eastAsia="Times New Roman" w:hAnsiTheme="minorHAnsi" w:cstheme="minorHAnsi"/>
        </w:rPr>
        <w:t xml:space="preserve">procedures </w:t>
      </w:r>
      <w:r w:rsidRPr="002767EE">
        <w:rPr>
          <w:rFonts w:asciiTheme="minorHAnsi" w:eastAsia="Times New Roman" w:hAnsiTheme="minorHAnsi" w:cstheme="minorHAnsi"/>
        </w:rPr>
        <w:t>for total shoulder replacements. Overall, outpatient shoulder replacements are projected to increase from 7% of surgeries in 2019 to 35% in 2029.</w:t>
      </w:r>
      <w:r w:rsidRPr="002767EE">
        <w:rPr>
          <w:rFonts w:asciiTheme="minorHAnsi" w:eastAsia="Times New Roman" w:hAnsiTheme="minorHAnsi" w:cstheme="minorHAnsi"/>
          <w:vertAlign w:val="superscript"/>
        </w:rPr>
        <w:endnoteReference w:id="3"/>
      </w:r>
      <w:r w:rsidRPr="002767EE">
        <w:rPr>
          <w:rFonts w:asciiTheme="minorHAnsi" w:eastAsia="Times New Roman" w:hAnsiTheme="minorHAnsi" w:cstheme="minorHAnsi"/>
          <w:vertAlign w:val="superscript"/>
        </w:rPr>
        <w:t xml:space="preserve">, </w:t>
      </w:r>
      <w:r w:rsidRPr="002767EE">
        <w:rPr>
          <w:rFonts w:asciiTheme="minorHAnsi" w:eastAsia="Times New Roman" w:hAnsiTheme="minorHAnsi" w:cstheme="minorHAnsi"/>
          <w:vertAlign w:val="superscript"/>
        </w:rPr>
        <w:footnoteReference w:id="9"/>
      </w:r>
    </w:p>
    <w:p w14:paraId="0C851555" w14:textId="38001CBB" w:rsidR="007C4C78" w:rsidRDefault="007C4C78" w:rsidP="007C4C78">
      <w:pPr>
        <w:spacing w:after="0" w:line="240" w:lineRule="auto"/>
        <w:rPr>
          <w:rFonts w:eastAsia="Times New Roman" w:cstheme="minorHAnsi"/>
          <w:sz w:val="24"/>
          <w:szCs w:val="24"/>
        </w:rPr>
      </w:pPr>
    </w:p>
    <w:p w14:paraId="2A88090D" w14:textId="77777777" w:rsidR="004E67AF" w:rsidRDefault="001E04E3" w:rsidP="00173C0C">
      <w:pPr>
        <w:spacing w:after="0" w:line="240" w:lineRule="auto"/>
        <w:rPr>
          <w:rFonts w:eastAsia="Times New Roman" w:cstheme="minorHAnsi"/>
          <w:b/>
          <w:bCs/>
          <w:sz w:val="24"/>
          <w:szCs w:val="24"/>
        </w:rPr>
      </w:pPr>
      <w:r>
        <w:rPr>
          <w:rFonts w:eastAsia="Times New Roman" w:cstheme="minorHAnsi"/>
          <w:b/>
          <w:bCs/>
          <w:sz w:val="24"/>
          <w:szCs w:val="24"/>
        </w:rPr>
        <w:lastRenderedPageBreak/>
        <w:t xml:space="preserve">a) </w:t>
      </w:r>
      <w:r w:rsidR="009E1CA0" w:rsidRPr="009E1CA0">
        <w:rPr>
          <w:rFonts w:eastAsia="Times New Roman" w:cstheme="minorHAnsi"/>
          <w:b/>
          <w:bCs/>
          <w:sz w:val="24"/>
          <w:szCs w:val="24"/>
        </w:rPr>
        <w:t xml:space="preserve">Growth In Demand </w:t>
      </w:r>
      <w:proofErr w:type="gramStart"/>
      <w:r w:rsidR="009E1CA0" w:rsidRPr="009E1CA0">
        <w:rPr>
          <w:rFonts w:eastAsia="Times New Roman" w:cstheme="minorHAnsi"/>
          <w:b/>
          <w:bCs/>
          <w:sz w:val="24"/>
          <w:szCs w:val="24"/>
        </w:rPr>
        <w:t>From</w:t>
      </w:r>
      <w:proofErr w:type="gramEnd"/>
      <w:r w:rsidR="009E1CA0" w:rsidRPr="009E1CA0">
        <w:rPr>
          <w:rFonts w:eastAsia="Times New Roman" w:cstheme="minorHAnsi"/>
          <w:b/>
          <w:bCs/>
          <w:sz w:val="24"/>
          <w:szCs w:val="24"/>
        </w:rPr>
        <w:t xml:space="preserve"> The </w:t>
      </w:r>
      <w:r w:rsidR="00173C0C" w:rsidRPr="00173C0C">
        <w:rPr>
          <w:rFonts w:eastAsia="Times New Roman" w:cstheme="minorHAnsi"/>
          <w:b/>
          <w:bCs/>
          <w:sz w:val="24"/>
          <w:szCs w:val="24"/>
        </w:rPr>
        <w:t>Aging Population</w:t>
      </w:r>
    </w:p>
    <w:p w14:paraId="26B11A84" w14:textId="6FB5BFB2" w:rsidR="000451E2" w:rsidRDefault="00173C0C" w:rsidP="00173C0C">
      <w:pPr>
        <w:spacing w:after="0" w:line="240" w:lineRule="auto"/>
        <w:rPr>
          <w:rFonts w:eastAsia="Times New Roman" w:cstheme="minorHAnsi"/>
          <w:sz w:val="24"/>
          <w:szCs w:val="24"/>
        </w:rPr>
      </w:pPr>
      <w:r w:rsidRPr="00173C0C">
        <w:rPr>
          <w:rFonts w:eastAsia="Times New Roman" w:cstheme="minorHAnsi"/>
          <w:b/>
          <w:bCs/>
          <w:sz w:val="24"/>
          <w:szCs w:val="24"/>
        </w:rPr>
        <w:br/>
      </w:r>
      <w:r w:rsidR="00C51FD3" w:rsidRPr="00C51FD3">
        <w:rPr>
          <w:rFonts w:eastAsia="Times New Roman" w:cstheme="minorHAnsi"/>
          <w:sz w:val="24"/>
          <w:szCs w:val="24"/>
        </w:rPr>
        <w:t>Analyses suggest that as the population ages and medical technology advances, there will be an exponential growth in demand for all orthopedic procedures.</w:t>
      </w:r>
      <w:r w:rsidR="00C51FD3" w:rsidRPr="00C51FD3">
        <w:rPr>
          <w:rFonts w:eastAsia="Times New Roman" w:cstheme="minorHAnsi"/>
          <w:sz w:val="24"/>
          <w:szCs w:val="24"/>
          <w:vertAlign w:val="superscript"/>
        </w:rPr>
        <w:endnoteReference w:id="4"/>
      </w:r>
      <w:r w:rsidR="00C51FD3" w:rsidRPr="00C51FD3">
        <w:rPr>
          <w:rFonts w:eastAsia="Times New Roman" w:cstheme="minorHAnsi"/>
          <w:sz w:val="24"/>
          <w:szCs w:val="24"/>
        </w:rPr>
        <w:t xml:space="preserve"> </w:t>
      </w:r>
      <w:r w:rsidRPr="00173C0C">
        <w:rPr>
          <w:rFonts w:eastAsia="Times New Roman" w:cstheme="minorHAnsi"/>
          <w:sz w:val="24"/>
          <w:szCs w:val="24"/>
        </w:rPr>
        <w:t>The share of the Massachusetts population aged 65 and older is projected to grow from 13.8% in 2010 to 21.2% in 2030.</w:t>
      </w:r>
      <w:r w:rsidRPr="00173C0C">
        <w:rPr>
          <w:rFonts w:eastAsia="Times New Roman" w:cstheme="minorHAnsi"/>
          <w:sz w:val="24"/>
          <w:szCs w:val="24"/>
          <w:vertAlign w:val="superscript"/>
        </w:rPr>
        <w:footnoteReference w:id="10"/>
      </w:r>
      <w:r w:rsidRPr="00173C0C">
        <w:rPr>
          <w:rFonts w:eastAsia="Times New Roman" w:cstheme="minorHAnsi"/>
          <w:sz w:val="24"/>
          <w:szCs w:val="24"/>
        </w:rPr>
        <w:t xml:space="preserve"> This is consistent with national trends, which indicate that adults aged 55 plus have experienced the greatest increase in surgical procedures in ASCs since 1990.</w:t>
      </w:r>
      <w:r w:rsidR="000451E2" w:rsidRPr="00173C0C">
        <w:rPr>
          <w:rFonts w:eastAsia="Times New Roman" w:cstheme="minorHAnsi"/>
          <w:sz w:val="24"/>
          <w:szCs w:val="24"/>
          <w:vertAlign w:val="superscript"/>
        </w:rPr>
        <w:endnoteReference w:id="5"/>
      </w:r>
      <w:r w:rsidR="000451E2" w:rsidRPr="00173C0C">
        <w:rPr>
          <w:rFonts w:eastAsia="Times New Roman" w:cstheme="minorHAnsi"/>
          <w:sz w:val="24"/>
          <w:szCs w:val="24"/>
        </w:rPr>
        <w:t xml:space="preserve"> </w:t>
      </w:r>
      <w:r w:rsidRPr="00173C0C">
        <w:rPr>
          <w:rFonts w:eastAsia="Times New Roman" w:cstheme="minorHAnsi"/>
          <w:sz w:val="24"/>
          <w:szCs w:val="24"/>
        </w:rPr>
        <w:t>In particular, arthritis and obesity are more prevalent among older adults and increase the likelihood of need for</w:t>
      </w:r>
      <w:r w:rsidR="00EA5755">
        <w:rPr>
          <w:rFonts w:eastAsia="Times New Roman" w:cstheme="minorHAnsi"/>
          <w:sz w:val="24"/>
          <w:szCs w:val="24"/>
        </w:rPr>
        <w:t xml:space="preserve"> orthopedic</w:t>
      </w:r>
      <w:r w:rsidRPr="00173C0C">
        <w:rPr>
          <w:rFonts w:eastAsia="Times New Roman" w:cstheme="minorHAnsi"/>
          <w:sz w:val="24"/>
          <w:szCs w:val="24"/>
        </w:rPr>
        <w:t xml:space="preserve"> surgery. Doctor-diagnosed arthritis is projected to affect 25.9% of all adults in the U.S. by 2040.</w:t>
      </w:r>
      <w:r w:rsidR="00012491" w:rsidRPr="00173C0C">
        <w:rPr>
          <w:rFonts w:eastAsia="Times New Roman" w:cstheme="minorHAnsi"/>
          <w:sz w:val="24"/>
          <w:szCs w:val="24"/>
        </w:rPr>
        <w:t xml:space="preserve"> </w:t>
      </w:r>
      <w:r w:rsidR="009E1CA0" w:rsidRPr="009E1CA0">
        <w:rPr>
          <w:rFonts w:eastAsia="Times New Roman" w:cstheme="minorHAnsi"/>
          <w:sz w:val="24"/>
          <w:szCs w:val="24"/>
        </w:rPr>
        <w:t>Additionally, 24.4% of Massachusetts adults are obese and are therefore at enhanced risk of needing a knee replacement</w:t>
      </w:r>
      <w:r w:rsidR="009E1CA0">
        <w:rPr>
          <w:rFonts w:eastAsia="Times New Roman" w:cstheme="minorHAnsi"/>
          <w:sz w:val="24"/>
          <w:szCs w:val="24"/>
        </w:rPr>
        <w:t xml:space="preserve"> as they age</w:t>
      </w:r>
      <w:r w:rsidR="009E1CA0" w:rsidRPr="009E1CA0">
        <w:rPr>
          <w:rFonts w:eastAsia="Times New Roman" w:cstheme="minorHAnsi"/>
          <w:sz w:val="24"/>
          <w:szCs w:val="24"/>
        </w:rPr>
        <w:t>.</w:t>
      </w:r>
      <w:r w:rsidR="00AA7573" w:rsidRPr="00AA7573">
        <w:rPr>
          <w:rFonts w:eastAsia="Times New Roman" w:cstheme="minorHAnsi"/>
          <w:sz w:val="24"/>
          <w:szCs w:val="24"/>
          <w:vertAlign w:val="superscript"/>
        </w:rPr>
        <w:t xml:space="preserve"> </w:t>
      </w:r>
      <w:r w:rsidR="00AA7573" w:rsidRPr="00AA7573">
        <w:rPr>
          <w:rFonts w:eastAsia="Times New Roman" w:cstheme="minorHAnsi"/>
          <w:sz w:val="24"/>
          <w:szCs w:val="24"/>
          <w:vertAlign w:val="superscript"/>
        </w:rPr>
        <w:endnoteReference w:id="6"/>
      </w:r>
      <w:r w:rsidR="00AA7573" w:rsidRPr="00AA7573">
        <w:rPr>
          <w:rFonts w:eastAsia="Times New Roman" w:cstheme="minorHAnsi"/>
          <w:sz w:val="24"/>
          <w:szCs w:val="24"/>
        </w:rPr>
        <w:t xml:space="preserve"> </w:t>
      </w:r>
      <w:r w:rsidR="009E1CA0" w:rsidRPr="009E1CA0">
        <w:rPr>
          <w:rFonts w:eastAsia="Times New Roman" w:cstheme="minorHAnsi"/>
          <w:sz w:val="24"/>
          <w:szCs w:val="24"/>
        </w:rPr>
        <w:t>These trends suggest that demand will continue to increase for orthopedic surgery related to joint issues</w:t>
      </w:r>
      <w:r w:rsidR="009E1CA0">
        <w:rPr>
          <w:rFonts w:eastAsia="Times New Roman" w:cstheme="minorHAnsi"/>
          <w:sz w:val="24"/>
          <w:szCs w:val="24"/>
        </w:rPr>
        <w:t xml:space="preserve">. Patients 65 and older represent approximately 19% of patients served at </w:t>
      </w:r>
      <w:r w:rsidR="00AA7573">
        <w:rPr>
          <w:rFonts w:eastAsia="Times New Roman" w:cstheme="minorHAnsi"/>
          <w:sz w:val="24"/>
          <w:szCs w:val="24"/>
        </w:rPr>
        <w:t>the HOPD</w:t>
      </w:r>
      <w:r w:rsidR="009E1CA0">
        <w:rPr>
          <w:rFonts w:eastAsia="Times New Roman" w:cstheme="minorHAnsi"/>
          <w:sz w:val="24"/>
          <w:szCs w:val="24"/>
        </w:rPr>
        <w:t>.</w:t>
      </w:r>
    </w:p>
    <w:p w14:paraId="42CC01EE" w14:textId="77777777" w:rsidR="009E1CA0" w:rsidRDefault="009E1CA0" w:rsidP="00B75E11">
      <w:pPr>
        <w:spacing w:after="0" w:line="240" w:lineRule="auto"/>
        <w:rPr>
          <w:rFonts w:eastAsia="Times New Roman" w:cstheme="minorHAnsi"/>
          <w:sz w:val="24"/>
          <w:szCs w:val="24"/>
        </w:rPr>
      </w:pPr>
    </w:p>
    <w:p w14:paraId="7ABED539" w14:textId="2AB1BAB4" w:rsidR="009E1CA0" w:rsidRDefault="009E1CA0" w:rsidP="00B75E11">
      <w:pPr>
        <w:spacing w:after="0" w:line="240" w:lineRule="auto"/>
        <w:rPr>
          <w:rFonts w:eastAsia="Times New Roman" w:cstheme="minorHAnsi"/>
          <w:b/>
          <w:bCs/>
          <w:sz w:val="24"/>
          <w:szCs w:val="24"/>
        </w:rPr>
      </w:pPr>
      <w:r w:rsidRPr="009E1CA0">
        <w:rPr>
          <w:rFonts w:eastAsia="Times New Roman" w:cstheme="minorHAnsi"/>
          <w:b/>
          <w:bCs/>
          <w:sz w:val="24"/>
          <w:szCs w:val="24"/>
        </w:rPr>
        <w:t xml:space="preserve">b) Growth In Demand </w:t>
      </w:r>
      <w:proofErr w:type="gramStart"/>
      <w:r w:rsidRPr="009E1CA0">
        <w:rPr>
          <w:rFonts w:eastAsia="Times New Roman" w:cstheme="minorHAnsi"/>
          <w:b/>
          <w:bCs/>
          <w:sz w:val="24"/>
          <w:szCs w:val="24"/>
        </w:rPr>
        <w:t>From</w:t>
      </w:r>
      <w:proofErr w:type="gramEnd"/>
      <w:r w:rsidRPr="009E1CA0">
        <w:rPr>
          <w:rFonts w:eastAsia="Times New Roman" w:cstheme="minorHAnsi"/>
          <w:b/>
          <w:bCs/>
          <w:sz w:val="24"/>
          <w:szCs w:val="24"/>
        </w:rPr>
        <w:t xml:space="preserve"> Sports Related Injuries</w:t>
      </w:r>
    </w:p>
    <w:p w14:paraId="7F545378" w14:textId="77777777" w:rsidR="004E67AF" w:rsidRDefault="004E67AF" w:rsidP="00B75E11">
      <w:pPr>
        <w:spacing w:after="0" w:line="240" w:lineRule="auto"/>
        <w:rPr>
          <w:rFonts w:eastAsia="Times New Roman" w:cstheme="minorHAnsi"/>
          <w:b/>
          <w:bCs/>
          <w:sz w:val="24"/>
          <w:szCs w:val="24"/>
        </w:rPr>
      </w:pPr>
    </w:p>
    <w:p w14:paraId="035A3C6A" w14:textId="595DD0B4" w:rsidR="00012491" w:rsidRPr="00173C0C" w:rsidRDefault="000451E2" w:rsidP="005916FB">
      <w:pPr>
        <w:spacing w:after="0" w:line="240" w:lineRule="auto"/>
        <w:rPr>
          <w:rFonts w:eastAsia="Times New Roman" w:cstheme="minorHAnsi"/>
          <w:sz w:val="24"/>
          <w:szCs w:val="24"/>
        </w:rPr>
      </w:pPr>
      <w:r>
        <w:rPr>
          <w:rFonts w:eastAsia="Times New Roman" w:cstheme="minorHAnsi"/>
          <w:sz w:val="24"/>
          <w:szCs w:val="24"/>
        </w:rPr>
        <w:t>T</w:t>
      </w:r>
      <w:r w:rsidR="00EA5755">
        <w:rPr>
          <w:rFonts w:eastAsia="Times New Roman" w:cstheme="minorHAnsi"/>
          <w:sz w:val="24"/>
          <w:szCs w:val="24"/>
        </w:rPr>
        <w:t xml:space="preserve">he </w:t>
      </w:r>
      <w:r w:rsidR="00AA7573">
        <w:rPr>
          <w:rFonts w:eastAsia="Times New Roman" w:cstheme="minorHAnsi"/>
          <w:sz w:val="24"/>
          <w:szCs w:val="24"/>
        </w:rPr>
        <w:t xml:space="preserve">US </w:t>
      </w:r>
      <w:r w:rsidR="00EA5755">
        <w:rPr>
          <w:rFonts w:eastAsia="Times New Roman" w:cstheme="minorHAnsi"/>
          <w:sz w:val="24"/>
          <w:szCs w:val="24"/>
        </w:rPr>
        <w:t>d</w:t>
      </w:r>
      <w:r w:rsidR="00012491" w:rsidRPr="00173C0C">
        <w:rPr>
          <w:rFonts w:eastAsia="Times New Roman" w:cstheme="minorHAnsi"/>
          <w:sz w:val="24"/>
          <w:szCs w:val="24"/>
        </w:rPr>
        <w:t>ema</w:t>
      </w:r>
      <w:r>
        <w:rPr>
          <w:rFonts w:eastAsia="Times New Roman" w:cstheme="minorHAnsi"/>
          <w:sz w:val="24"/>
          <w:szCs w:val="24"/>
        </w:rPr>
        <w:t>n</w:t>
      </w:r>
      <w:r w:rsidR="00012491" w:rsidRPr="00173C0C">
        <w:rPr>
          <w:rFonts w:eastAsia="Times New Roman" w:cstheme="minorHAnsi"/>
          <w:sz w:val="24"/>
          <w:szCs w:val="24"/>
        </w:rPr>
        <w:t>d for total joint replacement (TJR) in patients aged 45-64 is also increasing (188% for knee replacements and 123% for hip replacements from 2000-2009).</w:t>
      </w:r>
      <w:r w:rsidR="00012491" w:rsidRPr="00173C0C">
        <w:rPr>
          <w:rFonts w:eastAsia="Times New Roman" w:cstheme="minorHAnsi"/>
          <w:sz w:val="24"/>
          <w:szCs w:val="24"/>
          <w:vertAlign w:val="superscript"/>
        </w:rPr>
        <w:endnoteReference w:id="7"/>
      </w:r>
      <w:r w:rsidR="00012491" w:rsidRPr="00173C0C">
        <w:rPr>
          <w:rFonts w:eastAsia="Times New Roman" w:cstheme="minorHAnsi"/>
          <w:sz w:val="24"/>
          <w:szCs w:val="24"/>
        </w:rPr>
        <w:t xml:space="preserve"> Chronic conditions that have an impact on joints, such as obesity, </w:t>
      </w:r>
      <w:r>
        <w:rPr>
          <w:rFonts w:eastAsia="Times New Roman" w:cstheme="minorHAnsi"/>
          <w:sz w:val="24"/>
          <w:szCs w:val="24"/>
        </w:rPr>
        <w:t xml:space="preserve">and arthritis </w:t>
      </w:r>
      <w:r w:rsidR="00012491" w:rsidRPr="00173C0C">
        <w:rPr>
          <w:rFonts w:eastAsia="Times New Roman" w:cstheme="minorHAnsi"/>
          <w:sz w:val="24"/>
          <w:szCs w:val="24"/>
        </w:rPr>
        <w:t>will also increase the need for TJRs and other orthopedic procedures.</w:t>
      </w:r>
      <w:r w:rsidR="00012491" w:rsidRPr="00173C0C">
        <w:rPr>
          <w:rFonts w:eastAsia="Times New Roman" w:cstheme="minorHAnsi"/>
          <w:sz w:val="24"/>
          <w:szCs w:val="24"/>
          <w:vertAlign w:val="superscript"/>
        </w:rPr>
        <w:endnoteReference w:id="8"/>
      </w:r>
      <w:r w:rsidR="00EA2B68">
        <w:rPr>
          <w:rFonts w:eastAsia="Times New Roman" w:cstheme="minorHAnsi"/>
          <w:sz w:val="24"/>
          <w:szCs w:val="24"/>
        </w:rPr>
        <w:t xml:space="preserve"> At the current site, approximately 79% of patients fall into this age cohort</w:t>
      </w:r>
      <w:r w:rsidR="009E1CA0">
        <w:rPr>
          <w:rFonts w:eastAsia="Times New Roman" w:cstheme="minorHAnsi"/>
          <w:sz w:val="24"/>
          <w:szCs w:val="24"/>
        </w:rPr>
        <w:t>.</w:t>
      </w:r>
      <w:r w:rsidR="00EA2B68">
        <w:rPr>
          <w:rFonts w:eastAsia="Times New Roman" w:cstheme="minorHAnsi"/>
          <w:sz w:val="24"/>
          <w:szCs w:val="24"/>
        </w:rPr>
        <w:t xml:space="preserve"> </w:t>
      </w:r>
    </w:p>
    <w:p w14:paraId="37CC5300" w14:textId="77777777" w:rsidR="00012491" w:rsidRPr="00173C0C" w:rsidRDefault="00012491" w:rsidP="005916FB">
      <w:pPr>
        <w:spacing w:after="0" w:line="240" w:lineRule="auto"/>
        <w:rPr>
          <w:rFonts w:eastAsia="Times New Roman" w:cstheme="minorHAnsi"/>
          <w:sz w:val="24"/>
          <w:szCs w:val="24"/>
        </w:rPr>
      </w:pPr>
    </w:p>
    <w:p w14:paraId="47BE4C50" w14:textId="022DEE61" w:rsidR="00C51FD3" w:rsidRDefault="00173C0C" w:rsidP="005916FB">
      <w:pPr>
        <w:spacing w:line="240" w:lineRule="auto"/>
        <w:rPr>
          <w:rFonts w:eastAsia="Times New Roman" w:cstheme="minorHAnsi"/>
          <w:b/>
          <w:bCs/>
          <w:sz w:val="24"/>
          <w:szCs w:val="24"/>
        </w:rPr>
      </w:pPr>
      <w:r w:rsidRPr="00173C0C">
        <w:rPr>
          <w:rFonts w:eastAsia="Times New Roman" w:cstheme="minorHAnsi"/>
          <w:sz w:val="24"/>
          <w:szCs w:val="24"/>
        </w:rPr>
        <w:t xml:space="preserve">Another factor contributing to demand for outpatient surgery </w:t>
      </w:r>
      <w:r w:rsidR="00521FB1">
        <w:rPr>
          <w:rFonts w:eastAsia="Times New Roman" w:cstheme="minorHAnsi"/>
          <w:sz w:val="24"/>
          <w:szCs w:val="24"/>
        </w:rPr>
        <w:t xml:space="preserve">noted by the Applicant, </w:t>
      </w:r>
      <w:r w:rsidRPr="00173C0C">
        <w:rPr>
          <w:rFonts w:eastAsia="Times New Roman" w:cstheme="minorHAnsi"/>
          <w:sz w:val="24"/>
          <w:szCs w:val="24"/>
        </w:rPr>
        <w:t xml:space="preserve">is </w:t>
      </w:r>
      <w:r w:rsidR="00AA7573">
        <w:rPr>
          <w:rFonts w:eastAsia="Times New Roman" w:cstheme="minorHAnsi"/>
          <w:sz w:val="24"/>
          <w:szCs w:val="24"/>
        </w:rPr>
        <w:t xml:space="preserve">current </w:t>
      </w:r>
      <w:r w:rsidRPr="00173C0C">
        <w:rPr>
          <w:rFonts w:eastAsia="Times New Roman" w:cstheme="minorHAnsi"/>
          <w:sz w:val="24"/>
          <w:szCs w:val="24"/>
        </w:rPr>
        <w:t>patient anxiety about becoming infected with COVID-19 in the hospital</w:t>
      </w:r>
      <w:r w:rsidR="00AA7573">
        <w:rPr>
          <w:rFonts w:eastAsia="Times New Roman" w:cstheme="minorHAnsi"/>
          <w:sz w:val="24"/>
          <w:szCs w:val="24"/>
        </w:rPr>
        <w:t xml:space="preserve"> setting</w:t>
      </w:r>
      <w:r w:rsidRPr="00173C0C">
        <w:rPr>
          <w:rFonts w:eastAsia="Times New Roman" w:cstheme="minorHAnsi"/>
          <w:sz w:val="24"/>
          <w:szCs w:val="24"/>
        </w:rPr>
        <w:t xml:space="preserve">. Because ASCs are designed to perform only a subset of procedures that require a shorter stay, </w:t>
      </w:r>
      <w:r w:rsidR="00AA7573">
        <w:rPr>
          <w:rFonts w:eastAsia="Times New Roman" w:cstheme="minorHAnsi"/>
          <w:sz w:val="24"/>
          <w:szCs w:val="24"/>
        </w:rPr>
        <w:t xml:space="preserve">the Applicant asserts </w:t>
      </w:r>
      <w:r w:rsidRPr="00173C0C">
        <w:rPr>
          <w:rFonts w:eastAsia="Times New Roman" w:cstheme="minorHAnsi"/>
          <w:sz w:val="24"/>
          <w:szCs w:val="24"/>
        </w:rPr>
        <w:t>they may be less likely to create widespread exposures for patients and staff</w:t>
      </w:r>
      <w:r w:rsidR="0059019F">
        <w:rPr>
          <w:rFonts w:eastAsia="Times New Roman" w:cstheme="minorHAnsi"/>
          <w:sz w:val="24"/>
          <w:szCs w:val="24"/>
        </w:rPr>
        <w:t xml:space="preserve"> in an ambulatory setting</w:t>
      </w:r>
      <w:r w:rsidRPr="00173C0C">
        <w:rPr>
          <w:rFonts w:eastAsia="Times New Roman" w:cstheme="minorHAnsi"/>
          <w:sz w:val="24"/>
          <w:szCs w:val="24"/>
        </w:rPr>
        <w:t>.</w:t>
      </w:r>
      <w:r w:rsidRPr="00173C0C">
        <w:rPr>
          <w:rFonts w:eastAsia="Times New Roman" w:cstheme="minorHAnsi"/>
          <w:sz w:val="24"/>
          <w:szCs w:val="24"/>
        </w:rPr>
        <w:br/>
      </w:r>
    </w:p>
    <w:p w14:paraId="0A098C6F" w14:textId="47C450CC" w:rsidR="001E04E3" w:rsidRPr="0059019F" w:rsidRDefault="00C51FD3" w:rsidP="001E04E3">
      <w:pPr>
        <w:pStyle w:val="NormalWeb"/>
        <w:rPr>
          <w:rFonts w:asciiTheme="minorHAnsi" w:eastAsia="Times New Roman" w:hAnsiTheme="minorHAnsi" w:cstheme="minorHAnsi"/>
          <w:color w:val="000000"/>
        </w:rPr>
      </w:pPr>
      <w:r w:rsidRPr="00C51FD3">
        <w:rPr>
          <w:rFonts w:asciiTheme="minorHAnsi" w:eastAsia="Times New Roman" w:hAnsiTheme="minorHAnsi" w:cstheme="minorHAnsi"/>
          <w:b/>
          <w:bCs/>
          <w:color w:val="000000"/>
        </w:rPr>
        <w:t>3.</w:t>
      </w:r>
      <w:r>
        <w:rPr>
          <w:rFonts w:asciiTheme="minorHAnsi" w:eastAsia="Times New Roman" w:hAnsiTheme="minorHAnsi" w:cstheme="minorHAnsi"/>
          <w:b/>
          <w:bCs/>
          <w:color w:val="000000"/>
        </w:rPr>
        <w:t xml:space="preserve"> </w:t>
      </w:r>
      <w:r w:rsidR="001E04E3" w:rsidRPr="001E04E3">
        <w:rPr>
          <w:rFonts w:asciiTheme="minorHAnsi" w:eastAsia="Times New Roman" w:hAnsiTheme="minorHAnsi" w:cstheme="minorHAnsi"/>
          <w:b/>
          <w:bCs/>
          <w:color w:val="000000"/>
        </w:rPr>
        <w:t>Need to free-up NEBH’s surgical suites to accommodate more complex procedures</w:t>
      </w:r>
      <w:r w:rsidR="001E04E3" w:rsidRPr="0059019F">
        <w:rPr>
          <w:rFonts w:asciiTheme="minorHAnsi" w:eastAsia="Times New Roman" w:hAnsiTheme="minorHAnsi" w:cstheme="minorHAnsi"/>
          <w:color w:val="000000"/>
        </w:rPr>
        <w:t>.</w:t>
      </w:r>
    </w:p>
    <w:p w14:paraId="04575594" w14:textId="2B5D37CC" w:rsidR="00C51FD3" w:rsidRPr="00C51FD3" w:rsidRDefault="00C51FD3" w:rsidP="00C51FD3">
      <w:pPr>
        <w:pStyle w:val="NormalWeb"/>
        <w:ind w:left="360"/>
        <w:rPr>
          <w:rFonts w:asciiTheme="minorHAnsi" w:eastAsia="Times New Roman" w:hAnsiTheme="minorHAnsi" w:cstheme="minorHAnsi"/>
          <w:b/>
          <w:bCs/>
          <w:color w:val="000000"/>
        </w:rPr>
      </w:pPr>
    </w:p>
    <w:p w14:paraId="7D2A1B61" w14:textId="4734D7BB" w:rsidR="004A3DAF" w:rsidRPr="004A3DAF" w:rsidRDefault="004A3DAF" w:rsidP="005916FB">
      <w:pPr>
        <w:spacing w:line="240" w:lineRule="auto"/>
        <w:rPr>
          <w:rFonts w:eastAsia="Times New Roman" w:cstheme="minorHAnsi"/>
          <w:sz w:val="24"/>
          <w:szCs w:val="24"/>
        </w:rPr>
      </w:pPr>
      <w:r>
        <w:rPr>
          <w:rFonts w:eastAsia="Times New Roman" w:cstheme="minorHAnsi"/>
          <w:sz w:val="24"/>
          <w:szCs w:val="24"/>
        </w:rPr>
        <w:t>The Applicant further states</w:t>
      </w:r>
      <w:r w:rsidR="00BF350B">
        <w:rPr>
          <w:rFonts w:eastAsia="Times New Roman" w:cstheme="minorHAnsi"/>
          <w:sz w:val="24"/>
          <w:szCs w:val="24"/>
        </w:rPr>
        <w:t xml:space="preserve"> that</w:t>
      </w:r>
      <w:r>
        <w:rPr>
          <w:rFonts w:eastAsia="Times New Roman" w:cstheme="minorHAnsi"/>
          <w:sz w:val="24"/>
          <w:szCs w:val="24"/>
        </w:rPr>
        <w:t xml:space="preserve"> </w:t>
      </w:r>
      <w:r w:rsidR="00BF350B">
        <w:rPr>
          <w:rFonts w:eastAsia="Times New Roman" w:cstheme="minorHAnsi"/>
          <w:sz w:val="24"/>
          <w:szCs w:val="24"/>
        </w:rPr>
        <w:t>c</w:t>
      </w:r>
      <w:r w:rsidR="00BF350B" w:rsidRPr="004A3DAF">
        <w:rPr>
          <w:rFonts w:eastAsia="Times New Roman" w:cstheme="minorHAnsi"/>
          <w:sz w:val="24"/>
          <w:szCs w:val="24"/>
        </w:rPr>
        <w:t>urrently, NEBH use</w:t>
      </w:r>
      <w:r w:rsidR="00BF350B" w:rsidRPr="00BF350B">
        <w:rPr>
          <w:rFonts w:eastAsia="Times New Roman" w:cstheme="minorHAnsi"/>
          <w:sz w:val="24"/>
          <w:szCs w:val="24"/>
        </w:rPr>
        <w:t>s</w:t>
      </w:r>
      <w:r w:rsidR="00BF350B" w:rsidRPr="004A3DAF">
        <w:rPr>
          <w:rFonts w:eastAsia="Times New Roman" w:cstheme="minorHAnsi"/>
          <w:sz w:val="24"/>
          <w:szCs w:val="24"/>
        </w:rPr>
        <w:t xml:space="preserve"> the sixteen operating rooms on the main campus </w:t>
      </w:r>
      <w:r w:rsidR="00BF350B" w:rsidRPr="00BF350B">
        <w:rPr>
          <w:rFonts w:eastAsia="Times New Roman" w:cstheme="minorHAnsi"/>
          <w:sz w:val="24"/>
          <w:szCs w:val="24"/>
        </w:rPr>
        <w:t>at approximately 90% capacity</w:t>
      </w:r>
      <w:r w:rsidR="00BF350B" w:rsidRPr="004A3DAF">
        <w:rPr>
          <w:rFonts w:eastAsia="Times New Roman" w:cstheme="minorHAnsi"/>
          <w:sz w:val="24"/>
          <w:szCs w:val="24"/>
        </w:rPr>
        <w:t xml:space="preserve">, which </w:t>
      </w:r>
      <w:r w:rsidR="00BF350B" w:rsidRPr="00BF350B">
        <w:rPr>
          <w:rFonts w:eastAsia="Times New Roman" w:cstheme="minorHAnsi"/>
          <w:sz w:val="24"/>
          <w:szCs w:val="24"/>
        </w:rPr>
        <w:t xml:space="preserve">is </w:t>
      </w:r>
      <w:r w:rsidR="00BF350B" w:rsidRPr="004A3DAF">
        <w:rPr>
          <w:rFonts w:eastAsia="Times New Roman" w:cstheme="minorHAnsi"/>
          <w:sz w:val="24"/>
          <w:szCs w:val="24"/>
        </w:rPr>
        <w:t xml:space="preserve">a highly utilized block schedule. </w:t>
      </w:r>
      <w:r w:rsidR="00BF350B">
        <w:rPr>
          <w:rFonts w:eastAsia="Times New Roman" w:cstheme="minorHAnsi"/>
          <w:sz w:val="24"/>
          <w:szCs w:val="24"/>
        </w:rPr>
        <w:t>The a</w:t>
      </w:r>
      <w:r w:rsidR="00BF350B" w:rsidRPr="004A3DAF">
        <w:rPr>
          <w:rFonts w:eastAsia="Times New Roman" w:cstheme="minorHAnsi"/>
          <w:sz w:val="24"/>
          <w:szCs w:val="24"/>
        </w:rPr>
        <w:t xml:space="preserve">verage wait time </w:t>
      </w:r>
      <w:r w:rsidR="00BF350B">
        <w:rPr>
          <w:rFonts w:eastAsia="Times New Roman" w:cstheme="minorHAnsi"/>
          <w:sz w:val="24"/>
          <w:szCs w:val="24"/>
        </w:rPr>
        <w:t xml:space="preserve">for elective surgery is </w:t>
      </w:r>
      <w:r w:rsidR="00BF350B" w:rsidRPr="004A3DAF">
        <w:rPr>
          <w:rFonts w:eastAsia="Times New Roman" w:cstheme="minorHAnsi"/>
          <w:sz w:val="24"/>
          <w:szCs w:val="24"/>
        </w:rPr>
        <w:t>about six weeks</w:t>
      </w:r>
      <w:r w:rsidR="00D337FE">
        <w:rPr>
          <w:rFonts w:eastAsia="Times New Roman" w:cstheme="minorHAnsi"/>
          <w:sz w:val="24"/>
          <w:szCs w:val="24"/>
        </w:rPr>
        <w:t xml:space="preserve"> in the hospital; and</w:t>
      </w:r>
      <w:r w:rsidR="00BF350B" w:rsidRPr="00BF350B">
        <w:rPr>
          <w:rFonts w:eastAsia="Times New Roman" w:cstheme="minorHAnsi"/>
          <w:sz w:val="24"/>
          <w:szCs w:val="24"/>
        </w:rPr>
        <w:t xml:space="preserve"> for some surgeons</w:t>
      </w:r>
      <w:r w:rsidR="00D337FE">
        <w:rPr>
          <w:rFonts w:eastAsia="Times New Roman" w:cstheme="minorHAnsi"/>
          <w:sz w:val="24"/>
          <w:szCs w:val="24"/>
        </w:rPr>
        <w:t xml:space="preserve"> it</w:t>
      </w:r>
      <w:r w:rsidR="00BF350B" w:rsidRPr="00BF350B">
        <w:rPr>
          <w:rFonts w:eastAsia="Times New Roman" w:cstheme="minorHAnsi"/>
          <w:sz w:val="24"/>
          <w:szCs w:val="24"/>
        </w:rPr>
        <w:t xml:space="preserve"> </w:t>
      </w:r>
      <w:r w:rsidR="00BF350B">
        <w:rPr>
          <w:rFonts w:eastAsia="Times New Roman" w:cstheme="minorHAnsi"/>
          <w:sz w:val="24"/>
          <w:szCs w:val="24"/>
        </w:rPr>
        <w:t>is</w:t>
      </w:r>
      <w:r w:rsidR="00BF350B" w:rsidRPr="00BF350B">
        <w:rPr>
          <w:rFonts w:eastAsia="Times New Roman" w:cstheme="minorHAnsi"/>
          <w:sz w:val="24"/>
          <w:szCs w:val="24"/>
        </w:rPr>
        <w:t xml:space="preserve"> </w:t>
      </w:r>
      <w:r w:rsidR="00BF350B" w:rsidRPr="004A3DAF">
        <w:rPr>
          <w:rFonts w:eastAsia="Times New Roman" w:cstheme="minorHAnsi"/>
          <w:sz w:val="24"/>
          <w:szCs w:val="24"/>
        </w:rPr>
        <w:t>up to six months</w:t>
      </w:r>
      <w:r w:rsidR="00BF350B" w:rsidRPr="00BF350B">
        <w:rPr>
          <w:rFonts w:eastAsia="Times New Roman" w:cstheme="minorHAnsi"/>
          <w:sz w:val="24"/>
          <w:szCs w:val="24"/>
        </w:rPr>
        <w:t>.</w:t>
      </w:r>
      <w:r w:rsidR="00BF350B" w:rsidRPr="004A3DAF">
        <w:rPr>
          <w:rFonts w:eastAsia="Times New Roman" w:cstheme="minorHAnsi"/>
          <w:sz w:val="24"/>
          <w:szCs w:val="24"/>
        </w:rPr>
        <w:t xml:space="preserve"> </w:t>
      </w:r>
      <w:r w:rsidR="00D337FE">
        <w:rPr>
          <w:rFonts w:eastAsia="Times New Roman" w:cstheme="minorHAnsi"/>
          <w:sz w:val="24"/>
          <w:szCs w:val="24"/>
        </w:rPr>
        <w:t xml:space="preserve">Further, </w:t>
      </w:r>
      <w:r w:rsidR="00BF350B" w:rsidRPr="004A3DAF">
        <w:rPr>
          <w:rFonts w:eastAsia="Times New Roman" w:cstheme="minorHAnsi"/>
          <w:sz w:val="24"/>
          <w:szCs w:val="24"/>
        </w:rPr>
        <w:t>NEBH has requests from spine surgeons who wish to perform surgery at NEBH but are unable to be accommodated due to space constraints.</w:t>
      </w:r>
      <w:r w:rsidR="00BF350B">
        <w:rPr>
          <w:rFonts w:eastAsia="Times New Roman" w:cstheme="minorHAnsi"/>
          <w:sz w:val="24"/>
          <w:szCs w:val="24"/>
        </w:rPr>
        <w:t xml:space="preserve"> T</w:t>
      </w:r>
      <w:r>
        <w:rPr>
          <w:rFonts w:eastAsia="Times New Roman" w:cstheme="minorHAnsi"/>
          <w:sz w:val="24"/>
          <w:szCs w:val="24"/>
        </w:rPr>
        <w:t>he shift</w:t>
      </w:r>
      <w:r w:rsidRPr="004A3DAF">
        <w:rPr>
          <w:rFonts w:eastAsia="Times New Roman" w:cstheme="minorHAnsi"/>
          <w:sz w:val="24"/>
          <w:szCs w:val="24"/>
        </w:rPr>
        <w:t xml:space="preserve"> of appropriate orthopedic procedures to the outpatient ASC will allow providers at NEBH to enhance </w:t>
      </w:r>
      <w:r w:rsidR="00EA2B68">
        <w:rPr>
          <w:rFonts w:eastAsia="Times New Roman" w:cstheme="minorHAnsi"/>
          <w:sz w:val="24"/>
          <w:szCs w:val="24"/>
        </w:rPr>
        <w:t xml:space="preserve">capacity </w:t>
      </w:r>
      <w:r w:rsidRPr="004A3DAF">
        <w:rPr>
          <w:rFonts w:eastAsia="Times New Roman" w:cstheme="minorHAnsi"/>
          <w:sz w:val="24"/>
          <w:szCs w:val="24"/>
        </w:rPr>
        <w:t xml:space="preserve">for more complex cases at the hospital (e.g., spine cases) – resulting in </w:t>
      </w:r>
      <w:r>
        <w:rPr>
          <w:rFonts w:eastAsia="Times New Roman" w:cstheme="minorHAnsi"/>
          <w:sz w:val="24"/>
          <w:szCs w:val="24"/>
        </w:rPr>
        <w:t>reduced</w:t>
      </w:r>
      <w:r w:rsidRPr="004A3DAF">
        <w:rPr>
          <w:rFonts w:eastAsia="Times New Roman" w:cstheme="minorHAnsi"/>
          <w:sz w:val="24"/>
          <w:szCs w:val="24"/>
        </w:rPr>
        <w:t xml:space="preserve"> wait times for those </w:t>
      </w:r>
      <w:r w:rsidR="00BF350B">
        <w:rPr>
          <w:rFonts w:eastAsia="Times New Roman" w:cstheme="minorHAnsi"/>
          <w:sz w:val="24"/>
          <w:szCs w:val="24"/>
        </w:rPr>
        <w:t xml:space="preserve">patients whose cases are </w:t>
      </w:r>
      <w:r w:rsidRPr="004A3DAF">
        <w:rPr>
          <w:rFonts w:eastAsia="Times New Roman" w:cstheme="minorHAnsi"/>
          <w:sz w:val="24"/>
          <w:szCs w:val="24"/>
        </w:rPr>
        <w:t xml:space="preserve">complex. As more outpatient total knee and total hip replacement procedures move to NEBSC, </w:t>
      </w:r>
      <w:r w:rsidR="00BF350B">
        <w:rPr>
          <w:rFonts w:eastAsia="Times New Roman" w:cstheme="minorHAnsi"/>
          <w:sz w:val="24"/>
          <w:szCs w:val="24"/>
        </w:rPr>
        <w:t xml:space="preserve">the hospital </w:t>
      </w:r>
      <w:r w:rsidRPr="004A3DAF">
        <w:rPr>
          <w:rFonts w:eastAsia="Times New Roman" w:cstheme="minorHAnsi"/>
          <w:sz w:val="24"/>
          <w:szCs w:val="24"/>
        </w:rPr>
        <w:t xml:space="preserve">will be able to provide more operating </w:t>
      </w:r>
      <w:r w:rsidRPr="004A3DAF">
        <w:rPr>
          <w:rFonts w:eastAsia="Times New Roman" w:cstheme="minorHAnsi"/>
          <w:sz w:val="24"/>
          <w:szCs w:val="24"/>
        </w:rPr>
        <w:lastRenderedPageBreak/>
        <w:t xml:space="preserve">room time </w:t>
      </w:r>
      <w:r w:rsidR="00BF350B">
        <w:rPr>
          <w:rFonts w:eastAsia="Times New Roman" w:cstheme="minorHAnsi"/>
          <w:sz w:val="24"/>
          <w:szCs w:val="24"/>
        </w:rPr>
        <w:t xml:space="preserve">for surgeons </w:t>
      </w:r>
      <w:r w:rsidR="00D337FE">
        <w:rPr>
          <w:rFonts w:eastAsia="Times New Roman" w:cstheme="minorHAnsi"/>
          <w:sz w:val="24"/>
          <w:szCs w:val="24"/>
        </w:rPr>
        <w:t>performing</w:t>
      </w:r>
      <w:r w:rsidR="00BF350B">
        <w:rPr>
          <w:rFonts w:eastAsia="Times New Roman" w:cstheme="minorHAnsi"/>
          <w:sz w:val="24"/>
          <w:szCs w:val="24"/>
        </w:rPr>
        <w:t xml:space="preserve"> more complex cases</w:t>
      </w:r>
      <w:r w:rsidR="00EA2B68">
        <w:rPr>
          <w:rFonts w:eastAsia="Times New Roman" w:cstheme="minorHAnsi"/>
          <w:sz w:val="24"/>
          <w:szCs w:val="24"/>
        </w:rPr>
        <w:t xml:space="preserve">. Accordingly, </w:t>
      </w:r>
      <w:r w:rsidRPr="004A3DAF">
        <w:rPr>
          <w:rFonts w:eastAsia="Times New Roman" w:cstheme="minorHAnsi"/>
          <w:sz w:val="24"/>
          <w:szCs w:val="24"/>
        </w:rPr>
        <w:t>the ASC will increase access for patients as wait times for certain procedures on</w:t>
      </w:r>
      <w:r w:rsidR="00EA2B68">
        <w:rPr>
          <w:rFonts w:eastAsia="Times New Roman" w:cstheme="minorHAnsi"/>
          <w:sz w:val="24"/>
          <w:szCs w:val="24"/>
        </w:rPr>
        <w:t xml:space="preserve"> </w:t>
      </w:r>
      <w:r w:rsidRPr="004A3DAF">
        <w:rPr>
          <w:rFonts w:eastAsia="Times New Roman" w:cstheme="minorHAnsi"/>
          <w:sz w:val="24"/>
          <w:szCs w:val="24"/>
        </w:rPr>
        <w:t>NEBH’s main campus decrease.</w:t>
      </w:r>
    </w:p>
    <w:p w14:paraId="5037E5D7" w14:textId="77777777" w:rsidR="0059019F" w:rsidRDefault="0059019F" w:rsidP="0059019F">
      <w:pPr>
        <w:spacing w:after="0" w:line="240" w:lineRule="auto"/>
        <w:rPr>
          <w:rFonts w:eastAsia="Times New Roman" w:cstheme="minorHAnsi"/>
          <w:b/>
          <w:bCs/>
          <w:sz w:val="24"/>
          <w:szCs w:val="24"/>
        </w:rPr>
      </w:pPr>
      <w:r>
        <w:rPr>
          <w:rFonts w:eastAsia="Times New Roman" w:cstheme="minorHAnsi"/>
          <w:b/>
          <w:bCs/>
          <w:sz w:val="24"/>
          <w:szCs w:val="24"/>
        </w:rPr>
        <w:t xml:space="preserve">The Applicant’s </w:t>
      </w:r>
      <w:r w:rsidR="000451E2" w:rsidRPr="000451E2">
        <w:rPr>
          <w:rFonts w:eastAsia="Times New Roman" w:cstheme="minorHAnsi"/>
          <w:b/>
          <w:bCs/>
          <w:sz w:val="24"/>
          <w:szCs w:val="24"/>
        </w:rPr>
        <w:t>Projections</w:t>
      </w:r>
    </w:p>
    <w:p w14:paraId="22EB7604" w14:textId="6DF39D74" w:rsidR="00012491" w:rsidRPr="00173C0C" w:rsidRDefault="00173C0C" w:rsidP="00C51FD3">
      <w:pPr>
        <w:spacing w:line="240" w:lineRule="auto"/>
        <w:rPr>
          <w:rFonts w:eastAsia="Times New Roman" w:cstheme="minorHAnsi"/>
          <w:sz w:val="24"/>
          <w:szCs w:val="24"/>
        </w:rPr>
      </w:pPr>
      <w:r w:rsidRPr="00173C0C">
        <w:rPr>
          <w:rFonts w:eastAsia="Times New Roman" w:cstheme="minorHAnsi"/>
          <w:sz w:val="24"/>
          <w:szCs w:val="24"/>
        </w:rPr>
        <w:br/>
        <w:t xml:space="preserve">According to the Applicant, the proposed ASC will be able to handle more procedures than the HOPD, thus expanding access and reducing wait times for its own patient panel and patients seeking inpatient surgery at NEBH’s main campus. Indeed, the Applicant projects a </w:t>
      </w:r>
      <w:r w:rsidR="00904715">
        <w:rPr>
          <w:rFonts w:eastAsia="Times New Roman" w:cstheme="minorHAnsi"/>
          <w:sz w:val="24"/>
          <w:szCs w:val="24"/>
        </w:rPr>
        <w:t>notable</w:t>
      </w:r>
      <w:r w:rsidRPr="00173C0C">
        <w:rPr>
          <w:rFonts w:eastAsia="Times New Roman" w:cstheme="minorHAnsi"/>
          <w:sz w:val="24"/>
          <w:szCs w:val="24"/>
        </w:rPr>
        <w:t xml:space="preserve"> increase in throughput at the proposed ASC site, ramping up from 4,073 cases in projected year 1 to 5,531 cases in projected year 5 (</w:t>
      </w:r>
      <w:r w:rsidRPr="00675214">
        <w:rPr>
          <w:rFonts w:eastAsia="Times New Roman" w:cstheme="minorHAnsi"/>
          <w:sz w:val="24"/>
          <w:szCs w:val="24"/>
        </w:rPr>
        <w:t xml:space="preserve">see Table </w:t>
      </w:r>
      <w:r w:rsidR="00D4075F">
        <w:rPr>
          <w:rFonts w:eastAsia="Times New Roman" w:cstheme="minorHAnsi"/>
          <w:sz w:val="24"/>
          <w:szCs w:val="24"/>
        </w:rPr>
        <w:t>5</w:t>
      </w:r>
      <w:r w:rsidRPr="00173C0C">
        <w:rPr>
          <w:rFonts w:eastAsia="Times New Roman" w:cstheme="minorHAnsi"/>
          <w:sz w:val="24"/>
          <w:szCs w:val="24"/>
        </w:rPr>
        <w:t xml:space="preserve">). The Applicant </w:t>
      </w:r>
      <w:r w:rsidR="00904715">
        <w:rPr>
          <w:rFonts w:eastAsia="Times New Roman" w:cstheme="minorHAnsi"/>
          <w:sz w:val="24"/>
          <w:szCs w:val="24"/>
        </w:rPr>
        <w:t xml:space="preserve">states </w:t>
      </w:r>
      <w:r w:rsidRPr="00173C0C">
        <w:rPr>
          <w:rFonts w:eastAsia="Times New Roman" w:cstheme="minorHAnsi"/>
          <w:sz w:val="24"/>
          <w:szCs w:val="24"/>
        </w:rPr>
        <w:t>that procedures performed in ASCs take 25% less time than procedures performed in inpatient settings, helping to facilitate increased throughput at the ASC.</w:t>
      </w:r>
      <w:r w:rsidR="00012491" w:rsidRPr="00173C0C">
        <w:rPr>
          <w:rFonts w:eastAsia="Times New Roman" w:cstheme="minorHAnsi"/>
          <w:sz w:val="24"/>
          <w:szCs w:val="24"/>
          <w:vertAlign w:val="superscript"/>
        </w:rPr>
        <w:endnoteReference w:id="9"/>
      </w:r>
    </w:p>
    <w:p w14:paraId="3E1B3AF7" w14:textId="7ADCB6FC" w:rsidR="00173C0C" w:rsidRPr="00173C0C" w:rsidRDefault="00173C0C" w:rsidP="00173C0C">
      <w:pPr>
        <w:spacing w:after="0" w:line="240" w:lineRule="auto"/>
        <w:jc w:val="center"/>
        <w:rPr>
          <w:rFonts w:eastAsia="Times New Roman" w:cstheme="minorHAnsi"/>
          <w:b/>
          <w:bCs/>
          <w:sz w:val="24"/>
          <w:szCs w:val="24"/>
        </w:rPr>
      </w:pPr>
      <w:r w:rsidRPr="00173C0C">
        <w:rPr>
          <w:rFonts w:eastAsia="Times New Roman" w:cstheme="minorHAnsi"/>
          <w:b/>
          <w:bCs/>
          <w:sz w:val="24"/>
          <w:szCs w:val="24"/>
        </w:rPr>
        <w:br/>
        <w:t xml:space="preserve">Table </w:t>
      </w:r>
      <w:r w:rsidR="00D4075F">
        <w:rPr>
          <w:rFonts w:eastAsia="Times New Roman" w:cstheme="minorHAnsi"/>
          <w:b/>
          <w:bCs/>
          <w:sz w:val="24"/>
          <w:szCs w:val="24"/>
        </w:rPr>
        <w:t>5</w:t>
      </w:r>
      <w:r w:rsidRPr="00173C0C">
        <w:rPr>
          <w:rFonts w:eastAsia="Times New Roman" w:cstheme="minorHAnsi"/>
          <w:b/>
          <w:bCs/>
          <w:sz w:val="24"/>
          <w:szCs w:val="24"/>
        </w:rPr>
        <w:t>: NEBSC Projected ASC Volume</w:t>
      </w:r>
      <w:r w:rsidR="00675214">
        <w:rPr>
          <w:rFonts w:eastAsia="Times New Roman" w:cstheme="minorHAnsi"/>
          <w:b/>
          <w:bCs/>
          <w:sz w:val="24"/>
          <w:szCs w:val="24"/>
        </w:rPr>
        <w:t xml:space="preserve"> for Five Years</w:t>
      </w:r>
    </w:p>
    <w:tbl>
      <w:tblPr>
        <w:tblStyle w:val="TableGrid"/>
        <w:tblW w:w="0" w:type="auto"/>
        <w:jc w:val="center"/>
        <w:tblLook w:val="04A0" w:firstRow="1" w:lastRow="0" w:firstColumn="1" w:lastColumn="0" w:noHBand="0" w:noVBand="1"/>
      </w:tblPr>
      <w:tblGrid>
        <w:gridCol w:w="2880"/>
        <w:gridCol w:w="990"/>
        <w:gridCol w:w="1170"/>
        <w:gridCol w:w="990"/>
        <w:gridCol w:w="1080"/>
        <w:gridCol w:w="1170"/>
      </w:tblGrid>
      <w:tr w:rsidR="00706C7B" w:rsidRPr="00173C0C" w14:paraId="2884B28D" w14:textId="77777777" w:rsidTr="00BA6771">
        <w:trPr>
          <w:cantSplit/>
          <w:tblHeader/>
          <w:jc w:val="center"/>
        </w:trPr>
        <w:tc>
          <w:tcPr>
            <w:tcW w:w="2880" w:type="dxa"/>
            <w:shd w:val="clear" w:color="auto" w:fill="DDFFFF"/>
          </w:tcPr>
          <w:p w14:paraId="35B1E275" w14:textId="77777777" w:rsidR="00173C0C" w:rsidRPr="00173C0C" w:rsidRDefault="00173C0C" w:rsidP="00173C0C">
            <w:pPr>
              <w:rPr>
                <w:rFonts w:eastAsia="Times New Roman" w:cstheme="minorHAnsi"/>
                <w:sz w:val="24"/>
                <w:szCs w:val="24"/>
              </w:rPr>
            </w:pPr>
          </w:p>
        </w:tc>
        <w:tc>
          <w:tcPr>
            <w:tcW w:w="990" w:type="dxa"/>
            <w:shd w:val="clear" w:color="auto" w:fill="DDFFFF"/>
          </w:tcPr>
          <w:p w14:paraId="04497C59" w14:textId="77777777" w:rsidR="00173C0C" w:rsidRPr="00173C0C" w:rsidRDefault="00173C0C" w:rsidP="00173C0C">
            <w:pPr>
              <w:jc w:val="center"/>
              <w:rPr>
                <w:rFonts w:eastAsia="Times New Roman" w:cstheme="minorHAnsi"/>
                <w:b/>
                <w:bCs/>
                <w:sz w:val="24"/>
                <w:szCs w:val="24"/>
              </w:rPr>
            </w:pPr>
            <w:r w:rsidRPr="00173C0C">
              <w:rPr>
                <w:rFonts w:eastAsia="Times New Roman" w:cstheme="minorHAnsi"/>
                <w:b/>
                <w:bCs/>
                <w:sz w:val="24"/>
                <w:szCs w:val="24"/>
              </w:rPr>
              <w:t>Year 1</w:t>
            </w:r>
          </w:p>
        </w:tc>
        <w:tc>
          <w:tcPr>
            <w:tcW w:w="1170" w:type="dxa"/>
            <w:shd w:val="clear" w:color="auto" w:fill="DDFFFF"/>
          </w:tcPr>
          <w:p w14:paraId="12340DA5" w14:textId="77777777" w:rsidR="00173C0C" w:rsidRPr="00173C0C" w:rsidRDefault="00173C0C" w:rsidP="00173C0C">
            <w:pPr>
              <w:jc w:val="center"/>
              <w:rPr>
                <w:rFonts w:eastAsia="Times New Roman" w:cstheme="minorHAnsi"/>
                <w:b/>
                <w:bCs/>
                <w:sz w:val="24"/>
                <w:szCs w:val="24"/>
              </w:rPr>
            </w:pPr>
            <w:r w:rsidRPr="00173C0C">
              <w:rPr>
                <w:rFonts w:eastAsia="Times New Roman" w:cstheme="minorHAnsi"/>
                <w:b/>
                <w:bCs/>
                <w:sz w:val="24"/>
                <w:szCs w:val="24"/>
              </w:rPr>
              <w:t>Year 2</w:t>
            </w:r>
          </w:p>
        </w:tc>
        <w:tc>
          <w:tcPr>
            <w:tcW w:w="990" w:type="dxa"/>
            <w:shd w:val="clear" w:color="auto" w:fill="DDFFFF"/>
          </w:tcPr>
          <w:p w14:paraId="71FC25F7" w14:textId="77777777" w:rsidR="00173C0C" w:rsidRPr="00173C0C" w:rsidRDefault="00173C0C" w:rsidP="00173C0C">
            <w:pPr>
              <w:jc w:val="center"/>
              <w:rPr>
                <w:rFonts w:eastAsia="Times New Roman" w:cstheme="minorHAnsi"/>
                <w:b/>
                <w:bCs/>
                <w:sz w:val="24"/>
                <w:szCs w:val="24"/>
              </w:rPr>
            </w:pPr>
            <w:r w:rsidRPr="00173C0C">
              <w:rPr>
                <w:rFonts w:eastAsia="Times New Roman" w:cstheme="minorHAnsi"/>
                <w:b/>
                <w:bCs/>
                <w:sz w:val="24"/>
                <w:szCs w:val="24"/>
              </w:rPr>
              <w:t>Year 3</w:t>
            </w:r>
          </w:p>
        </w:tc>
        <w:tc>
          <w:tcPr>
            <w:tcW w:w="1080" w:type="dxa"/>
            <w:shd w:val="clear" w:color="auto" w:fill="DDFFFF"/>
          </w:tcPr>
          <w:p w14:paraId="71496951" w14:textId="77777777" w:rsidR="00173C0C" w:rsidRPr="00173C0C" w:rsidRDefault="00173C0C" w:rsidP="00173C0C">
            <w:pPr>
              <w:jc w:val="center"/>
              <w:rPr>
                <w:rFonts w:eastAsia="Times New Roman" w:cstheme="minorHAnsi"/>
                <w:b/>
                <w:bCs/>
                <w:sz w:val="24"/>
                <w:szCs w:val="24"/>
              </w:rPr>
            </w:pPr>
            <w:r w:rsidRPr="00173C0C">
              <w:rPr>
                <w:rFonts w:eastAsia="Times New Roman" w:cstheme="minorHAnsi"/>
                <w:b/>
                <w:bCs/>
                <w:sz w:val="24"/>
                <w:szCs w:val="24"/>
              </w:rPr>
              <w:t>Year 4</w:t>
            </w:r>
          </w:p>
        </w:tc>
        <w:tc>
          <w:tcPr>
            <w:tcW w:w="1170" w:type="dxa"/>
            <w:shd w:val="clear" w:color="auto" w:fill="DDFFFF"/>
          </w:tcPr>
          <w:p w14:paraId="285A3A8B" w14:textId="77777777" w:rsidR="00173C0C" w:rsidRPr="00173C0C" w:rsidRDefault="00173C0C" w:rsidP="00173C0C">
            <w:pPr>
              <w:jc w:val="center"/>
              <w:rPr>
                <w:rFonts w:eastAsia="Times New Roman" w:cstheme="minorHAnsi"/>
                <w:b/>
                <w:bCs/>
                <w:sz w:val="24"/>
                <w:szCs w:val="24"/>
              </w:rPr>
            </w:pPr>
            <w:r w:rsidRPr="00173C0C">
              <w:rPr>
                <w:rFonts w:eastAsia="Times New Roman" w:cstheme="minorHAnsi"/>
                <w:b/>
                <w:bCs/>
                <w:sz w:val="24"/>
                <w:szCs w:val="24"/>
              </w:rPr>
              <w:t>Year 5</w:t>
            </w:r>
          </w:p>
        </w:tc>
      </w:tr>
      <w:tr w:rsidR="00706C7B" w:rsidRPr="00173C0C" w14:paraId="21EA349D" w14:textId="77777777" w:rsidTr="008D6E0E">
        <w:trPr>
          <w:cantSplit/>
          <w:jc w:val="center"/>
        </w:trPr>
        <w:tc>
          <w:tcPr>
            <w:tcW w:w="2880" w:type="dxa"/>
            <w:shd w:val="clear" w:color="auto" w:fill="auto"/>
          </w:tcPr>
          <w:p w14:paraId="05C28CB7" w14:textId="77979F90" w:rsidR="00173C0C" w:rsidRPr="00173C0C" w:rsidRDefault="0059019F" w:rsidP="00173C0C">
            <w:pPr>
              <w:rPr>
                <w:rFonts w:eastAsia="Times New Roman" w:cstheme="minorHAnsi"/>
                <w:b/>
                <w:bCs/>
                <w:sz w:val="24"/>
                <w:szCs w:val="24"/>
              </w:rPr>
            </w:pPr>
            <w:r>
              <w:rPr>
                <w:rFonts w:eastAsia="Times New Roman" w:cstheme="minorHAnsi"/>
                <w:b/>
                <w:bCs/>
                <w:sz w:val="24"/>
                <w:szCs w:val="24"/>
              </w:rPr>
              <w:t xml:space="preserve">Growth </w:t>
            </w:r>
            <w:r w:rsidR="00675214">
              <w:rPr>
                <w:rFonts w:eastAsia="Times New Roman" w:cstheme="minorHAnsi"/>
                <w:b/>
                <w:bCs/>
                <w:sz w:val="24"/>
                <w:szCs w:val="24"/>
              </w:rPr>
              <w:t xml:space="preserve">based from </w:t>
            </w:r>
            <w:r w:rsidR="00173C0C" w:rsidRPr="00173C0C">
              <w:rPr>
                <w:rFonts w:eastAsia="Times New Roman" w:cstheme="minorHAnsi"/>
                <w:b/>
                <w:bCs/>
                <w:sz w:val="24"/>
                <w:szCs w:val="24"/>
              </w:rPr>
              <w:t>Existing Cases</w:t>
            </w:r>
          </w:p>
        </w:tc>
        <w:tc>
          <w:tcPr>
            <w:tcW w:w="990" w:type="dxa"/>
            <w:tcBorders>
              <w:bottom w:val="single" w:sz="4" w:space="0" w:color="auto"/>
            </w:tcBorders>
          </w:tcPr>
          <w:p w14:paraId="139CF285"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2,930</w:t>
            </w:r>
          </w:p>
        </w:tc>
        <w:tc>
          <w:tcPr>
            <w:tcW w:w="1170" w:type="dxa"/>
            <w:tcBorders>
              <w:bottom w:val="single" w:sz="4" w:space="0" w:color="auto"/>
            </w:tcBorders>
          </w:tcPr>
          <w:p w14:paraId="071087F9"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2,988</w:t>
            </w:r>
          </w:p>
        </w:tc>
        <w:tc>
          <w:tcPr>
            <w:tcW w:w="990" w:type="dxa"/>
            <w:tcBorders>
              <w:bottom w:val="single" w:sz="4" w:space="0" w:color="auto"/>
            </w:tcBorders>
          </w:tcPr>
          <w:p w14:paraId="203D2304"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3,048</w:t>
            </w:r>
          </w:p>
        </w:tc>
        <w:tc>
          <w:tcPr>
            <w:tcW w:w="1080" w:type="dxa"/>
            <w:tcBorders>
              <w:bottom w:val="single" w:sz="4" w:space="0" w:color="auto"/>
            </w:tcBorders>
          </w:tcPr>
          <w:p w14:paraId="647515D6"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3,109</w:t>
            </w:r>
          </w:p>
        </w:tc>
        <w:tc>
          <w:tcPr>
            <w:tcW w:w="1170" w:type="dxa"/>
            <w:tcBorders>
              <w:bottom w:val="single" w:sz="4" w:space="0" w:color="auto"/>
            </w:tcBorders>
          </w:tcPr>
          <w:p w14:paraId="7AD39438"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3,171</w:t>
            </w:r>
          </w:p>
        </w:tc>
      </w:tr>
      <w:tr w:rsidR="00173C0C" w:rsidRPr="00173C0C" w14:paraId="3B069B55" w14:textId="77777777" w:rsidTr="008D6E0E">
        <w:trPr>
          <w:cantSplit/>
          <w:jc w:val="center"/>
        </w:trPr>
        <w:tc>
          <w:tcPr>
            <w:tcW w:w="2880" w:type="dxa"/>
            <w:shd w:val="clear" w:color="auto" w:fill="auto"/>
          </w:tcPr>
          <w:p w14:paraId="73EB35C4" w14:textId="4DD590CC" w:rsidR="00173C0C" w:rsidRPr="00173C0C" w:rsidRDefault="00706C7B" w:rsidP="00706C7B">
            <w:pPr>
              <w:rPr>
                <w:rFonts w:eastAsia="Times New Roman" w:cstheme="minorHAnsi"/>
                <w:b/>
                <w:bCs/>
                <w:sz w:val="24"/>
                <w:szCs w:val="24"/>
              </w:rPr>
            </w:pPr>
            <w:r>
              <w:rPr>
                <w:rFonts w:eastAsia="Times New Roman" w:cstheme="minorHAnsi"/>
                <w:b/>
                <w:bCs/>
                <w:sz w:val="24"/>
                <w:szCs w:val="24"/>
              </w:rPr>
              <w:t xml:space="preserve">Projected </w:t>
            </w:r>
            <w:r w:rsidR="00173C0C" w:rsidRPr="00173C0C">
              <w:rPr>
                <w:rFonts w:eastAsia="Times New Roman" w:cstheme="minorHAnsi"/>
                <w:b/>
                <w:bCs/>
                <w:sz w:val="24"/>
                <w:szCs w:val="24"/>
              </w:rPr>
              <w:t>Additional Cases</w:t>
            </w:r>
          </w:p>
        </w:tc>
        <w:tc>
          <w:tcPr>
            <w:tcW w:w="990" w:type="dxa"/>
            <w:shd w:val="clear" w:color="auto" w:fill="C0C0C0"/>
          </w:tcPr>
          <w:p w14:paraId="217A9CA9" w14:textId="77777777" w:rsidR="00173C0C" w:rsidRPr="00173C0C" w:rsidRDefault="00173C0C" w:rsidP="00173C0C">
            <w:pPr>
              <w:jc w:val="right"/>
              <w:rPr>
                <w:rFonts w:eastAsia="Times New Roman" w:cstheme="minorHAnsi"/>
                <w:sz w:val="24"/>
                <w:szCs w:val="24"/>
              </w:rPr>
            </w:pPr>
          </w:p>
        </w:tc>
        <w:tc>
          <w:tcPr>
            <w:tcW w:w="1170" w:type="dxa"/>
            <w:shd w:val="clear" w:color="auto" w:fill="C0C0C0"/>
          </w:tcPr>
          <w:p w14:paraId="77D8CDFE" w14:textId="77777777" w:rsidR="00173C0C" w:rsidRPr="00173C0C" w:rsidRDefault="00173C0C" w:rsidP="00173C0C">
            <w:pPr>
              <w:jc w:val="right"/>
              <w:rPr>
                <w:rFonts w:eastAsia="Times New Roman" w:cstheme="minorHAnsi"/>
                <w:sz w:val="24"/>
                <w:szCs w:val="24"/>
              </w:rPr>
            </w:pPr>
          </w:p>
        </w:tc>
        <w:tc>
          <w:tcPr>
            <w:tcW w:w="990" w:type="dxa"/>
            <w:shd w:val="clear" w:color="auto" w:fill="C0C0C0"/>
          </w:tcPr>
          <w:p w14:paraId="536377DE" w14:textId="77777777" w:rsidR="00173C0C" w:rsidRPr="00173C0C" w:rsidRDefault="00173C0C" w:rsidP="00173C0C">
            <w:pPr>
              <w:jc w:val="right"/>
              <w:rPr>
                <w:rFonts w:eastAsia="Times New Roman" w:cstheme="minorHAnsi"/>
                <w:sz w:val="24"/>
                <w:szCs w:val="24"/>
              </w:rPr>
            </w:pPr>
          </w:p>
        </w:tc>
        <w:tc>
          <w:tcPr>
            <w:tcW w:w="1080" w:type="dxa"/>
            <w:shd w:val="clear" w:color="auto" w:fill="C0C0C0"/>
          </w:tcPr>
          <w:p w14:paraId="29FA5D63" w14:textId="77777777" w:rsidR="00173C0C" w:rsidRPr="00173C0C" w:rsidRDefault="00173C0C" w:rsidP="00173C0C">
            <w:pPr>
              <w:jc w:val="right"/>
              <w:rPr>
                <w:rFonts w:eastAsia="Times New Roman" w:cstheme="minorHAnsi"/>
                <w:sz w:val="24"/>
                <w:szCs w:val="24"/>
              </w:rPr>
            </w:pPr>
          </w:p>
        </w:tc>
        <w:tc>
          <w:tcPr>
            <w:tcW w:w="1170" w:type="dxa"/>
            <w:shd w:val="clear" w:color="auto" w:fill="C0C0C0"/>
          </w:tcPr>
          <w:p w14:paraId="04DD5B5C" w14:textId="77777777" w:rsidR="00173C0C" w:rsidRPr="00173C0C" w:rsidRDefault="00173C0C" w:rsidP="00173C0C">
            <w:pPr>
              <w:jc w:val="right"/>
              <w:rPr>
                <w:rFonts w:eastAsia="Times New Roman" w:cstheme="minorHAnsi"/>
                <w:sz w:val="24"/>
                <w:szCs w:val="24"/>
              </w:rPr>
            </w:pPr>
          </w:p>
        </w:tc>
      </w:tr>
      <w:tr w:rsidR="00706C7B" w:rsidRPr="00173C0C" w14:paraId="4B847582" w14:textId="77777777" w:rsidTr="008D6E0E">
        <w:trPr>
          <w:cantSplit/>
          <w:jc w:val="center"/>
        </w:trPr>
        <w:tc>
          <w:tcPr>
            <w:tcW w:w="2880" w:type="dxa"/>
            <w:shd w:val="clear" w:color="auto" w:fill="auto"/>
          </w:tcPr>
          <w:p w14:paraId="30F11FB6" w14:textId="102D933F" w:rsidR="00173C0C" w:rsidRPr="00675214" w:rsidRDefault="00173C0C" w:rsidP="00675214">
            <w:pPr>
              <w:pStyle w:val="ListParagraph"/>
              <w:numPr>
                <w:ilvl w:val="0"/>
                <w:numId w:val="33"/>
              </w:numPr>
              <w:rPr>
                <w:rFonts w:eastAsia="Times New Roman" w:cstheme="minorHAnsi"/>
                <w:b/>
                <w:bCs/>
                <w:sz w:val="24"/>
                <w:szCs w:val="24"/>
              </w:rPr>
            </w:pPr>
            <w:r w:rsidRPr="00675214">
              <w:rPr>
                <w:rFonts w:eastAsia="Times New Roman" w:cstheme="minorHAnsi"/>
                <w:b/>
                <w:bCs/>
                <w:sz w:val="24"/>
                <w:szCs w:val="24"/>
              </w:rPr>
              <w:t>Orthopedics</w:t>
            </w:r>
          </w:p>
        </w:tc>
        <w:tc>
          <w:tcPr>
            <w:tcW w:w="990" w:type="dxa"/>
          </w:tcPr>
          <w:p w14:paraId="2D5A5732"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183</w:t>
            </w:r>
          </w:p>
        </w:tc>
        <w:tc>
          <w:tcPr>
            <w:tcW w:w="1170" w:type="dxa"/>
          </w:tcPr>
          <w:p w14:paraId="7DCFD6FA"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188</w:t>
            </w:r>
          </w:p>
        </w:tc>
        <w:tc>
          <w:tcPr>
            <w:tcW w:w="990" w:type="dxa"/>
          </w:tcPr>
          <w:p w14:paraId="29772F68"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192</w:t>
            </w:r>
          </w:p>
        </w:tc>
        <w:tc>
          <w:tcPr>
            <w:tcW w:w="1080" w:type="dxa"/>
          </w:tcPr>
          <w:p w14:paraId="5C62628D"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195</w:t>
            </w:r>
          </w:p>
        </w:tc>
        <w:tc>
          <w:tcPr>
            <w:tcW w:w="1170" w:type="dxa"/>
          </w:tcPr>
          <w:p w14:paraId="456B96C9"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199</w:t>
            </w:r>
          </w:p>
        </w:tc>
      </w:tr>
      <w:tr w:rsidR="00706C7B" w:rsidRPr="00173C0C" w14:paraId="4F61A8D6" w14:textId="77777777" w:rsidTr="008D6E0E">
        <w:trPr>
          <w:cantSplit/>
          <w:jc w:val="center"/>
        </w:trPr>
        <w:tc>
          <w:tcPr>
            <w:tcW w:w="2880" w:type="dxa"/>
            <w:shd w:val="clear" w:color="auto" w:fill="auto"/>
          </w:tcPr>
          <w:p w14:paraId="339CE9EC" w14:textId="5105DC35" w:rsidR="00173C0C" w:rsidRPr="00675214" w:rsidRDefault="00173C0C" w:rsidP="00675214">
            <w:pPr>
              <w:pStyle w:val="ListParagraph"/>
              <w:numPr>
                <w:ilvl w:val="0"/>
                <w:numId w:val="33"/>
              </w:numPr>
              <w:rPr>
                <w:rFonts w:eastAsia="Times New Roman" w:cstheme="minorHAnsi"/>
                <w:b/>
                <w:bCs/>
                <w:sz w:val="24"/>
                <w:szCs w:val="24"/>
              </w:rPr>
            </w:pPr>
            <w:r w:rsidRPr="00675214">
              <w:rPr>
                <w:rFonts w:eastAsia="Times New Roman" w:cstheme="minorHAnsi"/>
                <w:b/>
                <w:bCs/>
                <w:sz w:val="24"/>
                <w:szCs w:val="24"/>
              </w:rPr>
              <w:t>Joint Arthroplasty</w:t>
            </w:r>
          </w:p>
        </w:tc>
        <w:tc>
          <w:tcPr>
            <w:tcW w:w="990" w:type="dxa"/>
          </w:tcPr>
          <w:p w14:paraId="25C6D994"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961</w:t>
            </w:r>
          </w:p>
        </w:tc>
        <w:tc>
          <w:tcPr>
            <w:tcW w:w="1170" w:type="dxa"/>
          </w:tcPr>
          <w:p w14:paraId="5895CA3F"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1,921</w:t>
            </w:r>
          </w:p>
        </w:tc>
        <w:tc>
          <w:tcPr>
            <w:tcW w:w="990" w:type="dxa"/>
          </w:tcPr>
          <w:p w14:paraId="057CB7AB"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1,998</w:t>
            </w:r>
          </w:p>
        </w:tc>
        <w:tc>
          <w:tcPr>
            <w:tcW w:w="1080" w:type="dxa"/>
          </w:tcPr>
          <w:p w14:paraId="1C9EDA5D"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2,078</w:t>
            </w:r>
          </w:p>
        </w:tc>
        <w:tc>
          <w:tcPr>
            <w:tcW w:w="1170" w:type="dxa"/>
          </w:tcPr>
          <w:p w14:paraId="152BE0F4"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2,161</w:t>
            </w:r>
          </w:p>
        </w:tc>
      </w:tr>
      <w:tr w:rsidR="00706C7B" w:rsidRPr="00173C0C" w14:paraId="57BFC439" w14:textId="77777777" w:rsidTr="008D6E0E">
        <w:trPr>
          <w:cantSplit/>
          <w:jc w:val="center"/>
        </w:trPr>
        <w:tc>
          <w:tcPr>
            <w:tcW w:w="2880" w:type="dxa"/>
            <w:shd w:val="clear" w:color="auto" w:fill="auto"/>
          </w:tcPr>
          <w:p w14:paraId="7096FC6C" w14:textId="77777777" w:rsidR="00173C0C" w:rsidRPr="00173C0C" w:rsidRDefault="00173C0C" w:rsidP="00173C0C">
            <w:pPr>
              <w:rPr>
                <w:rFonts w:eastAsia="Times New Roman" w:cstheme="minorHAnsi"/>
                <w:b/>
                <w:bCs/>
                <w:sz w:val="24"/>
                <w:szCs w:val="24"/>
              </w:rPr>
            </w:pPr>
            <w:r w:rsidRPr="00173C0C">
              <w:rPr>
                <w:rFonts w:eastAsia="Times New Roman" w:cstheme="minorHAnsi"/>
                <w:b/>
                <w:bCs/>
                <w:sz w:val="24"/>
                <w:szCs w:val="24"/>
              </w:rPr>
              <w:t>Total Additional Cases</w:t>
            </w:r>
          </w:p>
        </w:tc>
        <w:tc>
          <w:tcPr>
            <w:tcW w:w="990" w:type="dxa"/>
          </w:tcPr>
          <w:p w14:paraId="6B5E9D8A"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1,143</w:t>
            </w:r>
          </w:p>
        </w:tc>
        <w:tc>
          <w:tcPr>
            <w:tcW w:w="1170" w:type="dxa"/>
          </w:tcPr>
          <w:p w14:paraId="27CE9CF6"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2,109</w:t>
            </w:r>
          </w:p>
        </w:tc>
        <w:tc>
          <w:tcPr>
            <w:tcW w:w="990" w:type="dxa"/>
          </w:tcPr>
          <w:p w14:paraId="3C685D83"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2,189</w:t>
            </w:r>
          </w:p>
        </w:tc>
        <w:tc>
          <w:tcPr>
            <w:tcW w:w="1080" w:type="dxa"/>
          </w:tcPr>
          <w:p w14:paraId="0AD843C2"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2,273</w:t>
            </w:r>
          </w:p>
        </w:tc>
        <w:tc>
          <w:tcPr>
            <w:tcW w:w="1170" w:type="dxa"/>
          </w:tcPr>
          <w:p w14:paraId="25AC22CC" w14:textId="77777777" w:rsidR="00173C0C" w:rsidRPr="00173C0C" w:rsidRDefault="00173C0C" w:rsidP="00173C0C">
            <w:pPr>
              <w:jc w:val="right"/>
              <w:rPr>
                <w:rFonts w:eastAsia="Times New Roman" w:cstheme="minorHAnsi"/>
                <w:sz w:val="24"/>
                <w:szCs w:val="24"/>
              </w:rPr>
            </w:pPr>
            <w:r w:rsidRPr="00173C0C">
              <w:rPr>
                <w:rFonts w:eastAsia="Times New Roman" w:cstheme="minorHAnsi"/>
                <w:sz w:val="24"/>
                <w:szCs w:val="24"/>
              </w:rPr>
              <w:t>2,360</w:t>
            </w:r>
          </w:p>
        </w:tc>
      </w:tr>
      <w:tr w:rsidR="00706C7B" w:rsidRPr="00173C0C" w14:paraId="6E1A8CD8" w14:textId="77777777" w:rsidTr="008D6E0E">
        <w:trPr>
          <w:cantSplit/>
          <w:jc w:val="center"/>
        </w:trPr>
        <w:tc>
          <w:tcPr>
            <w:tcW w:w="2880" w:type="dxa"/>
            <w:shd w:val="clear" w:color="auto" w:fill="auto"/>
          </w:tcPr>
          <w:p w14:paraId="72D7AFEC" w14:textId="77777777" w:rsidR="00173C0C" w:rsidRPr="00173C0C" w:rsidRDefault="00173C0C" w:rsidP="00173C0C">
            <w:pPr>
              <w:rPr>
                <w:rFonts w:eastAsia="Times New Roman" w:cstheme="minorHAnsi"/>
                <w:b/>
                <w:bCs/>
                <w:sz w:val="24"/>
                <w:szCs w:val="24"/>
              </w:rPr>
            </w:pPr>
            <w:r w:rsidRPr="00173C0C">
              <w:rPr>
                <w:rFonts w:eastAsia="Times New Roman" w:cstheme="minorHAnsi"/>
                <w:b/>
                <w:bCs/>
                <w:sz w:val="24"/>
                <w:szCs w:val="24"/>
              </w:rPr>
              <w:t>Total Cases</w:t>
            </w:r>
          </w:p>
        </w:tc>
        <w:tc>
          <w:tcPr>
            <w:tcW w:w="990" w:type="dxa"/>
          </w:tcPr>
          <w:p w14:paraId="5784DC2E"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4,073</w:t>
            </w:r>
          </w:p>
        </w:tc>
        <w:tc>
          <w:tcPr>
            <w:tcW w:w="1170" w:type="dxa"/>
          </w:tcPr>
          <w:p w14:paraId="1EFFBCD6"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5,097</w:t>
            </w:r>
          </w:p>
        </w:tc>
        <w:tc>
          <w:tcPr>
            <w:tcW w:w="990" w:type="dxa"/>
          </w:tcPr>
          <w:p w14:paraId="53FC1557"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5,237</w:t>
            </w:r>
          </w:p>
        </w:tc>
        <w:tc>
          <w:tcPr>
            <w:tcW w:w="1080" w:type="dxa"/>
          </w:tcPr>
          <w:p w14:paraId="08CB7BE8"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5,382</w:t>
            </w:r>
          </w:p>
        </w:tc>
        <w:tc>
          <w:tcPr>
            <w:tcW w:w="1170" w:type="dxa"/>
          </w:tcPr>
          <w:p w14:paraId="015D29D5" w14:textId="77777777" w:rsidR="00173C0C" w:rsidRPr="00173C0C" w:rsidRDefault="00173C0C" w:rsidP="00173C0C">
            <w:pPr>
              <w:jc w:val="right"/>
              <w:rPr>
                <w:rFonts w:eastAsia="Times New Roman" w:cstheme="minorHAnsi"/>
                <w:b/>
                <w:bCs/>
                <w:sz w:val="24"/>
                <w:szCs w:val="24"/>
              </w:rPr>
            </w:pPr>
            <w:r w:rsidRPr="00173C0C">
              <w:rPr>
                <w:rFonts w:eastAsia="Times New Roman" w:cstheme="minorHAnsi"/>
                <w:b/>
                <w:bCs/>
                <w:sz w:val="24"/>
                <w:szCs w:val="24"/>
              </w:rPr>
              <w:t>5,531</w:t>
            </w:r>
          </w:p>
        </w:tc>
      </w:tr>
    </w:tbl>
    <w:p w14:paraId="0B9A2AB7" w14:textId="3BC2C942" w:rsidR="00173C0C" w:rsidRPr="00173C0C" w:rsidRDefault="00173C0C" w:rsidP="00173C0C">
      <w:pPr>
        <w:spacing w:after="0" w:line="240" w:lineRule="auto"/>
        <w:jc w:val="right"/>
        <w:rPr>
          <w:rFonts w:eastAsia="Times New Roman" w:cstheme="minorHAnsi"/>
          <w:sz w:val="24"/>
          <w:szCs w:val="24"/>
        </w:rPr>
      </w:pPr>
    </w:p>
    <w:p w14:paraId="4C2C4B5C" w14:textId="77777777" w:rsidR="00012491" w:rsidRPr="00012491" w:rsidRDefault="00012491" w:rsidP="00012491">
      <w:pPr>
        <w:spacing w:after="0" w:line="240" w:lineRule="auto"/>
        <w:rPr>
          <w:rFonts w:eastAsia="Times New Roman" w:cstheme="minorHAnsi"/>
          <w:sz w:val="24"/>
          <w:szCs w:val="24"/>
        </w:rPr>
      </w:pPr>
      <w:r w:rsidRPr="00012491">
        <w:rPr>
          <w:rFonts w:eastAsia="Times New Roman" w:cstheme="minorHAnsi"/>
          <w:sz w:val="24"/>
          <w:szCs w:val="24"/>
        </w:rPr>
        <w:t>The Applicant has projected volume at the ASC based on the following assumptions:</w:t>
      </w:r>
    </w:p>
    <w:p w14:paraId="5A53DFB6" w14:textId="2FEFC4F9" w:rsidR="00012491" w:rsidRPr="00012491" w:rsidRDefault="00012491" w:rsidP="00012491">
      <w:pPr>
        <w:numPr>
          <w:ilvl w:val="0"/>
          <w:numId w:val="30"/>
        </w:numPr>
        <w:spacing w:after="0" w:line="240" w:lineRule="auto"/>
        <w:rPr>
          <w:rFonts w:eastAsia="Times New Roman" w:cstheme="minorHAnsi"/>
          <w:sz w:val="24"/>
          <w:szCs w:val="24"/>
        </w:rPr>
      </w:pPr>
      <w:r w:rsidRPr="00012491">
        <w:rPr>
          <w:rFonts w:eastAsia="Times New Roman" w:cstheme="minorHAnsi"/>
          <w:sz w:val="24"/>
          <w:szCs w:val="24"/>
        </w:rPr>
        <w:t xml:space="preserve">The existing orthopedic case volume at the HOPD stays at the </w:t>
      </w:r>
      <w:r w:rsidR="000E7AEB">
        <w:rPr>
          <w:rFonts w:eastAsia="Times New Roman" w:cstheme="minorHAnsi"/>
          <w:sz w:val="24"/>
          <w:szCs w:val="24"/>
        </w:rPr>
        <w:t xml:space="preserve">newly formed </w:t>
      </w:r>
      <w:r w:rsidRPr="00012491">
        <w:rPr>
          <w:rFonts w:eastAsia="Times New Roman" w:cstheme="minorHAnsi"/>
          <w:sz w:val="24"/>
          <w:szCs w:val="24"/>
        </w:rPr>
        <w:t>ASC. Year 1 uses an adjusted case count for 2020 to present a conservative projection.</w:t>
      </w:r>
    </w:p>
    <w:p w14:paraId="5EBA3A68" w14:textId="77777777" w:rsidR="00012491" w:rsidRPr="00012491" w:rsidRDefault="00012491" w:rsidP="00012491">
      <w:pPr>
        <w:numPr>
          <w:ilvl w:val="0"/>
          <w:numId w:val="30"/>
        </w:numPr>
        <w:spacing w:after="0" w:line="240" w:lineRule="auto"/>
        <w:rPr>
          <w:rFonts w:eastAsia="Times New Roman" w:cstheme="minorHAnsi"/>
          <w:sz w:val="24"/>
          <w:szCs w:val="24"/>
        </w:rPr>
      </w:pPr>
      <w:r w:rsidRPr="00012491">
        <w:rPr>
          <w:rFonts w:eastAsia="Times New Roman" w:cstheme="minorHAnsi"/>
          <w:sz w:val="24"/>
          <w:szCs w:val="24"/>
        </w:rPr>
        <w:t>For participating total joint arthroplasty surgeons, an estimated 1/3 of their eligible cases will be performed at the ASC by Year 2.</w:t>
      </w:r>
    </w:p>
    <w:p w14:paraId="295F9A33" w14:textId="5AFD88AC" w:rsidR="00012491" w:rsidRPr="00012491" w:rsidRDefault="00012491" w:rsidP="00012491">
      <w:pPr>
        <w:numPr>
          <w:ilvl w:val="0"/>
          <w:numId w:val="30"/>
        </w:numPr>
        <w:spacing w:after="0" w:line="240" w:lineRule="auto"/>
        <w:rPr>
          <w:rFonts w:eastAsia="Times New Roman" w:cstheme="minorHAnsi"/>
          <w:sz w:val="24"/>
          <w:szCs w:val="24"/>
        </w:rPr>
      </w:pPr>
      <w:r w:rsidRPr="00012491">
        <w:rPr>
          <w:rFonts w:eastAsia="Times New Roman" w:cstheme="minorHAnsi"/>
          <w:sz w:val="24"/>
          <w:szCs w:val="24"/>
        </w:rPr>
        <w:t xml:space="preserve">For participating orthopedic surgeons who already perform more than 1/3 of their cases at the Dedham location, the Applicant assumes that volume will remain at the location, </w:t>
      </w:r>
      <w:r w:rsidR="00D337FE">
        <w:rPr>
          <w:rFonts w:eastAsia="Times New Roman" w:cstheme="minorHAnsi"/>
          <w:sz w:val="24"/>
          <w:szCs w:val="24"/>
        </w:rPr>
        <w:t xml:space="preserve">and be slightly </w:t>
      </w:r>
      <w:r w:rsidRPr="00012491">
        <w:rPr>
          <w:rFonts w:eastAsia="Times New Roman" w:cstheme="minorHAnsi"/>
          <w:sz w:val="24"/>
          <w:szCs w:val="24"/>
        </w:rPr>
        <w:t xml:space="preserve">augmented by </w:t>
      </w:r>
      <w:r w:rsidR="00D337FE">
        <w:rPr>
          <w:rFonts w:eastAsia="Times New Roman" w:cstheme="minorHAnsi"/>
          <w:sz w:val="24"/>
          <w:szCs w:val="24"/>
        </w:rPr>
        <w:t xml:space="preserve">moving </w:t>
      </w:r>
      <w:r w:rsidRPr="00012491">
        <w:rPr>
          <w:rFonts w:eastAsia="Times New Roman" w:cstheme="minorHAnsi"/>
          <w:sz w:val="24"/>
          <w:szCs w:val="24"/>
        </w:rPr>
        <w:t>their cases (if any) assumed to be performed at other locations, if HoldCo Physicians choose to do more of their cases at the ASC.</w:t>
      </w:r>
    </w:p>
    <w:p w14:paraId="53AB5804" w14:textId="77777777" w:rsidR="00012491" w:rsidRPr="00012491" w:rsidRDefault="00012491" w:rsidP="00012491">
      <w:pPr>
        <w:numPr>
          <w:ilvl w:val="0"/>
          <w:numId w:val="30"/>
        </w:numPr>
        <w:spacing w:after="0" w:line="240" w:lineRule="auto"/>
        <w:rPr>
          <w:rFonts w:eastAsia="Times New Roman" w:cstheme="minorHAnsi"/>
          <w:sz w:val="24"/>
          <w:szCs w:val="24"/>
        </w:rPr>
      </w:pPr>
      <w:r w:rsidRPr="00012491">
        <w:rPr>
          <w:rFonts w:eastAsia="Times New Roman" w:cstheme="minorHAnsi"/>
          <w:sz w:val="24"/>
          <w:szCs w:val="24"/>
        </w:rPr>
        <w:t>Year 1 includes a ramp up of additional orthopedics and joint arthroplasty cases.</w:t>
      </w:r>
    </w:p>
    <w:p w14:paraId="775B1104" w14:textId="6F5C61D9" w:rsidR="00173C0C" w:rsidRPr="00012491" w:rsidRDefault="00012491" w:rsidP="00012491">
      <w:pPr>
        <w:pStyle w:val="ListParagraph"/>
        <w:numPr>
          <w:ilvl w:val="0"/>
          <w:numId w:val="30"/>
        </w:numPr>
        <w:spacing w:after="0" w:line="240" w:lineRule="auto"/>
        <w:rPr>
          <w:rFonts w:eastAsia="Times New Roman" w:cstheme="minorHAnsi"/>
          <w:sz w:val="24"/>
          <w:szCs w:val="24"/>
        </w:rPr>
      </w:pPr>
      <w:r w:rsidRPr="00012491">
        <w:rPr>
          <w:rFonts w:eastAsia="Times New Roman" w:cstheme="minorHAnsi"/>
          <w:sz w:val="24"/>
          <w:szCs w:val="24"/>
        </w:rPr>
        <w:t>The Applicant conservatively assumes that there is a 2% growth for orthopedics and 4% growth for arthroplasty cases.</w:t>
      </w:r>
    </w:p>
    <w:p w14:paraId="7A1EDFEB" w14:textId="77777777" w:rsidR="007C4C78" w:rsidRPr="00241F83" w:rsidRDefault="007C4C78" w:rsidP="007C4C78">
      <w:pPr>
        <w:spacing w:after="0" w:line="240" w:lineRule="auto"/>
        <w:rPr>
          <w:rFonts w:eastAsia="Times New Roman" w:cstheme="minorHAnsi"/>
          <w:sz w:val="24"/>
          <w:szCs w:val="24"/>
        </w:rPr>
      </w:pPr>
    </w:p>
    <w:p w14:paraId="0D8126CC" w14:textId="0C351C20" w:rsidR="007C4C78" w:rsidRDefault="007C4C78" w:rsidP="007C4C78">
      <w:pPr>
        <w:spacing w:after="0" w:line="240" w:lineRule="auto"/>
        <w:rPr>
          <w:rFonts w:eastAsia="Times New Roman" w:cstheme="minorHAnsi"/>
          <w:b/>
          <w:bCs/>
          <w:i/>
          <w:iCs/>
          <w:color w:val="000000"/>
          <w:sz w:val="24"/>
          <w:szCs w:val="24"/>
        </w:rPr>
      </w:pPr>
      <w:r w:rsidRPr="00241F83">
        <w:rPr>
          <w:rFonts w:eastAsia="Times New Roman" w:cstheme="minorHAnsi"/>
          <w:b/>
          <w:bCs/>
          <w:i/>
          <w:iCs/>
          <w:color w:val="000000"/>
          <w:sz w:val="24"/>
          <w:szCs w:val="24"/>
        </w:rPr>
        <w:t>Analysis</w:t>
      </w:r>
    </w:p>
    <w:p w14:paraId="532D69C2" w14:textId="41B5BAEF" w:rsidR="005E11C7" w:rsidRDefault="007C4C78" w:rsidP="007C4C78">
      <w:pPr>
        <w:spacing w:after="0" w:line="240" w:lineRule="auto"/>
        <w:rPr>
          <w:rFonts w:eastAsia="Times New Roman" w:cstheme="minorHAnsi"/>
          <w:color w:val="000000"/>
          <w:sz w:val="24"/>
          <w:szCs w:val="24"/>
        </w:rPr>
      </w:pPr>
      <w:r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outlined a need for converting the HOPD to an ASC</w:t>
      </w:r>
      <w:r w:rsidR="00CC3A85">
        <w:rPr>
          <w:rFonts w:eastAsia="Times New Roman" w:cstheme="minorHAnsi"/>
          <w:color w:val="000000"/>
          <w:sz w:val="24"/>
          <w:szCs w:val="24"/>
        </w:rPr>
        <w:t xml:space="preserve"> and </w:t>
      </w:r>
      <w:r w:rsidR="00675214">
        <w:rPr>
          <w:rFonts w:eastAsia="Times New Roman" w:cstheme="minorHAnsi"/>
          <w:color w:val="000000"/>
          <w:sz w:val="24"/>
          <w:szCs w:val="24"/>
        </w:rPr>
        <w:t xml:space="preserve">how </w:t>
      </w:r>
      <w:r w:rsidR="00CC3A85">
        <w:rPr>
          <w:rFonts w:eastAsia="Times New Roman" w:cstheme="minorHAnsi"/>
          <w:color w:val="000000"/>
          <w:sz w:val="24"/>
          <w:szCs w:val="24"/>
        </w:rPr>
        <w:t xml:space="preserve">this conversion will improve access to the Patient Panel as well as </w:t>
      </w:r>
      <w:r w:rsidR="00675214">
        <w:rPr>
          <w:rFonts w:eastAsia="Times New Roman" w:cstheme="minorHAnsi"/>
          <w:color w:val="000000"/>
          <w:sz w:val="24"/>
          <w:szCs w:val="24"/>
        </w:rPr>
        <w:t>patients</w:t>
      </w:r>
      <w:r w:rsidR="00CC3A85">
        <w:rPr>
          <w:rFonts w:eastAsia="Times New Roman" w:cstheme="minorHAnsi"/>
          <w:color w:val="000000"/>
          <w:sz w:val="24"/>
          <w:szCs w:val="24"/>
        </w:rPr>
        <w:t xml:space="preserve"> in the region</w:t>
      </w:r>
      <w:r w:rsidR="00700F53">
        <w:rPr>
          <w:rFonts w:eastAsia="Times New Roman" w:cstheme="minorHAnsi"/>
          <w:color w:val="000000"/>
          <w:sz w:val="24"/>
          <w:szCs w:val="24"/>
        </w:rPr>
        <w:t xml:space="preserve"> for both outpatients and inpatients</w:t>
      </w:r>
      <w:r w:rsidRPr="00241F83">
        <w:rPr>
          <w:rFonts w:eastAsia="Times New Roman" w:cstheme="minorHAnsi"/>
          <w:color w:val="000000"/>
          <w:sz w:val="24"/>
          <w:szCs w:val="24"/>
        </w:rPr>
        <w:t xml:space="preserve">. </w:t>
      </w:r>
      <w:r w:rsidR="00904715">
        <w:rPr>
          <w:rFonts w:eastAsia="Times New Roman" w:cstheme="minorHAnsi"/>
          <w:color w:val="000000"/>
          <w:sz w:val="24"/>
          <w:szCs w:val="24"/>
        </w:rPr>
        <w:t>T</w:t>
      </w:r>
      <w:r w:rsidR="00904715" w:rsidRPr="00904715">
        <w:rPr>
          <w:rFonts w:eastAsia="Times New Roman" w:cstheme="minorHAnsi"/>
          <w:color w:val="000000"/>
          <w:sz w:val="24"/>
          <w:szCs w:val="24"/>
        </w:rPr>
        <w:t xml:space="preserve">he Applicant illustrates how </w:t>
      </w:r>
      <w:r w:rsidR="00904715">
        <w:rPr>
          <w:rFonts w:eastAsia="Times New Roman" w:cstheme="minorHAnsi"/>
          <w:color w:val="000000"/>
          <w:sz w:val="24"/>
          <w:szCs w:val="24"/>
        </w:rPr>
        <w:t>i</w:t>
      </w:r>
      <w:r w:rsidR="00CE514E" w:rsidRPr="00241F83">
        <w:rPr>
          <w:rFonts w:eastAsia="Times New Roman" w:cstheme="minorHAnsi"/>
          <w:color w:val="000000"/>
          <w:sz w:val="24"/>
          <w:szCs w:val="24"/>
        </w:rPr>
        <w:t xml:space="preserve">n addition to </w:t>
      </w:r>
      <w:r w:rsidRPr="00241F83">
        <w:rPr>
          <w:rFonts w:eastAsia="Times New Roman" w:cstheme="minorHAnsi"/>
          <w:color w:val="000000"/>
          <w:sz w:val="24"/>
          <w:szCs w:val="24"/>
        </w:rPr>
        <w:t xml:space="preserve">current utilization of services, </w:t>
      </w:r>
      <w:r w:rsidR="005E11C7">
        <w:rPr>
          <w:rFonts w:eastAsia="Times New Roman" w:cstheme="minorHAnsi"/>
          <w:color w:val="000000"/>
          <w:sz w:val="24"/>
          <w:szCs w:val="24"/>
        </w:rPr>
        <w:t xml:space="preserve">the growth of </w:t>
      </w:r>
      <w:r w:rsidRPr="00241F83">
        <w:rPr>
          <w:rFonts w:eastAsia="Times New Roman" w:cstheme="minorHAnsi"/>
          <w:color w:val="000000"/>
          <w:sz w:val="24"/>
          <w:szCs w:val="24"/>
        </w:rPr>
        <w:t xml:space="preserve">the aging population, </w:t>
      </w:r>
      <w:r w:rsidR="0039108A">
        <w:rPr>
          <w:rFonts w:eastAsia="Times New Roman" w:cstheme="minorHAnsi"/>
          <w:color w:val="000000"/>
          <w:sz w:val="24"/>
          <w:szCs w:val="24"/>
        </w:rPr>
        <w:t xml:space="preserve">and </w:t>
      </w:r>
      <w:r w:rsidRPr="00241F83">
        <w:rPr>
          <w:rFonts w:eastAsia="Times New Roman" w:cstheme="minorHAnsi"/>
          <w:color w:val="000000"/>
          <w:sz w:val="24"/>
          <w:szCs w:val="24"/>
        </w:rPr>
        <w:t xml:space="preserve">the </w:t>
      </w:r>
      <w:r w:rsidR="0039108A">
        <w:rPr>
          <w:rFonts w:eastAsia="Times New Roman" w:cstheme="minorHAnsi"/>
          <w:color w:val="000000"/>
          <w:sz w:val="24"/>
          <w:szCs w:val="24"/>
        </w:rPr>
        <w:t xml:space="preserve">shift </w:t>
      </w:r>
      <w:r w:rsidR="005E11C7">
        <w:rPr>
          <w:rFonts w:eastAsia="Times New Roman" w:cstheme="minorHAnsi"/>
          <w:color w:val="000000"/>
          <w:sz w:val="24"/>
          <w:szCs w:val="24"/>
        </w:rPr>
        <w:t>of</w:t>
      </w:r>
      <w:r w:rsidR="0039108A">
        <w:rPr>
          <w:rFonts w:eastAsia="Times New Roman" w:cstheme="minorHAnsi"/>
          <w:color w:val="000000"/>
          <w:sz w:val="24"/>
          <w:szCs w:val="24"/>
        </w:rPr>
        <w:t xml:space="preserve"> a growing number of</w:t>
      </w:r>
      <w:r w:rsidR="005E11C7">
        <w:rPr>
          <w:rFonts w:eastAsia="Times New Roman" w:cstheme="minorHAnsi"/>
          <w:color w:val="000000"/>
          <w:sz w:val="24"/>
          <w:szCs w:val="24"/>
        </w:rPr>
        <w:t xml:space="preserve"> less complex procedures deemed safe for performing in an ASC by payors, </w:t>
      </w:r>
      <w:r w:rsidR="0039108A">
        <w:rPr>
          <w:rFonts w:eastAsia="Times New Roman" w:cstheme="minorHAnsi"/>
          <w:color w:val="000000"/>
          <w:sz w:val="24"/>
          <w:szCs w:val="24"/>
        </w:rPr>
        <w:t xml:space="preserve">is improving </w:t>
      </w:r>
      <w:r w:rsidR="005E11C7">
        <w:rPr>
          <w:rFonts w:eastAsia="Times New Roman" w:cstheme="minorHAnsi"/>
          <w:color w:val="000000"/>
          <w:sz w:val="24"/>
          <w:szCs w:val="24"/>
        </w:rPr>
        <w:t xml:space="preserve">access for patients needing more complex care at the NEBH main hospital. As a result of this analysis, Staff finds the Applicant has addressed the </w:t>
      </w:r>
      <w:r w:rsidR="005E11C7" w:rsidRPr="005E11C7">
        <w:rPr>
          <w:rFonts w:eastAsia="Times New Roman" w:cstheme="minorHAnsi"/>
          <w:i/>
          <w:iCs/>
          <w:color w:val="000000"/>
          <w:sz w:val="24"/>
          <w:szCs w:val="24"/>
        </w:rPr>
        <w:t>Need</w:t>
      </w:r>
      <w:r w:rsidR="005E11C7">
        <w:rPr>
          <w:rFonts w:eastAsia="Times New Roman" w:cstheme="minorHAnsi"/>
          <w:color w:val="000000"/>
          <w:sz w:val="24"/>
          <w:szCs w:val="24"/>
        </w:rPr>
        <w:t xml:space="preserve"> requirements </w:t>
      </w:r>
      <w:r w:rsidR="00675214">
        <w:rPr>
          <w:rFonts w:eastAsia="Times New Roman" w:cstheme="minorHAnsi"/>
          <w:color w:val="000000"/>
          <w:sz w:val="24"/>
          <w:szCs w:val="24"/>
        </w:rPr>
        <w:t xml:space="preserve">of Factor 1 </w:t>
      </w:r>
      <w:r w:rsidR="005E11C7">
        <w:rPr>
          <w:rFonts w:eastAsia="Times New Roman" w:cstheme="minorHAnsi"/>
          <w:color w:val="000000"/>
          <w:sz w:val="24"/>
          <w:szCs w:val="24"/>
        </w:rPr>
        <w:t>for the Proposed Project.</w:t>
      </w:r>
    </w:p>
    <w:p w14:paraId="16011545" w14:textId="77777777" w:rsidR="00700F53" w:rsidRDefault="00700F53" w:rsidP="007C4C78">
      <w:pPr>
        <w:spacing w:after="0" w:line="240" w:lineRule="auto"/>
        <w:rPr>
          <w:rFonts w:eastAsia="Times New Roman" w:cstheme="minorHAnsi"/>
          <w:color w:val="000000"/>
          <w:sz w:val="24"/>
          <w:szCs w:val="24"/>
        </w:rPr>
      </w:pPr>
    </w:p>
    <w:p w14:paraId="37C14390" w14:textId="44F83CCE" w:rsidR="00A43951" w:rsidRDefault="00A43951" w:rsidP="00675214">
      <w:pPr>
        <w:pStyle w:val="Heading1"/>
        <w:spacing w:before="0" w:line="240" w:lineRule="auto"/>
        <w:rPr>
          <w:rFonts w:asciiTheme="minorHAnsi" w:hAnsiTheme="minorHAnsi" w:cstheme="minorHAnsi"/>
        </w:rPr>
      </w:pPr>
      <w:bookmarkStart w:id="36" w:name="_Toc29755680"/>
      <w:bookmarkStart w:id="37" w:name="_Hlk110261459"/>
      <w:bookmarkStart w:id="38" w:name="_Toc115776585"/>
      <w:bookmarkStart w:id="39" w:name="_Toc17151180"/>
      <w:bookmarkStart w:id="40" w:name="_Toc17322392"/>
      <w:bookmarkStart w:id="41" w:name="_Toc18922408"/>
      <w:bookmarkStart w:id="42" w:name="_Toc17322387"/>
      <w:bookmarkStart w:id="43" w:name="_Toc18922403"/>
      <w:r w:rsidRPr="00241F83">
        <w:rPr>
          <w:rFonts w:asciiTheme="minorHAnsi" w:hAnsiTheme="minorHAnsi" w:cstheme="minorHAnsi"/>
        </w:rPr>
        <w:lastRenderedPageBreak/>
        <w:t xml:space="preserve">Factor 1: b) </w:t>
      </w:r>
      <w:r w:rsidR="004954E4" w:rsidRPr="00241F83">
        <w:rPr>
          <w:rFonts w:asciiTheme="minorHAnsi" w:hAnsiTheme="minorHAnsi" w:cstheme="minorHAnsi"/>
        </w:rPr>
        <w:t>P</w:t>
      </w:r>
      <w:r w:rsidRPr="00241F83">
        <w:rPr>
          <w:rFonts w:asciiTheme="minorHAnsi" w:hAnsiTheme="minorHAnsi" w:cstheme="minorHAnsi"/>
        </w:rPr>
        <w:t xml:space="preserve">ublic </w:t>
      </w:r>
      <w:r w:rsidR="00C073C3" w:rsidRPr="00241F83">
        <w:rPr>
          <w:rFonts w:asciiTheme="minorHAnsi" w:hAnsiTheme="minorHAnsi" w:cstheme="minorHAnsi"/>
        </w:rPr>
        <w:t>H</w:t>
      </w:r>
      <w:r w:rsidRPr="00241F83">
        <w:rPr>
          <w:rFonts w:asciiTheme="minorHAnsi" w:hAnsiTheme="minorHAnsi" w:cstheme="minorHAnsi"/>
        </w:rPr>
        <w:t xml:space="preserve">ealth </w:t>
      </w:r>
      <w:r w:rsidR="00C073C3" w:rsidRPr="00241F83">
        <w:rPr>
          <w:rFonts w:asciiTheme="minorHAnsi" w:hAnsiTheme="minorHAnsi" w:cstheme="minorHAnsi"/>
        </w:rPr>
        <w:t>V</w:t>
      </w:r>
      <w:r w:rsidRPr="00241F83">
        <w:rPr>
          <w:rFonts w:asciiTheme="minorHAnsi" w:hAnsiTheme="minorHAnsi" w:cstheme="minorHAnsi"/>
        </w:rPr>
        <w:t>alue</w:t>
      </w:r>
      <w:r w:rsidR="001F1F5F">
        <w:rPr>
          <w:rFonts w:asciiTheme="minorHAnsi" w:hAnsiTheme="minorHAnsi" w:cstheme="minorHAnsi"/>
        </w:rPr>
        <w:t>:</w:t>
      </w:r>
      <w:r w:rsidRPr="00241F83">
        <w:rPr>
          <w:rFonts w:asciiTheme="minorHAnsi" w:hAnsiTheme="minorHAnsi" w:cstheme="minorHAnsi"/>
        </w:rPr>
        <w:t xml:space="preserve"> </w:t>
      </w:r>
      <w:r w:rsidR="00C073C3" w:rsidRPr="00241F83">
        <w:rPr>
          <w:rFonts w:asciiTheme="minorHAnsi" w:hAnsiTheme="minorHAnsi" w:cstheme="minorHAnsi"/>
        </w:rPr>
        <w:t>I</w:t>
      </w:r>
      <w:r w:rsidRPr="00241F83">
        <w:rPr>
          <w:rFonts w:asciiTheme="minorHAnsi" w:hAnsiTheme="minorHAnsi" w:cstheme="minorHAnsi"/>
        </w:rPr>
        <w:t xml:space="preserve">mproved </w:t>
      </w:r>
      <w:r w:rsidR="00C073C3" w:rsidRPr="00241F83">
        <w:rPr>
          <w:rFonts w:asciiTheme="minorHAnsi" w:hAnsiTheme="minorHAnsi" w:cstheme="minorHAnsi"/>
        </w:rPr>
        <w:t>H</w:t>
      </w:r>
      <w:r w:rsidRPr="00241F83">
        <w:rPr>
          <w:rFonts w:asciiTheme="minorHAnsi" w:hAnsiTheme="minorHAnsi" w:cstheme="minorHAnsi"/>
        </w:rPr>
        <w:t xml:space="preserve">ealth </w:t>
      </w:r>
      <w:r w:rsidR="00C073C3" w:rsidRPr="00241F83">
        <w:rPr>
          <w:rFonts w:asciiTheme="minorHAnsi" w:hAnsiTheme="minorHAnsi" w:cstheme="minorHAnsi"/>
        </w:rPr>
        <w:t>O</w:t>
      </w:r>
      <w:r w:rsidRPr="00241F83">
        <w:rPr>
          <w:rFonts w:asciiTheme="minorHAnsi" w:hAnsiTheme="minorHAnsi" w:cstheme="minorHAnsi"/>
        </w:rPr>
        <w:t xml:space="preserve">utcomes and </w:t>
      </w:r>
      <w:r w:rsidR="00C073C3" w:rsidRPr="00241F83">
        <w:rPr>
          <w:rFonts w:asciiTheme="minorHAnsi" w:hAnsiTheme="minorHAnsi" w:cstheme="minorHAnsi"/>
        </w:rPr>
        <w:t>Q</w:t>
      </w:r>
      <w:r w:rsidRPr="00241F83">
        <w:rPr>
          <w:rFonts w:asciiTheme="minorHAnsi" w:hAnsiTheme="minorHAnsi" w:cstheme="minorHAnsi"/>
        </w:rPr>
        <w:t xml:space="preserve">uality of </w:t>
      </w:r>
      <w:r w:rsidR="00C073C3" w:rsidRPr="00241F83">
        <w:rPr>
          <w:rFonts w:asciiTheme="minorHAnsi" w:hAnsiTheme="minorHAnsi" w:cstheme="minorHAnsi"/>
        </w:rPr>
        <w:t>L</w:t>
      </w:r>
      <w:r w:rsidRPr="00241F83">
        <w:rPr>
          <w:rFonts w:asciiTheme="minorHAnsi" w:hAnsiTheme="minorHAnsi" w:cstheme="minorHAnsi"/>
        </w:rPr>
        <w:t xml:space="preserve">ife; </w:t>
      </w:r>
      <w:r w:rsidR="00C073C3" w:rsidRPr="00241F83">
        <w:rPr>
          <w:rFonts w:asciiTheme="minorHAnsi" w:hAnsiTheme="minorHAnsi" w:cstheme="minorHAnsi"/>
        </w:rPr>
        <w:t>A</w:t>
      </w:r>
      <w:r w:rsidRPr="00241F83">
        <w:rPr>
          <w:rFonts w:asciiTheme="minorHAnsi" w:hAnsiTheme="minorHAnsi" w:cstheme="minorHAnsi"/>
        </w:rPr>
        <w:t xml:space="preserve">ssurances of </w:t>
      </w:r>
      <w:r w:rsidR="00C073C3" w:rsidRPr="00241F83">
        <w:rPr>
          <w:rFonts w:asciiTheme="minorHAnsi" w:hAnsiTheme="minorHAnsi" w:cstheme="minorHAnsi"/>
        </w:rPr>
        <w:t>H</w:t>
      </w:r>
      <w:r w:rsidRPr="00241F83">
        <w:rPr>
          <w:rFonts w:asciiTheme="minorHAnsi" w:hAnsiTheme="minorHAnsi" w:cstheme="minorHAnsi"/>
        </w:rPr>
        <w:t xml:space="preserve">ealth </w:t>
      </w:r>
      <w:r w:rsidR="00C073C3" w:rsidRPr="00241F83">
        <w:rPr>
          <w:rFonts w:asciiTheme="minorHAnsi" w:hAnsiTheme="minorHAnsi" w:cstheme="minorHAnsi"/>
        </w:rPr>
        <w:t>E</w:t>
      </w:r>
      <w:r w:rsidRPr="00241F83">
        <w:rPr>
          <w:rFonts w:asciiTheme="minorHAnsi" w:hAnsiTheme="minorHAnsi" w:cstheme="minorHAnsi"/>
        </w:rPr>
        <w:t>quity</w:t>
      </w:r>
      <w:bookmarkEnd w:id="36"/>
      <w:bookmarkEnd w:id="37"/>
      <w:bookmarkEnd w:id="38"/>
    </w:p>
    <w:p w14:paraId="3BB57B98" w14:textId="666B5416" w:rsidR="005A0C1E" w:rsidRPr="00DC4892" w:rsidRDefault="005A0C1E" w:rsidP="00675214">
      <w:pPr>
        <w:autoSpaceDE w:val="0"/>
        <w:autoSpaceDN w:val="0"/>
        <w:adjustRightInd w:val="0"/>
        <w:spacing w:before="240" w:after="0" w:line="240" w:lineRule="auto"/>
        <w:rPr>
          <w:rFonts w:eastAsia="Times New Roman" w:cstheme="minorHAnsi"/>
          <w:color w:val="000000"/>
          <w:sz w:val="24"/>
          <w:szCs w:val="24"/>
        </w:rPr>
      </w:pPr>
      <w:r w:rsidRPr="00DC4892">
        <w:rPr>
          <w:rFonts w:eastAsia="Times New Roman" w:cstheme="minorHAnsi"/>
          <w:sz w:val="24"/>
          <w:szCs w:val="24"/>
        </w:rPr>
        <w:t xml:space="preserve">For this </w:t>
      </w:r>
      <w:r w:rsidR="005E11C7">
        <w:rPr>
          <w:rFonts w:eastAsia="Times New Roman" w:cstheme="minorHAnsi"/>
          <w:sz w:val="24"/>
          <w:szCs w:val="24"/>
        </w:rPr>
        <w:t xml:space="preserve">element of </w:t>
      </w:r>
      <w:r w:rsidRPr="00DC4892">
        <w:rPr>
          <w:rFonts w:eastAsia="Times New Roman" w:cstheme="minorHAnsi"/>
          <w:sz w:val="24"/>
          <w:szCs w:val="24"/>
        </w:rPr>
        <w:t>Factor</w:t>
      </w:r>
      <w:r w:rsidR="005E11C7">
        <w:rPr>
          <w:rFonts w:eastAsia="Times New Roman" w:cstheme="minorHAnsi"/>
          <w:sz w:val="24"/>
          <w:szCs w:val="24"/>
        </w:rPr>
        <w:t xml:space="preserve"> 1</w:t>
      </w:r>
      <w:r w:rsidRPr="00DC4892">
        <w:rPr>
          <w:rFonts w:eastAsia="Times New Roman" w:cstheme="minorHAnsi"/>
          <w:sz w:val="24"/>
          <w:szCs w:val="24"/>
        </w:rPr>
        <w:t xml:space="preserve">, the Applicant must demonstrate that the Proposed Project </w:t>
      </w:r>
      <w:r w:rsidRPr="00DC4892">
        <w:rPr>
          <w:rFonts w:eastAsia="Times New Roman" w:cstheme="minorHAnsi"/>
          <w:color w:val="000000"/>
          <w:sz w:val="24"/>
          <w:szCs w:val="24"/>
        </w:rPr>
        <w:t xml:space="preserve">adds public health value in terms of improved health outcomes and quality of life for the Applicant’s existing Patient Panel, while providing reasonable assurances of health equity. </w:t>
      </w:r>
    </w:p>
    <w:p w14:paraId="7529DB78" w14:textId="77777777" w:rsidR="0039108A" w:rsidRDefault="005A0C1E" w:rsidP="0039108A">
      <w:pPr>
        <w:spacing w:before="240" w:after="0" w:line="240" w:lineRule="auto"/>
        <w:rPr>
          <w:rFonts w:cstheme="minorHAnsi"/>
          <w:b/>
          <w:sz w:val="24"/>
          <w:szCs w:val="24"/>
        </w:rPr>
      </w:pPr>
      <w:r w:rsidRPr="00EF7DE8">
        <w:rPr>
          <w:rFonts w:cstheme="minorHAnsi"/>
          <w:b/>
          <w:sz w:val="24"/>
          <w:szCs w:val="24"/>
        </w:rPr>
        <w:t>Public Health Value- Improved Quality and Outcomes</w:t>
      </w:r>
      <w:bookmarkEnd w:id="39"/>
      <w:bookmarkEnd w:id="40"/>
      <w:bookmarkEnd w:id="41"/>
      <w:bookmarkEnd w:id="42"/>
      <w:bookmarkEnd w:id="43"/>
      <w:r w:rsidR="0051081A" w:rsidRPr="00241F83">
        <w:rPr>
          <w:rFonts w:eastAsia="Times New Roman" w:cstheme="minorHAnsi"/>
          <w:color w:val="000000"/>
          <w:sz w:val="24"/>
          <w:szCs w:val="24"/>
        </w:rPr>
        <w:br/>
      </w:r>
    </w:p>
    <w:p w14:paraId="696F9E40" w14:textId="3D5EB3F0" w:rsidR="00870C8C" w:rsidRPr="0039108A" w:rsidRDefault="001545D8" w:rsidP="0039108A">
      <w:pPr>
        <w:spacing w:before="240" w:line="240" w:lineRule="auto"/>
        <w:rPr>
          <w:rFonts w:cstheme="minorHAnsi"/>
          <w:b/>
          <w:sz w:val="24"/>
          <w:szCs w:val="24"/>
        </w:rPr>
      </w:pPr>
      <w:r>
        <w:rPr>
          <w:rFonts w:cstheme="minorHAnsi"/>
          <w:bCs/>
          <w:sz w:val="24"/>
          <w:szCs w:val="24"/>
        </w:rPr>
        <w:t xml:space="preserve">Public health value can be adversely impacted when access is limited for many reasons including affordability. The Applicant notes that </w:t>
      </w:r>
      <w:r w:rsidRPr="001545D8">
        <w:rPr>
          <w:rFonts w:cstheme="minorHAnsi"/>
          <w:bCs/>
          <w:sz w:val="24"/>
          <w:szCs w:val="24"/>
        </w:rPr>
        <w:t xml:space="preserve">about one in ten adults have delayed or forgone </w:t>
      </w:r>
      <w:r>
        <w:rPr>
          <w:rFonts w:cstheme="minorHAnsi"/>
          <w:bCs/>
          <w:sz w:val="24"/>
          <w:szCs w:val="24"/>
        </w:rPr>
        <w:t>health</w:t>
      </w:r>
      <w:r w:rsidRPr="001545D8">
        <w:rPr>
          <w:rFonts w:cstheme="minorHAnsi"/>
          <w:bCs/>
          <w:sz w:val="24"/>
          <w:szCs w:val="24"/>
        </w:rPr>
        <w:t>care due to cost</w:t>
      </w:r>
      <w:r w:rsidR="00584A26">
        <w:rPr>
          <w:rFonts w:cstheme="minorHAnsi"/>
          <w:bCs/>
          <w:sz w:val="24"/>
          <w:szCs w:val="24"/>
        </w:rPr>
        <w:t>.</w:t>
      </w:r>
      <w:r>
        <w:rPr>
          <w:rFonts w:cstheme="minorHAnsi"/>
          <w:bCs/>
          <w:sz w:val="24"/>
          <w:szCs w:val="24"/>
        </w:rPr>
        <w:t xml:space="preserve"> </w:t>
      </w:r>
      <w:r w:rsidR="00584A26">
        <w:rPr>
          <w:rFonts w:cstheme="minorHAnsi"/>
          <w:bCs/>
          <w:sz w:val="24"/>
          <w:szCs w:val="24"/>
        </w:rPr>
        <w:t>T</w:t>
      </w:r>
      <w:r>
        <w:rPr>
          <w:rFonts w:cstheme="minorHAnsi"/>
          <w:bCs/>
          <w:sz w:val="24"/>
          <w:szCs w:val="24"/>
        </w:rPr>
        <w:t xml:space="preserve">hrough the </w:t>
      </w:r>
      <w:r w:rsidRPr="001545D8">
        <w:rPr>
          <w:rFonts w:cstheme="minorHAnsi"/>
          <w:bCs/>
          <w:sz w:val="24"/>
          <w:szCs w:val="24"/>
        </w:rPr>
        <w:t xml:space="preserve">lower out-of-pocket costs </w:t>
      </w:r>
      <w:r>
        <w:rPr>
          <w:rFonts w:cstheme="minorHAnsi"/>
          <w:bCs/>
          <w:sz w:val="24"/>
          <w:szCs w:val="24"/>
        </w:rPr>
        <w:t xml:space="preserve">generated by the conversion of the existing site to an ASC, </w:t>
      </w:r>
      <w:r w:rsidR="0048167D">
        <w:rPr>
          <w:rFonts w:cstheme="minorHAnsi"/>
          <w:bCs/>
          <w:sz w:val="24"/>
          <w:szCs w:val="24"/>
        </w:rPr>
        <w:t xml:space="preserve">the cost of recommended surgeries becomes more affordable, thereby improving </w:t>
      </w:r>
      <w:r w:rsidRPr="001545D8">
        <w:rPr>
          <w:rFonts w:cstheme="minorHAnsi"/>
          <w:bCs/>
          <w:sz w:val="24"/>
          <w:szCs w:val="24"/>
        </w:rPr>
        <w:t>access</w:t>
      </w:r>
      <w:r>
        <w:rPr>
          <w:rFonts w:cstheme="minorHAnsi"/>
          <w:bCs/>
          <w:sz w:val="24"/>
          <w:szCs w:val="24"/>
        </w:rPr>
        <w:t xml:space="preserve"> </w:t>
      </w:r>
      <w:r w:rsidR="0048167D">
        <w:rPr>
          <w:rFonts w:cstheme="minorHAnsi"/>
          <w:bCs/>
          <w:sz w:val="24"/>
          <w:szCs w:val="24"/>
        </w:rPr>
        <w:t>for those patients in the service area</w:t>
      </w:r>
      <w:r>
        <w:rPr>
          <w:rFonts w:eastAsia="Times New Roman" w:cstheme="minorHAnsi"/>
          <w:color w:val="000000"/>
          <w:sz w:val="24"/>
          <w:szCs w:val="24"/>
        </w:rPr>
        <w:t>.</w:t>
      </w:r>
      <w:r w:rsidR="00870C8C" w:rsidRPr="00241F83">
        <w:rPr>
          <w:rFonts w:eastAsia="Times New Roman" w:cstheme="minorHAnsi"/>
          <w:color w:val="000000"/>
          <w:sz w:val="24"/>
          <w:szCs w:val="24"/>
        </w:rPr>
        <w:t xml:space="preserve"> </w:t>
      </w:r>
      <w:r w:rsidR="0048167D">
        <w:rPr>
          <w:rFonts w:eastAsia="Times New Roman" w:cstheme="minorHAnsi"/>
          <w:color w:val="000000"/>
          <w:sz w:val="24"/>
          <w:szCs w:val="24"/>
        </w:rPr>
        <w:t>T</w:t>
      </w:r>
      <w:r w:rsidR="005D1092">
        <w:rPr>
          <w:rFonts w:eastAsia="Times New Roman" w:cstheme="minorHAnsi"/>
          <w:color w:val="000000"/>
          <w:sz w:val="24"/>
          <w:szCs w:val="24"/>
        </w:rPr>
        <w:t xml:space="preserve">hrough </w:t>
      </w:r>
      <w:r w:rsidR="00B30D95">
        <w:rPr>
          <w:rFonts w:eastAsia="Times New Roman" w:cstheme="minorHAnsi"/>
          <w:color w:val="000000"/>
          <w:sz w:val="24"/>
          <w:szCs w:val="24"/>
        </w:rPr>
        <w:t xml:space="preserve">reducing delays for lack of resources, and </w:t>
      </w:r>
      <w:r w:rsidR="00953D21" w:rsidRPr="00241F83">
        <w:rPr>
          <w:rFonts w:eastAsia="Times New Roman" w:cstheme="minorHAnsi"/>
          <w:color w:val="000000"/>
          <w:sz w:val="24"/>
          <w:szCs w:val="24"/>
        </w:rPr>
        <w:t>addressing</w:t>
      </w:r>
      <w:r w:rsidR="00870C8C" w:rsidRPr="00241F83">
        <w:rPr>
          <w:rFonts w:eastAsia="Times New Roman" w:cstheme="minorHAnsi"/>
          <w:color w:val="000000"/>
          <w:sz w:val="24"/>
          <w:szCs w:val="24"/>
        </w:rPr>
        <w:t xml:space="preserve"> patients’ orthopedic needs</w:t>
      </w:r>
      <w:r w:rsidR="005D1092">
        <w:rPr>
          <w:rFonts w:eastAsia="Times New Roman" w:cstheme="minorHAnsi"/>
          <w:color w:val="000000"/>
          <w:sz w:val="24"/>
          <w:szCs w:val="24"/>
        </w:rPr>
        <w:t>, outcomes and quality of life may be improved</w:t>
      </w:r>
      <w:r w:rsidR="00B30D95">
        <w:rPr>
          <w:rFonts w:eastAsia="Times New Roman" w:cstheme="minorHAnsi"/>
          <w:color w:val="000000"/>
          <w:sz w:val="24"/>
          <w:szCs w:val="24"/>
        </w:rPr>
        <w:t xml:space="preserve">. </w:t>
      </w:r>
    </w:p>
    <w:p w14:paraId="7A16F55B" w14:textId="7AD966FA" w:rsidR="00870C8C" w:rsidRPr="00241F83" w:rsidRDefault="00870C8C" w:rsidP="0051081A">
      <w:pPr>
        <w:spacing w:after="0" w:line="240" w:lineRule="auto"/>
        <w:rPr>
          <w:rFonts w:eastAsia="Times New Roman" w:cstheme="minorHAnsi"/>
          <w:sz w:val="28"/>
          <w:szCs w:val="28"/>
        </w:rPr>
      </w:pPr>
      <w:r w:rsidRPr="00241F83">
        <w:rPr>
          <w:rFonts w:eastAsia="Times New Roman" w:cstheme="minorHAnsi"/>
          <w:color w:val="000000"/>
          <w:sz w:val="24"/>
          <w:szCs w:val="24"/>
        </w:rPr>
        <w:t xml:space="preserve">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proposes to track the impact of the project using the following metrics:</w:t>
      </w:r>
      <w:r w:rsidR="00700FFD">
        <w:rPr>
          <w:rStyle w:val="FootnoteReference"/>
          <w:rFonts w:eastAsia="Times New Roman" w:cstheme="minorHAnsi"/>
          <w:color w:val="000000"/>
          <w:sz w:val="24"/>
          <w:szCs w:val="24"/>
        </w:rPr>
        <w:footnoteReference w:id="11"/>
      </w:r>
    </w:p>
    <w:p w14:paraId="5DCFAAC7" w14:textId="40469387" w:rsidR="00870C8C" w:rsidRPr="00241F83" w:rsidRDefault="00870C8C" w:rsidP="0059478F">
      <w:pPr>
        <w:spacing w:after="0" w:line="240" w:lineRule="auto"/>
        <w:ind w:firstLine="720"/>
        <w:rPr>
          <w:rFonts w:eastAsia="Times New Roman" w:cstheme="minorHAnsi"/>
          <w:sz w:val="28"/>
          <w:szCs w:val="28"/>
        </w:rPr>
      </w:pPr>
      <w:r w:rsidRPr="00241F83">
        <w:rPr>
          <w:rFonts w:eastAsia="Times New Roman" w:cstheme="minorHAnsi"/>
          <w:color w:val="000000"/>
          <w:sz w:val="24"/>
          <w:szCs w:val="24"/>
        </w:rPr>
        <w:t xml:space="preserve">1) Patient satisfaction (measured on a </w:t>
      </w:r>
      <w:r w:rsidR="00506EBD">
        <w:rPr>
          <w:rFonts w:eastAsia="Times New Roman" w:cstheme="minorHAnsi"/>
          <w:color w:val="000000"/>
          <w:sz w:val="24"/>
          <w:szCs w:val="24"/>
        </w:rPr>
        <w:t>0</w:t>
      </w:r>
      <w:r w:rsidRPr="00241F83">
        <w:rPr>
          <w:rFonts w:eastAsia="Times New Roman" w:cstheme="minorHAnsi"/>
          <w:color w:val="000000"/>
          <w:sz w:val="24"/>
          <w:szCs w:val="24"/>
        </w:rPr>
        <w:t>-10 scale) </w:t>
      </w:r>
    </w:p>
    <w:p w14:paraId="02D784EA" w14:textId="302EAE78" w:rsidR="00870C8C" w:rsidRPr="00241F83" w:rsidRDefault="00870C8C" w:rsidP="0059478F">
      <w:pPr>
        <w:spacing w:after="0" w:line="240" w:lineRule="auto"/>
        <w:ind w:left="720"/>
        <w:rPr>
          <w:rFonts w:eastAsia="Times New Roman" w:cstheme="minorHAnsi"/>
          <w:sz w:val="28"/>
          <w:szCs w:val="28"/>
        </w:rPr>
      </w:pPr>
      <w:r w:rsidRPr="00241F83">
        <w:rPr>
          <w:rFonts w:eastAsia="Times New Roman" w:cstheme="minorHAnsi"/>
          <w:color w:val="000000"/>
          <w:sz w:val="24"/>
          <w:szCs w:val="24"/>
        </w:rPr>
        <w:t xml:space="preserve">2) Surgical site </w:t>
      </w:r>
      <w:r w:rsidR="00D8623A" w:rsidRPr="00241F83">
        <w:rPr>
          <w:rFonts w:eastAsia="Times New Roman" w:cstheme="minorHAnsi"/>
          <w:color w:val="000000"/>
          <w:sz w:val="24"/>
          <w:szCs w:val="24"/>
        </w:rPr>
        <w:t>i</w:t>
      </w:r>
      <w:r w:rsidRPr="00241F83">
        <w:rPr>
          <w:rFonts w:eastAsia="Times New Roman" w:cstheme="minorHAnsi"/>
          <w:color w:val="000000"/>
          <w:sz w:val="24"/>
          <w:szCs w:val="24"/>
        </w:rPr>
        <w:t>nfection (the number of patients who develop a surgical-site infection within 30 days of surgery or within 90 days of surgery for arthroplasty implant procedures) </w:t>
      </w:r>
    </w:p>
    <w:p w14:paraId="2112B8B6" w14:textId="694517E0" w:rsidR="00870C8C" w:rsidRPr="00241F83" w:rsidRDefault="00870C8C" w:rsidP="0059478F">
      <w:pPr>
        <w:spacing w:after="0" w:line="240" w:lineRule="auto"/>
        <w:ind w:left="720"/>
        <w:rPr>
          <w:rFonts w:eastAsia="Times New Roman" w:cstheme="minorHAnsi"/>
          <w:sz w:val="28"/>
          <w:szCs w:val="28"/>
        </w:rPr>
      </w:pPr>
      <w:r w:rsidRPr="00241F83">
        <w:rPr>
          <w:rFonts w:eastAsia="Times New Roman" w:cstheme="minorHAnsi"/>
          <w:color w:val="000000"/>
          <w:sz w:val="24"/>
          <w:szCs w:val="24"/>
        </w:rPr>
        <w:t xml:space="preserve">3) Fall prevention (the number of patients who report a fall at home within 24 hours </w:t>
      </w:r>
      <w:r w:rsidR="0059478F" w:rsidRPr="00241F83">
        <w:rPr>
          <w:rFonts w:eastAsia="Times New Roman" w:cstheme="minorHAnsi"/>
          <w:color w:val="000000"/>
          <w:sz w:val="24"/>
          <w:szCs w:val="24"/>
        </w:rPr>
        <w:t>of</w:t>
      </w:r>
      <w:r w:rsidRPr="00241F83">
        <w:rPr>
          <w:rFonts w:eastAsia="Times New Roman" w:cstheme="minorHAnsi"/>
          <w:color w:val="000000"/>
          <w:sz w:val="24"/>
          <w:szCs w:val="24"/>
        </w:rPr>
        <w:t xml:space="preserve"> surgery)</w:t>
      </w:r>
    </w:p>
    <w:p w14:paraId="7B1246E8" w14:textId="77777777" w:rsidR="00870C8C" w:rsidRPr="00241F83" w:rsidRDefault="00870C8C" w:rsidP="00870C8C">
      <w:pPr>
        <w:spacing w:after="0" w:line="240" w:lineRule="auto"/>
        <w:rPr>
          <w:rFonts w:eastAsia="Times New Roman" w:cstheme="minorHAnsi"/>
          <w:sz w:val="28"/>
          <w:szCs w:val="28"/>
        </w:rPr>
      </w:pPr>
    </w:p>
    <w:p w14:paraId="1E95ADB6" w14:textId="06051F5C" w:rsidR="00094249" w:rsidRPr="0039108A" w:rsidRDefault="005D1092" w:rsidP="0051081A">
      <w:pPr>
        <w:spacing w:after="0" w:line="240" w:lineRule="auto"/>
        <w:rPr>
          <w:rFonts w:eastAsia="Times New Roman" w:cstheme="minorHAnsi"/>
          <w:b/>
          <w:bCs/>
          <w:i/>
          <w:iCs/>
          <w:color w:val="000000"/>
          <w:sz w:val="24"/>
          <w:szCs w:val="24"/>
        </w:rPr>
      </w:pPr>
      <w:r w:rsidRPr="0039108A">
        <w:rPr>
          <w:rFonts w:eastAsia="Times New Roman" w:cstheme="minorHAnsi"/>
          <w:b/>
          <w:bCs/>
          <w:i/>
          <w:iCs/>
          <w:color w:val="000000"/>
          <w:sz w:val="24"/>
          <w:szCs w:val="24"/>
        </w:rPr>
        <w:t>Analysis</w:t>
      </w:r>
    </w:p>
    <w:p w14:paraId="661FF304" w14:textId="37E7B07F" w:rsidR="00094249" w:rsidRDefault="0051493E" w:rsidP="00094249">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There is an extensive body of research supporting </w:t>
      </w:r>
      <w:r w:rsidR="00094249">
        <w:rPr>
          <w:rFonts w:eastAsia="Times New Roman" w:cstheme="minorHAnsi"/>
          <w:color w:val="000000"/>
          <w:sz w:val="24"/>
          <w:szCs w:val="24"/>
        </w:rPr>
        <w:t xml:space="preserve">the public health value of ASCs </w:t>
      </w:r>
      <w:r>
        <w:rPr>
          <w:rFonts w:eastAsia="Times New Roman" w:cstheme="minorHAnsi"/>
          <w:color w:val="000000"/>
          <w:sz w:val="24"/>
          <w:szCs w:val="24"/>
        </w:rPr>
        <w:t>that staff notes including the following.</w:t>
      </w:r>
    </w:p>
    <w:p w14:paraId="4E6AD3C6" w14:textId="77777777" w:rsidR="0051493E" w:rsidRDefault="0051493E" w:rsidP="00094249">
      <w:pPr>
        <w:spacing w:after="0" w:line="240" w:lineRule="auto"/>
        <w:rPr>
          <w:rFonts w:eastAsia="Times New Roman" w:cstheme="minorHAnsi"/>
          <w:color w:val="000000"/>
          <w:sz w:val="24"/>
          <w:szCs w:val="24"/>
        </w:rPr>
      </w:pPr>
    </w:p>
    <w:p w14:paraId="63F7EC23" w14:textId="03E707C3" w:rsidR="00094249" w:rsidRPr="00BA1CF3" w:rsidRDefault="005D1092" w:rsidP="00BA1CF3">
      <w:pPr>
        <w:pStyle w:val="ListParagraph"/>
        <w:numPr>
          <w:ilvl w:val="0"/>
          <w:numId w:val="33"/>
        </w:numPr>
        <w:spacing w:after="0" w:line="240" w:lineRule="auto"/>
        <w:rPr>
          <w:rFonts w:eastAsia="Times New Roman" w:cstheme="minorHAnsi"/>
          <w:color w:val="000000"/>
          <w:sz w:val="24"/>
          <w:szCs w:val="24"/>
          <w:vertAlign w:val="superscript"/>
        </w:rPr>
      </w:pPr>
      <w:r w:rsidRPr="00BA1CF3">
        <w:rPr>
          <w:rFonts w:eastAsia="Times New Roman" w:cstheme="minorHAnsi"/>
          <w:b/>
          <w:color w:val="000000"/>
          <w:sz w:val="24"/>
          <w:szCs w:val="24"/>
        </w:rPr>
        <w:t>Increasing access to high-quality surgical services.</w:t>
      </w:r>
      <w:r w:rsidRPr="00BA1CF3">
        <w:rPr>
          <w:rFonts w:eastAsia="Times New Roman" w:cstheme="minorHAnsi"/>
          <w:bCs/>
          <w:color w:val="000000"/>
          <w:sz w:val="24"/>
          <w:szCs w:val="24"/>
        </w:rPr>
        <w:t xml:space="preserve"> </w:t>
      </w:r>
      <w:r w:rsidRPr="00BA1CF3">
        <w:rPr>
          <w:rFonts w:eastAsia="Times New Roman" w:cstheme="minorHAnsi"/>
          <w:color w:val="000000"/>
          <w:sz w:val="24"/>
          <w:szCs w:val="24"/>
        </w:rPr>
        <w:t>Surgical procedures performed in ASCs are associated with reduced mortality, morbidity, and hospital admission rates as compared to outpatient surgery performed in the hospital setting, and patients experience shorter surgery and recovery times; these benefits appear to extend to vulnerable (highest-risk Medicare) patients.</w:t>
      </w:r>
      <w:r w:rsidR="005D3C0C" w:rsidRPr="005D3C0C">
        <w:rPr>
          <w:rFonts w:cstheme="minorHAnsi"/>
          <w:bCs/>
          <w:sz w:val="24"/>
          <w:szCs w:val="24"/>
          <w:vertAlign w:val="superscript"/>
        </w:rPr>
        <w:t xml:space="preserve"> </w:t>
      </w:r>
      <w:r w:rsidR="005D3C0C" w:rsidRPr="005D3C0C">
        <w:rPr>
          <w:rFonts w:eastAsia="Times New Roman" w:cstheme="minorHAnsi"/>
          <w:bCs/>
          <w:color w:val="000000"/>
          <w:sz w:val="24"/>
          <w:szCs w:val="24"/>
          <w:vertAlign w:val="superscript"/>
        </w:rPr>
        <w:endnoteReference w:id="10"/>
      </w:r>
      <w:r w:rsidR="005D3C0C" w:rsidRPr="005D3C0C">
        <w:rPr>
          <w:rFonts w:eastAsia="Times New Roman" w:cstheme="minorHAnsi"/>
          <w:color w:val="000000"/>
          <w:sz w:val="24"/>
          <w:szCs w:val="24"/>
          <w:vertAlign w:val="superscript"/>
        </w:rPr>
        <w:t xml:space="preserve">, </w:t>
      </w:r>
      <w:r w:rsidR="005D3C0C" w:rsidRPr="005D3C0C">
        <w:rPr>
          <w:rFonts w:eastAsia="Times New Roman" w:cstheme="minorHAnsi"/>
          <w:color w:val="000000"/>
          <w:sz w:val="24"/>
          <w:szCs w:val="24"/>
          <w:vertAlign w:val="superscript"/>
        </w:rPr>
        <w:endnoteReference w:id="11"/>
      </w:r>
      <w:r w:rsidR="005D3C0C" w:rsidRPr="005D3C0C">
        <w:rPr>
          <w:rFonts w:eastAsia="Times New Roman" w:cstheme="minorHAnsi"/>
          <w:color w:val="000000"/>
          <w:sz w:val="24"/>
          <w:szCs w:val="24"/>
          <w:vertAlign w:val="superscript"/>
        </w:rPr>
        <w:t xml:space="preserve">, </w:t>
      </w:r>
      <w:r w:rsidR="005D3C0C" w:rsidRPr="005D3C0C">
        <w:rPr>
          <w:rFonts w:eastAsia="Times New Roman" w:cstheme="minorHAnsi"/>
          <w:color w:val="000000"/>
          <w:sz w:val="24"/>
          <w:szCs w:val="24"/>
          <w:vertAlign w:val="superscript"/>
        </w:rPr>
        <w:endnoteReference w:id="12"/>
      </w:r>
      <w:r w:rsidR="005D3C0C" w:rsidRPr="005D3C0C">
        <w:rPr>
          <w:rFonts w:eastAsia="Times New Roman" w:cstheme="minorHAnsi"/>
          <w:color w:val="000000"/>
          <w:sz w:val="24"/>
          <w:szCs w:val="24"/>
          <w:vertAlign w:val="superscript"/>
        </w:rPr>
        <w:t xml:space="preserve"> </w:t>
      </w:r>
    </w:p>
    <w:p w14:paraId="26D8E98A" w14:textId="77777777" w:rsidR="0051493E" w:rsidRDefault="0051493E" w:rsidP="00094249">
      <w:pPr>
        <w:spacing w:after="0" w:line="240" w:lineRule="auto"/>
        <w:rPr>
          <w:rFonts w:eastAsia="Times New Roman" w:cstheme="minorHAnsi"/>
          <w:color w:val="000000"/>
          <w:sz w:val="24"/>
          <w:szCs w:val="24"/>
          <w:vertAlign w:val="superscript"/>
        </w:rPr>
      </w:pPr>
    </w:p>
    <w:p w14:paraId="302B4A26" w14:textId="573080F2" w:rsidR="00BA1CF3" w:rsidRPr="00BA1CF3" w:rsidRDefault="005D1092" w:rsidP="00680DE6">
      <w:pPr>
        <w:numPr>
          <w:ilvl w:val="0"/>
          <w:numId w:val="34"/>
        </w:numPr>
        <w:spacing w:after="0" w:line="240" w:lineRule="auto"/>
        <w:rPr>
          <w:rFonts w:eastAsia="Times New Roman" w:cstheme="minorHAnsi"/>
          <w:b/>
          <w:bCs/>
          <w:color w:val="000000"/>
          <w:sz w:val="24"/>
          <w:szCs w:val="24"/>
        </w:rPr>
      </w:pPr>
      <w:r w:rsidRPr="005D1092">
        <w:rPr>
          <w:rFonts w:eastAsia="Times New Roman" w:cstheme="minorHAnsi"/>
          <w:b/>
          <w:bCs/>
          <w:color w:val="000000"/>
          <w:sz w:val="24"/>
          <w:szCs w:val="24"/>
        </w:rPr>
        <w:t xml:space="preserve">Contributing to improved health outcomes. </w:t>
      </w:r>
      <w:r w:rsidR="00BA1CF3" w:rsidRPr="0068093B">
        <w:rPr>
          <w:rFonts w:eastAsia="Times New Roman" w:cstheme="minorHAnsi"/>
          <w:iCs/>
          <w:color w:val="000000"/>
          <w:sz w:val="24"/>
          <w:szCs w:val="24"/>
        </w:rPr>
        <w:t>Advances in medical devices and pharmaceuticals have contributed to reduced recovery times, which also enable the migration of surgical procedures from inpatient to outpatient care. As a result of these advances, it is now possible for patients who previously spent days in the hospital recovering from a surgical procedure to be discharged the same day as their surgery.</w:t>
      </w:r>
      <w:r w:rsidR="00BA1CF3" w:rsidRPr="0068093B">
        <w:rPr>
          <w:rFonts w:eastAsia="Times New Roman" w:cstheme="minorHAnsi"/>
          <w:iCs/>
          <w:color w:val="000000"/>
          <w:sz w:val="24"/>
          <w:szCs w:val="24"/>
          <w:vertAlign w:val="superscript"/>
        </w:rPr>
        <w:endnoteReference w:id="13"/>
      </w:r>
      <w:r w:rsidR="00BA1CF3" w:rsidRPr="0068093B">
        <w:rPr>
          <w:rFonts w:eastAsia="Times New Roman" w:cstheme="minorHAnsi"/>
          <w:iCs/>
          <w:color w:val="000000"/>
          <w:sz w:val="24"/>
          <w:szCs w:val="24"/>
        </w:rPr>
        <w:t xml:space="preserve"> </w:t>
      </w:r>
    </w:p>
    <w:p w14:paraId="25485B70" w14:textId="5A043073" w:rsidR="005D1092" w:rsidRDefault="00AA6081" w:rsidP="00BA1CF3">
      <w:pPr>
        <w:spacing w:after="0" w:line="240" w:lineRule="auto"/>
        <w:ind w:left="720"/>
        <w:rPr>
          <w:rFonts w:eastAsia="Times New Roman" w:cstheme="minorHAnsi"/>
          <w:color w:val="000000"/>
          <w:sz w:val="24"/>
          <w:szCs w:val="24"/>
        </w:rPr>
      </w:pPr>
      <w:r>
        <w:rPr>
          <w:rFonts w:eastAsia="Times New Roman" w:cstheme="minorHAnsi"/>
          <w:color w:val="000000"/>
          <w:sz w:val="24"/>
          <w:szCs w:val="24"/>
        </w:rPr>
        <w:t>H</w:t>
      </w:r>
      <w:r w:rsidR="005D1092" w:rsidRPr="005D1092">
        <w:rPr>
          <w:rFonts w:eastAsia="Times New Roman" w:cstheme="minorHAnsi"/>
          <w:color w:val="000000"/>
          <w:sz w:val="24"/>
          <w:szCs w:val="24"/>
        </w:rPr>
        <w:t>and</w:t>
      </w:r>
      <w:r>
        <w:rPr>
          <w:rFonts w:eastAsia="Times New Roman" w:cstheme="minorHAnsi"/>
          <w:color w:val="000000"/>
          <w:sz w:val="24"/>
          <w:szCs w:val="24"/>
        </w:rPr>
        <w:t>,</w:t>
      </w:r>
      <w:r w:rsidR="005D1092" w:rsidRPr="005D1092">
        <w:rPr>
          <w:rFonts w:eastAsia="Times New Roman" w:cstheme="minorHAnsi"/>
          <w:color w:val="000000"/>
          <w:sz w:val="24"/>
          <w:szCs w:val="24"/>
        </w:rPr>
        <w:t xml:space="preserve"> wrist</w:t>
      </w:r>
      <w:r w:rsidR="0048167D">
        <w:rPr>
          <w:rFonts w:eastAsia="Times New Roman" w:cstheme="minorHAnsi"/>
          <w:color w:val="000000"/>
          <w:sz w:val="24"/>
          <w:szCs w:val="24"/>
        </w:rPr>
        <w:t>,</w:t>
      </w:r>
      <w:r>
        <w:rPr>
          <w:rFonts w:eastAsia="Times New Roman" w:cstheme="minorHAnsi"/>
          <w:color w:val="000000"/>
          <w:sz w:val="24"/>
          <w:szCs w:val="24"/>
        </w:rPr>
        <w:t xml:space="preserve"> knee and shoulder</w:t>
      </w:r>
      <w:r w:rsidR="005D1092" w:rsidRPr="005D1092">
        <w:rPr>
          <w:rFonts w:eastAsia="Times New Roman" w:cstheme="minorHAnsi"/>
          <w:color w:val="000000"/>
          <w:sz w:val="24"/>
          <w:szCs w:val="24"/>
        </w:rPr>
        <w:t xml:space="preserve"> surgeries performed at ASCs </w:t>
      </w:r>
      <w:r w:rsidR="0048167D">
        <w:rPr>
          <w:rFonts w:eastAsia="Times New Roman" w:cstheme="minorHAnsi"/>
          <w:color w:val="000000"/>
          <w:sz w:val="24"/>
          <w:szCs w:val="24"/>
        </w:rPr>
        <w:t>are</w:t>
      </w:r>
      <w:r w:rsidR="005D1092" w:rsidRPr="005D1092">
        <w:rPr>
          <w:rFonts w:eastAsia="Times New Roman" w:cstheme="minorHAnsi"/>
          <w:color w:val="000000"/>
          <w:sz w:val="24"/>
          <w:szCs w:val="24"/>
        </w:rPr>
        <w:t xml:space="preserve"> safe, cost-effective, and result in high quality outcomes</w:t>
      </w:r>
      <w:r w:rsidR="005D3C0C">
        <w:rPr>
          <w:rFonts w:eastAsia="Times New Roman" w:cstheme="minorHAnsi"/>
          <w:color w:val="000000"/>
          <w:sz w:val="24"/>
          <w:szCs w:val="24"/>
        </w:rPr>
        <w:t xml:space="preserve">. </w:t>
      </w:r>
      <w:r w:rsidR="005D3C0C" w:rsidRPr="005D3C0C">
        <w:rPr>
          <w:rFonts w:eastAsia="Times New Roman" w:cstheme="minorHAnsi"/>
          <w:color w:val="000000"/>
          <w:sz w:val="24"/>
          <w:szCs w:val="24"/>
          <w:vertAlign w:val="superscript"/>
        </w:rPr>
        <w:endnoteReference w:id="14"/>
      </w:r>
      <w:r w:rsidR="005D3C0C" w:rsidRPr="005D3C0C">
        <w:rPr>
          <w:rFonts w:eastAsia="Times New Roman" w:cstheme="minorHAnsi"/>
          <w:color w:val="000000"/>
          <w:sz w:val="24"/>
          <w:szCs w:val="24"/>
          <w:vertAlign w:val="superscript"/>
        </w:rPr>
        <w:t xml:space="preserve">, </w:t>
      </w:r>
      <w:r w:rsidR="005D3C0C" w:rsidRPr="005D3C0C">
        <w:rPr>
          <w:rFonts w:eastAsia="Times New Roman" w:cstheme="minorHAnsi"/>
          <w:color w:val="000000"/>
          <w:sz w:val="24"/>
          <w:szCs w:val="24"/>
          <w:vertAlign w:val="superscript"/>
        </w:rPr>
        <w:endnoteReference w:id="15"/>
      </w:r>
      <w:r>
        <w:rPr>
          <w:rFonts w:eastAsia="Times New Roman" w:cstheme="minorHAnsi"/>
          <w:color w:val="000000"/>
          <w:sz w:val="24"/>
          <w:szCs w:val="24"/>
          <w:vertAlign w:val="superscript"/>
        </w:rPr>
        <w:t>,</w:t>
      </w:r>
      <w:r w:rsidR="005D1092" w:rsidRPr="005D1092">
        <w:rPr>
          <w:rFonts w:eastAsia="Times New Roman" w:cstheme="minorHAnsi"/>
          <w:color w:val="000000"/>
          <w:sz w:val="24"/>
          <w:szCs w:val="24"/>
        </w:rPr>
        <w:t xml:space="preserve"> </w:t>
      </w:r>
      <w:r>
        <w:rPr>
          <w:rStyle w:val="EndnoteReference"/>
          <w:rFonts w:eastAsia="Times New Roman" w:cstheme="minorHAnsi"/>
          <w:color w:val="000000"/>
          <w:sz w:val="24"/>
          <w:szCs w:val="24"/>
        </w:rPr>
        <w:endnoteReference w:id="16"/>
      </w:r>
    </w:p>
    <w:p w14:paraId="6B5C6286" w14:textId="77777777" w:rsidR="0051493E" w:rsidRPr="005D1092" w:rsidRDefault="0051493E" w:rsidP="00094249">
      <w:pPr>
        <w:spacing w:after="0" w:line="240" w:lineRule="auto"/>
        <w:rPr>
          <w:rFonts w:eastAsia="Times New Roman" w:cstheme="minorHAnsi"/>
          <w:color w:val="000000"/>
          <w:sz w:val="24"/>
          <w:szCs w:val="24"/>
        </w:rPr>
      </w:pPr>
    </w:p>
    <w:p w14:paraId="07AC5842" w14:textId="1E75A5EE" w:rsidR="005D1092" w:rsidRPr="0048167D" w:rsidRDefault="005D1092" w:rsidP="0048167D">
      <w:pPr>
        <w:pStyle w:val="ListParagraph"/>
        <w:numPr>
          <w:ilvl w:val="0"/>
          <w:numId w:val="34"/>
        </w:numPr>
        <w:spacing w:after="0" w:line="240" w:lineRule="auto"/>
        <w:rPr>
          <w:rFonts w:eastAsia="Times New Roman" w:cstheme="minorHAnsi"/>
          <w:color w:val="000000"/>
          <w:sz w:val="24"/>
          <w:szCs w:val="24"/>
        </w:rPr>
      </w:pPr>
      <w:r w:rsidRPr="0048167D">
        <w:rPr>
          <w:rFonts w:eastAsia="Times New Roman" w:cstheme="minorHAnsi"/>
          <w:b/>
          <w:color w:val="000000"/>
          <w:sz w:val="24"/>
          <w:szCs w:val="24"/>
        </w:rPr>
        <w:lastRenderedPageBreak/>
        <w:t xml:space="preserve">Improved patient experience. </w:t>
      </w:r>
      <w:r w:rsidRPr="0048167D">
        <w:rPr>
          <w:rFonts w:eastAsia="Times New Roman" w:cstheme="minorHAnsi"/>
          <w:color w:val="000000"/>
          <w:sz w:val="24"/>
          <w:szCs w:val="24"/>
        </w:rPr>
        <w:t>Provision of care in the ASC setting is associated with enhanced convenience and satisfaction for patients resulting from convenient locations that are closer to patients home, locations that are easier to navigate than hospital structures</w:t>
      </w:r>
      <w:r w:rsidR="0048167D" w:rsidRPr="0048167D">
        <w:rPr>
          <w:rFonts w:eastAsia="Times New Roman" w:cstheme="minorHAnsi"/>
          <w:color w:val="000000"/>
          <w:sz w:val="24"/>
          <w:szCs w:val="24"/>
        </w:rPr>
        <w:t xml:space="preserve">; they have </w:t>
      </w:r>
      <w:r w:rsidRPr="0048167D">
        <w:rPr>
          <w:rFonts w:eastAsia="Times New Roman" w:cstheme="minorHAnsi"/>
          <w:color w:val="000000"/>
          <w:sz w:val="24"/>
          <w:szCs w:val="24"/>
        </w:rPr>
        <w:t>easier scheduling of procedures, shorter wait times, improved accessibility to physicians, and high-quality care.</w:t>
      </w:r>
      <w:r w:rsidR="005D3C0C" w:rsidRPr="005D3C0C">
        <w:rPr>
          <w:rFonts w:cstheme="minorHAnsi"/>
          <w:bCs/>
          <w:sz w:val="24"/>
          <w:szCs w:val="24"/>
          <w:vertAlign w:val="superscript"/>
        </w:rPr>
        <w:t xml:space="preserve"> </w:t>
      </w:r>
      <w:r w:rsidR="005D3C0C" w:rsidRPr="005D3C0C">
        <w:rPr>
          <w:rFonts w:eastAsia="Times New Roman" w:cstheme="minorHAnsi"/>
          <w:bCs/>
          <w:color w:val="000000"/>
          <w:sz w:val="24"/>
          <w:szCs w:val="24"/>
          <w:vertAlign w:val="superscript"/>
        </w:rPr>
        <w:endnoteReference w:id="17"/>
      </w:r>
      <w:r w:rsidR="005D3C0C" w:rsidRPr="005D3C0C">
        <w:rPr>
          <w:rFonts w:eastAsia="Times New Roman" w:cstheme="minorHAnsi"/>
          <w:color w:val="000000"/>
          <w:sz w:val="24"/>
          <w:szCs w:val="24"/>
          <w:vertAlign w:val="superscript"/>
        </w:rPr>
        <w:t xml:space="preserve">, </w:t>
      </w:r>
      <w:r w:rsidR="005D3C0C" w:rsidRPr="005D3C0C">
        <w:rPr>
          <w:rFonts w:eastAsia="Times New Roman" w:cstheme="minorHAnsi"/>
          <w:bCs/>
          <w:color w:val="000000"/>
          <w:sz w:val="24"/>
          <w:szCs w:val="24"/>
          <w:vertAlign w:val="superscript"/>
        </w:rPr>
        <w:endnoteReference w:id="18"/>
      </w:r>
      <w:r w:rsidR="005D3C0C" w:rsidRPr="005D3C0C">
        <w:rPr>
          <w:rFonts w:eastAsia="Times New Roman" w:cstheme="minorHAnsi"/>
          <w:color w:val="000000"/>
          <w:sz w:val="24"/>
          <w:szCs w:val="24"/>
          <w:vertAlign w:val="superscript"/>
        </w:rPr>
        <w:t xml:space="preserve">, </w:t>
      </w:r>
      <w:r w:rsidR="005D3C0C" w:rsidRPr="005D3C0C">
        <w:rPr>
          <w:rFonts w:eastAsia="Times New Roman" w:cstheme="minorHAnsi"/>
          <w:bCs/>
          <w:color w:val="000000"/>
          <w:sz w:val="24"/>
          <w:szCs w:val="24"/>
          <w:vertAlign w:val="superscript"/>
        </w:rPr>
        <w:endnoteReference w:id="19"/>
      </w:r>
      <w:r w:rsidRPr="0048167D">
        <w:rPr>
          <w:rFonts w:eastAsia="Times New Roman" w:cstheme="minorHAnsi"/>
          <w:color w:val="000000"/>
          <w:sz w:val="24"/>
          <w:szCs w:val="24"/>
        </w:rPr>
        <w:t xml:space="preserve"> These qualities may be particularly relevant for patients age 65 and over, who find the freestanding ASC experience less complicated and easier to access. Delays </w:t>
      </w:r>
      <w:r w:rsidR="00094249" w:rsidRPr="0048167D">
        <w:rPr>
          <w:rFonts w:eastAsia="Times New Roman" w:cstheme="minorHAnsi"/>
          <w:color w:val="000000"/>
          <w:sz w:val="24"/>
          <w:szCs w:val="24"/>
        </w:rPr>
        <w:t xml:space="preserve">that </w:t>
      </w:r>
      <w:r w:rsidRPr="0048167D">
        <w:rPr>
          <w:rFonts w:eastAsia="Times New Roman" w:cstheme="minorHAnsi"/>
          <w:color w:val="000000"/>
          <w:sz w:val="24"/>
          <w:szCs w:val="24"/>
        </w:rPr>
        <w:t xml:space="preserve">can occur in the hospital setting when acute cases take precedence over elective procedures can lead to unnecessary expenses, anxiety and compromise plans for the care </w:t>
      </w:r>
      <w:r w:rsidR="00094249" w:rsidRPr="0048167D">
        <w:rPr>
          <w:rFonts w:eastAsia="Times New Roman" w:cstheme="minorHAnsi"/>
          <w:color w:val="000000"/>
          <w:sz w:val="24"/>
          <w:szCs w:val="24"/>
        </w:rPr>
        <w:t>for</w:t>
      </w:r>
      <w:r w:rsidRPr="0048167D">
        <w:rPr>
          <w:rFonts w:eastAsia="Times New Roman" w:cstheme="minorHAnsi"/>
          <w:color w:val="000000"/>
          <w:sz w:val="24"/>
          <w:szCs w:val="24"/>
        </w:rPr>
        <w:t xml:space="preserve"> patients upon discharge </w:t>
      </w:r>
      <w:r w:rsidR="00094249" w:rsidRPr="0048167D">
        <w:rPr>
          <w:rFonts w:eastAsia="Times New Roman" w:cstheme="minorHAnsi"/>
          <w:color w:val="000000"/>
          <w:sz w:val="24"/>
          <w:szCs w:val="24"/>
        </w:rPr>
        <w:t xml:space="preserve">thereby diminishing the </w:t>
      </w:r>
      <w:r w:rsidRPr="0048167D">
        <w:rPr>
          <w:rFonts w:eastAsia="Times New Roman" w:cstheme="minorHAnsi"/>
          <w:color w:val="000000"/>
          <w:sz w:val="24"/>
          <w:szCs w:val="24"/>
        </w:rPr>
        <w:t>patient-centered experience.</w:t>
      </w:r>
    </w:p>
    <w:p w14:paraId="380626D0" w14:textId="77777777" w:rsidR="005D1092" w:rsidRDefault="005D1092" w:rsidP="0051081A">
      <w:pPr>
        <w:spacing w:after="0" w:line="240" w:lineRule="auto"/>
        <w:rPr>
          <w:rFonts w:eastAsia="Times New Roman" w:cstheme="minorHAnsi"/>
          <w:b/>
          <w:bCs/>
          <w:color w:val="000000"/>
          <w:sz w:val="24"/>
          <w:szCs w:val="24"/>
        </w:rPr>
      </w:pPr>
    </w:p>
    <w:p w14:paraId="47A926F1" w14:textId="6E19B8DA" w:rsidR="00B76D1A" w:rsidRDefault="005A0C1E" w:rsidP="0051081A">
      <w:pPr>
        <w:spacing w:after="0" w:line="240" w:lineRule="auto"/>
        <w:rPr>
          <w:rFonts w:eastAsia="Times New Roman" w:cstheme="minorHAnsi"/>
          <w:color w:val="000000"/>
          <w:sz w:val="24"/>
          <w:szCs w:val="24"/>
        </w:rPr>
      </w:pPr>
      <w:r>
        <w:rPr>
          <w:rFonts w:eastAsia="Times New Roman" w:cstheme="minorHAnsi"/>
          <w:b/>
          <w:bCs/>
          <w:color w:val="000000"/>
          <w:sz w:val="24"/>
          <w:szCs w:val="24"/>
        </w:rPr>
        <w:t xml:space="preserve">Public Health Value: </w:t>
      </w:r>
      <w:r w:rsidR="00870C8C" w:rsidRPr="00241F83">
        <w:rPr>
          <w:rFonts w:eastAsia="Times New Roman" w:cstheme="minorHAnsi"/>
          <w:b/>
          <w:bCs/>
          <w:color w:val="000000"/>
          <w:sz w:val="24"/>
          <w:szCs w:val="24"/>
        </w:rPr>
        <w:t xml:space="preserve">Health </w:t>
      </w:r>
      <w:r w:rsidR="00417B5B" w:rsidRPr="00241F83">
        <w:rPr>
          <w:rFonts w:eastAsia="Times New Roman" w:cstheme="minorHAnsi"/>
          <w:b/>
          <w:bCs/>
          <w:color w:val="000000"/>
          <w:sz w:val="24"/>
          <w:szCs w:val="24"/>
        </w:rPr>
        <w:t>E</w:t>
      </w:r>
      <w:r w:rsidR="00870C8C" w:rsidRPr="00241F83">
        <w:rPr>
          <w:rFonts w:eastAsia="Times New Roman" w:cstheme="minorHAnsi"/>
          <w:b/>
          <w:bCs/>
          <w:color w:val="000000"/>
          <w:sz w:val="24"/>
          <w:szCs w:val="24"/>
        </w:rPr>
        <w:t>quity</w:t>
      </w:r>
      <w:r w:rsidR="00870C8C" w:rsidRPr="00241F83">
        <w:rPr>
          <w:rFonts w:eastAsia="Times New Roman" w:cstheme="minorHAnsi"/>
          <w:color w:val="000000"/>
          <w:sz w:val="24"/>
          <w:szCs w:val="24"/>
        </w:rPr>
        <w:t xml:space="preserve"> </w:t>
      </w:r>
    </w:p>
    <w:p w14:paraId="421E3FF6" w14:textId="77777777" w:rsidR="00B76D1A" w:rsidRDefault="00B76D1A" w:rsidP="0051081A">
      <w:pPr>
        <w:spacing w:after="0" w:line="240" w:lineRule="auto"/>
        <w:rPr>
          <w:rFonts w:eastAsia="Times New Roman" w:cstheme="minorHAnsi"/>
          <w:color w:val="000000"/>
          <w:sz w:val="24"/>
          <w:szCs w:val="24"/>
        </w:rPr>
      </w:pPr>
    </w:p>
    <w:p w14:paraId="6761EB91" w14:textId="77777777" w:rsidR="00B76D1A" w:rsidRDefault="00B76D1A" w:rsidP="00B76D1A">
      <w:pPr>
        <w:spacing w:after="0" w:line="240" w:lineRule="auto"/>
        <w:rPr>
          <w:rFonts w:eastAsia="Times New Roman" w:cstheme="minorHAnsi"/>
          <w:color w:val="000000"/>
          <w:sz w:val="24"/>
          <w:szCs w:val="24"/>
        </w:rPr>
      </w:pPr>
      <w:r w:rsidRPr="00B76D1A">
        <w:rPr>
          <w:rFonts w:eastAsia="Times New Roman" w:cstheme="minorHAnsi"/>
          <w:color w:val="000000"/>
          <w:sz w:val="24"/>
          <w:szCs w:val="24"/>
        </w:rPr>
        <w:t xml:space="preserve">The Applicant </w:t>
      </w:r>
      <w:r>
        <w:rPr>
          <w:rFonts w:eastAsia="Times New Roman" w:cstheme="minorHAnsi"/>
          <w:color w:val="000000"/>
          <w:sz w:val="24"/>
          <w:szCs w:val="24"/>
        </w:rPr>
        <w:t>asserts its</w:t>
      </w:r>
      <w:r w:rsidRPr="00B76D1A">
        <w:rPr>
          <w:rFonts w:eastAsia="Times New Roman" w:cstheme="minorHAnsi"/>
          <w:color w:val="000000"/>
          <w:sz w:val="24"/>
          <w:szCs w:val="24"/>
        </w:rPr>
        <w:t xml:space="preserve"> commit</w:t>
      </w:r>
      <w:r>
        <w:rPr>
          <w:rFonts w:eastAsia="Times New Roman" w:cstheme="minorHAnsi"/>
          <w:color w:val="000000"/>
          <w:sz w:val="24"/>
          <w:szCs w:val="24"/>
        </w:rPr>
        <w:t>ment</w:t>
      </w:r>
      <w:r w:rsidRPr="00B76D1A">
        <w:rPr>
          <w:rFonts w:eastAsia="Times New Roman" w:cstheme="minorHAnsi"/>
          <w:color w:val="000000"/>
          <w:sz w:val="24"/>
          <w:szCs w:val="24"/>
        </w:rPr>
        <w:t xml:space="preserve"> to promoting health equity and ensuring equal access to high quality care in several ways.</w:t>
      </w:r>
    </w:p>
    <w:p w14:paraId="6650665F" w14:textId="77777777" w:rsidR="00B76D1A" w:rsidRDefault="00B76D1A" w:rsidP="00B76D1A">
      <w:pPr>
        <w:spacing w:after="0" w:line="240" w:lineRule="auto"/>
        <w:rPr>
          <w:rFonts w:eastAsia="Times New Roman" w:cstheme="minorHAnsi"/>
          <w:color w:val="000000"/>
          <w:sz w:val="24"/>
          <w:szCs w:val="24"/>
        </w:rPr>
      </w:pPr>
    </w:p>
    <w:p w14:paraId="0C08B58B" w14:textId="77777777" w:rsidR="007038CA" w:rsidRPr="0016698A" w:rsidRDefault="007038CA" w:rsidP="007038CA">
      <w:pPr>
        <w:pStyle w:val="ListParagraph"/>
        <w:numPr>
          <w:ilvl w:val="0"/>
          <w:numId w:val="22"/>
        </w:numPr>
        <w:spacing w:after="0" w:line="240" w:lineRule="auto"/>
        <w:rPr>
          <w:rFonts w:eastAsia="Times New Roman" w:cstheme="minorHAnsi"/>
          <w:color w:val="000000"/>
          <w:sz w:val="24"/>
          <w:szCs w:val="24"/>
        </w:rPr>
      </w:pPr>
      <w:r>
        <w:rPr>
          <w:rFonts w:eastAsia="Times New Roman" w:cstheme="minorHAnsi"/>
          <w:color w:val="000000"/>
          <w:sz w:val="24"/>
          <w:szCs w:val="24"/>
        </w:rPr>
        <w:t>T</w:t>
      </w:r>
      <w:r w:rsidRPr="0016698A">
        <w:rPr>
          <w:rFonts w:eastAsia="Times New Roman" w:cstheme="minorHAnsi"/>
          <w:color w:val="000000"/>
          <w:sz w:val="24"/>
          <w:szCs w:val="24"/>
        </w:rPr>
        <w:t xml:space="preserve">he Applicant shares the same commitment to diversity, equity, and inclusion as NEBH and BILH. </w:t>
      </w:r>
      <w:r>
        <w:rPr>
          <w:rFonts w:eastAsia="Times New Roman" w:cstheme="minorHAnsi"/>
          <w:color w:val="000000"/>
          <w:sz w:val="24"/>
          <w:szCs w:val="24"/>
        </w:rPr>
        <w:t>T</w:t>
      </w:r>
      <w:r w:rsidRPr="0016698A">
        <w:rPr>
          <w:rFonts w:eastAsia="Times New Roman" w:cstheme="minorHAnsi"/>
          <w:color w:val="000000"/>
          <w:sz w:val="24"/>
          <w:szCs w:val="24"/>
        </w:rPr>
        <w:t xml:space="preserve">he Proposed Project will not discriminate based on gender, race, religion, sexual orientation, </w:t>
      </w:r>
      <w:r>
        <w:rPr>
          <w:rFonts w:eastAsia="Times New Roman" w:cstheme="minorHAnsi"/>
          <w:color w:val="000000"/>
          <w:sz w:val="24"/>
          <w:szCs w:val="24"/>
        </w:rPr>
        <w:t xml:space="preserve">or </w:t>
      </w:r>
      <w:r w:rsidRPr="0016698A">
        <w:rPr>
          <w:rFonts w:eastAsia="Times New Roman" w:cstheme="minorHAnsi"/>
          <w:color w:val="000000"/>
          <w:sz w:val="24"/>
          <w:szCs w:val="24"/>
        </w:rPr>
        <w:t>disability status or any other status protected by law.</w:t>
      </w:r>
    </w:p>
    <w:p w14:paraId="0ACF6D51" w14:textId="49614200" w:rsidR="007038CA" w:rsidRDefault="007038CA" w:rsidP="00B76D1A">
      <w:pPr>
        <w:pStyle w:val="ListParagraph"/>
        <w:numPr>
          <w:ilvl w:val="0"/>
          <w:numId w:val="22"/>
        </w:numPr>
        <w:spacing w:after="0" w:line="240" w:lineRule="auto"/>
        <w:rPr>
          <w:rFonts w:eastAsia="Times New Roman" w:cstheme="minorHAnsi"/>
          <w:color w:val="000000"/>
          <w:sz w:val="24"/>
          <w:szCs w:val="24"/>
        </w:rPr>
      </w:pPr>
      <w:r>
        <w:rPr>
          <w:rFonts w:eastAsia="Times New Roman" w:cstheme="minorHAnsi"/>
          <w:color w:val="000000"/>
          <w:sz w:val="24"/>
          <w:szCs w:val="24"/>
        </w:rPr>
        <w:t xml:space="preserve">NEBSC </w:t>
      </w:r>
      <w:r w:rsidR="00B76D1A" w:rsidRPr="007038CA">
        <w:rPr>
          <w:rFonts w:eastAsia="Times New Roman" w:cstheme="minorHAnsi"/>
          <w:color w:val="000000"/>
          <w:sz w:val="24"/>
          <w:szCs w:val="24"/>
        </w:rPr>
        <w:t xml:space="preserve">will not engage in discrimination based on a patient’s </w:t>
      </w:r>
      <w:r>
        <w:rPr>
          <w:rFonts w:eastAsia="Times New Roman" w:cstheme="minorHAnsi"/>
          <w:color w:val="000000"/>
          <w:sz w:val="24"/>
          <w:szCs w:val="24"/>
        </w:rPr>
        <w:t xml:space="preserve">insurer or </w:t>
      </w:r>
      <w:r w:rsidR="00B76D1A" w:rsidRPr="007038CA">
        <w:rPr>
          <w:rFonts w:eastAsia="Times New Roman" w:cstheme="minorHAnsi"/>
          <w:color w:val="000000"/>
          <w:sz w:val="24"/>
          <w:szCs w:val="24"/>
        </w:rPr>
        <w:t xml:space="preserve">ability to pay for services, </w:t>
      </w:r>
      <w:r>
        <w:rPr>
          <w:rFonts w:eastAsia="Times New Roman" w:cstheme="minorHAnsi"/>
          <w:color w:val="000000"/>
          <w:sz w:val="24"/>
          <w:szCs w:val="24"/>
        </w:rPr>
        <w:t>and</w:t>
      </w:r>
      <w:r w:rsidR="00B76D1A" w:rsidRPr="007038CA">
        <w:rPr>
          <w:rFonts w:eastAsia="Times New Roman" w:cstheme="minorHAnsi"/>
          <w:color w:val="000000"/>
          <w:sz w:val="24"/>
          <w:szCs w:val="24"/>
        </w:rPr>
        <w:t xml:space="preserve"> </w:t>
      </w:r>
    </w:p>
    <w:p w14:paraId="37CDE4E5" w14:textId="268DB4E5" w:rsidR="007038CA" w:rsidRDefault="007038CA" w:rsidP="00B76D1A">
      <w:pPr>
        <w:pStyle w:val="ListParagraph"/>
        <w:numPr>
          <w:ilvl w:val="0"/>
          <w:numId w:val="22"/>
        </w:numPr>
        <w:spacing w:after="0" w:line="240" w:lineRule="auto"/>
        <w:rPr>
          <w:rFonts w:eastAsia="Times New Roman" w:cstheme="minorHAnsi"/>
          <w:color w:val="000000"/>
          <w:sz w:val="24"/>
          <w:szCs w:val="24"/>
        </w:rPr>
      </w:pPr>
      <w:r>
        <w:rPr>
          <w:rFonts w:eastAsia="Times New Roman" w:cstheme="minorHAnsi"/>
          <w:color w:val="000000"/>
          <w:sz w:val="24"/>
          <w:szCs w:val="24"/>
        </w:rPr>
        <w:t>A</w:t>
      </w:r>
      <w:r w:rsidRPr="007038CA">
        <w:rPr>
          <w:rFonts w:eastAsia="Times New Roman" w:cstheme="minorHAnsi"/>
          <w:color w:val="000000"/>
          <w:sz w:val="24"/>
          <w:szCs w:val="24"/>
        </w:rPr>
        <w:t>t the Proposed Project</w:t>
      </w:r>
      <w:r>
        <w:rPr>
          <w:rFonts w:eastAsia="Times New Roman" w:cstheme="minorHAnsi"/>
          <w:color w:val="000000"/>
          <w:sz w:val="24"/>
          <w:szCs w:val="24"/>
        </w:rPr>
        <w:t xml:space="preserve">, </w:t>
      </w:r>
      <w:r w:rsidR="00B76D1A" w:rsidRPr="007038CA">
        <w:rPr>
          <w:rFonts w:eastAsia="Times New Roman" w:cstheme="minorHAnsi"/>
          <w:color w:val="000000"/>
          <w:sz w:val="24"/>
          <w:szCs w:val="24"/>
        </w:rPr>
        <w:t>the Applicant will implement a financial assistance policy, modeled after NEBH’s existing p</w:t>
      </w:r>
      <w:r>
        <w:rPr>
          <w:rFonts w:eastAsia="Times New Roman" w:cstheme="minorHAnsi"/>
          <w:color w:val="000000"/>
          <w:sz w:val="24"/>
          <w:szCs w:val="24"/>
        </w:rPr>
        <w:t>o</w:t>
      </w:r>
      <w:r w:rsidR="00B76D1A" w:rsidRPr="007038CA">
        <w:rPr>
          <w:rFonts w:eastAsia="Times New Roman" w:cstheme="minorHAnsi"/>
          <w:color w:val="000000"/>
          <w:sz w:val="24"/>
          <w:szCs w:val="24"/>
        </w:rPr>
        <w:t>licy. This policy will offer patients assistance with applying for</w:t>
      </w:r>
      <w:r>
        <w:rPr>
          <w:rFonts w:eastAsia="Times New Roman" w:cstheme="minorHAnsi"/>
          <w:color w:val="000000"/>
          <w:sz w:val="24"/>
          <w:szCs w:val="24"/>
        </w:rPr>
        <w:t xml:space="preserve"> </w:t>
      </w:r>
      <w:r w:rsidR="00B76D1A" w:rsidRPr="007038CA">
        <w:rPr>
          <w:rFonts w:eastAsia="Times New Roman" w:cstheme="minorHAnsi"/>
          <w:color w:val="000000"/>
          <w:sz w:val="24"/>
          <w:szCs w:val="24"/>
        </w:rPr>
        <w:t>financial assistance programs</w:t>
      </w:r>
      <w:r>
        <w:rPr>
          <w:rFonts w:eastAsia="Times New Roman" w:cstheme="minorHAnsi"/>
          <w:color w:val="000000"/>
          <w:sz w:val="24"/>
          <w:szCs w:val="24"/>
        </w:rPr>
        <w:t xml:space="preserve"> including </w:t>
      </w:r>
      <w:r w:rsidRPr="007038CA">
        <w:rPr>
          <w:rFonts w:eastAsia="Times New Roman" w:cstheme="minorHAnsi"/>
          <w:color w:val="000000"/>
          <w:sz w:val="24"/>
          <w:szCs w:val="24"/>
        </w:rPr>
        <w:t xml:space="preserve">public assistance programs </w:t>
      </w:r>
      <w:r w:rsidR="00B76D1A" w:rsidRPr="007038CA">
        <w:rPr>
          <w:rFonts w:eastAsia="Times New Roman" w:cstheme="minorHAnsi"/>
          <w:color w:val="000000"/>
          <w:sz w:val="24"/>
          <w:szCs w:val="24"/>
        </w:rPr>
        <w:t xml:space="preserve">that may cover some or all of their medical bills. </w:t>
      </w:r>
    </w:p>
    <w:p w14:paraId="74B8B821" w14:textId="01C5ECBD" w:rsidR="007038CA" w:rsidRPr="007038CA" w:rsidRDefault="00B30D95" w:rsidP="007038CA">
      <w:pPr>
        <w:pStyle w:val="ListParagraph"/>
        <w:numPr>
          <w:ilvl w:val="0"/>
          <w:numId w:val="22"/>
        </w:numPr>
        <w:spacing w:after="0" w:line="240" w:lineRule="auto"/>
        <w:rPr>
          <w:rFonts w:eastAsia="Times New Roman" w:cstheme="minorHAnsi"/>
          <w:color w:val="000000"/>
          <w:sz w:val="24"/>
          <w:szCs w:val="24"/>
        </w:rPr>
      </w:pPr>
      <w:r>
        <w:rPr>
          <w:rFonts w:eastAsia="Times New Roman" w:cstheme="minorHAnsi"/>
          <w:color w:val="000000"/>
          <w:sz w:val="24"/>
          <w:szCs w:val="24"/>
        </w:rPr>
        <w:t>T</w:t>
      </w:r>
      <w:r w:rsidR="007038CA" w:rsidRPr="007038CA">
        <w:rPr>
          <w:rFonts w:eastAsia="Times New Roman" w:cstheme="minorHAnsi"/>
          <w:color w:val="000000"/>
          <w:sz w:val="24"/>
          <w:szCs w:val="24"/>
        </w:rPr>
        <w:t>he Proposed Project will provide language access through the same language line and interpreter services that are currently being used at NEBH. Cross Cultural Communication Systems currently provides NEBH with 24/7 access for language interpreter services – with the most commonly requested languages being Spanish, Russian, Portuguese, Italian and Greek.</w:t>
      </w:r>
    </w:p>
    <w:p w14:paraId="289FE7A5" w14:textId="262C59A7" w:rsidR="00B76D1A" w:rsidRPr="007038CA" w:rsidRDefault="00B30D95" w:rsidP="007038CA">
      <w:pPr>
        <w:pStyle w:val="ListParagraph"/>
        <w:numPr>
          <w:ilvl w:val="0"/>
          <w:numId w:val="22"/>
        </w:numPr>
        <w:spacing w:after="0" w:line="240" w:lineRule="auto"/>
        <w:rPr>
          <w:rFonts w:eastAsia="Times New Roman" w:cstheme="minorHAnsi"/>
          <w:color w:val="000000"/>
          <w:sz w:val="24"/>
          <w:szCs w:val="24"/>
        </w:rPr>
      </w:pPr>
      <w:r>
        <w:rPr>
          <w:rFonts w:eastAsia="Times New Roman" w:cstheme="minorHAnsi"/>
          <w:color w:val="000000"/>
          <w:sz w:val="24"/>
          <w:szCs w:val="24"/>
        </w:rPr>
        <w:t>P</w:t>
      </w:r>
      <w:r w:rsidR="00B76D1A" w:rsidRPr="007038CA">
        <w:rPr>
          <w:rFonts w:eastAsia="Times New Roman" w:cstheme="minorHAnsi"/>
          <w:color w:val="000000"/>
          <w:sz w:val="24"/>
          <w:szCs w:val="24"/>
        </w:rPr>
        <w:t>ractitioners operating at the ASC will undergo the same annual cultural competency training as at NEBH. Every employee and licensed independent practitioner at NEBH is required to complete this learning management system training, which focuses on cultural and religious sensitivity, diversity, equity, and inclusion.</w:t>
      </w:r>
    </w:p>
    <w:p w14:paraId="1DC16738" w14:textId="77777777" w:rsidR="00B76D1A" w:rsidRDefault="00B76D1A" w:rsidP="0051081A">
      <w:pPr>
        <w:spacing w:after="0" w:line="240" w:lineRule="auto"/>
        <w:rPr>
          <w:rFonts w:eastAsia="Times New Roman" w:cstheme="minorHAnsi"/>
          <w:color w:val="000000"/>
          <w:sz w:val="24"/>
          <w:szCs w:val="24"/>
        </w:rPr>
      </w:pPr>
    </w:p>
    <w:p w14:paraId="540E282E" w14:textId="0A43319C" w:rsidR="00BA1D92" w:rsidRPr="00241F83" w:rsidRDefault="00BA1D92" w:rsidP="001978B0">
      <w:pPr>
        <w:spacing w:after="0" w:line="240" w:lineRule="auto"/>
        <w:rPr>
          <w:rFonts w:cstheme="minorHAnsi"/>
          <w:b/>
          <w:sz w:val="24"/>
          <w:szCs w:val="24"/>
        </w:rPr>
      </w:pPr>
      <w:bookmarkStart w:id="44" w:name="_Toc17149377"/>
      <w:bookmarkStart w:id="45" w:name="_Toc17151181"/>
    </w:p>
    <w:p w14:paraId="748556CF" w14:textId="332DD21E" w:rsidR="0068093B" w:rsidRPr="005D3C0C" w:rsidRDefault="00645369" w:rsidP="0051081A">
      <w:pPr>
        <w:spacing w:after="0" w:line="240" w:lineRule="auto"/>
        <w:contextualSpacing/>
        <w:rPr>
          <w:rFonts w:cstheme="minorHAnsi"/>
          <w:b/>
          <w:i/>
          <w:sz w:val="24"/>
          <w:szCs w:val="24"/>
        </w:rPr>
      </w:pPr>
      <w:r w:rsidRPr="00241F83">
        <w:rPr>
          <w:rFonts w:cstheme="minorHAnsi"/>
          <w:b/>
          <w:i/>
          <w:sz w:val="24"/>
          <w:szCs w:val="24"/>
        </w:rPr>
        <w:t>Analysis</w:t>
      </w:r>
      <w:r w:rsidR="00BA1D92" w:rsidRPr="00241F83">
        <w:rPr>
          <w:rFonts w:cstheme="minorHAnsi"/>
          <w:b/>
          <w:i/>
          <w:sz w:val="24"/>
          <w:szCs w:val="24"/>
        </w:rPr>
        <w:t xml:space="preserve"> </w:t>
      </w:r>
    </w:p>
    <w:p w14:paraId="79530F1E" w14:textId="2E2EC78B" w:rsidR="00BA1D92" w:rsidRPr="00241F83" w:rsidRDefault="006E470C" w:rsidP="0051081A">
      <w:pPr>
        <w:spacing w:after="0" w:line="240" w:lineRule="auto"/>
        <w:rPr>
          <w:rFonts w:cstheme="minorHAnsi"/>
          <w:bCs/>
          <w:iCs/>
          <w:sz w:val="24"/>
          <w:szCs w:val="24"/>
        </w:rPr>
      </w:pPr>
      <w:r w:rsidRPr="00241F83">
        <w:rPr>
          <w:rFonts w:cstheme="minorHAnsi"/>
          <w:bCs/>
          <w:iCs/>
          <w:sz w:val="24"/>
          <w:szCs w:val="24"/>
        </w:rPr>
        <w:t xml:space="preserve">Access to </w:t>
      </w:r>
      <w:r w:rsidR="00D8623A" w:rsidRPr="00241F83">
        <w:rPr>
          <w:rFonts w:cstheme="minorHAnsi"/>
          <w:bCs/>
          <w:iCs/>
          <w:sz w:val="24"/>
          <w:szCs w:val="24"/>
        </w:rPr>
        <w:t xml:space="preserve">affordable </w:t>
      </w:r>
      <w:r w:rsidRPr="00241F83">
        <w:rPr>
          <w:rFonts w:cstheme="minorHAnsi"/>
          <w:bCs/>
          <w:iCs/>
          <w:sz w:val="24"/>
          <w:szCs w:val="24"/>
        </w:rPr>
        <w:t>health</w:t>
      </w:r>
      <w:r w:rsidR="00D8623A" w:rsidRPr="00241F83">
        <w:rPr>
          <w:rFonts w:cstheme="minorHAnsi"/>
          <w:bCs/>
          <w:iCs/>
          <w:sz w:val="24"/>
          <w:szCs w:val="24"/>
        </w:rPr>
        <w:t xml:space="preserve"> services</w:t>
      </w:r>
      <w:r w:rsidRPr="00241F83">
        <w:rPr>
          <w:rFonts w:cstheme="minorHAnsi"/>
          <w:bCs/>
          <w:iCs/>
          <w:sz w:val="24"/>
          <w:szCs w:val="24"/>
        </w:rPr>
        <w:t xml:space="preserve"> is associated with improved outcomes and can reduce the need for additional care.</w:t>
      </w:r>
      <w:r w:rsidRPr="00241F83">
        <w:rPr>
          <w:rStyle w:val="EndnoteReference"/>
          <w:rFonts w:cstheme="minorHAnsi"/>
          <w:bCs/>
          <w:iCs/>
          <w:sz w:val="24"/>
          <w:szCs w:val="24"/>
        </w:rPr>
        <w:endnoteReference w:id="20"/>
      </w:r>
      <w:r w:rsidRPr="00241F83">
        <w:rPr>
          <w:rFonts w:cstheme="minorHAnsi"/>
          <w:bCs/>
          <w:iCs/>
          <w:sz w:val="24"/>
          <w:szCs w:val="24"/>
          <w:vertAlign w:val="superscript"/>
        </w:rPr>
        <w:t>,</w:t>
      </w:r>
      <w:r w:rsidR="005D3C0C">
        <w:rPr>
          <w:rFonts w:cstheme="minorHAnsi"/>
          <w:bCs/>
          <w:iCs/>
          <w:sz w:val="24"/>
          <w:szCs w:val="24"/>
          <w:vertAlign w:val="superscript"/>
        </w:rPr>
        <w:t xml:space="preserve"> </w:t>
      </w:r>
      <w:r w:rsidRPr="00241F83">
        <w:rPr>
          <w:rStyle w:val="EndnoteReference"/>
          <w:rFonts w:cstheme="minorHAnsi"/>
          <w:bCs/>
          <w:iCs/>
          <w:sz w:val="24"/>
          <w:szCs w:val="24"/>
        </w:rPr>
        <w:endnoteReference w:id="21"/>
      </w:r>
      <w:r w:rsidRPr="00241F83">
        <w:rPr>
          <w:rFonts w:cstheme="minorHAnsi"/>
          <w:bCs/>
          <w:iCs/>
          <w:sz w:val="24"/>
          <w:szCs w:val="24"/>
        </w:rPr>
        <w:t xml:space="preserve"> </w:t>
      </w:r>
      <w:bookmarkStart w:id="46" w:name="_Hlk55729461"/>
      <w:r w:rsidR="00E074C8" w:rsidRPr="00241F83">
        <w:rPr>
          <w:rFonts w:cstheme="minorHAnsi"/>
          <w:bCs/>
          <w:iCs/>
          <w:sz w:val="24"/>
          <w:szCs w:val="24"/>
        </w:rPr>
        <w:t xml:space="preserve">Additionally, </w:t>
      </w:r>
      <w:r w:rsidR="0059478F" w:rsidRPr="00241F83">
        <w:rPr>
          <w:rFonts w:cstheme="minorHAnsi"/>
          <w:bCs/>
          <w:sz w:val="24"/>
          <w:szCs w:val="24"/>
        </w:rPr>
        <w:t xml:space="preserve">the literature suggests </w:t>
      </w:r>
      <w:r w:rsidR="00FC7AA0" w:rsidRPr="00241F83">
        <w:rPr>
          <w:rFonts w:cstheme="minorHAnsi"/>
          <w:bCs/>
          <w:sz w:val="24"/>
          <w:szCs w:val="24"/>
        </w:rPr>
        <w:t xml:space="preserve">that </w:t>
      </w:r>
      <w:r w:rsidR="00AE382F" w:rsidRPr="00241F83">
        <w:rPr>
          <w:rFonts w:cstheme="minorHAnsi"/>
          <w:bCs/>
          <w:sz w:val="24"/>
          <w:szCs w:val="24"/>
        </w:rPr>
        <w:t>surgeries performed in an ASC outpatient setting can result in fewer and lower infection rates than hospitals.</w:t>
      </w:r>
      <w:r w:rsidR="00AE382F" w:rsidRPr="00241F83">
        <w:rPr>
          <w:rStyle w:val="EndnoteReference"/>
          <w:rFonts w:cstheme="minorHAnsi"/>
          <w:bCs/>
          <w:sz w:val="24"/>
          <w:szCs w:val="24"/>
        </w:rPr>
        <w:endnoteReference w:id="22"/>
      </w:r>
      <w:r w:rsidR="00AE382F" w:rsidRPr="00241F83">
        <w:rPr>
          <w:rFonts w:cstheme="minorHAnsi"/>
          <w:bCs/>
          <w:sz w:val="24"/>
          <w:szCs w:val="24"/>
          <w:vertAlign w:val="superscript"/>
        </w:rPr>
        <w:t>,</w:t>
      </w:r>
      <w:r w:rsidR="005D3C0C">
        <w:rPr>
          <w:rFonts w:cstheme="minorHAnsi"/>
          <w:bCs/>
          <w:sz w:val="24"/>
          <w:szCs w:val="24"/>
          <w:vertAlign w:val="superscript"/>
        </w:rPr>
        <w:t xml:space="preserve"> </w:t>
      </w:r>
      <w:r w:rsidR="00AE382F" w:rsidRPr="00241F83">
        <w:rPr>
          <w:rStyle w:val="EndnoteReference"/>
          <w:rFonts w:cstheme="minorHAnsi"/>
          <w:bCs/>
          <w:sz w:val="24"/>
          <w:szCs w:val="24"/>
        </w:rPr>
        <w:endnoteReference w:id="23"/>
      </w:r>
      <w:r w:rsidR="00AE382F" w:rsidRPr="00241F83">
        <w:rPr>
          <w:rFonts w:cstheme="minorHAnsi"/>
          <w:bCs/>
          <w:sz w:val="24"/>
          <w:szCs w:val="24"/>
        </w:rPr>
        <w:t xml:space="preserve"> </w:t>
      </w:r>
      <w:r w:rsidR="00851760" w:rsidRPr="00241F83">
        <w:rPr>
          <w:rFonts w:cstheme="minorHAnsi"/>
          <w:bCs/>
          <w:iCs/>
          <w:sz w:val="24"/>
          <w:szCs w:val="24"/>
        </w:rPr>
        <w:t xml:space="preserve">ASCs are regulated to ensure the delivery of quality care, and </w:t>
      </w:r>
      <w:r w:rsidR="001978B0">
        <w:rPr>
          <w:rFonts w:cstheme="minorHAnsi"/>
          <w:bCs/>
          <w:iCs/>
          <w:sz w:val="24"/>
          <w:szCs w:val="24"/>
        </w:rPr>
        <w:t xml:space="preserve">NEBSC </w:t>
      </w:r>
      <w:r w:rsidR="00851760" w:rsidRPr="00241F83">
        <w:rPr>
          <w:rFonts w:cstheme="minorHAnsi"/>
          <w:bCs/>
          <w:iCs/>
          <w:sz w:val="24"/>
          <w:szCs w:val="24"/>
        </w:rPr>
        <w:t>cited</w:t>
      </w:r>
      <w:r w:rsidR="00A23FCE" w:rsidRPr="00241F83">
        <w:rPr>
          <w:rFonts w:cstheme="minorHAnsi"/>
          <w:bCs/>
          <w:iCs/>
          <w:sz w:val="24"/>
          <w:szCs w:val="24"/>
        </w:rPr>
        <w:t xml:space="preserve"> reporting processes </w:t>
      </w:r>
      <w:r w:rsidR="00EE2C3E" w:rsidRPr="00241F83">
        <w:rPr>
          <w:rFonts w:cstheme="minorHAnsi"/>
          <w:bCs/>
          <w:iCs/>
          <w:sz w:val="24"/>
          <w:szCs w:val="24"/>
        </w:rPr>
        <w:t>that a</w:t>
      </w:r>
      <w:r w:rsidR="001978B0">
        <w:rPr>
          <w:rFonts w:cstheme="minorHAnsi"/>
          <w:bCs/>
          <w:iCs/>
          <w:sz w:val="24"/>
          <w:szCs w:val="24"/>
        </w:rPr>
        <w:t>ddr</w:t>
      </w:r>
      <w:r w:rsidR="00EE2C3E" w:rsidRPr="00241F83">
        <w:rPr>
          <w:rFonts w:cstheme="minorHAnsi"/>
          <w:bCs/>
          <w:iCs/>
          <w:sz w:val="24"/>
          <w:szCs w:val="24"/>
        </w:rPr>
        <w:t>ess</w:t>
      </w:r>
      <w:r w:rsidR="00A23FCE" w:rsidRPr="00241F83">
        <w:rPr>
          <w:rFonts w:cstheme="minorHAnsi"/>
          <w:bCs/>
          <w:iCs/>
          <w:sz w:val="24"/>
          <w:szCs w:val="24"/>
        </w:rPr>
        <w:t xml:space="preserve"> quality of care, patient satisfaction</w:t>
      </w:r>
      <w:r w:rsidR="0059478F" w:rsidRPr="00241F83">
        <w:rPr>
          <w:rFonts w:cstheme="minorHAnsi"/>
          <w:bCs/>
          <w:iCs/>
          <w:sz w:val="24"/>
          <w:szCs w:val="24"/>
        </w:rPr>
        <w:t>,</w:t>
      </w:r>
      <w:r w:rsidR="00A23FCE" w:rsidRPr="00241F83">
        <w:rPr>
          <w:rFonts w:cstheme="minorHAnsi"/>
          <w:bCs/>
          <w:iCs/>
          <w:sz w:val="24"/>
          <w:szCs w:val="24"/>
        </w:rPr>
        <w:t xml:space="preserve"> and outcomes</w:t>
      </w:r>
      <w:r w:rsidR="00BA1D92" w:rsidRPr="00241F83">
        <w:rPr>
          <w:rFonts w:cstheme="minorHAnsi"/>
          <w:bCs/>
          <w:iCs/>
          <w:sz w:val="24"/>
          <w:szCs w:val="24"/>
        </w:rPr>
        <w:t xml:space="preserve">. </w:t>
      </w:r>
      <w:r w:rsidR="00BD4621" w:rsidRPr="00241F83">
        <w:rPr>
          <w:rFonts w:cstheme="minorHAnsi"/>
          <w:bCs/>
          <w:iCs/>
          <w:sz w:val="24"/>
          <w:szCs w:val="24"/>
        </w:rPr>
        <w:t xml:space="preserve">By presenting information on the projected increase in </w:t>
      </w:r>
      <w:r w:rsidR="005D3C0C">
        <w:rPr>
          <w:rFonts w:cstheme="minorHAnsi"/>
          <w:bCs/>
          <w:iCs/>
          <w:sz w:val="24"/>
          <w:szCs w:val="24"/>
        </w:rPr>
        <w:t>access to</w:t>
      </w:r>
      <w:r w:rsidR="00BD4621" w:rsidRPr="00241F83">
        <w:rPr>
          <w:rFonts w:cstheme="minorHAnsi"/>
          <w:bCs/>
          <w:iCs/>
          <w:sz w:val="24"/>
          <w:szCs w:val="24"/>
        </w:rPr>
        <w:t xml:space="preserve"> its services, </w:t>
      </w:r>
      <w:r w:rsidR="005D3C0C">
        <w:rPr>
          <w:rFonts w:cstheme="minorHAnsi"/>
          <w:bCs/>
          <w:iCs/>
          <w:sz w:val="24"/>
          <w:szCs w:val="24"/>
        </w:rPr>
        <w:t xml:space="preserve">its financial assistance services, </w:t>
      </w:r>
      <w:r w:rsidR="001978B0">
        <w:rPr>
          <w:rFonts w:cstheme="minorHAnsi"/>
          <w:bCs/>
          <w:iCs/>
          <w:sz w:val="24"/>
          <w:szCs w:val="24"/>
        </w:rPr>
        <w:t xml:space="preserve">and </w:t>
      </w:r>
      <w:r w:rsidR="00BD4621" w:rsidRPr="00241F83">
        <w:rPr>
          <w:rFonts w:cstheme="minorHAnsi"/>
          <w:bCs/>
          <w:iCs/>
          <w:sz w:val="24"/>
          <w:szCs w:val="24"/>
        </w:rPr>
        <w:t>it</w:t>
      </w:r>
      <w:r w:rsidR="00BA1D92" w:rsidRPr="00241F83">
        <w:rPr>
          <w:rFonts w:cstheme="minorHAnsi"/>
          <w:bCs/>
          <w:iCs/>
          <w:sz w:val="24"/>
          <w:szCs w:val="24"/>
        </w:rPr>
        <w:t xml:space="preserve">s </w:t>
      </w:r>
      <w:r w:rsidR="001978B0">
        <w:rPr>
          <w:rFonts w:cstheme="minorHAnsi"/>
          <w:bCs/>
          <w:iCs/>
          <w:sz w:val="24"/>
          <w:szCs w:val="24"/>
        </w:rPr>
        <w:t>extension of interpre</w:t>
      </w:r>
      <w:r w:rsidR="00BA1D92" w:rsidRPr="00241F83">
        <w:rPr>
          <w:rFonts w:cstheme="minorHAnsi"/>
          <w:bCs/>
          <w:iCs/>
          <w:sz w:val="24"/>
          <w:szCs w:val="24"/>
        </w:rPr>
        <w:t xml:space="preserve">ter services, staff finds that the </w:t>
      </w:r>
      <w:r w:rsidR="00D33E4C" w:rsidRPr="00241F83">
        <w:rPr>
          <w:rFonts w:cstheme="minorHAnsi"/>
          <w:bCs/>
          <w:iCs/>
          <w:sz w:val="24"/>
          <w:szCs w:val="24"/>
        </w:rPr>
        <w:t>Applicant</w:t>
      </w:r>
      <w:r w:rsidR="00BA1D92" w:rsidRPr="00241F83">
        <w:rPr>
          <w:rFonts w:cstheme="minorHAnsi"/>
          <w:bCs/>
          <w:iCs/>
          <w:sz w:val="24"/>
          <w:szCs w:val="24"/>
        </w:rPr>
        <w:t xml:space="preserve"> has sufficiently outlined, a case for improved </w:t>
      </w:r>
      <w:r w:rsidR="00BA1D92" w:rsidRPr="00241F83">
        <w:rPr>
          <w:rFonts w:cstheme="minorHAnsi"/>
          <w:bCs/>
          <w:iCs/>
          <w:sz w:val="24"/>
          <w:szCs w:val="24"/>
        </w:rPr>
        <w:lastRenderedPageBreak/>
        <w:t>health outcomes</w:t>
      </w:r>
      <w:r w:rsidR="00256382" w:rsidRPr="00241F83">
        <w:rPr>
          <w:rFonts w:cstheme="minorHAnsi"/>
          <w:bCs/>
          <w:iCs/>
          <w:sz w:val="24"/>
          <w:szCs w:val="24"/>
        </w:rPr>
        <w:t xml:space="preserve">, public health value, </w:t>
      </w:r>
      <w:r w:rsidR="00BA1D92" w:rsidRPr="00241F83">
        <w:rPr>
          <w:rFonts w:cstheme="minorHAnsi"/>
          <w:bCs/>
          <w:iCs/>
          <w:sz w:val="24"/>
          <w:szCs w:val="24"/>
        </w:rPr>
        <w:t>reasonable assurances of health equity</w:t>
      </w:r>
      <w:r w:rsidR="00256382" w:rsidRPr="00241F83">
        <w:rPr>
          <w:rFonts w:cstheme="minorHAnsi"/>
          <w:bCs/>
          <w:iCs/>
          <w:sz w:val="24"/>
          <w:szCs w:val="24"/>
        </w:rPr>
        <w:t>,</w:t>
      </w:r>
      <w:r w:rsidR="00BA1D92" w:rsidRPr="00241F83">
        <w:rPr>
          <w:rFonts w:cstheme="minorHAnsi"/>
          <w:bCs/>
          <w:iCs/>
          <w:sz w:val="24"/>
          <w:szCs w:val="24"/>
        </w:rPr>
        <w:t xml:space="preserve"> and access to care.</w:t>
      </w:r>
      <w:bookmarkStart w:id="47" w:name="_Toc18922409"/>
      <w:bookmarkStart w:id="48" w:name="_Toc29755681"/>
      <w:bookmarkStart w:id="49" w:name="_Toc17151150"/>
      <w:bookmarkStart w:id="50" w:name="_Toc17322394"/>
      <w:bookmarkEnd w:id="44"/>
      <w:bookmarkEnd w:id="45"/>
      <w:bookmarkEnd w:id="46"/>
    </w:p>
    <w:p w14:paraId="62B15680" w14:textId="7642BCD4" w:rsidR="00BB7B4F" w:rsidRPr="00241F83" w:rsidRDefault="006B5808" w:rsidP="00EA38CA">
      <w:pPr>
        <w:pStyle w:val="Heading2"/>
        <w:spacing w:line="240" w:lineRule="auto"/>
        <w:rPr>
          <w:rFonts w:asciiTheme="minorHAnsi" w:hAnsiTheme="minorHAnsi" w:cstheme="minorHAnsi"/>
          <w:color w:val="42558C" w:themeColor="accent1" w:themeShade="BF"/>
          <w:sz w:val="28"/>
          <w:szCs w:val="28"/>
        </w:rPr>
      </w:pPr>
      <w:bookmarkStart w:id="51" w:name="_Toc115776586"/>
      <w:r w:rsidRPr="00241F83">
        <w:rPr>
          <w:rFonts w:asciiTheme="minorHAnsi" w:hAnsiTheme="minorHAnsi" w:cstheme="minorHAnsi"/>
          <w:color w:val="42558C" w:themeColor="accent1" w:themeShade="BF"/>
          <w:sz w:val="28"/>
          <w:szCs w:val="28"/>
        </w:rPr>
        <w:t>F</w:t>
      </w:r>
      <w:r w:rsidR="00BB7B4F" w:rsidRPr="00241F83">
        <w:rPr>
          <w:rFonts w:asciiTheme="minorHAnsi" w:hAnsiTheme="minorHAnsi" w:cstheme="minorHAnsi"/>
          <w:color w:val="42558C" w:themeColor="accent1" w:themeShade="BF"/>
          <w:sz w:val="28"/>
          <w:szCs w:val="28"/>
        </w:rPr>
        <w:t>actor 1: c) Efficiency, Continuity of Care, Coordination of Care</w:t>
      </w:r>
      <w:bookmarkStart w:id="52" w:name="_Toc17322393"/>
      <w:bookmarkStart w:id="53" w:name="_Toc17748465"/>
      <w:bookmarkEnd w:id="47"/>
      <w:bookmarkEnd w:id="48"/>
      <w:bookmarkEnd w:id="51"/>
    </w:p>
    <w:bookmarkEnd w:id="52"/>
    <w:bookmarkEnd w:id="53"/>
    <w:p w14:paraId="087F9B74" w14:textId="677C7421" w:rsidR="008F40E3" w:rsidRDefault="008F40E3" w:rsidP="0039108A">
      <w:pPr>
        <w:spacing w:before="240" w:after="120" w:line="240" w:lineRule="auto"/>
        <w:ind w:right="547"/>
        <w:rPr>
          <w:rFonts w:cstheme="minorHAnsi"/>
          <w:bCs/>
          <w:sz w:val="24"/>
          <w:szCs w:val="24"/>
        </w:rPr>
      </w:pPr>
      <w:r>
        <w:rPr>
          <w:rFonts w:cstheme="minorHAnsi"/>
          <w:bCs/>
          <w:sz w:val="24"/>
          <w:szCs w:val="24"/>
        </w:rPr>
        <w:t xml:space="preserve">The Applicant described how </w:t>
      </w:r>
      <w:r w:rsidR="00AF15E8" w:rsidRPr="00AF15E8">
        <w:rPr>
          <w:rFonts w:cstheme="minorHAnsi"/>
          <w:bCs/>
          <w:sz w:val="24"/>
          <w:szCs w:val="24"/>
        </w:rPr>
        <w:t>coordination, continuity of care, and effective communication</w:t>
      </w:r>
      <w:r>
        <w:rPr>
          <w:rFonts w:cstheme="minorHAnsi"/>
          <w:bCs/>
          <w:sz w:val="24"/>
          <w:szCs w:val="24"/>
        </w:rPr>
        <w:t xml:space="preserve"> will be ensured in a number of ways</w:t>
      </w:r>
      <w:r w:rsidR="003130DF">
        <w:rPr>
          <w:rFonts w:cstheme="minorHAnsi"/>
          <w:bCs/>
          <w:sz w:val="24"/>
          <w:szCs w:val="24"/>
        </w:rPr>
        <w:t>:</w:t>
      </w:r>
    </w:p>
    <w:p w14:paraId="40D12058" w14:textId="77777777" w:rsidR="008F40E3" w:rsidRDefault="00AF15E8" w:rsidP="008F40E3">
      <w:pPr>
        <w:pStyle w:val="ListParagraph"/>
        <w:numPr>
          <w:ilvl w:val="0"/>
          <w:numId w:val="24"/>
        </w:numPr>
        <w:spacing w:after="120" w:line="240" w:lineRule="auto"/>
        <w:ind w:right="547"/>
        <w:rPr>
          <w:rFonts w:cstheme="minorHAnsi"/>
          <w:bCs/>
          <w:sz w:val="24"/>
          <w:szCs w:val="24"/>
        </w:rPr>
      </w:pPr>
      <w:r w:rsidRPr="008F40E3">
        <w:rPr>
          <w:rFonts w:cstheme="minorHAnsi"/>
          <w:bCs/>
          <w:sz w:val="24"/>
          <w:szCs w:val="24"/>
        </w:rPr>
        <w:t xml:space="preserve">NEBSC nursing staff aim to create a secure pathway to send the patient’s operative report to the </w:t>
      </w:r>
      <w:r w:rsidR="008F40E3" w:rsidRPr="008F40E3">
        <w:rPr>
          <w:rFonts w:cstheme="minorHAnsi"/>
          <w:bCs/>
          <w:sz w:val="24"/>
          <w:szCs w:val="24"/>
        </w:rPr>
        <w:t>p</w:t>
      </w:r>
      <w:r w:rsidRPr="008F40E3">
        <w:rPr>
          <w:rFonts w:cstheme="minorHAnsi"/>
          <w:bCs/>
          <w:sz w:val="24"/>
          <w:szCs w:val="24"/>
        </w:rPr>
        <w:t xml:space="preserve">atient’s PCP. </w:t>
      </w:r>
    </w:p>
    <w:p w14:paraId="78258EC0" w14:textId="77777777" w:rsidR="008F40E3" w:rsidRDefault="00AF15E8" w:rsidP="008F40E3">
      <w:pPr>
        <w:pStyle w:val="ListParagraph"/>
        <w:numPr>
          <w:ilvl w:val="0"/>
          <w:numId w:val="24"/>
        </w:numPr>
        <w:spacing w:after="120" w:line="240" w:lineRule="auto"/>
        <w:ind w:right="547"/>
        <w:rPr>
          <w:rFonts w:cstheme="minorHAnsi"/>
          <w:bCs/>
          <w:sz w:val="24"/>
          <w:szCs w:val="24"/>
        </w:rPr>
      </w:pPr>
      <w:r w:rsidRPr="008F40E3">
        <w:rPr>
          <w:rFonts w:cstheme="minorHAnsi"/>
          <w:bCs/>
          <w:sz w:val="24"/>
          <w:szCs w:val="24"/>
        </w:rPr>
        <w:t xml:space="preserve">Each patient will be called the day after surgery by a NEBSC RN to inquire on the patient’s condition. This evaluation reviews pain control, movement, ambulation, patient education deficits, general sense of well-being and any questions regarding prescriptions. </w:t>
      </w:r>
    </w:p>
    <w:p w14:paraId="5DECE59E" w14:textId="53889B3A" w:rsidR="00AF15E8" w:rsidRPr="008F40E3" w:rsidRDefault="00AF15E8" w:rsidP="008F40E3">
      <w:pPr>
        <w:pStyle w:val="ListParagraph"/>
        <w:numPr>
          <w:ilvl w:val="0"/>
          <w:numId w:val="24"/>
        </w:numPr>
        <w:spacing w:after="120" w:line="240" w:lineRule="auto"/>
        <w:ind w:right="547"/>
        <w:rPr>
          <w:rFonts w:cstheme="minorHAnsi"/>
          <w:bCs/>
          <w:sz w:val="24"/>
          <w:szCs w:val="24"/>
        </w:rPr>
      </w:pPr>
      <w:r w:rsidRPr="008F40E3">
        <w:rPr>
          <w:rFonts w:cstheme="minorHAnsi"/>
          <w:bCs/>
          <w:sz w:val="24"/>
          <w:szCs w:val="24"/>
        </w:rPr>
        <w:t xml:space="preserve">NEBSC </w:t>
      </w:r>
      <w:r w:rsidR="008F40E3">
        <w:rPr>
          <w:rFonts w:cstheme="minorHAnsi"/>
          <w:bCs/>
          <w:sz w:val="24"/>
          <w:szCs w:val="24"/>
        </w:rPr>
        <w:t xml:space="preserve">will </w:t>
      </w:r>
      <w:r w:rsidR="007E118B">
        <w:rPr>
          <w:rFonts w:cstheme="minorHAnsi"/>
          <w:bCs/>
          <w:sz w:val="24"/>
          <w:szCs w:val="24"/>
        </w:rPr>
        <w:t xml:space="preserve">evaluate </w:t>
      </w:r>
      <w:r w:rsidRPr="008F40E3">
        <w:rPr>
          <w:rFonts w:cstheme="minorHAnsi"/>
          <w:bCs/>
          <w:sz w:val="24"/>
          <w:szCs w:val="24"/>
        </w:rPr>
        <w:t>implement</w:t>
      </w:r>
      <w:r w:rsidR="007E118B">
        <w:rPr>
          <w:rFonts w:cstheme="minorHAnsi"/>
          <w:bCs/>
          <w:sz w:val="24"/>
          <w:szCs w:val="24"/>
        </w:rPr>
        <w:t>ing</w:t>
      </w:r>
      <w:r w:rsidRPr="008F40E3">
        <w:rPr>
          <w:rFonts w:cstheme="minorHAnsi"/>
          <w:bCs/>
          <w:sz w:val="24"/>
          <w:szCs w:val="24"/>
        </w:rPr>
        <w:t xml:space="preserve"> an extensive Patient Reported Outcomes (“PRO”) Program which could include the following elements, which will further improve care coordination and continuity.</w:t>
      </w:r>
    </w:p>
    <w:p w14:paraId="6431CBF1" w14:textId="77777777" w:rsidR="00AF15E8" w:rsidRPr="00AF15E8" w:rsidRDefault="00AF15E8" w:rsidP="00AF15E8">
      <w:pPr>
        <w:numPr>
          <w:ilvl w:val="0"/>
          <w:numId w:val="23"/>
        </w:numPr>
        <w:spacing w:after="120" w:line="240" w:lineRule="auto"/>
        <w:ind w:right="547"/>
        <w:rPr>
          <w:rFonts w:cstheme="minorHAnsi"/>
          <w:bCs/>
          <w:sz w:val="24"/>
          <w:szCs w:val="24"/>
        </w:rPr>
      </w:pPr>
      <w:r w:rsidRPr="00AF15E8">
        <w:rPr>
          <w:rFonts w:cstheme="minorHAnsi"/>
          <w:bCs/>
          <w:sz w:val="24"/>
          <w:szCs w:val="24"/>
        </w:rPr>
        <w:t>Electronic patient follow-up at appropriate intervals. For example, TJA would be pre- operative and 30-, 90-, 180- and 365-days following surgery. Automated electronic patient follow-up encourages early intervention, if necessary.</w:t>
      </w:r>
    </w:p>
    <w:p w14:paraId="6569CBD1" w14:textId="77777777" w:rsidR="00AF15E8" w:rsidRPr="00AF15E8" w:rsidRDefault="00AF15E8" w:rsidP="00AF15E8">
      <w:pPr>
        <w:numPr>
          <w:ilvl w:val="0"/>
          <w:numId w:val="23"/>
        </w:numPr>
        <w:spacing w:after="120" w:line="240" w:lineRule="auto"/>
        <w:ind w:right="547"/>
        <w:rPr>
          <w:rFonts w:cstheme="minorHAnsi"/>
          <w:bCs/>
          <w:sz w:val="24"/>
          <w:szCs w:val="24"/>
        </w:rPr>
      </w:pPr>
      <w:r w:rsidRPr="00AF15E8">
        <w:rPr>
          <w:rFonts w:cstheme="minorHAnsi"/>
          <w:bCs/>
          <w:sz w:val="24"/>
          <w:szCs w:val="24"/>
        </w:rPr>
        <w:t>Patient reported complications (e.g., infection, hospitalization) to be reported back to the surgeon’s office.</w:t>
      </w:r>
    </w:p>
    <w:p w14:paraId="26BD0704" w14:textId="77777777" w:rsidR="00AF15E8" w:rsidRPr="00AF15E8" w:rsidRDefault="00AF15E8" w:rsidP="00AF15E8">
      <w:pPr>
        <w:numPr>
          <w:ilvl w:val="0"/>
          <w:numId w:val="23"/>
        </w:numPr>
        <w:spacing w:after="120" w:line="240" w:lineRule="auto"/>
        <w:ind w:right="547"/>
        <w:rPr>
          <w:rFonts w:cstheme="minorHAnsi"/>
          <w:bCs/>
          <w:sz w:val="24"/>
          <w:szCs w:val="24"/>
        </w:rPr>
      </w:pPr>
      <w:r w:rsidRPr="00AF15E8">
        <w:rPr>
          <w:rFonts w:cstheme="minorHAnsi"/>
          <w:bCs/>
          <w:sz w:val="24"/>
          <w:szCs w:val="24"/>
        </w:rPr>
        <w:t>Provision of tools for physician-patient shared decision-making, which will empower patients to make informed decisions about their care. These tools include Patient IQ and Force Therapeutics. Patient IQ is a patient engagement platform which allows for automated patient communication. Force Therapeutics is a platform which provides digital rehabilitation, virtual physical therapy, and virtual perioperative care.</w:t>
      </w:r>
    </w:p>
    <w:p w14:paraId="3CC2E21F" w14:textId="77777777" w:rsidR="00AF15E8" w:rsidRPr="00AF15E8" w:rsidRDefault="00AF15E8" w:rsidP="00AF15E8">
      <w:pPr>
        <w:numPr>
          <w:ilvl w:val="0"/>
          <w:numId w:val="23"/>
        </w:numPr>
        <w:spacing w:after="120" w:line="240" w:lineRule="auto"/>
        <w:ind w:right="547"/>
        <w:rPr>
          <w:rFonts w:cstheme="minorHAnsi"/>
          <w:bCs/>
          <w:sz w:val="24"/>
          <w:szCs w:val="24"/>
        </w:rPr>
      </w:pPr>
      <w:r w:rsidRPr="00AF15E8">
        <w:rPr>
          <w:rFonts w:cstheme="minorHAnsi"/>
          <w:bCs/>
          <w:sz w:val="24"/>
          <w:szCs w:val="24"/>
        </w:rPr>
        <w:t>Opportunities for patient education and digital care modules for all phases of surgical care.</w:t>
      </w:r>
    </w:p>
    <w:p w14:paraId="3A350DDF" w14:textId="5223ABFF" w:rsidR="00AF15E8" w:rsidRPr="00AF15E8" w:rsidRDefault="00AF15E8" w:rsidP="003130DF">
      <w:pPr>
        <w:numPr>
          <w:ilvl w:val="0"/>
          <w:numId w:val="23"/>
        </w:numPr>
        <w:spacing w:after="120" w:line="240" w:lineRule="auto"/>
        <w:ind w:right="547"/>
        <w:rPr>
          <w:rFonts w:cstheme="minorHAnsi"/>
          <w:bCs/>
          <w:sz w:val="24"/>
          <w:szCs w:val="24"/>
        </w:rPr>
      </w:pPr>
      <w:r w:rsidRPr="00AF15E8">
        <w:rPr>
          <w:rFonts w:cstheme="minorHAnsi"/>
          <w:bCs/>
          <w:sz w:val="24"/>
          <w:szCs w:val="24"/>
        </w:rPr>
        <w:t>Collection, organization, and benchmarking of clinical and cost data to understand and achieve better healthcare value and improve clinical processes and quality for patients. For example, data would be collected and merged into the CSA clinical quality</w:t>
      </w:r>
      <w:r w:rsidR="008F40E3" w:rsidRPr="008F40E3">
        <w:rPr>
          <w:rFonts w:cstheme="minorHAnsi"/>
          <w:bCs/>
          <w:sz w:val="24"/>
          <w:szCs w:val="24"/>
        </w:rPr>
        <w:t xml:space="preserve"> </w:t>
      </w:r>
      <w:r w:rsidRPr="00AF15E8">
        <w:rPr>
          <w:rFonts w:cstheme="minorHAnsi"/>
          <w:bCs/>
          <w:sz w:val="24"/>
          <w:szCs w:val="24"/>
        </w:rPr>
        <w:t>registry</w:t>
      </w:r>
      <w:r w:rsidR="008F40E3">
        <w:rPr>
          <w:rFonts w:cstheme="minorHAnsi"/>
          <w:bCs/>
          <w:sz w:val="24"/>
          <w:szCs w:val="24"/>
        </w:rPr>
        <w:t xml:space="preserve">, and </w:t>
      </w:r>
      <w:r w:rsidRPr="00AF15E8">
        <w:rPr>
          <w:rFonts w:cstheme="minorHAnsi"/>
          <w:bCs/>
          <w:sz w:val="24"/>
          <w:szCs w:val="24"/>
        </w:rPr>
        <w:t>then shared with national and international affiliates, such as the American Joint Replacement Registry and the International Consortium of Health Outcome Measures. All data collection and data sharing will be compliant with HIPAA and similar laws. Examples of data elements would include:</w:t>
      </w:r>
    </w:p>
    <w:p w14:paraId="6A79C42F" w14:textId="77777777" w:rsidR="00AF15E8" w:rsidRPr="00AF15E8" w:rsidRDefault="00AF15E8" w:rsidP="008F40E3">
      <w:pPr>
        <w:numPr>
          <w:ilvl w:val="1"/>
          <w:numId w:val="23"/>
        </w:numPr>
        <w:spacing w:after="0" w:line="240" w:lineRule="auto"/>
        <w:ind w:right="547"/>
        <w:rPr>
          <w:rFonts w:cstheme="minorHAnsi"/>
          <w:bCs/>
          <w:sz w:val="24"/>
          <w:szCs w:val="24"/>
        </w:rPr>
      </w:pPr>
      <w:r w:rsidRPr="00AF15E8">
        <w:rPr>
          <w:rFonts w:cstheme="minorHAnsi"/>
          <w:bCs/>
          <w:sz w:val="24"/>
          <w:szCs w:val="24"/>
        </w:rPr>
        <w:t>Patient Demographics</w:t>
      </w:r>
    </w:p>
    <w:p w14:paraId="5C682F9D" w14:textId="77777777" w:rsidR="00AF15E8" w:rsidRPr="00AF15E8" w:rsidRDefault="00AF15E8" w:rsidP="008F40E3">
      <w:pPr>
        <w:numPr>
          <w:ilvl w:val="1"/>
          <w:numId w:val="23"/>
        </w:numPr>
        <w:spacing w:after="0" w:line="240" w:lineRule="auto"/>
        <w:ind w:right="547"/>
        <w:rPr>
          <w:rFonts w:cstheme="minorHAnsi"/>
          <w:bCs/>
          <w:sz w:val="24"/>
          <w:szCs w:val="24"/>
        </w:rPr>
      </w:pPr>
      <w:r w:rsidRPr="00AF15E8">
        <w:rPr>
          <w:rFonts w:cstheme="minorHAnsi"/>
          <w:bCs/>
          <w:sz w:val="24"/>
          <w:szCs w:val="24"/>
        </w:rPr>
        <w:t>Surgical &amp; Implant Information</w:t>
      </w:r>
    </w:p>
    <w:p w14:paraId="23F7937F" w14:textId="77777777" w:rsidR="00AF15E8" w:rsidRPr="00AF15E8" w:rsidRDefault="00AF15E8" w:rsidP="008F40E3">
      <w:pPr>
        <w:numPr>
          <w:ilvl w:val="1"/>
          <w:numId w:val="23"/>
        </w:numPr>
        <w:spacing w:after="0" w:line="240" w:lineRule="auto"/>
        <w:ind w:right="547"/>
        <w:rPr>
          <w:rFonts w:cstheme="minorHAnsi"/>
          <w:bCs/>
          <w:sz w:val="24"/>
          <w:szCs w:val="24"/>
        </w:rPr>
      </w:pPr>
      <w:r w:rsidRPr="00AF15E8">
        <w:rPr>
          <w:rFonts w:cstheme="minorHAnsi"/>
          <w:bCs/>
          <w:sz w:val="24"/>
          <w:szCs w:val="24"/>
        </w:rPr>
        <w:t>Comorbidities</w:t>
      </w:r>
    </w:p>
    <w:p w14:paraId="6BE23378" w14:textId="77777777" w:rsidR="00AF15E8" w:rsidRPr="00AF15E8" w:rsidRDefault="00AF15E8" w:rsidP="008F40E3">
      <w:pPr>
        <w:numPr>
          <w:ilvl w:val="1"/>
          <w:numId w:val="23"/>
        </w:numPr>
        <w:spacing w:after="0" w:line="240" w:lineRule="auto"/>
        <w:ind w:right="547"/>
        <w:rPr>
          <w:rFonts w:cstheme="minorHAnsi"/>
          <w:bCs/>
          <w:sz w:val="24"/>
          <w:szCs w:val="24"/>
        </w:rPr>
      </w:pPr>
      <w:r w:rsidRPr="00AF15E8">
        <w:rPr>
          <w:rFonts w:cstheme="minorHAnsi"/>
          <w:bCs/>
          <w:sz w:val="24"/>
          <w:szCs w:val="24"/>
        </w:rPr>
        <w:t>Adverse Events</w:t>
      </w:r>
    </w:p>
    <w:p w14:paraId="5FDD759B" w14:textId="70C5543C" w:rsidR="00AF15E8" w:rsidRDefault="00AF15E8" w:rsidP="008F40E3">
      <w:pPr>
        <w:numPr>
          <w:ilvl w:val="1"/>
          <w:numId w:val="23"/>
        </w:numPr>
        <w:spacing w:after="0" w:line="240" w:lineRule="auto"/>
        <w:ind w:right="547"/>
        <w:rPr>
          <w:rFonts w:cstheme="minorHAnsi"/>
          <w:bCs/>
          <w:sz w:val="24"/>
          <w:szCs w:val="24"/>
        </w:rPr>
      </w:pPr>
      <w:r w:rsidRPr="00AF15E8">
        <w:rPr>
          <w:rFonts w:cstheme="minorHAnsi"/>
          <w:bCs/>
          <w:sz w:val="24"/>
          <w:szCs w:val="24"/>
        </w:rPr>
        <w:t>Patient-Reported Outcome Measurements</w:t>
      </w:r>
    </w:p>
    <w:p w14:paraId="5D3D71D0" w14:textId="77777777" w:rsidR="008F40E3" w:rsidRPr="00AF15E8" w:rsidRDefault="008F40E3" w:rsidP="008F40E3">
      <w:pPr>
        <w:spacing w:after="0" w:line="240" w:lineRule="auto"/>
        <w:ind w:left="1920" w:right="547"/>
        <w:rPr>
          <w:rFonts w:cstheme="minorHAnsi"/>
          <w:bCs/>
          <w:sz w:val="24"/>
          <w:szCs w:val="24"/>
        </w:rPr>
      </w:pPr>
    </w:p>
    <w:p w14:paraId="4DF5B49E" w14:textId="194427AF" w:rsidR="00AF15E8" w:rsidRPr="00AF15E8" w:rsidRDefault="00AF15E8" w:rsidP="00AF15E8">
      <w:pPr>
        <w:numPr>
          <w:ilvl w:val="0"/>
          <w:numId w:val="23"/>
        </w:numPr>
        <w:spacing w:after="120" w:line="240" w:lineRule="auto"/>
        <w:ind w:right="547"/>
        <w:rPr>
          <w:rFonts w:cstheme="minorHAnsi"/>
          <w:bCs/>
          <w:sz w:val="24"/>
          <w:szCs w:val="24"/>
        </w:rPr>
      </w:pPr>
      <w:r w:rsidRPr="00AF15E8">
        <w:rPr>
          <w:rFonts w:cstheme="minorHAnsi"/>
          <w:bCs/>
          <w:sz w:val="24"/>
          <w:szCs w:val="24"/>
        </w:rPr>
        <w:t>Integration of NEBSC data into shared risk stratification modeling to improve patient risk assessment for appropriateness of surgery and risk-based contract negotiations.</w:t>
      </w:r>
      <w:r w:rsidR="008F40E3">
        <w:rPr>
          <w:rFonts w:cstheme="minorHAnsi"/>
          <w:bCs/>
          <w:sz w:val="24"/>
          <w:szCs w:val="24"/>
        </w:rPr>
        <w:t xml:space="preserve"> </w:t>
      </w:r>
    </w:p>
    <w:p w14:paraId="661EEE28" w14:textId="77777777" w:rsidR="00AF15E8" w:rsidRPr="00AF15E8" w:rsidRDefault="00AF15E8" w:rsidP="00AF15E8">
      <w:pPr>
        <w:numPr>
          <w:ilvl w:val="0"/>
          <w:numId w:val="23"/>
        </w:numPr>
        <w:spacing w:after="120" w:line="240" w:lineRule="auto"/>
        <w:ind w:right="547"/>
        <w:rPr>
          <w:rFonts w:cstheme="minorHAnsi"/>
          <w:bCs/>
          <w:sz w:val="24"/>
          <w:szCs w:val="24"/>
        </w:rPr>
      </w:pPr>
      <w:r w:rsidRPr="00AF15E8">
        <w:rPr>
          <w:rFonts w:cstheme="minorHAnsi"/>
          <w:bCs/>
          <w:sz w:val="24"/>
          <w:szCs w:val="24"/>
        </w:rPr>
        <w:t>Presentation of physician and facility level, risk-adjusted, benchmark dashboards for quality and outcomes analyses.</w:t>
      </w:r>
    </w:p>
    <w:p w14:paraId="2370951C" w14:textId="77777777" w:rsidR="00AF15E8" w:rsidRPr="00AF15E8" w:rsidRDefault="00AF15E8" w:rsidP="00241F83">
      <w:pPr>
        <w:spacing w:after="120" w:line="240" w:lineRule="auto"/>
        <w:ind w:right="547"/>
        <w:rPr>
          <w:rFonts w:cstheme="minorHAnsi"/>
          <w:bCs/>
          <w:sz w:val="24"/>
          <w:szCs w:val="24"/>
        </w:rPr>
      </w:pPr>
    </w:p>
    <w:p w14:paraId="7AA2A44A" w14:textId="77777777" w:rsidR="00BB7B4F" w:rsidRPr="00241F83" w:rsidRDefault="00BB7B4F" w:rsidP="00EA38CA">
      <w:pPr>
        <w:spacing w:after="0" w:line="240" w:lineRule="auto"/>
        <w:ind w:right="540"/>
        <w:contextualSpacing/>
        <w:rPr>
          <w:rFonts w:eastAsia="Calibri" w:cstheme="minorHAnsi"/>
          <w:b/>
          <w:i/>
          <w:sz w:val="24"/>
          <w:szCs w:val="24"/>
        </w:rPr>
      </w:pPr>
      <w:r w:rsidRPr="00241F83">
        <w:rPr>
          <w:rFonts w:eastAsia="Calibri" w:cstheme="minorHAnsi"/>
          <w:b/>
          <w:i/>
          <w:sz w:val="24"/>
          <w:szCs w:val="24"/>
        </w:rPr>
        <w:t>Analysis</w:t>
      </w:r>
      <w:r w:rsidR="009F4B50" w:rsidRPr="00241F83">
        <w:rPr>
          <w:rFonts w:eastAsia="Calibri" w:cstheme="minorHAnsi"/>
          <w:b/>
          <w:i/>
          <w:sz w:val="24"/>
          <w:szCs w:val="24"/>
        </w:rPr>
        <w:t xml:space="preserve"> </w:t>
      </w:r>
    </w:p>
    <w:p w14:paraId="4C859CEC" w14:textId="515C8DEE" w:rsidR="00982130" w:rsidRPr="00241F83" w:rsidRDefault="007B376A" w:rsidP="00EA38CA">
      <w:pPr>
        <w:autoSpaceDE w:val="0"/>
        <w:autoSpaceDN w:val="0"/>
        <w:adjustRightInd w:val="0"/>
        <w:spacing w:after="0" w:line="240" w:lineRule="auto"/>
        <w:contextualSpacing/>
        <w:rPr>
          <w:rFonts w:eastAsia="Calibri" w:cstheme="minorHAnsi"/>
          <w:bCs/>
          <w:sz w:val="24"/>
          <w:szCs w:val="24"/>
        </w:rPr>
      </w:pPr>
      <w:r w:rsidRPr="00241F83">
        <w:rPr>
          <w:rFonts w:cstheme="minorHAnsi"/>
          <w:bCs/>
          <w:sz w:val="24"/>
          <w:szCs w:val="24"/>
        </w:rPr>
        <w:t xml:space="preserve">The </w:t>
      </w:r>
      <w:r w:rsidR="00D33E4C" w:rsidRPr="00241F83">
        <w:rPr>
          <w:rFonts w:cstheme="minorHAnsi"/>
          <w:bCs/>
          <w:sz w:val="24"/>
          <w:szCs w:val="24"/>
        </w:rPr>
        <w:t>Applicant</w:t>
      </w:r>
      <w:r w:rsidRPr="00241F83">
        <w:rPr>
          <w:rFonts w:cstheme="minorHAnsi"/>
          <w:bCs/>
          <w:sz w:val="24"/>
          <w:szCs w:val="24"/>
        </w:rPr>
        <w:t xml:space="preserve"> </w:t>
      </w:r>
      <w:r w:rsidR="00BF0DBD">
        <w:rPr>
          <w:rFonts w:cstheme="minorHAnsi"/>
          <w:bCs/>
          <w:sz w:val="24"/>
          <w:szCs w:val="24"/>
        </w:rPr>
        <w:t xml:space="preserve">explained </w:t>
      </w:r>
      <w:r w:rsidR="00B46FED" w:rsidRPr="00241F83">
        <w:rPr>
          <w:rFonts w:cstheme="minorHAnsi"/>
          <w:bCs/>
          <w:sz w:val="24"/>
          <w:szCs w:val="24"/>
        </w:rPr>
        <w:t>care coordination</w:t>
      </w:r>
      <w:r w:rsidRPr="00241F83">
        <w:rPr>
          <w:rFonts w:cstheme="minorHAnsi"/>
          <w:bCs/>
          <w:sz w:val="24"/>
          <w:szCs w:val="24"/>
        </w:rPr>
        <w:t xml:space="preserve"> and information shar</w:t>
      </w:r>
      <w:r w:rsidR="00B46FED" w:rsidRPr="00241F83">
        <w:rPr>
          <w:rFonts w:cstheme="minorHAnsi"/>
          <w:bCs/>
          <w:sz w:val="24"/>
          <w:szCs w:val="24"/>
        </w:rPr>
        <w:t>ing</w:t>
      </w:r>
      <w:r w:rsidRPr="00241F83">
        <w:rPr>
          <w:rFonts w:cstheme="minorHAnsi"/>
          <w:bCs/>
          <w:sz w:val="24"/>
          <w:szCs w:val="24"/>
        </w:rPr>
        <w:t xml:space="preserve"> </w:t>
      </w:r>
      <w:r w:rsidR="00B46FED" w:rsidRPr="00241F83">
        <w:rPr>
          <w:rFonts w:cstheme="minorHAnsi"/>
          <w:bCs/>
          <w:sz w:val="24"/>
          <w:szCs w:val="24"/>
        </w:rPr>
        <w:t>across</w:t>
      </w:r>
      <w:r w:rsidR="00BF0DBD">
        <w:rPr>
          <w:rFonts w:cstheme="minorHAnsi"/>
          <w:bCs/>
          <w:sz w:val="24"/>
          <w:szCs w:val="24"/>
        </w:rPr>
        <w:t xml:space="preserve"> </w:t>
      </w:r>
      <w:r w:rsidRPr="00241F83">
        <w:rPr>
          <w:rFonts w:cstheme="minorHAnsi"/>
          <w:bCs/>
          <w:sz w:val="24"/>
          <w:szCs w:val="24"/>
        </w:rPr>
        <w:t>providers</w:t>
      </w:r>
      <w:r w:rsidR="00BF0DBD">
        <w:rPr>
          <w:rFonts w:cstheme="minorHAnsi"/>
          <w:bCs/>
          <w:sz w:val="24"/>
          <w:szCs w:val="24"/>
        </w:rPr>
        <w:t xml:space="preserve">. Further, it </w:t>
      </w:r>
      <w:r w:rsidR="004256E8" w:rsidRPr="00241F83">
        <w:rPr>
          <w:rFonts w:cstheme="minorHAnsi"/>
          <w:bCs/>
          <w:sz w:val="24"/>
          <w:szCs w:val="24"/>
        </w:rPr>
        <w:t xml:space="preserve">detailed processes for </w:t>
      </w:r>
      <w:r w:rsidR="008F40E3">
        <w:rPr>
          <w:rFonts w:cstheme="minorHAnsi"/>
          <w:bCs/>
          <w:sz w:val="24"/>
          <w:szCs w:val="24"/>
        </w:rPr>
        <w:t>post-surgical</w:t>
      </w:r>
      <w:r w:rsidR="007E118B">
        <w:rPr>
          <w:rFonts w:cstheme="minorHAnsi"/>
          <w:bCs/>
          <w:sz w:val="24"/>
          <w:szCs w:val="24"/>
        </w:rPr>
        <w:t xml:space="preserve"> patient </w:t>
      </w:r>
      <w:r w:rsidR="008F40E3">
        <w:rPr>
          <w:rFonts w:cstheme="minorHAnsi"/>
          <w:bCs/>
          <w:sz w:val="24"/>
          <w:szCs w:val="24"/>
        </w:rPr>
        <w:t xml:space="preserve">follow-up, </w:t>
      </w:r>
      <w:r w:rsidR="004256E8" w:rsidRPr="00241F83">
        <w:rPr>
          <w:rFonts w:cstheme="minorHAnsi"/>
          <w:bCs/>
          <w:sz w:val="24"/>
          <w:szCs w:val="24"/>
        </w:rPr>
        <w:t>screening</w:t>
      </w:r>
      <w:r w:rsidR="00BF0DBD">
        <w:rPr>
          <w:rFonts w:cstheme="minorHAnsi"/>
          <w:bCs/>
          <w:sz w:val="24"/>
          <w:szCs w:val="24"/>
        </w:rPr>
        <w:t xml:space="preserve">, </w:t>
      </w:r>
      <w:r w:rsidR="007E118B">
        <w:rPr>
          <w:rFonts w:cstheme="minorHAnsi"/>
          <w:bCs/>
          <w:sz w:val="24"/>
          <w:szCs w:val="24"/>
        </w:rPr>
        <w:t xml:space="preserve">tracking and data collection to detect potential complications, (such as infections) and </w:t>
      </w:r>
      <w:r w:rsidR="00BF0DBD">
        <w:rPr>
          <w:rFonts w:cstheme="minorHAnsi"/>
          <w:bCs/>
          <w:sz w:val="24"/>
          <w:szCs w:val="24"/>
        </w:rPr>
        <w:t xml:space="preserve">to </w:t>
      </w:r>
      <w:r w:rsidR="007E118B">
        <w:rPr>
          <w:rFonts w:cstheme="minorHAnsi"/>
          <w:bCs/>
          <w:sz w:val="24"/>
          <w:szCs w:val="24"/>
        </w:rPr>
        <w:t>determine potential processes for quality improvement.</w:t>
      </w:r>
      <w:r w:rsidRPr="00241F83">
        <w:rPr>
          <w:rFonts w:cstheme="minorHAnsi"/>
          <w:bCs/>
          <w:sz w:val="24"/>
          <w:szCs w:val="24"/>
        </w:rPr>
        <w:t xml:space="preserve"> </w:t>
      </w:r>
      <w:r w:rsidR="009A1AAE" w:rsidRPr="00241F83">
        <w:rPr>
          <w:rFonts w:eastAsia="Calibri" w:cstheme="minorHAnsi"/>
          <w:bCs/>
          <w:sz w:val="24"/>
          <w:szCs w:val="24"/>
        </w:rPr>
        <w:t>Integrated processes are of particular importance in the ASC setting for managing patient referral to different points of care</w:t>
      </w:r>
      <w:r w:rsidR="004E79A4" w:rsidRPr="00241F83">
        <w:rPr>
          <w:rFonts w:eastAsia="Calibri" w:cstheme="minorHAnsi"/>
          <w:bCs/>
          <w:sz w:val="24"/>
          <w:szCs w:val="24"/>
        </w:rPr>
        <w:t>.</w:t>
      </w:r>
      <w:r w:rsidR="00AD15E9" w:rsidRPr="00241F83">
        <w:rPr>
          <w:rStyle w:val="EndnoteReference"/>
          <w:rFonts w:eastAsia="Calibri" w:cstheme="minorHAnsi"/>
          <w:bCs/>
          <w:sz w:val="24"/>
          <w:szCs w:val="24"/>
        </w:rPr>
        <w:endnoteReference w:id="24"/>
      </w:r>
      <w:r w:rsidR="009A1AAE" w:rsidRPr="00241F83">
        <w:rPr>
          <w:rFonts w:eastAsia="Calibri" w:cstheme="minorHAnsi"/>
          <w:bCs/>
          <w:sz w:val="24"/>
          <w:szCs w:val="24"/>
        </w:rPr>
        <w:t xml:space="preserve"> </w:t>
      </w:r>
      <w:r w:rsidR="00FF1B59" w:rsidRPr="00241F83">
        <w:rPr>
          <w:rFonts w:eastAsia="Calibri" w:cstheme="minorHAnsi"/>
          <w:bCs/>
          <w:sz w:val="24"/>
          <w:szCs w:val="24"/>
        </w:rPr>
        <w:t xml:space="preserve">Staff </w:t>
      </w:r>
      <w:r w:rsidR="00971E8D" w:rsidRPr="00241F83">
        <w:rPr>
          <w:rFonts w:eastAsia="Calibri" w:cstheme="minorHAnsi"/>
          <w:bCs/>
          <w:sz w:val="24"/>
          <w:szCs w:val="24"/>
        </w:rPr>
        <w:t>finds</w:t>
      </w:r>
      <w:r w:rsidR="00FF1B59" w:rsidRPr="00241F83">
        <w:rPr>
          <w:rFonts w:eastAsia="Calibri" w:cstheme="minorHAnsi"/>
          <w:bCs/>
          <w:sz w:val="24"/>
          <w:szCs w:val="24"/>
        </w:rPr>
        <w:t xml:space="preserve"> </w:t>
      </w:r>
      <w:r w:rsidR="007E118B">
        <w:rPr>
          <w:rFonts w:eastAsia="Calibri" w:cstheme="minorHAnsi"/>
          <w:bCs/>
          <w:sz w:val="24"/>
          <w:szCs w:val="24"/>
        </w:rPr>
        <w:t>NEB</w:t>
      </w:r>
      <w:r w:rsidR="004256E8" w:rsidRPr="00241F83">
        <w:rPr>
          <w:rFonts w:eastAsia="Calibri" w:cstheme="minorHAnsi"/>
          <w:bCs/>
          <w:sz w:val="24"/>
          <w:szCs w:val="24"/>
        </w:rPr>
        <w:t>SC</w:t>
      </w:r>
      <w:r w:rsidR="00AB1BA7" w:rsidRPr="00241F83">
        <w:rPr>
          <w:rFonts w:eastAsia="Calibri" w:cstheme="minorHAnsi"/>
          <w:bCs/>
          <w:sz w:val="24"/>
          <w:szCs w:val="24"/>
        </w:rPr>
        <w:t xml:space="preserve"> has adequate processes in place to</w:t>
      </w:r>
      <w:r w:rsidR="00FF1B59" w:rsidRPr="00241F83">
        <w:rPr>
          <w:rFonts w:eastAsia="Calibri" w:cstheme="minorHAnsi"/>
          <w:bCs/>
          <w:sz w:val="24"/>
          <w:szCs w:val="24"/>
        </w:rPr>
        <w:t xml:space="preserve"> </w:t>
      </w:r>
      <w:r w:rsidR="00971E8D" w:rsidRPr="00241F83">
        <w:rPr>
          <w:rFonts w:eastAsia="Calibri" w:cstheme="minorHAnsi"/>
          <w:bCs/>
          <w:sz w:val="24"/>
          <w:szCs w:val="24"/>
        </w:rPr>
        <w:t>facilitate</w:t>
      </w:r>
      <w:r w:rsidR="00FF1B59" w:rsidRPr="00241F83">
        <w:rPr>
          <w:rFonts w:eastAsia="Calibri" w:cstheme="minorHAnsi"/>
          <w:bCs/>
          <w:sz w:val="24"/>
          <w:szCs w:val="24"/>
        </w:rPr>
        <w:t xml:space="preserve"> care coordination and communication across providers</w:t>
      </w:r>
      <w:r w:rsidR="003E2674">
        <w:rPr>
          <w:rFonts w:eastAsia="Calibri" w:cstheme="minorHAnsi"/>
          <w:bCs/>
          <w:sz w:val="24"/>
          <w:szCs w:val="24"/>
        </w:rPr>
        <w:t>, which will continue after its conversion to an ASC</w:t>
      </w:r>
      <w:r w:rsidR="00FF1B59" w:rsidRPr="00241F83">
        <w:rPr>
          <w:rFonts w:eastAsia="Calibri" w:cstheme="minorHAnsi"/>
          <w:bCs/>
          <w:sz w:val="24"/>
          <w:szCs w:val="24"/>
        </w:rPr>
        <w:t xml:space="preserve">. </w:t>
      </w:r>
    </w:p>
    <w:p w14:paraId="7842ADC3" w14:textId="77777777" w:rsidR="00405910" w:rsidRPr="00241F83" w:rsidRDefault="00405910" w:rsidP="00BC1F7D">
      <w:pPr>
        <w:pStyle w:val="Heading1"/>
        <w:spacing w:before="0" w:line="240" w:lineRule="auto"/>
        <w:contextualSpacing/>
        <w:rPr>
          <w:rFonts w:asciiTheme="minorHAnsi" w:hAnsiTheme="minorHAnsi" w:cstheme="minorHAnsi"/>
        </w:rPr>
      </w:pPr>
      <w:bookmarkStart w:id="54" w:name="_Toc18922415"/>
      <w:bookmarkStart w:id="55" w:name="_Toc29755682"/>
      <w:bookmarkEnd w:id="49"/>
      <w:bookmarkEnd w:id="50"/>
    </w:p>
    <w:p w14:paraId="3ACA607D" w14:textId="7DA32EAD" w:rsidR="00E40FAA" w:rsidRPr="00241F83" w:rsidRDefault="00FA45BB" w:rsidP="00BC1F7D">
      <w:pPr>
        <w:pStyle w:val="Heading1"/>
        <w:spacing w:before="0" w:line="240" w:lineRule="auto"/>
        <w:contextualSpacing/>
        <w:rPr>
          <w:rFonts w:asciiTheme="minorHAnsi" w:hAnsiTheme="minorHAnsi" w:cstheme="minorHAnsi"/>
        </w:rPr>
      </w:pPr>
      <w:bookmarkStart w:id="56" w:name="_Toc115776587"/>
      <w:r w:rsidRPr="00241F83">
        <w:rPr>
          <w:rFonts w:asciiTheme="minorHAnsi" w:hAnsiTheme="minorHAnsi" w:cstheme="minorHAnsi"/>
        </w:rPr>
        <w:t>F</w:t>
      </w:r>
      <w:r w:rsidR="00371842" w:rsidRPr="00241F83">
        <w:rPr>
          <w:rFonts w:asciiTheme="minorHAnsi" w:hAnsiTheme="minorHAnsi" w:cstheme="minorHAnsi"/>
        </w:rPr>
        <w:t>actor 1: d) Consultation</w:t>
      </w:r>
      <w:bookmarkEnd w:id="54"/>
      <w:bookmarkEnd w:id="55"/>
      <w:bookmarkEnd w:id="56"/>
    </w:p>
    <w:p w14:paraId="00E47554" w14:textId="00A07FD0" w:rsidR="009D3520" w:rsidRPr="00241F83" w:rsidRDefault="00C12BBA" w:rsidP="0039108A">
      <w:pPr>
        <w:spacing w:before="240" w:line="240" w:lineRule="auto"/>
        <w:contextualSpacing/>
        <w:rPr>
          <w:rFonts w:cstheme="minorHAnsi"/>
          <w:sz w:val="24"/>
          <w:szCs w:val="24"/>
        </w:rPr>
      </w:pPr>
      <w:r w:rsidRPr="00241F83">
        <w:rPr>
          <w:rFonts w:cstheme="minorHAnsi"/>
          <w:sz w:val="24"/>
          <w:szCs w:val="24"/>
        </w:rPr>
        <w:t xml:space="preserve">The </w:t>
      </w:r>
      <w:r w:rsidR="00D33E4C" w:rsidRPr="00241F83">
        <w:rPr>
          <w:rFonts w:cstheme="minorHAnsi"/>
          <w:sz w:val="24"/>
          <w:szCs w:val="24"/>
        </w:rPr>
        <w:t>Applicant</w:t>
      </w:r>
      <w:r w:rsidRPr="00241F83">
        <w:rPr>
          <w:rFonts w:cstheme="minorHAnsi"/>
          <w:sz w:val="24"/>
          <w:szCs w:val="24"/>
        </w:rPr>
        <w:t xml:space="preserve"> has provided evidence of consultation, both prior to and after the </w:t>
      </w:r>
      <w:r w:rsidR="00844BA4" w:rsidRPr="00241F83">
        <w:rPr>
          <w:rFonts w:cstheme="minorHAnsi"/>
          <w:sz w:val="24"/>
          <w:szCs w:val="24"/>
        </w:rPr>
        <w:t>f</w:t>
      </w:r>
      <w:r w:rsidRPr="00241F83">
        <w:rPr>
          <w:rFonts w:cstheme="minorHAnsi"/>
          <w:sz w:val="24"/>
          <w:szCs w:val="24"/>
        </w:rPr>
        <w:t xml:space="preserve">iling </w:t>
      </w:r>
      <w:r w:rsidR="00844BA4" w:rsidRPr="00241F83">
        <w:rPr>
          <w:rFonts w:cstheme="minorHAnsi"/>
          <w:sz w:val="24"/>
          <w:szCs w:val="24"/>
        </w:rPr>
        <w:t>d</w:t>
      </w:r>
      <w:r w:rsidRPr="00241F83">
        <w:rPr>
          <w:rFonts w:cstheme="minorHAnsi"/>
          <w:sz w:val="24"/>
          <w:szCs w:val="24"/>
        </w:rPr>
        <w:t xml:space="preserve">ate, with all </w:t>
      </w:r>
      <w:r w:rsidR="00C06F05" w:rsidRPr="00241F83">
        <w:rPr>
          <w:rFonts w:cstheme="minorHAnsi"/>
          <w:sz w:val="24"/>
          <w:szCs w:val="24"/>
        </w:rPr>
        <w:t>government agencies that have</w:t>
      </w:r>
      <w:r w:rsidRPr="00241F83">
        <w:rPr>
          <w:rFonts w:cstheme="minorHAnsi"/>
          <w:sz w:val="24"/>
          <w:szCs w:val="24"/>
        </w:rPr>
        <w:t xml:space="preserve"> licensure, certification, or ot</w:t>
      </w:r>
      <w:r w:rsidR="00C06F05" w:rsidRPr="00241F83">
        <w:rPr>
          <w:rFonts w:cstheme="minorHAnsi"/>
          <w:sz w:val="24"/>
          <w:szCs w:val="24"/>
        </w:rPr>
        <w:t>her regulatory oversight, which has been done and will not be addressed further in this report.</w:t>
      </w:r>
    </w:p>
    <w:p w14:paraId="7CB4A029" w14:textId="3871410D" w:rsidR="009C6309" w:rsidRPr="009C6309" w:rsidRDefault="00076B1A" w:rsidP="009C6309">
      <w:pPr>
        <w:pStyle w:val="Heading1"/>
        <w:spacing w:before="0" w:line="240" w:lineRule="auto"/>
        <w:contextualSpacing/>
        <w:rPr>
          <w:rFonts w:asciiTheme="minorHAnsi" w:hAnsiTheme="minorHAnsi" w:cstheme="minorHAnsi"/>
        </w:rPr>
      </w:pPr>
      <w:bookmarkStart w:id="57" w:name="_Toc29755683"/>
      <w:bookmarkStart w:id="58" w:name="_Toc115776588"/>
      <w:bookmarkStart w:id="59" w:name="_Toc18922416"/>
      <w:r w:rsidRPr="00241F83">
        <w:rPr>
          <w:rStyle w:val="Heading1Char"/>
          <w:rFonts w:asciiTheme="minorHAnsi" w:hAnsiTheme="minorHAnsi" w:cstheme="minorHAnsi"/>
          <w:b/>
          <w:bCs/>
        </w:rPr>
        <w:t>Factor 1: e) Evidence of Sound Community Engagement through the Patient Panel</w:t>
      </w:r>
      <w:bookmarkEnd w:id="57"/>
      <w:bookmarkEnd w:id="58"/>
    </w:p>
    <w:p w14:paraId="0E96CC48" w14:textId="77777777" w:rsidR="009C6309" w:rsidRDefault="009C6309" w:rsidP="00BC1F7D">
      <w:pPr>
        <w:spacing w:after="0" w:line="240" w:lineRule="auto"/>
        <w:contextualSpacing/>
        <w:rPr>
          <w:rFonts w:eastAsia="Calibri" w:cstheme="minorHAnsi"/>
          <w:sz w:val="24"/>
          <w:szCs w:val="24"/>
        </w:rPr>
      </w:pPr>
    </w:p>
    <w:p w14:paraId="5CCB4604" w14:textId="49B27153" w:rsidR="00B633E1" w:rsidRDefault="00076B1A" w:rsidP="00BC1F7D">
      <w:pPr>
        <w:spacing w:after="0" w:line="240" w:lineRule="auto"/>
        <w:contextualSpacing/>
        <w:rPr>
          <w:rFonts w:cstheme="minorHAnsi"/>
          <w:sz w:val="24"/>
          <w:szCs w:val="24"/>
        </w:rPr>
      </w:pPr>
      <w:r w:rsidRPr="00241F83">
        <w:rPr>
          <w:rFonts w:eastAsia="Calibri" w:cstheme="minorHAnsi"/>
          <w:sz w:val="24"/>
          <w:szCs w:val="24"/>
        </w:rPr>
        <w:t>The Department’s Guideline</w:t>
      </w:r>
      <w:r w:rsidR="009C6309">
        <w:rPr>
          <w:rFonts w:eastAsia="Calibri" w:cstheme="minorHAnsi"/>
          <w:sz w:val="24"/>
          <w:szCs w:val="24"/>
        </w:rPr>
        <w:t xml:space="preserve"> </w:t>
      </w:r>
      <w:r w:rsidRPr="00241F83">
        <w:rPr>
          <w:rFonts w:eastAsia="Calibri" w:cstheme="minorHAnsi"/>
          <w:sz w:val="24"/>
          <w:szCs w:val="24"/>
        </w:rPr>
        <w:t>for community engagement</w:t>
      </w:r>
      <w:r w:rsidR="009C6309" w:rsidRPr="009C6309">
        <w:rPr>
          <w:rFonts w:eastAsia="Calibri" w:cstheme="minorHAnsi"/>
          <w:sz w:val="24"/>
          <w:szCs w:val="24"/>
          <w:vertAlign w:val="superscript"/>
        </w:rPr>
        <w:endnoteReference w:id="25"/>
      </w:r>
      <w:r w:rsidR="009C6309" w:rsidRPr="009C6309">
        <w:rPr>
          <w:rFonts w:eastAsia="Calibri" w:cstheme="minorHAnsi"/>
          <w:sz w:val="24"/>
          <w:szCs w:val="24"/>
        </w:rPr>
        <w:t xml:space="preserve"> </w:t>
      </w:r>
      <w:r w:rsidRPr="00241F83">
        <w:rPr>
          <w:rFonts w:eastAsia="Calibri" w:cstheme="minorHAnsi"/>
          <w:sz w:val="24"/>
          <w:szCs w:val="24"/>
        </w:rPr>
        <w:t xml:space="preserve">defines “community” as the Patient Panel, and requires that at minimum, the </w:t>
      </w:r>
      <w:r w:rsidR="00D33E4C" w:rsidRPr="00241F83">
        <w:rPr>
          <w:rFonts w:eastAsia="Calibri" w:cstheme="minorHAnsi"/>
          <w:sz w:val="24"/>
          <w:szCs w:val="24"/>
        </w:rPr>
        <w:t>Applicant</w:t>
      </w:r>
      <w:r w:rsidRPr="00241F83">
        <w:rPr>
          <w:rFonts w:eastAsia="Calibri" w:cstheme="minorHAnsi"/>
          <w:sz w:val="24"/>
          <w:szCs w:val="24"/>
        </w:rPr>
        <w:t xml:space="preserve"> must “consult” with groups representative of the </w:t>
      </w:r>
      <w:r w:rsidR="00D33E4C" w:rsidRPr="00241F83">
        <w:rPr>
          <w:rFonts w:eastAsia="Calibri" w:cstheme="minorHAnsi"/>
          <w:sz w:val="24"/>
          <w:szCs w:val="24"/>
        </w:rPr>
        <w:t>Applicant</w:t>
      </w:r>
      <w:r w:rsidR="00DF1900" w:rsidRPr="00241F83">
        <w:rPr>
          <w:rFonts w:eastAsia="Calibri" w:cstheme="minorHAnsi"/>
          <w:sz w:val="24"/>
          <w:szCs w:val="24"/>
        </w:rPr>
        <w:t>’</w:t>
      </w:r>
      <w:r w:rsidRPr="00241F83">
        <w:rPr>
          <w:rFonts w:eastAsia="Calibri" w:cstheme="minorHAnsi"/>
          <w:sz w:val="24"/>
          <w:szCs w:val="24"/>
        </w:rPr>
        <w:t>s Patient Panel.</w:t>
      </w:r>
      <w:r w:rsidR="00F2354A" w:rsidRPr="00241F83">
        <w:rPr>
          <w:rFonts w:eastAsia="Calibri" w:cstheme="minorHAnsi"/>
          <w:sz w:val="24"/>
          <w:szCs w:val="24"/>
        </w:rPr>
        <w:t xml:space="preserve"> </w:t>
      </w:r>
      <w:r w:rsidRPr="00241F83">
        <w:rPr>
          <w:rFonts w:eastAsia="Calibri" w:cstheme="minorHAnsi"/>
          <w:sz w:val="24"/>
          <w:szCs w:val="24"/>
        </w:rPr>
        <w:t xml:space="preserve">Regulations state that </w:t>
      </w:r>
      <w:r w:rsidR="00976959" w:rsidRPr="00241F83">
        <w:rPr>
          <w:rFonts w:eastAsia="Calibri" w:cstheme="minorHAnsi"/>
          <w:sz w:val="24"/>
          <w:szCs w:val="24"/>
        </w:rPr>
        <w:t xml:space="preserve">efforts in </w:t>
      </w:r>
      <w:r w:rsidRPr="00241F83">
        <w:rPr>
          <w:rFonts w:eastAsia="Calibri" w:cstheme="minorHAnsi"/>
          <w:sz w:val="24"/>
          <w:szCs w:val="24"/>
        </w:rPr>
        <w:t>such consultation</w:t>
      </w:r>
      <w:r w:rsidR="00976959" w:rsidRPr="00241F83">
        <w:rPr>
          <w:rFonts w:eastAsia="Calibri" w:cstheme="minorHAnsi"/>
          <w:sz w:val="24"/>
          <w:szCs w:val="24"/>
        </w:rPr>
        <w:t xml:space="preserve"> should </w:t>
      </w:r>
      <w:r w:rsidRPr="00241F83">
        <w:rPr>
          <w:rFonts w:eastAsia="Calibri" w:cstheme="minorHAnsi"/>
          <w:sz w:val="24"/>
          <w:szCs w:val="24"/>
        </w:rPr>
        <w:t xml:space="preserve">consist of </w:t>
      </w:r>
      <w:r w:rsidR="00976959" w:rsidRPr="00241F83">
        <w:rPr>
          <w:rFonts w:eastAsia="Calibri" w:cstheme="minorHAnsi"/>
          <w:sz w:val="24"/>
          <w:szCs w:val="24"/>
        </w:rPr>
        <w:t>engaging</w:t>
      </w:r>
      <w:r w:rsidRPr="00241F83">
        <w:rPr>
          <w:rFonts w:eastAsia="Calibri" w:cstheme="minorHAnsi"/>
          <w:sz w:val="24"/>
          <w:szCs w:val="24"/>
        </w:rPr>
        <w:t xml:space="preserve"> </w:t>
      </w:r>
      <w:r w:rsidRPr="00241F83">
        <w:rPr>
          <w:rFonts w:cstheme="minorHAnsi"/>
          <w:sz w:val="24"/>
          <w:szCs w:val="24"/>
        </w:rPr>
        <w:t>“community coalition</w:t>
      </w:r>
      <w:r w:rsidR="00976959" w:rsidRPr="00241F83">
        <w:rPr>
          <w:rFonts w:cstheme="minorHAnsi"/>
          <w:sz w:val="24"/>
          <w:szCs w:val="24"/>
        </w:rPr>
        <w:t>s</w:t>
      </w:r>
      <w:r w:rsidRPr="00241F83">
        <w:rPr>
          <w:rFonts w:cstheme="minorHAnsi"/>
          <w:sz w:val="24"/>
          <w:szCs w:val="24"/>
        </w:rPr>
        <w:t xml:space="preserve"> statistically representative of the </w:t>
      </w:r>
      <w:r w:rsidR="00976959" w:rsidRPr="00241F83">
        <w:rPr>
          <w:rFonts w:cstheme="minorHAnsi"/>
          <w:sz w:val="24"/>
          <w:szCs w:val="24"/>
        </w:rPr>
        <w:t>P</w:t>
      </w:r>
      <w:r w:rsidRPr="00241F83">
        <w:rPr>
          <w:rFonts w:cstheme="minorHAnsi"/>
          <w:sz w:val="24"/>
          <w:szCs w:val="24"/>
        </w:rPr>
        <w:t xml:space="preserve">atient </w:t>
      </w:r>
      <w:r w:rsidR="00976959" w:rsidRPr="00241F83">
        <w:rPr>
          <w:rFonts w:cstheme="minorHAnsi"/>
          <w:sz w:val="24"/>
          <w:szCs w:val="24"/>
        </w:rPr>
        <w:t>P</w:t>
      </w:r>
      <w:r w:rsidRPr="00241F83">
        <w:rPr>
          <w:rFonts w:cstheme="minorHAnsi"/>
          <w:sz w:val="24"/>
          <w:szCs w:val="24"/>
        </w:rPr>
        <w:t>anel.”</w:t>
      </w:r>
      <w:r w:rsidR="00B633E1" w:rsidRPr="00241F83">
        <w:rPr>
          <w:rFonts w:cstheme="minorHAnsi"/>
          <w:sz w:val="24"/>
          <w:szCs w:val="24"/>
          <w:vertAlign w:val="superscript"/>
        </w:rPr>
        <w:endnoteReference w:id="26"/>
      </w:r>
    </w:p>
    <w:p w14:paraId="45707C8A" w14:textId="07669B18" w:rsidR="003130DF" w:rsidRDefault="003130DF" w:rsidP="00BC1F7D">
      <w:pPr>
        <w:spacing w:after="0" w:line="240" w:lineRule="auto"/>
        <w:contextualSpacing/>
        <w:rPr>
          <w:rFonts w:cstheme="minorHAnsi"/>
          <w:sz w:val="24"/>
          <w:szCs w:val="24"/>
        </w:rPr>
      </w:pPr>
    </w:p>
    <w:p w14:paraId="06589CD9" w14:textId="29CB3176" w:rsidR="003130DF" w:rsidRPr="00241F83" w:rsidRDefault="003130DF" w:rsidP="00BC1F7D">
      <w:pPr>
        <w:spacing w:after="0" w:line="240" w:lineRule="auto"/>
        <w:contextualSpacing/>
        <w:rPr>
          <w:rFonts w:cstheme="minorHAnsi"/>
          <w:sz w:val="24"/>
          <w:szCs w:val="24"/>
        </w:rPr>
      </w:pPr>
      <w:r w:rsidRPr="003130DF">
        <w:rPr>
          <w:rFonts w:cstheme="minorHAnsi"/>
          <w:sz w:val="24"/>
          <w:szCs w:val="24"/>
        </w:rPr>
        <w:t xml:space="preserve">The Applicant </w:t>
      </w:r>
      <w:r w:rsidR="009C6309">
        <w:rPr>
          <w:rFonts w:cstheme="minorHAnsi"/>
          <w:sz w:val="24"/>
          <w:szCs w:val="24"/>
        </w:rPr>
        <w:t xml:space="preserve">reports </w:t>
      </w:r>
      <w:r>
        <w:rPr>
          <w:rFonts w:cstheme="minorHAnsi"/>
          <w:sz w:val="24"/>
          <w:szCs w:val="24"/>
        </w:rPr>
        <w:t xml:space="preserve">that </w:t>
      </w:r>
      <w:r w:rsidRPr="003130DF">
        <w:rPr>
          <w:rFonts w:cstheme="minorHAnsi"/>
          <w:sz w:val="24"/>
          <w:szCs w:val="24"/>
        </w:rPr>
        <w:t>NEBH held a meeting for members of its Patient and Family Advisory Council (PFAC) on June 21</w:t>
      </w:r>
      <w:r>
        <w:rPr>
          <w:rFonts w:cstheme="minorHAnsi"/>
          <w:sz w:val="24"/>
          <w:szCs w:val="24"/>
        </w:rPr>
        <w:t>, 2022</w:t>
      </w:r>
      <w:r w:rsidR="009C6309">
        <w:rPr>
          <w:rFonts w:cstheme="minorHAnsi"/>
          <w:sz w:val="24"/>
          <w:szCs w:val="24"/>
        </w:rPr>
        <w:t xml:space="preserve"> at which</w:t>
      </w:r>
      <w:r w:rsidRPr="003130DF">
        <w:rPr>
          <w:rFonts w:cstheme="minorHAnsi"/>
          <w:sz w:val="24"/>
          <w:szCs w:val="24"/>
        </w:rPr>
        <w:t xml:space="preserve"> 3 NEBH and 5 patient representatives</w:t>
      </w:r>
      <w:r w:rsidR="009C6309">
        <w:rPr>
          <w:rFonts w:cstheme="minorHAnsi"/>
          <w:sz w:val="24"/>
          <w:szCs w:val="24"/>
        </w:rPr>
        <w:t xml:space="preserve"> attended</w:t>
      </w:r>
      <w:r w:rsidRPr="003130DF">
        <w:rPr>
          <w:rFonts w:cstheme="minorHAnsi"/>
          <w:sz w:val="24"/>
          <w:szCs w:val="24"/>
        </w:rPr>
        <w:t xml:space="preserve">. </w:t>
      </w:r>
      <w:r w:rsidR="009C6309">
        <w:rPr>
          <w:rFonts w:cstheme="minorHAnsi"/>
          <w:sz w:val="24"/>
          <w:szCs w:val="24"/>
        </w:rPr>
        <w:t xml:space="preserve">First </w:t>
      </w:r>
      <w:r w:rsidRPr="003130DF">
        <w:rPr>
          <w:rFonts w:cstheme="minorHAnsi"/>
          <w:sz w:val="24"/>
          <w:szCs w:val="24"/>
        </w:rPr>
        <w:t>David Passafaro, President of NEBH, presented on the Proposed Project and its impact</w:t>
      </w:r>
      <w:r w:rsidR="009C6309">
        <w:rPr>
          <w:rFonts w:cstheme="minorHAnsi"/>
          <w:sz w:val="24"/>
          <w:szCs w:val="24"/>
        </w:rPr>
        <w:t>, and then</w:t>
      </w:r>
      <w:r w:rsidRPr="003130DF">
        <w:rPr>
          <w:rFonts w:cstheme="minorHAnsi"/>
          <w:sz w:val="24"/>
          <w:szCs w:val="24"/>
        </w:rPr>
        <w:t xml:space="preserve"> the floor was opened to PFAC for questions.</w:t>
      </w:r>
    </w:p>
    <w:p w14:paraId="0523FD61" w14:textId="77777777" w:rsidR="003130DF" w:rsidRPr="003130DF" w:rsidRDefault="003130DF" w:rsidP="003130DF">
      <w:pPr>
        <w:spacing w:after="0" w:line="240" w:lineRule="auto"/>
        <w:contextualSpacing/>
        <w:rPr>
          <w:rFonts w:eastAsia="Calibri" w:cstheme="minorHAnsi"/>
          <w:sz w:val="24"/>
          <w:szCs w:val="24"/>
        </w:rPr>
      </w:pPr>
    </w:p>
    <w:p w14:paraId="5D8B8327" w14:textId="4D2E5DCC" w:rsidR="00C06F05" w:rsidRPr="00241F83" w:rsidRDefault="00492458" w:rsidP="00EA38CA">
      <w:pPr>
        <w:spacing w:after="0" w:line="240" w:lineRule="auto"/>
        <w:contextualSpacing/>
        <w:rPr>
          <w:rFonts w:cstheme="minorHAnsi"/>
          <w:b/>
          <w:bCs/>
          <w:i/>
          <w:sz w:val="24"/>
          <w:szCs w:val="24"/>
        </w:rPr>
      </w:pPr>
      <w:r>
        <w:rPr>
          <w:rFonts w:eastAsia="Calibri" w:cstheme="minorHAnsi"/>
          <w:sz w:val="24"/>
          <w:szCs w:val="24"/>
        </w:rPr>
        <w:t>T</w:t>
      </w:r>
      <w:r w:rsidR="003130DF">
        <w:rPr>
          <w:rFonts w:eastAsia="Calibri" w:cstheme="minorHAnsi"/>
          <w:sz w:val="24"/>
          <w:szCs w:val="24"/>
        </w:rPr>
        <w:t xml:space="preserve">he Applicant </w:t>
      </w:r>
      <w:r w:rsidR="009C6309">
        <w:rPr>
          <w:rFonts w:eastAsia="Calibri" w:cstheme="minorHAnsi"/>
          <w:sz w:val="24"/>
          <w:szCs w:val="24"/>
        </w:rPr>
        <w:t xml:space="preserve">reports </w:t>
      </w:r>
      <w:r w:rsidR="003130DF">
        <w:rPr>
          <w:rFonts w:eastAsia="Calibri" w:cstheme="minorHAnsi"/>
          <w:sz w:val="24"/>
          <w:szCs w:val="24"/>
        </w:rPr>
        <w:t xml:space="preserve">that </w:t>
      </w:r>
      <w:r w:rsidR="003130DF" w:rsidRPr="003130DF">
        <w:rPr>
          <w:rFonts w:eastAsia="Calibri" w:cstheme="minorHAnsi"/>
          <w:sz w:val="24"/>
          <w:szCs w:val="24"/>
        </w:rPr>
        <w:t xml:space="preserve">NEBH has a 10-year history of interaction with the HOPD’s host communities of Dedham and Westwood (the town boundary bisects the </w:t>
      </w:r>
      <w:r>
        <w:rPr>
          <w:rFonts w:eastAsia="Calibri" w:cstheme="minorHAnsi"/>
          <w:sz w:val="24"/>
          <w:szCs w:val="24"/>
        </w:rPr>
        <w:t xml:space="preserve">ASC </w:t>
      </w:r>
      <w:r w:rsidR="003130DF" w:rsidRPr="003130DF">
        <w:rPr>
          <w:rFonts w:eastAsia="Calibri" w:cstheme="minorHAnsi"/>
          <w:sz w:val="24"/>
          <w:szCs w:val="24"/>
        </w:rPr>
        <w:t>site). The President of NEBH has held briefings with several elected officials in the service area, including State Senator Michael Rush; State Representative Paul McMurtry; and Sarah MacDonald, then the Vice Chair of the Dedham Select Board.</w:t>
      </w:r>
      <w:r w:rsidR="003130DF" w:rsidRPr="003130DF">
        <w:rPr>
          <w:rFonts w:eastAsia="Calibri" w:cstheme="minorHAnsi"/>
          <w:sz w:val="24"/>
          <w:szCs w:val="24"/>
          <w:vertAlign w:val="superscript"/>
        </w:rPr>
        <w:footnoteReference w:id="12"/>
      </w:r>
      <w:r w:rsidR="003130DF" w:rsidRPr="003130DF">
        <w:rPr>
          <w:rFonts w:eastAsia="Calibri" w:cstheme="minorHAnsi"/>
          <w:sz w:val="24"/>
          <w:szCs w:val="24"/>
        </w:rPr>
        <w:t xml:space="preserve"> In </w:t>
      </w:r>
      <w:r>
        <w:rPr>
          <w:rFonts w:eastAsia="Calibri" w:cstheme="minorHAnsi"/>
          <w:sz w:val="24"/>
          <w:szCs w:val="24"/>
        </w:rPr>
        <w:t xml:space="preserve">these </w:t>
      </w:r>
      <w:r w:rsidR="003130DF" w:rsidRPr="003130DF">
        <w:rPr>
          <w:rFonts w:eastAsia="Calibri" w:cstheme="minorHAnsi"/>
          <w:sz w:val="24"/>
          <w:szCs w:val="24"/>
        </w:rPr>
        <w:t>discussion</w:t>
      </w:r>
      <w:r>
        <w:rPr>
          <w:rFonts w:eastAsia="Calibri" w:cstheme="minorHAnsi"/>
          <w:sz w:val="24"/>
          <w:szCs w:val="24"/>
        </w:rPr>
        <w:t>s</w:t>
      </w:r>
      <w:r w:rsidR="003130DF" w:rsidRPr="003130DF">
        <w:rPr>
          <w:rFonts w:eastAsia="Calibri" w:cstheme="minorHAnsi"/>
          <w:sz w:val="24"/>
          <w:szCs w:val="24"/>
        </w:rPr>
        <w:t xml:space="preserve">, NEBH reviewed the current HOPD site, its future state as a free-standing ASC, and how the conversion will address patient needs. On July 12, </w:t>
      </w:r>
      <w:r>
        <w:rPr>
          <w:rFonts w:eastAsia="Calibri" w:cstheme="minorHAnsi"/>
          <w:sz w:val="24"/>
          <w:szCs w:val="24"/>
        </w:rPr>
        <w:t xml:space="preserve">Mr. </w:t>
      </w:r>
      <w:r w:rsidR="003130DF" w:rsidRPr="003130DF">
        <w:rPr>
          <w:rFonts w:eastAsia="Calibri" w:cstheme="minorHAnsi"/>
          <w:sz w:val="24"/>
          <w:szCs w:val="24"/>
        </w:rPr>
        <w:t xml:space="preserve">Passafaro wrote to the municipal leadership of Dedham and Westwood </w:t>
      </w:r>
      <w:r w:rsidR="003130DF" w:rsidRPr="003130DF">
        <w:rPr>
          <w:rFonts w:eastAsia="Calibri" w:cstheme="minorHAnsi"/>
          <w:sz w:val="24"/>
          <w:szCs w:val="24"/>
        </w:rPr>
        <w:lastRenderedPageBreak/>
        <w:t>providing details regarding the proposed project.</w:t>
      </w:r>
      <w:r w:rsidR="003130DF" w:rsidRPr="003130DF">
        <w:rPr>
          <w:rFonts w:eastAsia="Calibri" w:cstheme="minorHAnsi"/>
          <w:sz w:val="24"/>
          <w:szCs w:val="24"/>
          <w:vertAlign w:val="superscript"/>
        </w:rPr>
        <w:footnoteReference w:id="13"/>
      </w:r>
      <w:r w:rsidR="003130DF" w:rsidRPr="003130DF">
        <w:rPr>
          <w:rFonts w:eastAsia="Calibri" w:cstheme="minorHAnsi"/>
          <w:sz w:val="24"/>
          <w:szCs w:val="24"/>
        </w:rPr>
        <w:br/>
      </w:r>
      <w:r w:rsidR="003130DF" w:rsidRPr="003130DF">
        <w:rPr>
          <w:rFonts w:eastAsia="Calibri" w:cstheme="minorHAnsi"/>
          <w:sz w:val="24"/>
          <w:szCs w:val="24"/>
        </w:rPr>
        <w:br/>
      </w:r>
      <w:bookmarkEnd w:id="59"/>
      <w:r w:rsidR="00C06F05" w:rsidRPr="00241F83">
        <w:rPr>
          <w:rFonts w:cstheme="minorHAnsi"/>
          <w:b/>
          <w:i/>
          <w:sz w:val="24"/>
          <w:szCs w:val="24"/>
        </w:rPr>
        <w:t>Analysis</w:t>
      </w:r>
    </w:p>
    <w:p w14:paraId="4C334A6E" w14:textId="06D12CC9" w:rsidR="00076B1A" w:rsidRDefault="00615B65" w:rsidP="00DE1CDF">
      <w:pPr>
        <w:spacing w:line="240" w:lineRule="auto"/>
        <w:ind w:right="540"/>
        <w:contextualSpacing/>
        <w:rPr>
          <w:rFonts w:eastAsia="Calibri" w:cstheme="minorHAnsi"/>
          <w:bCs/>
          <w:sz w:val="24"/>
          <w:szCs w:val="24"/>
        </w:rPr>
      </w:pPr>
      <w:r w:rsidRPr="00241F83">
        <w:rPr>
          <w:rFonts w:eastAsia="Calibri" w:cstheme="minorHAnsi"/>
          <w:sz w:val="24"/>
          <w:szCs w:val="24"/>
        </w:rPr>
        <w:t xml:space="preserve">Staff reviewed the information on the </w:t>
      </w:r>
      <w:r w:rsidR="00D33E4C" w:rsidRPr="00241F83">
        <w:rPr>
          <w:rFonts w:eastAsia="Calibri" w:cstheme="minorHAnsi"/>
          <w:sz w:val="24"/>
          <w:szCs w:val="24"/>
        </w:rPr>
        <w:t>Applicant</w:t>
      </w:r>
      <w:r w:rsidRPr="00241F83">
        <w:rPr>
          <w:rFonts w:eastAsia="Calibri" w:cstheme="minorHAnsi"/>
          <w:sz w:val="24"/>
          <w:szCs w:val="24"/>
        </w:rPr>
        <w:t>’s community engagement and</w:t>
      </w:r>
      <w:r w:rsidR="00076B1A" w:rsidRPr="00241F83">
        <w:rPr>
          <w:rFonts w:eastAsia="Calibri" w:cstheme="minorHAnsi"/>
          <w:sz w:val="24"/>
          <w:szCs w:val="24"/>
        </w:rPr>
        <w:t xml:space="preserve"> finds that</w:t>
      </w:r>
      <w:r w:rsidRPr="00241F83">
        <w:rPr>
          <w:rFonts w:eastAsia="Calibri" w:cstheme="minorHAnsi"/>
          <w:bCs/>
          <w:sz w:val="24"/>
          <w:szCs w:val="24"/>
        </w:rPr>
        <w:t xml:space="preserve"> </w:t>
      </w:r>
      <w:r w:rsidR="00076B1A" w:rsidRPr="00241F83">
        <w:rPr>
          <w:rFonts w:eastAsia="Calibri" w:cstheme="minorHAnsi"/>
          <w:bCs/>
          <w:sz w:val="24"/>
          <w:szCs w:val="24"/>
        </w:rPr>
        <w:t xml:space="preserve">the </w:t>
      </w:r>
      <w:r w:rsidR="00D33E4C" w:rsidRPr="00241F83">
        <w:rPr>
          <w:rFonts w:eastAsia="Calibri" w:cstheme="minorHAnsi"/>
          <w:bCs/>
          <w:sz w:val="24"/>
          <w:szCs w:val="24"/>
        </w:rPr>
        <w:t>Applicant</w:t>
      </w:r>
      <w:r w:rsidR="00076B1A" w:rsidRPr="00241F83">
        <w:rPr>
          <w:rFonts w:eastAsia="Calibri" w:cstheme="minorHAnsi"/>
          <w:bCs/>
          <w:sz w:val="24"/>
          <w:szCs w:val="24"/>
        </w:rPr>
        <w:t xml:space="preserve"> </w:t>
      </w:r>
      <w:r w:rsidR="006A2B75" w:rsidRPr="00241F83">
        <w:rPr>
          <w:rFonts w:eastAsia="Calibri" w:cstheme="minorHAnsi"/>
          <w:bCs/>
          <w:sz w:val="24"/>
          <w:szCs w:val="24"/>
        </w:rPr>
        <w:t>has</w:t>
      </w:r>
      <w:r w:rsidR="00076B1A" w:rsidRPr="00241F83">
        <w:rPr>
          <w:rFonts w:eastAsia="Calibri" w:cstheme="minorHAnsi"/>
          <w:bCs/>
          <w:sz w:val="24"/>
          <w:szCs w:val="24"/>
        </w:rPr>
        <w:t xml:space="preserve"> met the minimum required </w:t>
      </w:r>
      <w:r w:rsidR="00274B67" w:rsidRPr="00241F83">
        <w:rPr>
          <w:rFonts w:eastAsia="Calibri" w:cstheme="minorHAnsi"/>
          <w:bCs/>
          <w:sz w:val="24"/>
          <w:szCs w:val="24"/>
        </w:rPr>
        <w:t>c</w:t>
      </w:r>
      <w:r w:rsidR="00590AE4" w:rsidRPr="00241F83">
        <w:rPr>
          <w:rFonts w:eastAsia="Calibri" w:cstheme="minorHAnsi"/>
          <w:bCs/>
          <w:sz w:val="24"/>
          <w:szCs w:val="24"/>
        </w:rPr>
        <w:t xml:space="preserve">ommunity </w:t>
      </w:r>
      <w:r w:rsidR="00076B1A" w:rsidRPr="00241F83">
        <w:rPr>
          <w:rFonts w:eastAsia="Calibri" w:cstheme="minorHAnsi"/>
          <w:bCs/>
          <w:sz w:val="24"/>
          <w:szCs w:val="24"/>
        </w:rPr>
        <w:t xml:space="preserve">engagement standard of </w:t>
      </w:r>
      <w:r w:rsidR="00076B1A" w:rsidRPr="00241F83">
        <w:rPr>
          <w:rFonts w:eastAsia="Calibri" w:cstheme="minorHAnsi"/>
          <w:bCs/>
          <w:i/>
          <w:sz w:val="24"/>
          <w:szCs w:val="24"/>
        </w:rPr>
        <w:t>Consult</w:t>
      </w:r>
      <w:r w:rsidR="00076B1A" w:rsidRPr="00241F83">
        <w:rPr>
          <w:rFonts w:eastAsia="Calibri" w:cstheme="minorHAnsi"/>
          <w:bCs/>
          <w:sz w:val="24"/>
          <w:szCs w:val="24"/>
        </w:rPr>
        <w:t xml:space="preserve"> in the plannin</w:t>
      </w:r>
      <w:r w:rsidR="00DB0729" w:rsidRPr="00241F83">
        <w:rPr>
          <w:rFonts w:eastAsia="Calibri" w:cstheme="minorHAnsi"/>
          <w:bCs/>
          <w:sz w:val="24"/>
          <w:szCs w:val="24"/>
        </w:rPr>
        <w:t xml:space="preserve">g phase of the </w:t>
      </w:r>
      <w:r w:rsidR="00B66506" w:rsidRPr="00241F83">
        <w:rPr>
          <w:rFonts w:eastAsia="Calibri" w:cstheme="minorHAnsi"/>
          <w:bCs/>
          <w:sz w:val="24"/>
          <w:szCs w:val="24"/>
        </w:rPr>
        <w:t>P</w:t>
      </w:r>
      <w:r w:rsidR="00501213" w:rsidRPr="00241F83">
        <w:rPr>
          <w:rFonts w:eastAsia="Calibri" w:cstheme="minorHAnsi"/>
          <w:bCs/>
          <w:sz w:val="24"/>
          <w:szCs w:val="24"/>
        </w:rPr>
        <w:t xml:space="preserve">roposed </w:t>
      </w:r>
      <w:r w:rsidR="00B66506" w:rsidRPr="00241F83">
        <w:rPr>
          <w:rFonts w:eastAsia="Calibri" w:cstheme="minorHAnsi"/>
          <w:bCs/>
          <w:sz w:val="24"/>
          <w:szCs w:val="24"/>
        </w:rPr>
        <w:t>P</w:t>
      </w:r>
      <w:r w:rsidR="00501213" w:rsidRPr="00241F83">
        <w:rPr>
          <w:rFonts w:eastAsia="Calibri" w:cstheme="minorHAnsi"/>
          <w:bCs/>
          <w:sz w:val="24"/>
          <w:szCs w:val="24"/>
        </w:rPr>
        <w:t>roject</w:t>
      </w:r>
      <w:r w:rsidR="00B47AC4" w:rsidRPr="00241F83">
        <w:rPr>
          <w:rFonts w:eastAsia="Calibri" w:cstheme="minorHAnsi"/>
          <w:bCs/>
          <w:sz w:val="24"/>
          <w:szCs w:val="24"/>
        </w:rPr>
        <w:t xml:space="preserve">. </w:t>
      </w:r>
    </w:p>
    <w:p w14:paraId="21AFCE0C" w14:textId="77777777" w:rsidR="009C6309" w:rsidRPr="00241F83" w:rsidRDefault="009C6309" w:rsidP="00DE1CDF">
      <w:pPr>
        <w:spacing w:line="240" w:lineRule="auto"/>
        <w:ind w:right="540"/>
        <w:contextualSpacing/>
        <w:rPr>
          <w:rFonts w:cstheme="minorHAnsi"/>
          <w:b/>
          <w:bCs/>
          <w:i/>
          <w:sz w:val="24"/>
          <w:szCs w:val="24"/>
        </w:rPr>
      </w:pPr>
    </w:p>
    <w:p w14:paraId="66BB40F0" w14:textId="0BC6D21D" w:rsidR="00E40FAA" w:rsidRPr="00241F83" w:rsidRDefault="00E40FAA" w:rsidP="00DE1CDF">
      <w:pPr>
        <w:pStyle w:val="Heading1"/>
        <w:spacing w:before="0" w:after="120" w:line="240" w:lineRule="auto"/>
        <w:rPr>
          <w:rFonts w:asciiTheme="minorHAnsi" w:hAnsiTheme="minorHAnsi" w:cstheme="minorHAnsi"/>
        </w:rPr>
      </w:pPr>
      <w:bookmarkStart w:id="60" w:name="_Toc18922417"/>
      <w:bookmarkStart w:id="61" w:name="_Toc29755684"/>
      <w:bookmarkStart w:id="62" w:name="_Toc115776589"/>
      <w:bookmarkStart w:id="63" w:name="_Toc17322399"/>
      <w:r w:rsidRPr="00241F83">
        <w:rPr>
          <w:rFonts w:asciiTheme="minorHAnsi" w:hAnsiTheme="minorHAnsi" w:cstheme="minorHAnsi"/>
        </w:rPr>
        <w:t xml:space="preserve">Factor 1: f) Competition on </w:t>
      </w:r>
      <w:r w:rsidR="00C073C3" w:rsidRPr="00241F83">
        <w:rPr>
          <w:rFonts w:asciiTheme="minorHAnsi" w:hAnsiTheme="minorHAnsi" w:cstheme="minorHAnsi"/>
        </w:rPr>
        <w:t>P</w:t>
      </w:r>
      <w:r w:rsidRPr="00241F83">
        <w:rPr>
          <w:rFonts w:asciiTheme="minorHAnsi" w:hAnsiTheme="minorHAnsi" w:cstheme="minorHAnsi"/>
        </w:rPr>
        <w:t xml:space="preserve">rice, </w:t>
      </w:r>
      <w:r w:rsidR="00C073C3" w:rsidRPr="00241F83">
        <w:rPr>
          <w:rFonts w:asciiTheme="minorHAnsi" w:hAnsiTheme="minorHAnsi" w:cstheme="minorHAnsi"/>
        </w:rPr>
        <w:t>T</w:t>
      </w:r>
      <w:r w:rsidR="00371842" w:rsidRPr="00241F83">
        <w:rPr>
          <w:rFonts w:asciiTheme="minorHAnsi" w:hAnsiTheme="minorHAnsi" w:cstheme="minorHAnsi"/>
        </w:rPr>
        <w:t xml:space="preserve">otal </w:t>
      </w:r>
      <w:r w:rsidR="00C073C3" w:rsidRPr="00241F83">
        <w:rPr>
          <w:rFonts w:asciiTheme="minorHAnsi" w:hAnsiTheme="minorHAnsi" w:cstheme="minorHAnsi"/>
        </w:rPr>
        <w:t>M</w:t>
      </w:r>
      <w:r w:rsidR="00371842" w:rsidRPr="00241F83">
        <w:rPr>
          <w:rFonts w:asciiTheme="minorHAnsi" w:hAnsiTheme="minorHAnsi" w:cstheme="minorHAnsi"/>
        </w:rPr>
        <w:t xml:space="preserve">edical </w:t>
      </w:r>
      <w:r w:rsidR="00C073C3" w:rsidRPr="00241F83">
        <w:rPr>
          <w:rFonts w:asciiTheme="minorHAnsi" w:hAnsiTheme="minorHAnsi" w:cstheme="minorHAnsi"/>
        </w:rPr>
        <w:t>E</w:t>
      </w:r>
      <w:r w:rsidR="00371842" w:rsidRPr="00241F83">
        <w:rPr>
          <w:rFonts w:asciiTheme="minorHAnsi" w:hAnsiTheme="minorHAnsi" w:cstheme="minorHAnsi"/>
        </w:rPr>
        <w:t>xpenses (TME)</w:t>
      </w:r>
      <w:r w:rsidRPr="00241F83">
        <w:rPr>
          <w:rFonts w:asciiTheme="minorHAnsi" w:hAnsiTheme="minorHAnsi" w:cstheme="minorHAnsi"/>
        </w:rPr>
        <w:t xml:space="preserve">, </w:t>
      </w:r>
      <w:r w:rsidR="00C073C3" w:rsidRPr="00241F83">
        <w:rPr>
          <w:rFonts w:asciiTheme="minorHAnsi" w:hAnsiTheme="minorHAnsi" w:cstheme="minorHAnsi"/>
        </w:rPr>
        <w:t>C</w:t>
      </w:r>
      <w:r w:rsidRPr="00241F83">
        <w:rPr>
          <w:rFonts w:asciiTheme="minorHAnsi" w:hAnsiTheme="minorHAnsi" w:cstheme="minorHAnsi"/>
        </w:rPr>
        <w:t xml:space="preserve">osts and </w:t>
      </w:r>
      <w:r w:rsidR="00C073C3" w:rsidRPr="00241F83">
        <w:rPr>
          <w:rFonts w:asciiTheme="minorHAnsi" w:hAnsiTheme="minorHAnsi" w:cstheme="minorHAnsi"/>
        </w:rPr>
        <w:t>O</w:t>
      </w:r>
      <w:r w:rsidRPr="00241F83">
        <w:rPr>
          <w:rFonts w:asciiTheme="minorHAnsi" w:hAnsiTheme="minorHAnsi" w:cstheme="minorHAnsi"/>
        </w:rPr>
        <w:t xml:space="preserve">ther </w:t>
      </w:r>
      <w:r w:rsidR="00C073C3" w:rsidRPr="00241F83">
        <w:rPr>
          <w:rFonts w:asciiTheme="minorHAnsi" w:hAnsiTheme="minorHAnsi" w:cstheme="minorHAnsi"/>
        </w:rPr>
        <w:t>M</w:t>
      </w:r>
      <w:r w:rsidRPr="00241F83">
        <w:rPr>
          <w:rFonts w:asciiTheme="minorHAnsi" w:hAnsiTheme="minorHAnsi" w:cstheme="minorHAnsi"/>
        </w:rPr>
        <w:t xml:space="preserve">easures of </w:t>
      </w:r>
      <w:r w:rsidR="00C073C3" w:rsidRPr="00241F83">
        <w:rPr>
          <w:rFonts w:asciiTheme="minorHAnsi" w:hAnsiTheme="minorHAnsi" w:cstheme="minorHAnsi"/>
        </w:rPr>
        <w:t>H</w:t>
      </w:r>
      <w:r w:rsidRPr="00241F83">
        <w:rPr>
          <w:rFonts w:asciiTheme="minorHAnsi" w:hAnsiTheme="minorHAnsi" w:cstheme="minorHAnsi"/>
        </w:rPr>
        <w:t xml:space="preserve">ealth </w:t>
      </w:r>
      <w:r w:rsidR="00C073C3" w:rsidRPr="00241F83">
        <w:rPr>
          <w:rFonts w:asciiTheme="minorHAnsi" w:hAnsiTheme="minorHAnsi" w:cstheme="minorHAnsi"/>
        </w:rPr>
        <w:t>C</w:t>
      </w:r>
      <w:r w:rsidRPr="00241F83">
        <w:rPr>
          <w:rFonts w:asciiTheme="minorHAnsi" w:hAnsiTheme="minorHAnsi" w:cstheme="minorHAnsi"/>
        </w:rPr>
        <w:t xml:space="preserve">are </w:t>
      </w:r>
      <w:r w:rsidR="00C073C3" w:rsidRPr="00241F83">
        <w:rPr>
          <w:rFonts w:asciiTheme="minorHAnsi" w:hAnsiTheme="minorHAnsi" w:cstheme="minorHAnsi"/>
        </w:rPr>
        <w:t>S</w:t>
      </w:r>
      <w:r w:rsidRPr="00241F83">
        <w:rPr>
          <w:rFonts w:asciiTheme="minorHAnsi" w:hAnsiTheme="minorHAnsi" w:cstheme="minorHAnsi"/>
        </w:rPr>
        <w:t>pending</w:t>
      </w:r>
      <w:bookmarkEnd w:id="60"/>
      <w:bookmarkEnd w:id="61"/>
      <w:bookmarkEnd w:id="62"/>
    </w:p>
    <w:bookmarkEnd w:id="63"/>
    <w:p w14:paraId="178ED08E" w14:textId="1B256FAA" w:rsidR="001C52C7" w:rsidRPr="0055578D" w:rsidRDefault="00F442DF" w:rsidP="00454982">
      <w:pPr>
        <w:spacing w:line="240" w:lineRule="auto"/>
        <w:rPr>
          <w:rFonts w:cstheme="minorHAnsi"/>
          <w:bCs/>
          <w:iCs/>
          <w:sz w:val="24"/>
          <w:szCs w:val="24"/>
        </w:rPr>
      </w:pPr>
      <w:r w:rsidRPr="00F442DF">
        <w:rPr>
          <w:rFonts w:cstheme="minorHAnsi"/>
          <w:bCs/>
          <w:iCs/>
          <w:sz w:val="24"/>
          <w:szCs w:val="24"/>
        </w:rPr>
        <w:t xml:space="preserve">The Applicant </w:t>
      </w:r>
      <w:r w:rsidR="009C6309">
        <w:rPr>
          <w:rFonts w:cstheme="minorHAnsi"/>
          <w:bCs/>
          <w:iCs/>
          <w:sz w:val="24"/>
          <w:szCs w:val="24"/>
        </w:rPr>
        <w:t>assert</w:t>
      </w:r>
      <w:r w:rsidRPr="00F442DF">
        <w:rPr>
          <w:rFonts w:cstheme="minorHAnsi"/>
          <w:bCs/>
          <w:iCs/>
          <w:sz w:val="24"/>
          <w:szCs w:val="24"/>
        </w:rPr>
        <w:t xml:space="preserve">s </w:t>
      </w:r>
      <w:r w:rsidR="009C6309">
        <w:rPr>
          <w:rFonts w:cstheme="minorHAnsi"/>
          <w:bCs/>
          <w:iCs/>
          <w:sz w:val="24"/>
          <w:szCs w:val="24"/>
        </w:rPr>
        <w:t xml:space="preserve">that </w:t>
      </w:r>
      <w:r>
        <w:rPr>
          <w:rFonts w:cstheme="minorHAnsi"/>
          <w:bCs/>
          <w:iCs/>
          <w:sz w:val="24"/>
          <w:szCs w:val="24"/>
        </w:rPr>
        <w:t>s</w:t>
      </w:r>
      <w:r w:rsidRPr="00F442DF">
        <w:rPr>
          <w:rFonts w:cstheme="minorHAnsi"/>
          <w:bCs/>
          <w:iCs/>
          <w:sz w:val="24"/>
          <w:szCs w:val="24"/>
        </w:rPr>
        <w:t>ince the Proposed Project will convert an existing HOPD to a free-standing ASC</w:t>
      </w:r>
      <w:r>
        <w:rPr>
          <w:rFonts w:cstheme="minorHAnsi"/>
          <w:bCs/>
          <w:iCs/>
          <w:sz w:val="24"/>
          <w:szCs w:val="24"/>
        </w:rPr>
        <w:t xml:space="preserve"> where </w:t>
      </w:r>
      <w:r w:rsidRPr="00F442DF">
        <w:rPr>
          <w:rFonts w:cstheme="minorHAnsi"/>
          <w:bCs/>
          <w:iCs/>
          <w:sz w:val="24"/>
          <w:szCs w:val="24"/>
        </w:rPr>
        <w:t>procedures are reimbursed by payers at lower rates in comparison to inpatient or HOPD settings</w:t>
      </w:r>
      <w:r>
        <w:rPr>
          <w:rFonts w:cstheme="minorHAnsi"/>
          <w:bCs/>
          <w:iCs/>
          <w:sz w:val="24"/>
          <w:szCs w:val="24"/>
        </w:rPr>
        <w:t xml:space="preserve">, it </w:t>
      </w:r>
      <w:r w:rsidR="008E1D14" w:rsidRPr="0055578D">
        <w:rPr>
          <w:rFonts w:cstheme="minorHAnsi"/>
          <w:bCs/>
          <w:iCs/>
          <w:sz w:val="24"/>
          <w:szCs w:val="24"/>
        </w:rPr>
        <w:t>will reduce the cost</w:t>
      </w:r>
      <w:r>
        <w:rPr>
          <w:rFonts w:cstheme="minorHAnsi"/>
          <w:bCs/>
          <w:iCs/>
          <w:sz w:val="24"/>
          <w:szCs w:val="24"/>
        </w:rPr>
        <w:t>s</w:t>
      </w:r>
      <w:r w:rsidR="008E1D14" w:rsidRPr="0055578D">
        <w:rPr>
          <w:rFonts w:cstheme="minorHAnsi"/>
          <w:bCs/>
          <w:iCs/>
          <w:sz w:val="24"/>
          <w:szCs w:val="24"/>
        </w:rPr>
        <w:t xml:space="preserve"> and therefore have a positive effect on TME and other measures of healthcare spending for both patients and payers. </w:t>
      </w:r>
      <w:r w:rsidR="0055578D">
        <w:rPr>
          <w:rFonts w:cstheme="minorHAnsi"/>
          <w:bCs/>
          <w:iCs/>
          <w:sz w:val="24"/>
          <w:szCs w:val="24"/>
        </w:rPr>
        <w:t xml:space="preserve">The Center for Medicare and Medicaid Services </w:t>
      </w:r>
      <w:r w:rsidR="0055578D" w:rsidRPr="0055578D">
        <w:rPr>
          <w:rFonts w:cstheme="minorHAnsi"/>
          <w:bCs/>
          <w:iCs/>
          <w:sz w:val="24"/>
          <w:szCs w:val="24"/>
        </w:rPr>
        <w:t>(CMS)</w:t>
      </w:r>
      <w:r w:rsidR="00631918">
        <w:rPr>
          <w:rFonts w:cstheme="minorHAnsi"/>
          <w:bCs/>
          <w:iCs/>
          <w:sz w:val="24"/>
          <w:szCs w:val="24"/>
        </w:rPr>
        <w:t xml:space="preserve"> </w:t>
      </w:r>
      <w:r w:rsidR="00454982" w:rsidRPr="0055578D">
        <w:rPr>
          <w:rFonts w:cstheme="minorHAnsi"/>
          <w:bCs/>
          <w:iCs/>
          <w:sz w:val="24"/>
          <w:szCs w:val="24"/>
        </w:rPr>
        <w:t xml:space="preserve">reimburses ASCs </w:t>
      </w:r>
      <w:r w:rsidR="00631918">
        <w:rPr>
          <w:rFonts w:cstheme="minorHAnsi"/>
          <w:bCs/>
          <w:iCs/>
          <w:sz w:val="24"/>
          <w:szCs w:val="24"/>
        </w:rPr>
        <w:t xml:space="preserve">for Medicare patients </w:t>
      </w:r>
      <w:r w:rsidR="00454982" w:rsidRPr="0055578D">
        <w:rPr>
          <w:rFonts w:cstheme="minorHAnsi"/>
          <w:bCs/>
          <w:iCs/>
          <w:sz w:val="24"/>
          <w:szCs w:val="24"/>
        </w:rPr>
        <w:t xml:space="preserve">at </w:t>
      </w:r>
      <w:r w:rsidR="00631918">
        <w:rPr>
          <w:rFonts w:cstheme="minorHAnsi"/>
          <w:bCs/>
          <w:iCs/>
          <w:sz w:val="24"/>
          <w:szCs w:val="24"/>
        </w:rPr>
        <w:t xml:space="preserve">an average of </w:t>
      </w:r>
      <w:r w:rsidR="00454982" w:rsidRPr="0055578D">
        <w:rPr>
          <w:rFonts w:cstheme="minorHAnsi"/>
          <w:bCs/>
          <w:iCs/>
          <w:sz w:val="24"/>
          <w:szCs w:val="24"/>
        </w:rPr>
        <w:t>58% of the HOPD</w:t>
      </w:r>
      <w:r w:rsidR="00631918">
        <w:rPr>
          <w:rFonts w:cstheme="minorHAnsi"/>
          <w:bCs/>
          <w:iCs/>
          <w:sz w:val="24"/>
          <w:szCs w:val="24"/>
        </w:rPr>
        <w:t xml:space="preserve"> rate (for ASC approved procedures),</w:t>
      </w:r>
      <w:r w:rsidR="0055578D">
        <w:rPr>
          <w:rFonts w:cstheme="minorHAnsi"/>
          <w:bCs/>
          <w:iCs/>
          <w:sz w:val="24"/>
          <w:szCs w:val="24"/>
        </w:rPr>
        <w:t xml:space="preserve"> which </w:t>
      </w:r>
      <w:r w:rsidR="00454982" w:rsidRPr="0055578D">
        <w:rPr>
          <w:rFonts w:cstheme="minorHAnsi"/>
          <w:bCs/>
          <w:iCs/>
          <w:sz w:val="24"/>
          <w:szCs w:val="24"/>
        </w:rPr>
        <w:t>translates to more than $2 billion in savings for Medicare and its beneficiaries annually.</w:t>
      </w:r>
      <w:r w:rsidR="0055578D" w:rsidRPr="0055578D">
        <w:rPr>
          <w:rFonts w:cstheme="minorHAnsi"/>
          <w:bCs/>
          <w:iCs/>
          <w:sz w:val="24"/>
          <w:szCs w:val="24"/>
          <w:vertAlign w:val="superscript"/>
        </w:rPr>
        <w:endnoteReference w:id="27"/>
      </w:r>
    </w:p>
    <w:p w14:paraId="4061DF2C" w14:textId="2138943B" w:rsidR="00454982" w:rsidRPr="0055578D" w:rsidRDefault="0055578D" w:rsidP="00454982">
      <w:pPr>
        <w:spacing w:line="240" w:lineRule="auto"/>
        <w:rPr>
          <w:rFonts w:cstheme="minorHAnsi"/>
          <w:bCs/>
          <w:iCs/>
          <w:sz w:val="24"/>
          <w:szCs w:val="24"/>
        </w:rPr>
      </w:pPr>
      <w:r>
        <w:rPr>
          <w:rFonts w:cstheme="minorHAnsi"/>
          <w:bCs/>
          <w:iCs/>
          <w:sz w:val="24"/>
          <w:szCs w:val="24"/>
        </w:rPr>
        <w:t xml:space="preserve">Table </w:t>
      </w:r>
      <w:r w:rsidR="00D4075F">
        <w:rPr>
          <w:rFonts w:cstheme="minorHAnsi"/>
          <w:bCs/>
          <w:iCs/>
          <w:sz w:val="24"/>
          <w:szCs w:val="24"/>
        </w:rPr>
        <w:t>6</w:t>
      </w:r>
      <w:r>
        <w:rPr>
          <w:rFonts w:cstheme="minorHAnsi"/>
          <w:bCs/>
          <w:iCs/>
          <w:sz w:val="24"/>
          <w:szCs w:val="24"/>
        </w:rPr>
        <w:t xml:space="preserve"> shows the </w:t>
      </w:r>
      <w:r w:rsidR="00631918">
        <w:rPr>
          <w:rFonts w:cstheme="minorHAnsi"/>
          <w:bCs/>
          <w:iCs/>
          <w:sz w:val="24"/>
          <w:szCs w:val="24"/>
        </w:rPr>
        <w:t xml:space="preserve">dates of the </w:t>
      </w:r>
      <w:r>
        <w:rPr>
          <w:rFonts w:cstheme="minorHAnsi"/>
          <w:bCs/>
          <w:iCs/>
          <w:sz w:val="24"/>
          <w:szCs w:val="24"/>
        </w:rPr>
        <w:t xml:space="preserve">progression of the </w:t>
      </w:r>
      <w:r w:rsidR="00A0259C">
        <w:rPr>
          <w:rFonts w:cstheme="minorHAnsi"/>
          <w:bCs/>
          <w:iCs/>
          <w:sz w:val="24"/>
          <w:szCs w:val="24"/>
        </w:rPr>
        <w:t xml:space="preserve">CMS approved clinical setting </w:t>
      </w:r>
      <w:r w:rsidR="00631918">
        <w:rPr>
          <w:rFonts w:cstheme="minorHAnsi"/>
          <w:bCs/>
          <w:iCs/>
          <w:sz w:val="24"/>
          <w:szCs w:val="24"/>
        </w:rPr>
        <w:t xml:space="preserve">for Total Joint Replacement procedures. It </w:t>
      </w:r>
      <w:r w:rsidR="00454982" w:rsidRPr="0055578D">
        <w:rPr>
          <w:rFonts w:cstheme="minorHAnsi"/>
          <w:bCs/>
          <w:iCs/>
          <w:sz w:val="24"/>
          <w:szCs w:val="24"/>
        </w:rPr>
        <w:t>f</w:t>
      </w:r>
      <w:r w:rsidR="00631918">
        <w:rPr>
          <w:rFonts w:cstheme="minorHAnsi"/>
          <w:bCs/>
          <w:iCs/>
          <w:sz w:val="24"/>
          <w:szCs w:val="24"/>
        </w:rPr>
        <w:t>i</w:t>
      </w:r>
      <w:r w:rsidR="00454982" w:rsidRPr="0055578D">
        <w:rPr>
          <w:rFonts w:cstheme="minorHAnsi"/>
          <w:bCs/>
          <w:iCs/>
          <w:sz w:val="24"/>
          <w:szCs w:val="24"/>
        </w:rPr>
        <w:t xml:space="preserve">rst </w:t>
      </w:r>
      <w:r w:rsidR="00631918">
        <w:rPr>
          <w:rFonts w:cstheme="minorHAnsi"/>
          <w:bCs/>
          <w:iCs/>
          <w:sz w:val="24"/>
          <w:szCs w:val="24"/>
        </w:rPr>
        <w:t xml:space="preserve">approved </w:t>
      </w:r>
      <w:r w:rsidR="00454982" w:rsidRPr="0055578D">
        <w:rPr>
          <w:rFonts w:cstheme="minorHAnsi"/>
          <w:bCs/>
          <w:iCs/>
          <w:sz w:val="24"/>
          <w:szCs w:val="24"/>
        </w:rPr>
        <w:t xml:space="preserve">reimbursement for </w:t>
      </w:r>
      <w:r w:rsidR="00631918">
        <w:rPr>
          <w:rFonts w:cstheme="minorHAnsi"/>
          <w:bCs/>
          <w:iCs/>
          <w:sz w:val="24"/>
          <w:szCs w:val="24"/>
        </w:rPr>
        <w:t xml:space="preserve">the </w:t>
      </w:r>
      <w:r w:rsidR="00454982" w:rsidRPr="0055578D">
        <w:rPr>
          <w:rFonts w:cstheme="minorHAnsi"/>
          <w:bCs/>
          <w:iCs/>
          <w:sz w:val="24"/>
          <w:szCs w:val="24"/>
        </w:rPr>
        <w:t xml:space="preserve">procedures </w:t>
      </w:r>
      <w:r w:rsidR="009C6309">
        <w:rPr>
          <w:rFonts w:cstheme="minorHAnsi"/>
          <w:bCs/>
          <w:iCs/>
          <w:sz w:val="24"/>
          <w:szCs w:val="24"/>
        </w:rPr>
        <w:t>performed on clinically appropriate patients</w:t>
      </w:r>
      <w:r w:rsidR="00A0259C">
        <w:rPr>
          <w:rFonts w:cstheme="minorHAnsi"/>
          <w:bCs/>
          <w:iCs/>
          <w:sz w:val="24"/>
          <w:szCs w:val="24"/>
        </w:rPr>
        <w:t xml:space="preserve"> </w:t>
      </w:r>
      <w:r w:rsidR="00A0259C" w:rsidRPr="00A0259C">
        <w:rPr>
          <w:rFonts w:cstheme="minorHAnsi"/>
          <w:bCs/>
          <w:i/>
          <w:sz w:val="24"/>
          <w:szCs w:val="24"/>
        </w:rPr>
        <w:t>I</w:t>
      </w:r>
      <w:r w:rsidR="00454982" w:rsidRPr="00A0259C">
        <w:rPr>
          <w:rFonts w:cstheme="minorHAnsi"/>
          <w:bCs/>
          <w:i/>
          <w:sz w:val="24"/>
          <w:szCs w:val="24"/>
        </w:rPr>
        <w:t>n</w:t>
      </w:r>
      <w:r w:rsidR="00631918" w:rsidRPr="00631918">
        <w:rPr>
          <w:rFonts w:cstheme="minorHAnsi"/>
          <w:bCs/>
          <w:i/>
          <w:sz w:val="24"/>
          <w:szCs w:val="24"/>
        </w:rPr>
        <w:t>patient</w:t>
      </w:r>
      <w:r w:rsidR="00454982" w:rsidRPr="00631918">
        <w:rPr>
          <w:rFonts w:cstheme="minorHAnsi"/>
          <w:bCs/>
          <w:i/>
          <w:sz w:val="24"/>
          <w:szCs w:val="24"/>
        </w:rPr>
        <w:t xml:space="preserve"> </w:t>
      </w:r>
      <w:r w:rsidR="00631918" w:rsidRPr="00631918">
        <w:rPr>
          <w:rFonts w:cstheme="minorHAnsi"/>
          <w:bCs/>
          <w:i/>
          <w:sz w:val="24"/>
          <w:szCs w:val="24"/>
        </w:rPr>
        <w:t>only</w:t>
      </w:r>
      <w:r w:rsidR="00631918">
        <w:rPr>
          <w:rFonts w:cstheme="minorHAnsi"/>
          <w:bCs/>
          <w:iCs/>
          <w:sz w:val="24"/>
          <w:szCs w:val="24"/>
        </w:rPr>
        <w:t xml:space="preserve"> (IPO), then in </w:t>
      </w:r>
      <w:r w:rsidR="00631918" w:rsidRPr="00A0259C">
        <w:rPr>
          <w:rFonts w:cstheme="minorHAnsi"/>
          <w:bCs/>
          <w:i/>
          <w:sz w:val="24"/>
          <w:szCs w:val="24"/>
        </w:rPr>
        <w:t>HOPD</w:t>
      </w:r>
      <w:r w:rsidR="00454982" w:rsidRPr="00A0259C">
        <w:rPr>
          <w:rFonts w:cstheme="minorHAnsi"/>
          <w:bCs/>
          <w:i/>
          <w:sz w:val="24"/>
          <w:szCs w:val="24"/>
        </w:rPr>
        <w:t xml:space="preserve"> </w:t>
      </w:r>
      <w:r w:rsidR="00454982" w:rsidRPr="0055578D">
        <w:rPr>
          <w:rFonts w:cstheme="minorHAnsi"/>
          <w:bCs/>
          <w:iCs/>
          <w:sz w:val="24"/>
          <w:szCs w:val="24"/>
        </w:rPr>
        <w:t xml:space="preserve">settings, and recently, in </w:t>
      </w:r>
      <w:r w:rsidR="00631918" w:rsidRPr="00A0259C">
        <w:rPr>
          <w:rFonts w:cstheme="minorHAnsi"/>
          <w:bCs/>
          <w:i/>
          <w:sz w:val="24"/>
          <w:szCs w:val="24"/>
        </w:rPr>
        <w:t>ASCs</w:t>
      </w:r>
      <w:r w:rsidR="00631918">
        <w:rPr>
          <w:rFonts w:cstheme="minorHAnsi"/>
          <w:bCs/>
          <w:iCs/>
          <w:sz w:val="24"/>
          <w:szCs w:val="24"/>
        </w:rPr>
        <w:t xml:space="preserve"> </w:t>
      </w:r>
      <w:r w:rsidR="00454982" w:rsidRPr="0055578D">
        <w:rPr>
          <w:rFonts w:cstheme="minorHAnsi"/>
          <w:bCs/>
          <w:iCs/>
          <w:sz w:val="24"/>
          <w:szCs w:val="24"/>
        </w:rPr>
        <w:t xml:space="preserve">(see </w:t>
      </w:r>
      <w:r>
        <w:rPr>
          <w:rFonts w:cstheme="minorHAnsi"/>
          <w:bCs/>
          <w:iCs/>
          <w:sz w:val="24"/>
          <w:szCs w:val="24"/>
        </w:rPr>
        <w:t xml:space="preserve">examples in </w:t>
      </w:r>
      <w:r w:rsidR="00454982" w:rsidRPr="0055578D">
        <w:rPr>
          <w:rFonts w:cstheme="minorHAnsi"/>
          <w:bCs/>
          <w:iCs/>
          <w:sz w:val="24"/>
          <w:szCs w:val="24"/>
        </w:rPr>
        <w:t xml:space="preserve">Table </w:t>
      </w:r>
      <w:r w:rsidR="00D4075F">
        <w:rPr>
          <w:rFonts w:cstheme="minorHAnsi"/>
          <w:bCs/>
          <w:iCs/>
          <w:sz w:val="24"/>
          <w:szCs w:val="24"/>
        </w:rPr>
        <w:t>6</w:t>
      </w:r>
      <w:r w:rsidR="00454982" w:rsidRPr="0055578D">
        <w:rPr>
          <w:rFonts w:cstheme="minorHAnsi"/>
          <w:bCs/>
          <w:iCs/>
          <w:sz w:val="24"/>
          <w:szCs w:val="24"/>
        </w:rPr>
        <w:t>).</w:t>
      </w:r>
    </w:p>
    <w:p w14:paraId="72C4AF1C" w14:textId="6B06D420" w:rsidR="00454982" w:rsidRPr="0055578D" w:rsidRDefault="00454982" w:rsidP="00614A16">
      <w:pPr>
        <w:spacing w:line="240" w:lineRule="auto"/>
        <w:jc w:val="center"/>
        <w:rPr>
          <w:rFonts w:cstheme="minorHAnsi"/>
          <w:b/>
          <w:bCs/>
          <w:iCs/>
          <w:sz w:val="24"/>
          <w:szCs w:val="24"/>
        </w:rPr>
      </w:pPr>
      <w:r w:rsidRPr="0055578D">
        <w:rPr>
          <w:rFonts w:cstheme="minorHAnsi"/>
          <w:b/>
          <w:bCs/>
          <w:iCs/>
          <w:sz w:val="24"/>
          <w:szCs w:val="24"/>
        </w:rPr>
        <w:t xml:space="preserve">Table </w:t>
      </w:r>
      <w:r w:rsidR="00D4075F">
        <w:rPr>
          <w:rFonts w:cstheme="minorHAnsi"/>
          <w:b/>
          <w:bCs/>
          <w:iCs/>
          <w:sz w:val="24"/>
          <w:szCs w:val="24"/>
        </w:rPr>
        <w:t>6</w:t>
      </w:r>
      <w:r w:rsidRPr="0055578D">
        <w:rPr>
          <w:rFonts w:cstheme="minorHAnsi"/>
          <w:bCs/>
          <w:iCs/>
          <w:sz w:val="24"/>
          <w:szCs w:val="24"/>
        </w:rPr>
        <w:t xml:space="preserve">: </w:t>
      </w:r>
      <w:r w:rsidRPr="0055578D">
        <w:rPr>
          <w:rFonts w:cstheme="minorHAnsi"/>
          <w:b/>
          <w:bCs/>
          <w:iCs/>
          <w:sz w:val="24"/>
          <w:szCs w:val="24"/>
        </w:rPr>
        <w:t>CMS</w:t>
      </w:r>
      <w:r w:rsidR="00614A16" w:rsidRPr="0055578D">
        <w:rPr>
          <w:rFonts w:cstheme="minorHAnsi"/>
          <w:b/>
          <w:bCs/>
          <w:iCs/>
          <w:sz w:val="24"/>
          <w:szCs w:val="24"/>
        </w:rPr>
        <w:t xml:space="preserve"> Approved Clinical Setting for</w:t>
      </w:r>
      <w:r w:rsidRPr="0055578D">
        <w:rPr>
          <w:rFonts w:cstheme="minorHAnsi"/>
          <w:b/>
          <w:bCs/>
          <w:iCs/>
          <w:sz w:val="24"/>
          <w:szCs w:val="24"/>
        </w:rPr>
        <w:t xml:space="preserve"> Reimbursement by Procedure</w:t>
      </w:r>
    </w:p>
    <w:tbl>
      <w:tblPr>
        <w:tblW w:w="7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1740"/>
        <w:gridCol w:w="1019"/>
        <w:gridCol w:w="976"/>
        <w:gridCol w:w="929"/>
        <w:gridCol w:w="1012"/>
        <w:gridCol w:w="870"/>
      </w:tblGrid>
      <w:tr w:rsidR="00454982" w:rsidRPr="0055578D" w14:paraId="0D7B8B5C" w14:textId="77777777" w:rsidTr="00746CA4">
        <w:trPr>
          <w:trHeight w:val="292"/>
          <w:jc w:val="center"/>
        </w:trPr>
        <w:tc>
          <w:tcPr>
            <w:tcW w:w="990" w:type="dxa"/>
            <w:shd w:val="clear" w:color="auto" w:fill="DDFFFF"/>
          </w:tcPr>
          <w:p w14:paraId="60FC3EE5" w14:textId="77777777" w:rsidR="00454982" w:rsidRPr="0055578D" w:rsidRDefault="00454982" w:rsidP="00402638">
            <w:pPr>
              <w:spacing w:after="0" w:line="240" w:lineRule="auto"/>
              <w:rPr>
                <w:rFonts w:cstheme="minorHAnsi"/>
                <w:bCs/>
                <w:iCs/>
                <w:sz w:val="24"/>
                <w:szCs w:val="24"/>
              </w:rPr>
            </w:pPr>
          </w:p>
        </w:tc>
        <w:tc>
          <w:tcPr>
            <w:tcW w:w="1740" w:type="dxa"/>
            <w:shd w:val="clear" w:color="auto" w:fill="DDFFFF"/>
          </w:tcPr>
          <w:p w14:paraId="4805C782" w14:textId="77777777" w:rsidR="00454982" w:rsidRPr="0055578D" w:rsidRDefault="00454982" w:rsidP="00402638">
            <w:pPr>
              <w:spacing w:after="0" w:line="240" w:lineRule="auto"/>
              <w:rPr>
                <w:rFonts w:cstheme="minorHAnsi"/>
                <w:bCs/>
                <w:iCs/>
                <w:sz w:val="24"/>
                <w:szCs w:val="24"/>
              </w:rPr>
            </w:pPr>
          </w:p>
        </w:tc>
        <w:tc>
          <w:tcPr>
            <w:tcW w:w="4806" w:type="dxa"/>
            <w:gridSpan w:val="5"/>
            <w:shd w:val="clear" w:color="auto" w:fill="DDFFFF"/>
          </w:tcPr>
          <w:p w14:paraId="20C3AAC8" w14:textId="6E1B1925" w:rsidR="00454982" w:rsidRPr="0055578D" w:rsidRDefault="00454982" w:rsidP="00402638">
            <w:pPr>
              <w:spacing w:after="0" w:line="240" w:lineRule="auto"/>
              <w:jc w:val="center"/>
              <w:rPr>
                <w:rFonts w:cstheme="minorHAnsi"/>
                <w:b/>
                <w:iCs/>
                <w:sz w:val="24"/>
                <w:szCs w:val="24"/>
              </w:rPr>
            </w:pPr>
            <w:r w:rsidRPr="0055578D">
              <w:rPr>
                <w:rFonts w:cstheme="minorHAnsi"/>
                <w:b/>
                <w:iCs/>
                <w:sz w:val="24"/>
                <w:szCs w:val="24"/>
              </w:rPr>
              <w:t>Settings CMS will Reimburse</w:t>
            </w:r>
          </w:p>
        </w:tc>
      </w:tr>
      <w:tr w:rsidR="00454982" w:rsidRPr="0055578D" w14:paraId="163C1D2A" w14:textId="77777777" w:rsidTr="00D4581C">
        <w:trPr>
          <w:trHeight w:val="413"/>
          <w:jc w:val="center"/>
        </w:trPr>
        <w:tc>
          <w:tcPr>
            <w:tcW w:w="990" w:type="dxa"/>
            <w:shd w:val="clear" w:color="auto" w:fill="DDFFFF"/>
            <w:vAlign w:val="center"/>
          </w:tcPr>
          <w:p w14:paraId="579DED96" w14:textId="77777777" w:rsidR="00454982" w:rsidRPr="0055578D" w:rsidRDefault="00454982" w:rsidP="00402638">
            <w:pPr>
              <w:spacing w:after="0" w:line="240" w:lineRule="auto"/>
              <w:rPr>
                <w:rFonts w:cstheme="minorHAnsi"/>
                <w:b/>
                <w:bCs/>
                <w:iCs/>
                <w:sz w:val="24"/>
                <w:szCs w:val="24"/>
              </w:rPr>
            </w:pPr>
            <w:r w:rsidRPr="0055578D">
              <w:rPr>
                <w:rFonts w:cstheme="minorHAnsi"/>
                <w:b/>
                <w:bCs/>
                <w:iCs/>
                <w:sz w:val="24"/>
                <w:szCs w:val="24"/>
              </w:rPr>
              <w:t>CPT Code</w:t>
            </w:r>
          </w:p>
        </w:tc>
        <w:tc>
          <w:tcPr>
            <w:tcW w:w="1740" w:type="dxa"/>
            <w:shd w:val="clear" w:color="auto" w:fill="DDFFFF"/>
            <w:vAlign w:val="center"/>
          </w:tcPr>
          <w:p w14:paraId="60B070ED" w14:textId="77777777" w:rsidR="00454982" w:rsidRPr="0055578D" w:rsidRDefault="00454982" w:rsidP="00402638">
            <w:pPr>
              <w:spacing w:after="0" w:line="240" w:lineRule="auto"/>
              <w:rPr>
                <w:rFonts w:cstheme="minorHAnsi"/>
                <w:b/>
                <w:bCs/>
                <w:iCs/>
                <w:sz w:val="24"/>
                <w:szCs w:val="24"/>
              </w:rPr>
            </w:pPr>
            <w:r w:rsidRPr="0055578D">
              <w:rPr>
                <w:rFonts w:cstheme="minorHAnsi"/>
                <w:b/>
                <w:bCs/>
                <w:iCs/>
                <w:sz w:val="24"/>
                <w:szCs w:val="24"/>
              </w:rPr>
              <w:t>Procedure</w:t>
            </w:r>
          </w:p>
        </w:tc>
        <w:tc>
          <w:tcPr>
            <w:tcW w:w="1019" w:type="dxa"/>
            <w:shd w:val="clear" w:color="auto" w:fill="DDFFFF"/>
            <w:vAlign w:val="center"/>
          </w:tcPr>
          <w:p w14:paraId="6BE92157" w14:textId="77777777" w:rsidR="00454982" w:rsidRPr="0055578D" w:rsidRDefault="00454982" w:rsidP="00402638">
            <w:pPr>
              <w:spacing w:after="0" w:line="240" w:lineRule="auto"/>
              <w:jc w:val="center"/>
              <w:rPr>
                <w:rFonts w:cstheme="minorHAnsi"/>
                <w:b/>
                <w:bCs/>
                <w:iCs/>
                <w:sz w:val="24"/>
                <w:szCs w:val="24"/>
              </w:rPr>
            </w:pPr>
            <w:r w:rsidRPr="0055578D">
              <w:rPr>
                <w:rFonts w:cstheme="minorHAnsi"/>
                <w:b/>
                <w:bCs/>
                <w:iCs/>
                <w:sz w:val="24"/>
                <w:szCs w:val="24"/>
              </w:rPr>
              <w:t>2017</w:t>
            </w:r>
          </w:p>
        </w:tc>
        <w:tc>
          <w:tcPr>
            <w:tcW w:w="976" w:type="dxa"/>
            <w:shd w:val="clear" w:color="auto" w:fill="DDFFFF"/>
            <w:vAlign w:val="center"/>
          </w:tcPr>
          <w:p w14:paraId="69B1005D" w14:textId="77777777" w:rsidR="00454982" w:rsidRPr="0055578D" w:rsidRDefault="00454982" w:rsidP="00402638">
            <w:pPr>
              <w:spacing w:after="0" w:line="240" w:lineRule="auto"/>
              <w:jc w:val="center"/>
              <w:rPr>
                <w:rFonts w:cstheme="minorHAnsi"/>
                <w:b/>
                <w:bCs/>
                <w:iCs/>
                <w:sz w:val="24"/>
                <w:szCs w:val="24"/>
              </w:rPr>
            </w:pPr>
            <w:r w:rsidRPr="0055578D">
              <w:rPr>
                <w:rFonts w:cstheme="minorHAnsi"/>
                <w:b/>
                <w:bCs/>
                <w:iCs/>
                <w:sz w:val="24"/>
                <w:szCs w:val="24"/>
              </w:rPr>
              <w:t>2018</w:t>
            </w:r>
          </w:p>
        </w:tc>
        <w:tc>
          <w:tcPr>
            <w:tcW w:w="929" w:type="dxa"/>
            <w:shd w:val="clear" w:color="auto" w:fill="DDFFFF"/>
            <w:vAlign w:val="center"/>
          </w:tcPr>
          <w:p w14:paraId="4667D011" w14:textId="77777777" w:rsidR="00454982" w:rsidRPr="0055578D" w:rsidRDefault="00454982" w:rsidP="00402638">
            <w:pPr>
              <w:spacing w:after="0" w:line="240" w:lineRule="auto"/>
              <w:jc w:val="center"/>
              <w:rPr>
                <w:rFonts w:cstheme="minorHAnsi"/>
                <w:b/>
                <w:bCs/>
                <w:iCs/>
                <w:sz w:val="24"/>
                <w:szCs w:val="24"/>
              </w:rPr>
            </w:pPr>
            <w:r w:rsidRPr="0055578D">
              <w:rPr>
                <w:rFonts w:cstheme="minorHAnsi"/>
                <w:b/>
                <w:bCs/>
                <w:iCs/>
                <w:sz w:val="24"/>
                <w:szCs w:val="24"/>
              </w:rPr>
              <w:t>2019</w:t>
            </w:r>
          </w:p>
        </w:tc>
        <w:tc>
          <w:tcPr>
            <w:tcW w:w="1012" w:type="dxa"/>
            <w:shd w:val="clear" w:color="auto" w:fill="DDFFFF"/>
            <w:vAlign w:val="center"/>
          </w:tcPr>
          <w:p w14:paraId="17A605AD" w14:textId="77777777" w:rsidR="00454982" w:rsidRPr="0055578D" w:rsidRDefault="00454982" w:rsidP="00402638">
            <w:pPr>
              <w:spacing w:after="0" w:line="240" w:lineRule="auto"/>
              <w:jc w:val="center"/>
              <w:rPr>
                <w:rFonts w:cstheme="minorHAnsi"/>
                <w:b/>
                <w:bCs/>
                <w:iCs/>
                <w:sz w:val="24"/>
                <w:szCs w:val="24"/>
              </w:rPr>
            </w:pPr>
            <w:r w:rsidRPr="0055578D">
              <w:rPr>
                <w:rFonts w:cstheme="minorHAnsi"/>
                <w:b/>
                <w:bCs/>
                <w:iCs/>
                <w:sz w:val="24"/>
                <w:szCs w:val="24"/>
              </w:rPr>
              <w:t>2020</w:t>
            </w:r>
          </w:p>
        </w:tc>
        <w:tc>
          <w:tcPr>
            <w:tcW w:w="870" w:type="dxa"/>
            <w:shd w:val="clear" w:color="auto" w:fill="DDFFFF"/>
            <w:vAlign w:val="center"/>
          </w:tcPr>
          <w:p w14:paraId="57348E18" w14:textId="77777777" w:rsidR="00454982" w:rsidRPr="0055578D" w:rsidRDefault="00454982" w:rsidP="00402638">
            <w:pPr>
              <w:spacing w:after="0" w:line="240" w:lineRule="auto"/>
              <w:jc w:val="center"/>
              <w:rPr>
                <w:rFonts w:cstheme="minorHAnsi"/>
                <w:b/>
                <w:bCs/>
                <w:iCs/>
                <w:sz w:val="24"/>
                <w:szCs w:val="24"/>
              </w:rPr>
            </w:pPr>
            <w:r w:rsidRPr="0055578D">
              <w:rPr>
                <w:rFonts w:cstheme="minorHAnsi"/>
                <w:b/>
                <w:bCs/>
                <w:iCs/>
                <w:sz w:val="24"/>
                <w:szCs w:val="24"/>
              </w:rPr>
              <w:t>2021</w:t>
            </w:r>
          </w:p>
        </w:tc>
      </w:tr>
      <w:tr w:rsidR="00454982" w:rsidRPr="0055578D" w14:paraId="0E2508E9" w14:textId="77777777" w:rsidTr="00746CA4">
        <w:trPr>
          <w:trHeight w:val="323"/>
          <w:jc w:val="center"/>
        </w:trPr>
        <w:tc>
          <w:tcPr>
            <w:tcW w:w="990" w:type="dxa"/>
          </w:tcPr>
          <w:p w14:paraId="1B37A40F" w14:textId="77777777" w:rsidR="00454982" w:rsidRPr="0055578D" w:rsidRDefault="00454982" w:rsidP="00402638">
            <w:pPr>
              <w:spacing w:after="0" w:line="240" w:lineRule="auto"/>
              <w:rPr>
                <w:rFonts w:cstheme="minorHAnsi"/>
                <w:bCs/>
                <w:iCs/>
                <w:sz w:val="24"/>
                <w:szCs w:val="24"/>
              </w:rPr>
            </w:pPr>
            <w:r w:rsidRPr="0055578D">
              <w:rPr>
                <w:rFonts w:cstheme="minorHAnsi"/>
                <w:bCs/>
                <w:iCs/>
                <w:sz w:val="24"/>
                <w:szCs w:val="24"/>
              </w:rPr>
              <w:t>27447</w:t>
            </w:r>
          </w:p>
        </w:tc>
        <w:tc>
          <w:tcPr>
            <w:tcW w:w="1740" w:type="dxa"/>
          </w:tcPr>
          <w:p w14:paraId="409D9815" w14:textId="77777777" w:rsidR="00454982" w:rsidRPr="0055578D" w:rsidRDefault="00454982" w:rsidP="00402638">
            <w:pPr>
              <w:spacing w:after="0" w:line="240" w:lineRule="auto"/>
              <w:rPr>
                <w:rFonts w:cstheme="minorHAnsi"/>
                <w:bCs/>
                <w:iCs/>
                <w:sz w:val="24"/>
                <w:szCs w:val="24"/>
              </w:rPr>
            </w:pPr>
            <w:r w:rsidRPr="0055578D">
              <w:rPr>
                <w:rFonts w:cstheme="minorHAnsi"/>
                <w:bCs/>
                <w:iCs/>
                <w:sz w:val="24"/>
                <w:szCs w:val="24"/>
              </w:rPr>
              <w:t>Total Knee</w:t>
            </w:r>
          </w:p>
        </w:tc>
        <w:tc>
          <w:tcPr>
            <w:tcW w:w="1019" w:type="dxa"/>
          </w:tcPr>
          <w:p w14:paraId="78E04627"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IPO</w:t>
            </w:r>
          </w:p>
        </w:tc>
        <w:tc>
          <w:tcPr>
            <w:tcW w:w="976" w:type="dxa"/>
          </w:tcPr>
          <w:p w14:paraId="4EF02EEB"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HOPD</w:t>
            </w:r>
          </w:p>
        </w:tc>
        <w:tc>
          <w:tcPr>
            <w:tcW w:w="929" w:type="dxa"/>
          </w:tcPr>
          <w:p w14:paraId="6F44C4CF"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HOPD</w:t>
            </w:r>
          </w:p>
        </w:tc>
        <w:tc>
          <w:tcPr>
            <w:tcW w:w="1012" w:type="dxa"/>
          </w:tcPr>
          <w:p w14:paraId="3C3F386E"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ASC</w:t>
            </w:r>
          </w:p>
        </w:tc>
        <w:tc>
          <w:tcPr>
            <w:tcW w:w="870" w:type="dxa"/>
          </w:tcPr>
          <w:p w14:paraId="606497EB"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ASC</w:t>
            </w:r>
          </w:p>
        </w:tc>
      </w:tr>
      <w:tr w:rsidR="00454982" w:rsidRPr="0055578D" w14:paraId="1CF38653" w14:textId="77777777" w:rsidTr="00746CA4">
        <w:trPr>
          <w:trHeight w:val="287"/>
          <w:jc w:val="center"/>
        </w:trPr>
        <w:tc>
          <w:tcPr>
            <w:tcW w:w="990" w:type="dxa"/>
          </w:tcPr>
          <w:p w14:paraId="3DD393C2" w14:textId="77777777" w:rsidR="00454982" w:rsidRPr="0055578D" w:rsidRDefault="00454982" w:rsidP="00402638">
            <w:pPr>
              <w:spacing w:after="0" w:line="240" w:lineRule="auto"/>
              <w:rPr>
                <w:rFonts w:cstheme="minorHAnsi"/>
                <w:bCs/>
                <w:iCs/>
                <w:sz w:val="24"/>
                <w:szCs w:val="24"/>
              </w:rPr>
            </w:pPr>
            <w:r w:rsidRPr="0055578D">
              <w:rPr>
                <w:rFonts w:cstheme="minorHAnsi"/>
                <w:bCs/>
                <w:iCs/>
                <w:sz w:val="24"/>
                <w:szCs w:val="24"/>
              </w:rPr>
              <w:t>27130</w:t>
            </w:r>
          </w:p>
        </w:tc>
        <w:tc>
          <w:tcPr>
            <w:tcW w:w="1740" w:type="dxa"/>
          </w:tcPr>
          <w:p w14:paraId="78D84D65" w14:textId="77777777" w:rsidR="00454982" w:rsidRPr="0055578D" w:rsidRDefault="00454982" w:rsidP="00402638">
            <w:pPr>
              <w:spacing w:after="0" w:line="240" w:lineRule="auto"/>
              <w:rPr>
                <w:rFonts w:cstheme="minorHAnsi"/>
                <w:bCs/>
                <w:iCs/>
                <w:sz w:val="24"/>
                <w:szCs w:val="24"/>
              </w:rPr>
            </w:pPr>
            <w:r w:rsidRPr="0055578D">
              <w:rPr>
                <w:rFonts w:cstheme="minorHAnsi"/>
                <w:bCs/>
                <w:iCs/>
                <w:sz w:val="24"/>
                <w:szCs w:val="24"/>
              </w:rPr>
              <w:t>Total Hip</w:t>
            </w:r>
          </w:p>
        </w:tc>
        <w:tc>
          <w:tcPr>
            <w:tcW w:w="1019" w:type="dxa"/>
          </w:tcPr>
          <w:p w14:paraId="1D1E0651"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IPO</w:t>
            </w:r>
          </w:p>
        </w:tc>
        <w:tc>
          <w:tcPr>
            <w:tcW w:w="976" w:type="dxa"/>
          </w:tcPr>
          <w:p w14:paraId="23E51730"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IPO</w:t>
            </w:r>
          </w:p>
        </w:tc>
        <w:tc>
          <w:tcPr>
            <w:tcW w:w="929" w:type="dxa"/>
          </w:tcPr>
          <w:p w14:paraId="26B74409"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IPO</w:t>
            </w:r>
          </w:p>
        </w:tc>
        <w:tc>
          <w:tcPr>
            <w:tcW w:w="1012" w:type="dxa"/>
          </w:tcPr>
          <w:p w14:paraId="5FB9DE91"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HOPD</w:t>
            </w:r>
          </w:p>
        </w:tc>
        <w:tc>
          <w:tcPr>
            <w:tcW w:w="870" w:type="dxa"/>
          </w:tcPr>
          <w:p w14:paraId="789C3D95"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ASC</w:t>
            </w:r>
          </w:p>
        </w:tc>
      </w:tr>
      <w:tr w:rsidR="00454982" w:rsidRPr="0055578D" w14:paraId="2914B38C" w14:textId="77777777" w:rsidTr="00746CA4">
        <w:trPr>
          <w:trHeight w:val="305"/>
          <w:jc w:val="center"/>
        </w:trPr>
        <w:tc>
          <w:tcPr>
            <w:tcW w:w="990" w:type="dxa"/>
          </w:tcPr>
          <w:p w14:paraId="4574E81B" w14:textId="77777777" w:rsidR="00454982" w:rsidRPr="0055578D" w:rsidRDefault="00454982" w:rsidP="00402638">
            <w:pPr>
              <w:spacing w:after="0" w:line="240" w:lineRule="auto"/>
              <w:rPr>
                <w:rFonts w:cstheme="minorHAnsi"/>
                <w:bCs/>
                <w:iCs/>
                <w:sz w:val="24"/>
                <w:szCs w:val="24"/>
              </w:rPr>
            </w:pPr>
            <w:r w:rsidRPr="0055578D">
              <w:rPr>
                <w:rFonts w:cstheme="minorHAnsi"/>
                <w:bCs/>
                <w:iCs/>
                <w:sz w:val="24"/>
                <w:szCs w:val="24"/>
              </w:rPr>
              <w:t>23472</w:t>
            </w:r>
          </w:p>
        </w:tc>
        <w:tc>
          <w:tcPr>
            <w:tcW w:w="1740" w:type="dxa"/>
          </w:tcPr>
          <w:p w14:paraId="30F9385D" w14:textId="77777777" w:rsidR="00454982" w:rsidRPr="0055578D" w:rsidRDefault="00454982" w:rsidP="00402638">
            <w:pPr>
              <w:spacing w:after="0" w:line="240" w:lineRule="auto"/>
              <w:rPr>
                <w:rFonts w:cstheme="minorHAnsi"/>
                <w:bCs/>
                <w:iCs/>
                <w:sz w:val="24"/>
                <w:szCs w:val="24"/>
              </w:rPr>
            </w:pPr>
            <w:r w:rsidRPr="0055578D">
              <w:rPr>
                <w:rFonts w:cstheme="minorHAnsi"/>
                <w:bCs/>
                <w:iCs/>
                <w:sz w:val="24"/>
                <w:szCs w:val="24"/>
              </w:rPr>
              <w:t>Total Shoulder</w:t>
            </w:r>
          </w:p>
        </w:tc>
        <w:tc>
          <w:tcPr>
            <w:tcW w:w="1019" w:type="dxa"/>
          </w:tcPr>
          <w:p w14:paraId="63F4187B"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IPO</w:t>
            </w:r>
          </w:p>
        </w:tc>
        <w:tc>
          <w:tcPr>
            <w:tcW w:w="976" w:type="dxa"/>
          </w:tcPr>
          <w:p w14:paraId="265C1894"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IPO</w:t>
            </w:r>
          </w:p>
        </w:tc>
        <w:tc>
          <w:tcPr>
            <w:tcW w:w="929" w:type="dxa"/>
          </w:tcPr>
          <w:p w14:paraId="36279CD7"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IPO</w:t>
            </w:r>
          </w:p>
        </w:tc>
        <w:tc>
          <w:tcPr>
            <w:tcW w:w="1012" w:type="dxa"/>
          </w:tcPr>
          <w:p w14:paraId="28B8AAFD"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IPO</w:t>
            </w:r>
          </w:p>
        </w:tc>
        <w:tc>
          <w:tcPr>
            <w:tcW w:w="870" w:type="dxa"/>
          </w:tcPr>
          <w:p w14:paraId="4F847F4E" w14:textId="77777777" w:rsidR="00454982" w:rsidRPr="0055578D" w:rsidRDefault="00454982" w:rsidP="00402638">
            <w:pPr>
              <w:spacing w:after="0" w:line="240" w:lineRule="auto"/>
              <w:jc w:val="center"/>
              <w:rPr>
                <w:rFonts w:cstheme="minorHAnsi"/>
                <w:bCs/>
                <w:iCs/>
                <w:sz w:val="24"/>
                <w:szCs w:val="24"/>
              </w:rPr>
            </w:pPr>
            <w:r w:rsidRPr="0055578D">
              <w:rPr>
                <w:rFonts w:cstheme="minorHAnsi"/>
                <w:bCs/>
                <w:iCs/>
                <w:sz w:val="24"/>
                <w:szCs w:val="24"/>
              </w:rPr>
              <w:t>HOPD</w:t>
            </w:r>
          </w:p>
        </w:tc>
      </w:tr>
    </w:tbl>
    <w:p w14:paraId="0A66D6DF" w14:textId="264DE555" w:rsidR="001265DC" w:rsidRDefault="001265DC" w:rsidP="001265DC">
      <w:pPr>
        <w:tabs>
          <w:tab w:val="left" w:pos="900"/>
        </w:tabs>
        <w:spacing w:after="0" w:line="240" w:lineRule="auto"/>
        <w:ind w:left="900"/>
        <w:rPr>
          <w:rFonts w:cstheme="minorHAnsi"/>
          <w:bCs/>
          <w:iCs/>
          <w:sz w:val="24"/>
          <w:szCs w:val="24"/>
        </w:rPr>
      </w:pPr>
      <w:r w:rsidRPr="0055578D">
        <w:rPr>
          <w:rFonts w:cstheme="minorHAnsi"/>
          <w:bCs/>
          <w:iCs/>
          <w:sz w:val="24"/>
          <w:szCs w:val="24"/>
        </w:rPr>
        <w:t>IPO = Inpatient Only</w:t>
      </w:r>
    </w:p>
    <w:p w14:paraId="4125AF0B" w14:textId="6FAAE6D8" w:rsidR="001265DC" w:rsidRDefault="001265DC" w:rsidP="001265DC">
      <w:pPr>
        <w:tabs>
          <w:tab w:val="left" w:pos="900"/>
        </w:tabs>
        <w:spacing w:after="0" w:line="240" w:lineRule="auto"/>
        <w:ind w:left="900"/>
        <w:rPr>
          <w:rFonts w:cstheme="minorHAnsi"/>
          <w:bCs/>
          <w:iCs/>
          <w:sz w:val="24"/>
          <w:szCs w:val="24"/>
        </w:rPr>
      </w:pPr>
      <w:r w:rsidRPr="0055578D">
        <w:rPr>
          <w:rFonts w:cstheme="minorHAnsi"/>
          <w:bCs/>
          <w:iCs/>
          <w:sz w:val="24"/>
          <w:szCs w:val="24"/>
        </w:rPr>
        <w:t>HOPD = Hospital outpatient &amp; Inpatient</w:t>
      </w:r>
    </w:p>
    <w:p w14:paraId="5A189387" w14:textId="3EA73E79" w:rsidR="00454982" w:rsidRDefault="001265DC" w:rsidP="001265DC">
      <w:pPr>
        <w:tabs>
          <w:tab w:val="left" w:pos="900"/>
        </w:tabs>
        <w:spacing w:after="0" w:line="240" w:lineRule="auto"/>
        <w:ind w:left="900"/>
        <w:rPr>
          <w:rFonts w:cstheme="minorHAnsi"/>
          <w:bCs/>
          <w:iCs/>
          <w:sz w:val="24"/>
          <w:szCs w:val="24"/>
        </w:rPr>
      </w:pPr>
      <w:r w:rsidRPr="0055578D">
        <w:rPr>
          <w:rFonts w:cstheme="minorHAnsi"/>
          <w:bCs/>
          <w:iCs/>
          <w:sz w:val="24"/>
          <w:szCs w:val="24"/>
        </w:rPr>
        <w:t>ASC = ASCs, Hospital Outpatient, Inpatient</w:t>
      </w:r>
    </w:p>
    <w:p w14:paraId="3114829F" w14:textId="77777777" w:rsidR="001265DC" w:rsidRPr="0055578D" w:rsidRDefault="001265DC" w:rsidP="001265DC">
      <w:pPr>
        <w:spacing w:after="0" w:line="240" w:lineRule="auto"/>
        <w:rPr>
          <w:rFonts w:cstheme="minorHAnsi"/>
          <w:bCs/>
          <w:iCs/>
          <w:sz w:val="24"/>
          <w:szCs w:val="24"/>
        </w:rPr>
      </w:pPr>
    </w:p>
    <w:p w14:paraId="5293A433" w14:textId="3583C60F" w:rsidR="001C52C7" w:rsidRPr="001C52C7" w:rsidRDefault="001C52C7" w:rsidP="001C52C7">
      <w:pPr>
        <w:spacing w:line="240" w:lineRule="auto"/>
        <w:rPr>
          <w:rFonts w:cstheme="minorHAnsi"/>
          <w:bCs/>
          <w:iCs/>
          <w:sz w:val="24"/>
          <w:szCs w:val="24"/>
        </w:rPr>
      </w:pPr>
      <w:r w:rsidRPr="001C52C7">
        <w:rPr>
          <w:rFonts w:cstheme="minorHAnsi"/>
          <w:bCs/>
          <w:iCs/>
          <w:sz w:val="24"/>
          <w:szCs w:val="24"/>
        </w:rPr>
        <w:t xml:space="preserve">Similarly, ASCs reduce healthcare costs </w:t>
      </w:r>
      <w:r w:rsidR="005916FB">
        <w:rPr>
          <w:rFonts w:cstheme="minorHAnsi"/>
          <w:bCs/>
          <w:iCs/>
          <w:sz w:val="24"/>
          <w:szCs w:val="24"/>
        </w:rPr>
        <w:t xml:space="preserve">for patients who are </w:t>
      </w:r>
      <w:r w:rsidRPr="001C52C7">
        <w:rPr>
          <w:rFonts w:cstheme="minorHAnsi"/>
          <w:bCs/>
          <w:iCs/>
          <w:sz w:val="24"/>
          <w:szCs w:val="24"/>
        </w:rPr>
        <w:t>commercial</w:t>
      </w:r>
      <w:r w:rsidR="005916FB">
        <w:rPr>
          <w:rFonts w:cstheme="minorHAnsi"/>
          <w:bCs/>
          <w:iCs/>
          <w:sz w:val="24"/>
          <w:szCs w:val="24"/>
        </w:rPr>
        <w:t>ly</w:t>
      </w:r>
      <w:r w:rsidRPr="001C52C7">
        <w:rPr>
          <w:rFonts w:cstheme="minorHAnsi"/>
          <w:bCs/>
          <w:iCs/>
          <w:sz w:val="24"/>
          <w:szCs w:val="24"/>
        </w:rPr>
        <w:t xml:space="preserve"> insure</w:t>
      </w:r>
      <w:r w:rsidR="005916FB">
        <w:rPr>
          <w:rFonts w:cstheme="minorHAnsi"/>
          <w:bCs/>
          <w:iCs/>
          <w:sz w:val="24"/>
          <w:szCs w:val="24"/>
        </w:rPr>
        <w:t>d</w:t>
      </w:r>
      <w:r w:rsidRPr="001C52C7">
        <w:rPr>
          <w:rFonts w:cstheme="minorHAnsi"/>
          <w:bCs/>
          <w:iCs/>
          <w:sz w:val="24"/>
          <w:szCs w:val="24"/>
        </w:rPr>
        <w:t xml:space="preserve"> through lower deductible and coinsurance payments for insured patients.</w:t>
      </w:r>
      <w:r w:rsidRPr="001C52C7">
        <w:rPr>
          <w:rFonts w:cstheme="minorHAnsi"/>
          <w:bCs/>
          <w:iCs/>
          <w:sz w:val="24"/>
          <w:szCs w:val="24"/>
          <w:vertAlign w:val="superscript"/>
        </w:rPr>
        <w:endnoteReference w:id="28"/>
      </w:r>
      <w:r w:rsidRPr="001C52C7">
        <w:rPr>
          <w:rFonts w:cstheme="minorHAnsi"/>
          <w:bCs/>
          <w:iCs/>
          <w:sz w:val="24"/>
          <w:szCs w:val="24"/>
        </w:rPr>
        <w:t xml:space="preserve"> Commercial insurance carriers are increasingly requiring procedures that </w:t>
      </w:r>
      <w:r w:rsidR="005916FB">
        <w:rPr>
          <w:rFonts w:cstheme="minorHAnsi"/>
          <w:bCs/>
          <w:iCs/>
          <w:sz w:val="24"/>
          <w:szCs w:val="24"/>
        </w:rPr>
        <w:t xml:space="preserve">formerly were only </w:t>
      </w:r>
      <w:r w:rsidRPr="001C52C7">
        <w:rPr>
          <w:rFonts w:cstheme="minorHAnsi"/>
          <w:bCs/>
          <w:iCs/>
          <w:sz w:val="24"/>
          <w:szCs w:val="24"/>
        </w:rPr>
        <w:t xml:space="preserve">performed in hospital settings, to be performed in lower cost outpatient and ASC settings, unless the patient is expected to experience complications during or following surgery. </w:t>
      </w:r>
    </w:p>
    <w:p w14:paraId="32662414" w14:textId="176CF495" w:rsidR="00454982" w:rsidRDefault="00614A16" w:rsidP="006548F0">
      <w:pPr>
        <w:spacing w:line="240" w:lineRule="auto"/>
        <w:rPr>
          <w:rFonts w:cstheme="minorHAnsi"/>
          <w:b/>
          <w:i/>
          <w:sz w:val="24"/>
          <w:szCs w:val="24"/>
        </w:rPr>
      </w:pPr>
      <w:r w:rsidRPr="0055578D">
        <w:rPr>
          <w:rFonts w:cstheme="minorHAnsi"/>
          <w:bCs/>
          <w:iCs/>
          <w:sz w:val="24"/>
          <w:szCs w:val="24"/>
        </w:rPr>
        <w:t xml:space="preserve">Both commercial and government payers </w:t>
      </w:r>
      <w:r w:rsidR="001545D8">
        <w:rPr>
          <w:rFonts w:cstheme="minorHAnsi"/>
          <w:bCs/>
          <w:iCs/>
          <w:sz w:val="24"/>
          <w:szCs w:val="24"/>
        </w:rPr>
        <w:t xml:space="preserve">including ACO’s </w:t>
      </w:r>
      <w:r w:rsidRPr="0055578D">
        <w:rPr>
          <w:rFonts w:cstheme="minorHAnsi"/>
          <w:bCs/>
          <w:iCs/>
          <w:sz w:val="24"/>
          <w:szCs w:val="24"/>
        </w:rPr>
        <w:t>are expected to continue to shift reimbursement to incentivize the use of outpatient and ASC settings, where appropriate.</w:t>
      </w:r>
      <w:r w:rsidR="0055578D" w:rsidRPr="0055578D">
        <w:rPr>
          <w:rFonts w:cstheme="minorHAnsi"/>
          <w:bCs/>
          <w:iCs/>
          <w:sz w:val="24"/>
          <w:szCs w:val="24"/>
        </w:rPr>
        <w:t xml:space="preserve"> I</w:t>
      </w:r>
      <w:r w:rsidRPr="0055578D">
        <w:rPr>
          <w:rFonts w:cstheme="minorHAnsi"/>
          <w:bCs/>
          <w:iCs/>
          <w:sz w:val="24"/>
          <w:szCs w:val="24"/>
        </w:rPr>
        <w:t xml:space="preserve">n the next few years, it is anticipated that ASCs will perform over 60% of orthopedic surgeries </w:t>
      </w:r>
      <w:r w:rsidR="0055578D" w:rsidRPr="0055578D">
        <w:rPr>
          <w:rFonts w:cstheme="minorHAnsi"/>
          <w:bCs/>
          <w:iCs/>
          <w:sz w:val="24"/>
          <w:szCs w:val="24"/>
        </w:rPr>
        <w:lastRenderedPageBreak/>
        <w:t xml:space="preserve">thereby </w:t>
      </w:r>
      <w:r w:rsidRPr="0055578D">
        <w:rPr>
          <w:rFonts w:cstheme="minorHAnsi"/>
          <w:bCs/>
          <w:iCs/>
          <w:sz w:val="24"/>
          <w:szCs w:val="24"/>
        </w:rPr>
        <w:t>creating further savings for patients, private and public payers, and providers and driving down total medical expense.</w:t>
      </w:r>
      <w:r w:rsidRPr="0055578D">
        <w:rPr>
          <w:rStyle w:val="EndnoteReference"/>
          <w:rFonts w:cstheme="minorHAnsi"/>
          <w:bCs/>
          <w:iCs/>
          <w:sz w:val="24"/>
          <w:szCs w:val="24"/>
        </w:rPr>
        <w:endnoteReference w:id="29"/>
      </w:r>
      <w:r w:rsidRPr="0055578D">
        <w:rPr>
          <w:rFonts w:cstheme="minorHAnsi"/>
          <w:bCs/>
          <w:iCs/>
          <w:sz w:val="24"/>
          <w:szCs w:val="24"/>
        </w:rPr>
        <w:t xml:space="preserve"> From an integrated health system perspective, the option to perform these orthopedic surgeries in an ASC setting will allow ACOs to better manage total medical expense, in a clinically effective and efficient manner.</w:t>
      </w:r>
    </w:p>
    <w:p w14:paraId="02EF45E5" w14:textId="50BA6B63" w:rsidR="009E78AF" w:rsidRDefault="00E40FAA" w:rsidP="006548F0">
      <w:pPr>
        <w:spacing w:line="240" w:lineRule="auto"/>
        <w:rPr>
          <w:rFonts w:cstheme="minorHAnsi"/>
          <w:bCs/>
          <w:sz w:val="24"/>
          <w:szCs w:val="24"/>
        </w:rPr>
      </w:pPr>
      <w:r w:rsidRPr="00241F83">
        <w:rPr>
          <w:rFonts w:cstheme="minorHAnsi"/>
          <w:b/>
          <w:i/>
          <w:sz w:val="24"/>
          <w:szCs w:val="24"/>
        </w:rPr>
        <w:t>Analysis</w:t>
      </w:r>
      <w:r w:rsidR="0051072F" w:rsidRPr="00241F83">
        <w:rPr>
          <w:rFonts w:cstheme="minorHAnsi"/>
          <w:b/>
          <w:bCs/>
          <w:color w:val="42558C" w:themeColor="accent1" w:themeShade="BF"/>
          <w:sz w:val="24"/>
          <w:szCs w:val="24"/>
        </w:rPr>
        <w:br/>
      </w:r>
      <w:r w:rsidR="00C9302A">
        <w:rPr>
          <w:rFonts w:cstheme="minorHAnsi"/>
          <w:bCs/>
          <w:sz w:val="24"/>
          <w:szCs w:val="24"/>
        </w:rPr>
        <w:t>M</w:t>
      </w:r>
      <w:r w:rsidR="00402638">
        <w:rPr>
          <w:rFonts w:cstheme="minorHAnsi"/>
          <w:bCs/>
          <w:sz w:val="24"/>
          <w:szCs w:val="24"/>
        </w:rPr>
        <w:t>any</w:t>
      </w:r>
      <w:r w:rsidR="00CB7CF4" w:rsidRPr="00241F83">
        <w:rPr>
          <w:rFonts w:cstheme="minorHAnsi"/>
          <w:bCs/>
          <w:sz w:val="24"/>
          <w:szCs w:val="24"/>
        </w:rPr>
        <w:t xml:space="preserve"> studies detail the cost savings associated with performing surgeries in the</w:t>
      </w:r>
      <w:r w:rsidR="00C9302A">
        <w:rPr>
          <w:rFonts w:cstheme="minorHAnsi"/>
          <w:bCs/>
          <w:sz w:val="24"/>
          <w:szCs w:val="24"/>
        </w:rPr>
        <w:t xml:space="preserve"> an</w:t>
      </w:r>
      <w:r w:rsidR="00CB7CF4" w:rsidRPr="00241F83">
        <w:rPr>
          <w:rFonts w:cstheme="minorHAnsi"/>
          <w:bCs/>
          <w:sz w:val="24"/>
          <w:szCs w:val="24"/>
        </w:rPr>
        <w:t xml:space="preserve"> ASC</w:t>
      </w:r>
      <w:r w:rsidR="00C9302A">
        <w:rPr>
          <w:rFonts w:cstheme="minorHAnsi"/>
          <w:bCs/>
          <w:sz w:val="24"/>
          <w:szCs w:val="24"/>
        </w:rPr>
        <w:t>.</w:t>
      </w:r>
      <w:r w:rsidR="00FA6BB2" w:rsidRPr="00241F83">
        <w:rPr>
          <w:rStyle w:val="EndnoteReference"/>
          <w:rFonts w:cstheme="minorHAnsi"/>
          <w:sz w:val="24"/>
          <w:szCs w:val="24"/>
        </w:rPr>
        <w:endnoteReference w:id="30"/>
      </w:r>
      <w:r w:rsidR="00FA6BB2" w:rsidRPr="00241F83">
        <w:rPr>
          <w:rStyle w:val="EndnoteReference"/>
          <w:rFonts w:cstheme="minorHAnsi"/>
          <w:sz w:val="24"/>
          <w:szCs w:val="24"/>
        </w:rPr>
        <w:t>,</w:t>
      </w:r>
      <w:r w:rsidR="00FA6BB2" w:rsidRPr="00241F83">
        <w:rPr>
          <w:rStyle w:val="EndnoteReference"/>
          <w:rFonts w:cstheme="minorHAnsi"/>
          <w:sz w:val="24"/>
          <w:szCs w:val="24"/>
        </w:rPr>
        <w:endnoteReference w:id="31"/>
      </w:r>
      <w:r w:rsidR="00FA6BB2" w:rsidRPr="00241F83">
        <w:rPr>
          <w:rStyle w:val="EndnoteReference"/>
          <w:rFonts w:cstheme="minorHAnsi"/>
          <w:sz w:val="24"/>
          <w:szCs w:val="24"/>
        </w:rPr>
        <w:t>,</w:t>
      </w:r>
      <w:r w:rsidR="00631918">
        <w:rPr>
          <w:rFonts w:cstheme="minorHAnsi"/>
          <w:sz w:val="24"/>
          <w:szCs w:val="24"/>
        </w:rPr>
        <w:t xml:space="preserve"> </w:t>
      </w:r>
      <w:r w:rsidR="00FA6BB2" w:rsidRPr="00241F83">
        <w:rPr>
          <w:rStyle w:val="EndnoteReference"/>
          <w:rFonts w:cstheme="minorHAnsi"/>
          <w:sz w:val="24"/>
          <w:szCs w:val="24"/>
        </w:rPr>
        <w:endnoteReference w:id="32"/>
      </w:r>
      <w:r w:rsidR="00CB7CF4" w:rsidRPr="00241F83">
        <w:rPr>
          <w:rFonts w:cstheme="minorHAnsi"/>
          <w:bCs/>
          <w:sz w:val="24"/>
          <w:szCs w:val="24"/>
        </w:rPr>
        <w:t xml:space="preserve"> </w:t>
      </w:r>
      <w:r w:rsidR="00B933BA" w:rsidRPr="00241F83">
        <w:rPr>
          <w:rFonts w:cstheme="minorHAnsi"/>
          <w:sz w:val="24"/>
          <w:szCs w:val="24"/>
        </w:rPr>
        <w:t>ASCs focus on performing a narrow set of and surgical procedures for patients with lower</w:t>
      </w:r>
      <w:r w:rsidR="004F4EB3" w:rsidRPr="00241F83">
        <w:rPr>
          <w:rFonts w:cstheme="minorHAnsi"/>
          <w:sz w:val="24"/>
          <w:szCs w:val="24"/>
        </w:rPr>
        <w:t xml:space="preserve"> </w:t>
      </w:r>
      <w:r w:rsidR="00B933BA" w:rsidRPr="00241F83">
        <w:rPr>
          <w:rFonts w:cstheme="minorHAnsi"/>
          <w:sz w:val="24"/>
          <w:szCs w:val="24"/>
        </w:rPr>
        <w:t>acuity and risk of complications</w:t>
      </w:r>
      <w:r w:rsidR="00631918">
        <w:rPr>
          <w:rFonts w:cstheme="minorHAnsi"/>
          <w:sz w:val="24"/>
          <w:szCs w:val="24"/>
        </w:rPr>
        <w:t xml:space="preserve"> achieving </w:t>
      </w:r>
      <w:r w:rsidR="00F42624">
        <w:rPr>
          <w:rFonts w:cstheme="minorHAnsi"/>
          <w:sz w:val="24"/>
          <w:szCs w:val="24"/>
        </w:rPr>
        <w:t>savings through efficiencies and increased throughput</w:t>
      </w:r>
      <w:r w:rsidR="00B933BA" w:rsidRPr="00241F83">
        <w:rPr>
          <w:rFonts w:cstheme="minorHAnsi"/>
          <w:sz w:val="24"/>
          <w:szCs w:val="24"/>
        </w:rPr>
        <w:t>.</w:t>
      </w:r>
      <w:r w:rsidR="009E78AF" w:rsidRPr="00241F83">
        <w:rPr>
          <w:rStyle w:val="EndnoteReference"/>
          <w:rFonts w:cstheme="minorHAnsi"/>
          <w:bCs/>
          <w:sz w:val="24"/>
          <w:szCs w:val="24"/>
        </w:rPr>
        <w:endnoteReference w:id="33"/>
      </w:r>
      <w:r w:rsidR="009E78AF" w:rsidRPr="00241F83">
        <w:rPr>
          <w:rFonts w:cstheme="minorHAnsi"/>
          <w:bCs/>
          <w:sz w:val="24"/>
          <w:szCs w:val="24"/>
          <w:vertAlign w:val="superscript"/>
        </w:rPr>
        <w:t>,</w:t>
      </w:r>
      <w:r w:rsidR="00631918">
        <w:rPr>
          <w:rFonts w:cstheme="minorHAnsi"/>
          <w:bCs/>
          <w:sz w:val="24"/>
          <w:szCs w:val="24"/>
          <w:vertAlign w:val="superscript"/>
        </w:rPr>
        <w:t xml:space="preserve"> </w:t>
      </w:r>
      <w:r w:rsidR="009E78AF" w:rsidRPr="00241F83">
        <w:rPr>
          <w:rStyle w:val="EndnoteReference"/>
          <w:rFonts w:cstheme="minorHAnsi"/>
          <w:bCs/>
          <w:sz w:val="24"/>
          <w:szCs w:val="24"/>
        </w:rPr>
        <w:endnoteReference w:id="34"/>
      </w:r>
      <w:r w:rsidR="009E78AF" w:rsidRPr="00241F83">
        <w:rPr>
          <w:rFonts w:cstheme="minorHAnsi"/>
          <w:bCs/>
          <w:sz w:val="24"/>
          <w:szCs w:val="24"/>
          <w:vertAlign w:val="superscript"/>
        </w:rPr>
        <w:t xml:space="preserve"> </w:t>
      </w:r>
      <w:r w:rsidR="0033366C" w:rsidRPr="00241F83">
        <w:rPr>
          <w:rFonts w:cstheme="minorHAnsi"/>
          <w:bCs/>
          <w:sz w:val="24"/>
          <w:szCs w:val="24"/>
        </w:rPr>
        <w:t xml:space="preserve">Staff compared total costs and copayments of select procedures using data from Medicare’s Price Procedure Lookup tool that was provided by the </w:t>
      </w:r>
      <w:r w:rsidR="00D33E4C" w:rsidRPr="00241F83">
        <w:rPr>
          <w:rFonts w:cstheme="minorHAnsi"/>
          <w:bCs/>
          <w:sz w:val="24"/>
          <w:szCs w:val="24"/>
        </w:rPr>
        <w:t>Applicant</w:t>
      </w:r>
      <w:r w:rsidR="00F42624">
        <w:rPr>
          <w:rFonts w:cstheme="minorHAnsi"/>
          <w:bCs/>
          <w:sz w:val="24"/>
          <w:szCs w:val="24"/>
        </w:rPr>
        <w:t xml:space="preserve"> that demonstrated </w:t>
      </w:r>
      <w:r w:rsidR="0033366C" w:rsidRPr="00241F83">
        <w:rPr>
          <w:rFonts w:cstheme="minorHAnsi"/>
          <w:bCs/>
          <w:sz w:val="24"/>
          <w:szCs w:val="24"/>
        </w:rPr>
        <w:t>that ASCs can be a cost-effective alternative for certain procedures.</w:t>
      </w:r>
      <w:r w:rsidR="00592C78">
        <w:rPr>
          <w:rStyle w:val="FootnoteReference"/>
          <w:rFonts w:cstheme="minorHAnsi"/>
          <w:bCs/>
          <w:sz w:val="24"/>
          <w:szCs w:val="24"/>
        </w:rPr>
        <w:footnoteReference w:id="14"/>
      </w:r>
      <w:r w:rsidR="00F42624">
        <w:rPr>
          <w:rFonts w:cstheme="minorHAnsi"/>
          <w:bCs/>
          <w:sz w:val="24"/>
          <w:szCs w:val="24"/>
        </w:rPr>
        <w:t xml:space="preserve"> Table </w:t>
      </w:r>
      <w:r w:rsidR="00D4075F">
        <w:rPr>
          <w:rFonts w:cstheme="minorHAnsi"/>
          <w:bCs/>
          <w:sz w:val="24"/>
          <w:szCs w:val="24"/>
        </w:rPr>
        <w:t>7</w:t>
      </w:r>
      <w:r w:rsidR="00F42624">
        <w:rPr>
          <w:rFonts w:cstheme="minorHAnsi"/>
          <w:bCs/>
          <w:sz w:val="24"/>
          <w:szCs w:val="24"/>
        </w:rPr>
        <w:t xml:space="preserve"> below shows examples of </w:t>
      </w:r>
      <w:r w:rsidR="00F54432">
        <w:rPr>
          <w:rFonts w:cstheme="minorHAnsi"/>
          <w:bCs/>
          <w:sz w:val="24"/>
          <w:szCs w:val="24"/>
        </w:rPr>
        <w:t xml:space="preserve">costs-savings for </w:t>
      </w:r>
      <w:r w:rsidR="00F42624">
        <w:rPr>
          <w:rFonts w:cstheme="minorHAnsi"/>
          <w:bCs/>
          <w:sz w:val="24"/>
          <w:szCs w:val="24"/>
        </w:rPr>
        <w:t xml:space="preserve">select shoulder and knee procedures that are </w:t>
      </w:r>
      <w:r w:rsidR="00F54432">
        <w:rPr>
          <w:rFonts w:cstheme="minorHAnsi"/>
          <w:bCs/>
          <w:sz w:val="24"/>
          <w:szCs w:val="24"/>
        </w:rPr>
        <w:t>approved for an ASC setting.</w:t>
      </w:r>
    </w:p>
    <w:p w14:paraId="5FB30153" w14:textId="2265A31E" w:rsidR="00746CA4" w:rsidRPr="00C15C55" w:rsidRDefault="00C15C55" w:rsidP="00C15C55">
      <w:pPr>
        <w:spacing w:line="240" w:lineRule="auto"/>
        <w:jc w:val="center"/>
        <w:rPr>
          <w:b/>
          <w:bCs/>
        </w:rPr>
      </w:pPr>
      <w:r w:rsidRPr="00C15C55">
        <w:rPr>
          <w:b/>
          <w:bCs/>
        </w:rPr>
        <w:t xml:space="preserve">Table </w:t>
      </w:r>
      <w:r w:rsidR="00D4075F">
        <w:rPr>
          <w:b/>
          <w:bCs/>
        </w:rPr>
        <w:t>7:</w:t>
      </w:r>
      <w:r w:rsidRPr="00C15C55">
        <w:rPr>
          <w:b/>
          <w:bCs/>
        </w:rPr>
        <w:t xml:space="preserve"> Comparison of Select Medicare Payments in an ASC vs HOPD</w:t>
      </w:r>
    </w:p>
    <w:tbl>
      <w:tblPr>
        <w:tblW w:w="8340" w:type="dxa"/>
        <w:tblLook w:val="04A0" w:firstRow="1" w:lastRow="0" w:firstColumn="1" w:lastColumn="0" w:noHBand="0" w:noVBand="1"/>
      </w:tblPr>
      <w:tblGrid>
        <w:gridCol w:w="2492"/>
        <w:gridCol w:w="829"/>
        <w:gridCol w:w="1134"/>
        <w:gridCol w:w="960"/>
        <w:gridCol w:w="829"/>
        <w:gridCol w:w="1120"/>
        <w:gridCol w:w="976"/>
      </w:tblGrid>
      <w:tr w:rsidR="00746CA4" w:rsidRPr="00746CA4" w14:paraId="345131BA" w14:textId="77777777" w:rsidTr="008D0D08">
        <w:trPr>
          <w:cantSplit/>
          <w:trHeight w:val="512"/>
          <w:tblHeader/>
        </w:trPr>
        <w:tc>
          <w:tcPr>
            <w:tcW w:w="2572" w:type="dxa"/>
            <w:tcBorders>
              <w:top w:val="single" w:sz="4" w:space="0" w:color="auto"/>
              <w:left w:val="single" w:sz="4" w:space="0" w:color="auto"/>
              <w:bottom w:val="nil"/>
              <w:right w:val="single" w:sz="8" w:space="0" w:color="auto"/>
            </w:tcBorders>
            <w:shd w:val="clear" w:color="000000" w:fill="DDFFFF"/>
            <w:vAlign w:val="center"/>
            <w:hideMark/>
          </w:tcPr>
          <w:p w14:paraId="7477ADA4" w14:textId="7579E0D3" w:rsidR="00746CA4" w:rsidRPr="00746CA4" w:rsidRDefault="00746CA4" w:rsidP="00746CA4">
            <w:pPr>
              <w:spacing w:after="0" w:line="240" w:lineRule="auto"/>
              <w:rPr>
                <w:rFonts w:ascii="Calibri" w:eastAsia="Times New Roman" w:hAnsi="Calibri" w:cs="Calibri"/>
                <w:b/>
                <w:bCs/>
                <w:color w:val="000000"/>
              </w:rPr>
            </w:pPr>
            <w:r w:rsidRPr="00746CA4">
              <w:rPr>
                <w:rFonts w:ascii="Calibri" w:eastAsia="Times New Roman" w:hAnsi="Calibri" w:cstheme="minorHAnsi"/>
                <w:b/>
                <w:bCs/>
                <w:color w:val="000000"/>
              </w:rPr>
              <w:t>Procedure Description</w:t>
            </w:r>
          </w:p>
        </w:tc>
        <w:tc>
          <w:tcPr>
            <w:tcW w:w="2888" w:type="dxa"/>
            <w:gridSpan w:val="3"/>
            <w:tcBorders>
              <w:top w:val="single" w:sz="4" w:space="0" w:color="auto"/>
              <w:left w:val="nil"/>
              <w:bottom w:val="single" w:sz="8" w:space="0" w:color="auto"/>
              <w:right w:val="single" w:sz="8" w:space="0" w:color="000000"/>
            </w:tcBorders>
            <w:shd w:val="clear" w:color="000000" w:fill="DDFFFF"/>
            <w:noWrap/>
            <w:vAlign w:val="center"/>
            <w:hideMark/>
          </w:tcPr>
          <w:p w14:paraId="2E4D6092" w14:textId="77777777" w:rsidR="00746CA4" w:rsidRPr="00746CA4" w:rsidRDefault="00746CA4" w:rsidP="00746CA4">
            <w:pPr>
              <w:spacing w:after="0" w:line="240" w:lineRule="auto"/>
              <w:jc w:val="center"/>
              <w:rPr>
                <w:rFonts w:ascii="Calibri" w:eastAsia="Times New Roman" w:hAnsi="Calibri" w:cs="Calibri"/>
                <w:b/>
                <w:bCs/>
                <w:color w:val="000000"/>
              </w:rPr>
            </w:pPr>
            <w:r w:rsidRPr="00746CA4">
              <w:rPr>
                <w:rFonts w:ascii="Calibri" w:eastAsia="Times New Roman" w:hAnsi="Calibri" w:cs="Calibri"/>
                <w:b/>
                <w:bCs/>
                <w:color w:val="000000"/>
              </w:rPr>
              <w:t>ASC (US average)</w:t>
            </w:r>
          </w:p>
        </w:tc>
        <w:tc>
          <w:tcPr>
            <w:tcW w:w="2880" w:type="dxa"/>
            <w:gridSpan w:val="3"/>
            <w:tcBorders>
              <w:top w:val="single" w:sz="4" w:space="0" w:color="auto"/>
              <w:left w:val="nil"/>
              <w:bottom w:val="single" w:sz="8" w:space="0" w:color="auto"/>
              <w:right w:val="single" w:sz="4" w:space="0" w:color="000000"/>
            </w:tcBorders>
            <w:shd w:val="clear" w:color="000000" w:fill="DDFFFF"/>
            <w:noWrap/>
            <w:vAlign w:val="center"/>
            <w:hideMark/>
          </w:tcPr>
          <w:p w14:paraId="697E7B68" w14:textId="77777777" w:rsidR="00746CA4" w:rsidRPr="00746CA4" w:rsidRDefault="00746CA4" w:rsidP="00746CA4">
            <w:pPr>
              <w:spacing w:after="0" w:line="240" w:lineRule="auto"/>
              <w:jc w:val="center"/>
              <w:rPr>
                <w:rFonts w:ascii="Calibri" w:eastAsia="Times New Roman" w:hAnsi="Calibri" w:cs="Calibri"/>
                <w:b/>
                <w:bCs/>
                <w:color w:val="000000"/>
              </w:rPr>
            </w:pPr>
            <w:r w:rsidRPr="00746CA4">
              <w:rPr>
                <w:rFonts w:ascii="Calibri" w:eastAsia="Times New Roman" w:hAnsi="Calibri" w:cs="Calibri"/>
                <w:b/>
                <w:bCs/>
                <w:color w:val="000000"/>
              </w:rPr>
              <w:t>HOPD (US average)</w:t>
            </w:r>
          </w:p>
        </w:tc>
      </w:tr>
      <w:tr w:rsidR="00746CA4" w:rsidRPr="00746CA4" w14:paraId="71B514DD" w14:textId="77777777" w:rsidTr="008D0D08">
        <w:trPr>
          <w:cantSplit/>
          <w:trHeight w:val="290"/>
          <w:tblHeader/>
        </w:trPr>
        <w:tc>
          <w:tcPr>
            <w:tcW w:w="2572" w:type="dxa"/>
            <w:tcBorders>
              <w:top w:val="nil"/>
              <w:left w:val="single" w:sz="4" w:space="0" w:color="auto"/>
              <w:bottom w:val="single" w:sz="4" w:space="0" w:color="auto"/>
              <w:right w:val="single" w:sz="8" w:space="0" w:color="auto"/>
            </w:tcBorders>
            <w:shd w:val="clear" w:color="000000" w:fill="DDFFFF"/>
            <w:vAlign w:val="center"/>
            <w:hideMark/>
          </w:tcPr>
          <w:p w14:paraId="29ED8A75" w14:textId="77777777" w:rsidR="00746CA4" w:rsidRPr="00746CA4" w:rsidRDefault="00746CA4" w:rsidP="00746CA4">
            <w:pPr>
              <w:spacing w:after="0" w:line="240" w:lineRule="auto"/>
              <w:rPr>
                <w:rFonts w:ascii="Calibri" w:eastAsia="Times New Roman" w:hAnsi="Calibri" w:cs="Calibri"/>
                <w:b/>
                <w:bCs/>
                <w:color w:val="000000"/>
              </w:rPr>
            </w:pPr>
            <w:r w:rsidRPr="00746CA4">
              <w:rPr>
                <w:rFonts w:ascii="Calibri" w:eastAsia="Times New Roman" w:hAnsi="Calibri" w:cs="Calibri"/>
                <w:b/>
                <w:bCs/>
                <w:color w:val="000000"/>
              </w:rPr>
              <w:t> </w:t>
            </w:r>
          </w:p>
        </w:tc>
        <w:tc>
          <w:tcPr>
            <w:tcW w:w="794" w:type="dxa"/>
            <w:tcBorders>
              <w:top w:val="nil"/>
              <w:left w:val="nil"/>
              <w:bottom w:val="single" w:sz="4" w:space="0" w:color="auto"/>
              <w:right w:val="single" w:sz="8" w:space="0" w:color="auto"/>
            </w:tcBorders>
            <w:shd w:val="clear" w:color="000000" w:fill="DDFFFF"/>
            <w:noWrap/>
            <w:vAlign w:val="center"/>
            <w:hideMark/>
          </w:tcPr>
          <w:p w14:paraId="18E574D6" w14:textId="77777777" w:rsidR="00746CA4" w:rsidRPr="00746CA4" w:rsidRDefault="00746CA4" w:rsidP="00C15C55">
            <w:pPr>
              <w:spacing w:after="0" w:line="240" w:lineRule="auto"/>
              <w:jc w:val="center"/>
              <w:rPr>
                <w:rFonts w:ascii="Calibri" w:eastAsia="Times New Roman" w:hAnsi="Calibri" w:cs="Calibri"/>
                <w:color w:val="000000"/>
              </w:rPr>
            </w:pPr>
            <w:r w:rsidRPr="00746CA4">
              <w:rPr>
                <w:rFonts w:ascii="Calibri" w:eastAsia="Times New Roman" w:hAnsi="Calibri" w:cs="Calibri"/>
                <w:color w:val="000000"/>
              </w:rPr>
              <w:t>Total</w:t>
            </w:r>
          </w:p>
        </w:tc>
        <w:tc>
          <w:tcPr>
            <w:tcW w:w="1134" w:type="dxa"/>
            <w:tcBorders>
              <w:top w:val="nil"/>
              <w:left w:val="nil"/>
              <w:bottom w:val="single" w:sz="4" w:space="0" w:color="auto"/>
              <w:right w:val="single" w:sz="8" w:space="0" w:color="auto"/>
            </w:tcBorders>
            <w:shd w:val="clear" w:color="000000" w:fill="DDFFFF"/>
            <w:vAlign w:val="center"/>
            <w:hideMark/>
          </w:tcPr>
          <w:p w14:paraId="35BFF069" w14:textId="77777777" w:rsidR="00746CA4" w:rsidRPr="00746CA4" w:rsidRDefault="00746CA4" w:rsidP="00C15C55">
            <w:pPr>
              <w:spacing w:after="0" w:line="240" w:lineRule="auto"/>
              <w:jc w:val="center"/>
              <w:rPr>
                <w:rFonts w:ascii="Calibri" w:eastAsia="Times New Roman" w:hAnsi="Calibri" w:cs="Calibri"/>
                <w:color w:val="000000"/>
              </w:rPr>
            </w:pPr>
            <w:r w:rsidRPr="00746CA4">
              <w:rPr>
                <w:rFonts w:ascii="Calibri" w:eastAsia="Times New Roman" w:hAnsi="Calibri" w:cs="Calibri"/>
                <w:color w:val="000000"/>
              </w:rPr>
              <w:t>Medicare Payment</w:t>
            </w:r>
          </w:p>
        </w:tc>
        <w:tc>
          <w:tcPr>
            <w:tcW w:w="960" w:type="dxa"/>
            <w:tcBorders>
              <w:top w:val="nil"/>
              <w:left w:val="nil"/>
              <w:bottom w:val="single" w:sz="4" w:space="0" w:color="auto"/>
              <w:right w:val="single" w:sz="8" w:space="0" w:color="auto"/>
            </w:tcBorders>
            <w:shd w:val="clear" w:color="000000" w:fill="DDFFFF"/>
            <w:vAlign w:val="center"/>
            <w:hideMark/>
          </w:tcPr>
          <w:p w14:paraId="1F76CE9A" w14:textId="77777777" w:rsidR="00746CA4" w:rsidRPr="00746CA4" w:rsidRDefault="00746CA4" w:rsidP="00C15C55">
            <w:pPr>
              <w:spacing w:after="0" w:line="240" w:lineRule="auto"/>
              <w:jc w:val="center"/>
              <w:rPr>
                <w:rFonts w:ascii="Calibri" w:eastAsia="Times New Roman" w:hAnsi="Calibri" w:cs="Calibri"/>
                <w:color w:val="000000"/>
              </w:rPr>
            </w:pPr>
            <w:r w:rsidRPr="00746CA4">
              <w:rPr>
                <w:rFonts w:ascii="Calibri" w:eastAsia="Times New Roman" w:hAnsi="Calibri" w:cs="Calibri"/>
                <w:color w:val="000000"/>
              </w:rPr>
              <w:t>Copay</w:t>
            </w:r>
          </w:p>
        </w:tc>
        <w:tc>
          <w:tcPr>
            <w:tcW w:w="784" w:type="dxa"/>
            <w:tcBorders>
              <w:top w:val="nil"/>
              <w:left w:val="nil"/>
              <w:bottom w:val="single" w:sz="4" w:space="0" w:color="auto"/>
              <w:right w:val="single" w:sz="8" w:space="0" w:color="auto"/>
            </w:tcBorders>
            <w:shd w:val="clear" w:color="000000" w:fill="DDFFFF"/>
            <w:noWrap/>
            <w:vAlign w:val="center"/>
            <w:hideMark/>
          </w:tcPr>
          <w:p w14:paraId="2BE0B759" w14:textId="77777777" w:rsidR="00746CA4" w:rsidRPr="00746CA4" w:rsidRDefault="00746CA4" w:rsidP="00C15C55">
            <w:pPr>
              <w:spacing w:after="0" w:line="240" w:lineRule="auto"/>
              <w:jc w:val="center"/>
              <w:rPr>
                <w:rFonts w:ascii="Calibri" w:eastAsia="Times New Roman" w:hAnsi="Calibri" w:cs="Calibri"/>
                <w:color w:val="000000"/>
              </w:rPr>
            </w:pPr>
            <w:r w:rsidRPr="00746CA4">
              <w:rPr>
                <w:rFonts w:ascii="Calibri" w:eastAsia="Times New Roman" w:hAnsi="Calibri" w:cs="Calibri"/>
                <w:color w:val="000000"/>
              </w:rPr>
              <w:t>Total</w:t>
            </w:r>
          </w:p>
        </w:tc>
        <w:tc>
          <w:tcPr>
            <w:tcW w:w="1120" w:type="dxa"/>
            <w:tcBorders>
              <w:top w:val="nil"/>
              <w:left w:val="nil"/>
              <w:bottom w:val="single" w:sz="4" w:space="0" w:color="auto"/>
              <w:right w:val="single" w:sz="8" w:space="0" w:color="auto"/>
            </w:tcBorders>
            <w:shd w:val="clear" w:color="000000" w:fill="DDFFFF"/>
            <w:vAlign w:val="center"/>
            <w:hideMark/>
          </w:tcPr>
          <w:p w14:paraId="66E69D28" w14:textId="77777777" w:rsidR="00746CA4" w:rsidRPr="00746CA4" w:rsidRDefault="00746CA4" w:rsidP="00C15C55">
            <w:pPr>
              <w:spacing w:after="0" w:line="240" w:lineRule="auto"/>
              <w:jc w:val="center"/>
              <w:rPr>
                <w:rFonts w:ascii="Calibri" w:eastAsia="Times New Roman" w:hAnsi="Calibri" w:cs="Calibri"/>
                <w:color w:val="000000"/>
              </w:rPr>
            </w:pPr>
            <w:r w:rsidRPr="00746CA4">
              <w:rPr>
                <w:rFonts w:ascii="Calibri" w:eastAsia="Times New Roman" w:hAnsi="Calibri" w:cs="Calibri"/>
                <w:color w:val="000000"/>
              </w:rPr>
              <w:t>Medicare Payment</w:t>
            </w:r>
          </w:p>
        </w:tc>
        <w:tc>
          <w:tcPr>
            <w:tcW w:w="976" w:type="dxa"/>
            <w:tcBorders>
              <w:top w:val="nil"/>
              <w:left w:val="nil"/>
              <w:bottom w:val="single" w:sz="4" w:space="0" w:color="auto"/>
              <w:right w:val="single" w:sz="4" w:space="0" w:color="auto"/>
            </w:tcBorders>
            <w:shd w:val="clear" w:color="000000" w:fill="DDFFFF"/>
            <w:vAlign w:val="center"/>
            <w:hideMark/>
          </w:tcPr>
          <w:p w14:paraId="382800D7" w14:textId="77777777" w:rsidR="00746CA4" w:rsidRPr="00746CA4" w:rsidRDefault="00746CA4" w:rsidP="00C15C55">
            <w:pPr>
              <w:spacing w:after="0" w:line="240" w:lineRule="auto"/>
              <w:jc w:val="center"/>
              <w:rPr>
                <w:rFonts w:ascii="Calibri" w:eastAsia="Times New Roman" w:hAnsi="Calibri" w:cs="Calibri"/>
                <w:color w:val="000000"/>
              </w:rPr>
            </w:pPr>
            <w:r w:rsidRPr="00746CA4">
              <w:rPr>
                <w:rFonts w:ascii="Calibri" w:eastAsia="Times New Roman" w:hAnsi="Calibri" w:cs="Calibri"/>
                <w:color w:val="000000"/>
              </w:rPr>
              <w:t>Copay</w:t>
            </w:r>
          </w:p>
        </w:tc>
      </w:tr>
      <w:tr w:rsidR="00746CA4" w:rsidRPr="00746CA4" w14:paraId="746CFFE3" w14:textId="77777777" w:rsidTr="008D0D08">
        <w:trPr>
          <w:cantSplit/>
          <w:trHeight w:val="1170"/>
        </w:trPr>
        <w:tc>
          <w:tcPr>
            <w:tcW w:w="2572" w:type="dxa"/>
            <w:tcBorders>
              <w:top w:val="nil"/>
              <w:left w:val="single" w:sz="8" w:space="0" w:color="auto"/>
              <w:bottom w:val="single" w:sz="8" w:space="0" w:color="auto"/>
              <w:right w:val="single" w:sz="8" w:space="0" w:color="auto"/>
            </w:tcBorders>
            <w:shd w:val="clear" w:color="auto" w:fill="auto"/>
            <w:vAlign w:val="center"/>
            <w:hideMark/>
          </w:tcPr>
          <w:p w14:paraId="4AEE5D8B" w14:textId="77777777" w:rsidR="00746CA4" w:rsidRPr="00746CA4" w:rsidRDefault="00746CA4" w:rsidP="00746CA4">
            <w:pPr>
              <w:spacing w:after="0" w:line="240" w:lineRule="auto"/>
              <w:rPr>
                <w:rFonts w:ascii="Calibri" w:eastAsia="Times New Roman" w:hAnsi="Calibri" w:cs="Calibri"/>
                <w:color w:val="000000"/>
              </w:rPr>
            </w:pPr>
            <w:r w:rsidRPr="00746CA4">
              <w:rPr>
                <w:rFonts w:ascii="Calibri" w:eastAsia="Times New Roman" w:hAnsi="Calibri" w:cstheme="minorHAnsi"/>
                <w:bCs/>
                <w:color w:val="000000"/>
              </w:rPr>
              <w:t>Arthroscopy, shoulder, surgical; distal claviculectomy including distal articular surface</w:t>
            </w:r>
          </w:p>
        </w:tc>
        <w:tc>
          <w:tcPr>
            <w:tcW w:w="794" w:type="dxa"/>
            <w:tcBorders>
              <w:top w:val="nil"/>
              <w:left w:val="nil"/>
              <w:bottom w:val="single" w:sz="8" w:space="0" w:color="auto"/>
              <w:right w:val="single" w:sz="8" w:space="0" w:color="auto"/>
            </w:tcBorders>
            <w:shd w:val="clear" w:color="auto" w:fill="auto"/>
            <w:noWrap/>
            <w:vAlign w:val="center"/>
            <w:hideMark/>
          </w:tcPr>
          <w:p w14:paraId="35876FB2"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$2,025 </w:t>
            </w:r>
          </w:p>
        </w:tc>
        <w:tc>
          <w:tcPr>
            <w:tcW w:w="1134" w:type="dxa"/>
            <w:tcBorders>
              <w:top w:val="nil"/>
              <w:left w:val="nil"/>
              <w:bottom w:val="single" w:sz="8" w:space="0" w:color="auto"/>
              <w:right w:val="single" w:sz="8" w:space="0" w:color="auto"/>
            </w:tcBorders>
            <w:shd w:val="clear" w:color="auto" w:fill="auto"/>
            <w:noWrap/>
            <w:vAlign w:val="center"/>
            <w:hideMark/>
          </w:tcPr>
          <w:p w14:paraId="27D4BD1B"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$1,620 </w:t>
            </w:r>
          </w:p>
        </w:tc>
        <w:tc>
          <w:tcPr>
            <w:tcW w:w="960" w:type="dxa"/>
            <w:tcBorders>
              <w:top w:val="nil"/>
              <w:left w:val="nil"/>
              <w:bottom w:val="single" w:sz="8" w:space="0" w:color="auto"/>
              <w:right w:val="single" w:sz="8" w:space="0" w:color="auto"/>
            </w:tcBorders>
            <w:shd w:val="clear" w:color="auto" w:fill="auto"/>
            <w:noWrap/>
            <w:vAlign w:val="center"/>
            <w:hideMark/>
          </w:tcPr>
          <w:p w14:paraId="27678C8D"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$404 </w:t>
            </w:r>
          </w:p>
        </w:tc>
        <w:tc>
          <w:tcPr>
            <w:tcW w:w="784" w:type="dxa"/>
            <w:tcBorders>
              <w:top w:val="nil"/>
              <w:left w:val="nil"/>
              <w:bottom w:val="single" w:sz="8" w:space="0" w:color="auto"/>
              <w:right w:val="single" w:sz="8" w:space="0" w:color="auto"/>
            </w:tcBorders>
            <w:shd w:val="clear" w:color="auto" w:fill="auto"/>
            <w:noWrap/>
            <w:vAlign w:val="center"/>
            <w:hideMark/>
          </w:tcPr>
          <w:p w14:paraId="4A87CB99"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$3,527 </w:t>
            </w:r>
          </w:p>
        </w:tc>
        <w:tc>
          <w:tcPr>
            <w:tcW w:w="1120" w:type="dxa"/>
            <w:tcBorders>
              <w:top w:val="nil"/>
              <w:left w:val="nil"/>
              <w:bottom w:val="single" w:sz="8" w:space="0" w:color="auto"/>
              <w:right w:val="single" w:sz="8" w:space="0" w:color="auto"/>
            </w:tcBorders>
            <w:shd w:val="clear" w:color="auto" w:fill="auto"/>
            <w:noWrap/>
            <w:vAlign w:val="center"/>
            <w:hideMark/>
          </w:tcPr>
          <w:p w14:paraId="569A8645"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$2,822 </w:t>
            </w:r>
          </w:p>
        </w:tc>
        <w:tc>
          <w:tcPr>
            <w:tcW w:w="976" w:type="dxa"/>
            <w:tcBorders>
              <w:top w:val="nil"/>
              <w:left w:val="nil"/>
              <w:bottom w:val="single" w:sz="8" w:space="0" w:color="auto"/>
              <w:right w:val="single" w:sz="8" w:space="0" w:color="auto"/>
            </w:tcBorders>
            <w:shd w:val="clear" w:color="auto" w:fill="auto"/>
            <w:noWrap/>
            <w:vAlign w:val="center"/>
            <w:hideMark/>
          </w:tcPr>
          <w:p w14:paraId="011DEF2B"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$705 </w:t>
            </w:r>
          </w:p>
        </w:tc>
      </w:tr>
      <w:tr w:rsidR="00746CA4" w:rsidRPr="00746CA4" w14:paraId="4FD1D6E8" w14:textId="77777777" w:rsidTr="008D0D08">
        <w:trPr>
          <w:cantSplit/>
          <w:trHeight w:val="880"/>
        </w:trPr>
        <w:tc>
          <w:tcPr>
            <w:tcW w:w="2572" w:type="dxa"/>
            <w:tcBorders>
              <w:top w:val="nil"/>
              <w:left w:val="single" w:sz="8" w:space="0" w:color="auto"/>
              <w:bottom w:val="single" w:sz="8" w:space="0" w:color="auto"/>
              <w:right w:val="single" w:sz="8" w:space="0" w:color="auto"/>
            </w:tcBorders>
            <w:shd w:val="clear" w:color="auto" w:fill="auto"/>
            <w:vAlign w:val="center"/>
            <w:hideMark/>
          </w:tcPr>
          <w:p w14:paraId="14A19B4F" w14:textId="77777777" w:rsidR="00746CA4" w:rsidRPr="00746CA4" w:rsidRDefault="00746CA4" w:rsidP="00746CA4">
            <w:pPr>
              <w:spacing w:after="0" w:line="240" w:lineRule="auto"/>
              <w:rPr>
                <w:rFonts w:ascii="Calibri" w:eastAsia="Times New Roman" w:hAnsi="Calibri" w:cs="Calibri"/>
                <w:color w:val="000000"/>
              </w:rPr>
            </w:pPr>
            <w:r w:rsidRPr="00746CA4">
              <w:rPr>
                <w:rFonts w:ascii="Calibri" w:eastAsia="Times New Roman" w:hAnsi="Calibri" w:cstheme="minorHAnsi"/>
                <w:bCs/>
                <w:color w:val="000000"/>
              </w:rPr>
              <w:t>Arthroscopy, shoulder, surgical; with rotator cuff repair</w:t>
            </w:r>
          </w:p>
        </w:tc>
        <w:tc>
          <w:tcPr>
            <w:tcW w:w="794" w:type="dxa"/>
            <w:tcBorders>
              <w:top w:val="nil"/>
              <w:left w:val="nil"/>
              <w:bottom w:val="single" w:sz="8" w:space="0" w:color="auto"/>
              <w:right w:val="single" w:sz="8" w:space="0" w:color="auto"/>
            </w:tcBorders>
            <w:shd w:val="clear" w:color="auto" w:fill="auto"/>
            <w:noWrap/>
            <w:vAlign w:val="center"/>
            <w:hideMark/>
          </w:tcPr>
          <w:p w14:paraId="16CFDDAC"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$4,029 </w:t>
            </w:r>
          </w:p>
        </w:tc>
        <w:tc>
          <w:tcPr>
            <w:tcW w:w="1134" w:type="dxa"/>
            <w:tcBorders>
              <w:top w:val="nil"/>
              <w:left w:val="nil"/>
              <w:bottom w:val="single" w:sz="8" w:space="0" w:color="auto"/>
              <w:right w:val="single" w:sz="8" w:space="0" w:color="auto"/>
            </w:tcBorders>
            <w:shd w:val="clear" w:color="auto" w:fill="auto"/>
            <w:noWrap/>
            <w:vAlign w:val="center"/>
            <w:hideMark/>
          </w:tcPr>
          <w:p w14:paraId="3F77DD43"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$3,223 </w:t>
            </w:r>
          </w:p>
        </w:tc>
        <w:tc>
          <w:tcPr>
            <w:tcW w:w="960" w:type="dxa"/>
            <w:tcBorders>
              <w:top w:val="nil"/>
              <w:left w:val="nil"/>
              <w:bottom w:val="single" w:sz="8" w:space="0" w:color="auto"/>
              <w:right w:val="single" w:sz="8" w:space="0" w:color="auto"/>
            </w:tcBorders>
            <w:shd w:val="clear" w:color="auto" w:fill="auto"/>
            <w:noWrap/>
            <w:vAlign w:val="center"/>
            <w:hideMark/>
          </w:tcPr>
          <w:p w14:paraId="74701BA5"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$805 </w:t>
            </w:r>
          </w:p>
        </w:tc>
        <w:tc>
          <w:tcPr>
            <w:tcW w:w="784" w:type="dxa"/>
            <w:tcBorders>
              <w:top w:val="nil"/>
              <w:left w:val="nil"/>
              <w:bottom w:val="single" w:sz="8" w:space="0" w:color="auto"/>
              <w:right w:val="single" w:sz="8" w:space="0" w:color="auto"/>
            </w:tcBorders>
            <w:shd w:val="clear" w:color="auto" w:fill="auto"/>
            <w:noWrap/>
            <w:vAlign w:val="center"/>
            <w:hideMark/>
          </w:tcPr>
          <w:p w14:paraId="0BE16DA6"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$7,364 </w:t>
            </w:r>
          </w:p>
        </w:tc>
        <w:tc>
          <w:tcPr>
            <w:tcW w:w="1120" w:type="dxa"/>
            <w:tcBorders>
              <w:top w:val="nil"/>
              <w:left w:val="nil"/>
              <w:bottom w:val="single" w:sz="8" w:space="0" w:color="auto"/>
              <w:right w:val="single" w:sz="8" w:space="0" w:color="auto"/>
            </w:tcBorders>
            <w:shd w:val="clear" w:color="auto" w:fill="auto"/>
            <w:noWrap/>
            <w:vAlign w:val="center"/>
            <w:hideMark/>
          </w:tcPr>
          <w:p w14:paraId="62383193"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$5,891 </w:t>
            </w:r>
          </w:p>
        </w:tc>
        <w:tc>
          <w:tcPr>
            <w:tcW w:w="976" w:type="dxa"/>
            <w:tcBorders>
              <w:top w:val="nil"/>
              <w:left w:val="nil"/>
              <w:bottom w:val="single" w:sz="8" w:space="0" w:color="auto"/>
              <w:right w:val="single" w:sz="8" w:space="0" w:color="auto"/>
            </w:tcBorders>
            <w:shd w:val="clear" w:color="auto" w:fill="auto"/>
            <w:noWrap/>
            <w:vAlign w:val="center"/>
            <w:hideMark/>
          </w:tcPr>
          <w:p w14:paraId="20D2BE0E"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$1,473 </w:t>
            </w:r>
          </w:p>
        </w:tc>
      </w:tr>
      <w:tr w:rsidR="00746CA4" w:rsidRPr="00746CA4" w14:paraId="53C8A135" w14:textId="77777777" w:rsidTr="008D0D08">
        <w:trPr>
          <w:cantSplit/>
          <w:trHeight w:val="1170"/>
        </w:trPr>
        <w:tc>
          <w:tcPr>
            <w:tcW w:w="2572" w:type="dxa"/>
            <w:tcBorders>
              <w:top w:val="nil"/>
              <w:left w:val="single" w:sz="8" w:space="0" w:color="auto"/>
              <w:bottom w:val="single" w:sz="8" w:space="0" w:color="auto"/>
              <w:right w:val="single" w:sz="8" w:space="0" w:color="auto"/>
            </w:tcBorders>
            <w:shd w:val="clear" w:color="auto" w:fill="auto"/>
            <w:vAlign w:val="center"/>
            <w:hideMark/>
          </w:tcPr>
          <w:p w14:paraId="402E687C" w14:textId="77777777" w:rsidR="00746CA4" w:rsidRPr="00746CA4" w:rsidRDefault="00746CA4" w:rsidP="00746CA4">
            <w:pPr>
              <w:spacing w:after="0" w:line="240" w:lineRule="auto"/>
              <w:rPr>
                <w:rFonts w:ascii="Calibri" w:eastAsia="Times New Roman" w:hAnsi="Calibri" w:cs="Calibri"/>
                <w:color w:val="000000"/>
              </w:rPr>
            </w:pPr>
            <w:r w:rsidRPr="00746CA4">
              <w:rPr>
                <w:rFonts w:ascii="Calibri" w:eastAsia="Times New Roman" w:hAnsi="Calibri" w:cstheme="minorHAnsi"/>
                <w:bCs/>
                <w:color w:val="000000"/>
              </w:rPr>
              <w:t>Arthroscopy, shoulder, surgical; debridement, extensive, 3 or more discrete structures</w:t>
            </w:r>
          </w:p>
        </w:tc>
        <w:tc>
          <w:tcPr>
            <w:tcW w:w="794" w:type="dxa"/>
            <w:tcBorders>
              <w:top w:val="nil"/>
              <w:left w:val="nil"/>
              <w:bottom w:val="single" w:sz="8" w:space="0" w:color="auto"/>
              <w:right w:val="single" w:sz="8" w:space="0" w:color="auto"/>
            </w:tcBorders>
            <w:shd w:val="clear" w:color="auto" w:fill="auto"/>
            <w:noWrap/>
            <w:vAlign w:val="center"/>
            <w:hideMark/>
          </w:tcPr>
          <w:p w14:paraId="4F6B2D98"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$1,939 </w:t>
            </w:r>
          </w:p>
        </w:tc>
        <w:tc>
          <w:tcPr>
            <w:tcW w:w="1134" w:type="dxa"/>
            <w:tcBorders>
              <w:top w:val="nil"/>
              <w:left w:val="nil"/>
              <w:bottom w:val="single" w:sz="8" w:space="0" w:color="auto"/>
              <w:right w:val="single" w:sz="8" w:space="0" w:color="auto"/>
            </w:tcBorders>
            <w:shd w:val="clear" w:color="auto" w:fill="auto"/>
            <w:noWrap/>
            <w:vAlign w:val="center"/>
            <w:hideMark/>
          </w:tcPr>
          <w:p w14:paraId="5DC1042C"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$1,551 </w:t>
            </w:r>
          </w:p>
        </w:tc>
        <w:tc>
          <w:tcPr>
            <w:tcW w:w="960" w:type="dxa"/>
            <w:tcBorders>
              <w:top w:val="nil"/>
              <w:left w:val="nil"/>
              <w:bottom w:val="single" w:sz="8" w:space="0" w:color="auto"/>
              <w:right w:val="single" w:sz="8" w:space="0" w:color="auto"/>
            </w:tcBorders>
            <w:shd w:val="clear" w:color="auto" w:fill="auto"/>
            <w:noWrap/>
            <w:vAlign w:val="center"/>
            <w:hideMark/>
          </w:tcPr>
          <w:p w14:paraId="50C9F1A9"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$387 </w:t>
            </w:r>
          </w:p>
        </w:tc>
        <w:tc>
          <w:tcPr>
            <w:tcW w:w="784" w:type="dxa"/>
            <w:tcBorders>
              <w:top w:val="nil"/>
              <w:left w:val="nil"/>
              <w:bottom w:val="single" w:sz="8" w:space="0" w:color="auto"/>
              <w:right w:val="single" w:sz="8" w:space="0" w:color="auto"/>
            </w:tcBorders>
            <w:shd w:val="clear" w:color="auto" w:fill="auto"/>
            <w:noWrap/>
            <w:vAlign w:val="center"/>
            <w:hideMark/>
          </w:tcPr>
          <w:p w14:paraId="6E48CCE3"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$3,441 </w:t>
            </w:r>
          </w:p>
        </w:tc>
        <w:tc>
          <w:tcPr>
            <w:tcW w:w="1120" w:type="dxa"/>
            <w:tcBorders>
              <w:top w:val="nil"/>
              <w:left w:val="nil"/>
              <w:bottom w:val="single" w:sz="8" w:space="0" w:color="auto"/>
              <w:right w:val="single" w:sz="8" w:space="0" w:color="auto"/>
            </w:tcBorders>
            <w:shd w:val="clear" w:color="auto" w:fill="auto"/>
            <w:noWrap/>
            <w:vAlign w:val="center"/>
            <w:hideMark/>
          </w:tcPr>
          <w:p w14:paraId="79E92143"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$2,753 </w:t>
            </w:r>
          </w:p>
        </w:tc>
        <w:tc>
          <w:tcPr>
            <w:tcW w:w="976" w:type="dxa"/>
            <w:tcBorders>
              <w:top w:val="nil"/>
              <w:left w:val="nil"/>
              <w:bottom w:val="single" w:sz="8" w:space="0" w:color="auto"/>
              <w:right w:val="single" w:sz="8" w:space="0" w:color="auto"/>
            </w:tcBorders>
            <w:shd w:val="clear" w:color="auto" w:fill="auto"/>
            <w:noWrap/>
            <w:vAlign w:val="center"/>
            <w:hideMark/>
          </w:tcPr>
          <w:p w14:paraId="7FAE10D4"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$688 </w:t>
            </w:r>
          </w:p>
        </w:tc>
      </w:tr>
      <w:tr w:rsidR="00746CA4" w:rsidRPr="00746CA4" w14:paraId="0AAF2939" w14:textId="77777777" w:rsidTr="008D0D08">
        <w:trPr>
          <w:cantSplit/>
          <w:trHeight w:val="590"/>
        </w:trPr>
        <w:tc>
          <w:tcPr>
            <w:tcW w:w="2572" w:type="dxa"/>
            <w:tcBorders>
              <w:top w:val="nil"/>
              <w:left w:val="single" w:sz="8" w:space="0" w:color="auto"/>
              <w:bottom w:val="single" w:sz="8" w:space="0" w:color="auto"/>
              <w:right w:val="single" w:sz="8" w:space="0" w:color="auto"/>
            </w:tcBorders>
            <w:shd w:val="clear" w:color="auto" w:fill="auto"/>
            <w:vAlign w:val="center"/>
            <w:hideMark/>
          </w:tcPr>
          <w:p w14:paraId="52DD4266" w14:textId="77777777" w:rsidR="00746CA4" w:rsidRPr="00746CA4" w:rsidRDefault="00746CA4" w:rsidP="00746CA4">
            <w:pPr>
              <w:spacing w:after="0" w:line="240" w:lineRule="auto"/>
              <w:rPr>
                <w:rFonts w:ascii="Calibri" w:eastAsia="Times New Roman" w:hAnsi="Calibri" w:cs="Calibri"/>
                <w:color w:val="000000"/>
              </w:rPr>
            </w:pPr>
            <w:r w:rsidRPr="00746CA4">
              <w:rPr>
                <w:rFonts w:ascii="Calibri" w:eastAsia="Times New Roman" w:hAnsi="Calibri" w:cstheme="minorHAnsi"/>
                <w:bCs/>
                <w:color w:val="000000"/>
              </w:rPr>
              <w:t>Arthroscopy, shoulder, surgical; biceps tenodesis</w:t>
            </w:r>
          </w:p>
        </w:tc>
        <w:tc>
          <w:tcPr>
            <w:tcW w:w="794" w:type="dxa"/>
            <w:tcBorders>
              <w:top w:val="nil"/>
              <w:left w:val="nil"/>
              <w:bottom w:val="single" w:sz="8" w:space="0" w:color="auto"/>
              <w:right w:val="single" w:sz="8" w:space="0" w:color="auto"/>
            </w:tcBorders>
            <w:shd w:val="clear" w:color="auto" w:fill="auto"/>
            <w:noWrap/>
            <w:vAlign w:val="center"/>
            <w:hideMark/>
          </w:tcPr>
          <w:p w14:paraId="0D491C39"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$3,873 </w:t>
            </w:r>
          </w:p>
        </w:tc>
        <w:tc>
          <w:tcPr>
            <w:tcW w:w="1134" w:type="dxa"/>
            <w:tcBorders>
              <w:top w:val="nil"/>
              <w:left w:val="nil"/>
              <w:bottom w:val="single" w:sz="8" w:space="0" w:color="auto"/>
              <w:right w:val="single" w:sz="8" w:space="0" w:color="auto"/>
            </w:tcBorders>
            <w:shd w:val="clear" w:color="auto" w:fill="auto"/>
            <w:noWrap/>
            <w:vAlign w:val="center"/>
            <w:hideMark/>
          </w:tcPr>
          <w:p w14:paraId="48CC7007"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$3,098 </w:t>
            </w:r>
          </w:p>
        </w:tc>
        <w:tc>
          <w:tcPr>
            <w:tcW w:w="960" w:type="dxa"/>
            <w:tcBorders>
              <w:top w:val="nil"/>
              <w:left w:val="nil"/>
              <w:bottom w:val="single" w:sz="8" w:space="0" w:color="auto"/>
              <w:right w:val="single" w:sz="8" w:space="0" w:color="auto"/>
            </w:tcBorders>
            <w:shd w:val="clear" w:color="auto" w:fill="auto"/>
            <w:noWrap/>
            <w:vAlign w:val="center"/>
            <w:hideMark/>
          </w:tcPr>
          <w:p w14:paraId="65F294A8"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$773 </w:t>
            </w:r>
          </w:p>
        </w:tc>
        <w:tc>
          <w:tcPr>
            <w:tcW w:w="784" w:type="dxa"/>
            <w:tcBorders>
              <w:top w:val="nil"/>
              <w:left w:val="nil"/>
              <w:bottom w:val="single" w:sz="8" w:space="0" w:color="auto"/>
              <w:right w:val="single" w:sz="8" w:space="0" w:color="auto"/>
            </w:tcBorders>
            <w:shd w:val="clear" w:color="auto" w:fill="auto"/>
            <w:noWrap/>
            <w:vAlign w:val="center"/>
            <w:hideMark/>
          </w:tcPr>
          <w:p w14:paraId="263DE240"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$7,208 </w:t>
            </w:r>
          </w:p>
        </w:tc>
        <w:tc>
          <w:tcPr>
            <w:tcW w:w="1120" w:type="dxa"/>
            <w:tcBorders>
              <w:top w:val="nil"/>
              <w:left w:val="nil"/>
              <w:bottom w:val="single" w:sz="8" w:space="0" w:color="auto"/>
              <w:right w:val="single" w:sz="8" w:space="0" w:color="auto"/>
            </w:tcBorders>
            <w:shd w:val="clear" w:color="auto" w:fill="auto"/>
            <w:noWrap/>
            <w:vAlign w:val="center"/>
            <w:hideMark/>
          </w:tcPr>
          <w:p w14:paraId="2F1D7656"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$5,766 </w:t>
            </w:r>
          </w:p>
        </w:tc>
        <w:tc>
          <w:tcPr>
            <w:tcW w:w="976" w:type="dxa"/>
            <w:tcBorders>
              <w:top w:val="nil"/>
              <w:left w:val="nil"/>
              <w:bottom w:val="single" w:sz="8" w:space="0" w:color="auto"/>
              <w:right w:val="single" w:sz="8" w:space="0" w:color="auto"/>
            </w:tcBorders>
            <w:shd w:val="clear" w:color="auto" w:fill="auto"/>
            <w:noWrap/>
            <w:vAlign w:val="center"/>
            <w:hideMark/>
          </w:tcPr>
          <w:p w14:paraId="185186DA"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$1,441 </w:t>
            </w:r>
          </w:p>
        </w:tc>
      </w:tr>
      <w:tr w:rsidR="00746CA4" w:rsidRPr="00746CA4" w14:paraId="67AD6361" w14:textId="77777777" w:rsidTr="008D0D08">
        <w:trPr>
          <w:cantSplit/>
          <w:trHeight w:val="880"/>
        </w:trPr>
        <w:tc>
          <w:tcPr>
            <w:tcW w:w="2572" w:type="dxa"/>
            <w:tcBorders>
              <w:top w:val="nil"/>
              <w:left w:val="single" w:sz="8" w:space="0" w:color="auto"/>
              <w:bottom w:val="single" w:sz="8" w:space="0" w:color="auto"/>
              <w:right w:val="single" w:sz="8" w:space="0" w:color="auto"/>
            </w:tcBorders>
            <w:shd w:val="clear" w:color="auto" w:fill="auto"/>
            <w:vAlign w:val="center"/>
            <w:hideMark/>
          </w:tcPr>
          <w:p w14:paraId="7CCD22E1" w14:textId="77777777" w:rsidR="00746CA4" w:rsidRPr="00746CA4" w:rsidRDefault="00746CA4" w:rsidP="00746CA4">
            <w:pPr>
              <w:spacing w:after="0" w:line="240" w:lineRule="auto"/>
              <w:rPr>
                <w:rFonts w:ascii="Calibri" w:eastAsia="Times New Roman" w:hAnsi="Calibri" w:cs="Calibri"/>
                <w:color w:val="000000"/>
              </w:rPr>
            </w:pPr>
            <w:r w:rsidRPr="00746CA4">
              <w:rPr>
                <w:rFonts w:ascii="Calibri" w:eastAsia="Times New Roman" w:hAnsi="Calibri" w:cstheme="minorHAnsi"/>
                <w:bCs/>
                <w:color w:val="000000"/>
              </w:rPr>
              <w:t>Arthroscopy, knee, surgical; with meniscus repair (medial or lateral)</w:t>
            </w:r>
          </w:p>
        </w:tc>
        <w:tc>
          <w:tcPr>
            <w:tcW w:w="794" w:type="dxa"/>
            <w:tcBorders>
              <w:top w:val="nil"/>
              <w:left w:val="nil"/>
              <w:bottom w:val="single" w:sz="8" w:space="0" w:color="auto"/>
              <w:right w:val="single" w:sz="8" w:space="0" w:color="auto"/>
            </w:tcBorders>
            <w:shd w:val="clear" w:color="auto" w:fill="auto"/>
            <w:noWrap/>
            <w:vAlign w:val="center"/>
            <w:hideMark/>
          </w:tcPr>
          <w:p w14:paraId="64C01443"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$2,040 </w:t>
            </w:r>
          </w:p>
        </w:tc>
        <w:tc>
          <w:tcPr>
            <w:tcW w:w="1134" w:type="dxa"/>
            <w:tcBorders>
              <w:top w:val="nil"/>
              <w:left w:val="nil"/>
              <w:bottom w:val="single" w:sz="8" w:space="0" w:color="auto"/>
              <w:right w:val="single" w:sz="8" w:space="0" w:color="auto"/>
            </w:tcBorders>
            <w:shd w:val="clear" w:color="auto" w:fill="auto"/>
            <w:noWrap/>
            <w:vAlign w:val="center"/>
            <w:hideMark/>
          </w:tcPr>
          <w:p w14:paraId="37D6385D"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$1,631 </w:t>
            </w:r>
          </w:p>
        </w:tc>
        <w:tc>
          <w:tcPr>
            <w:tcW w:w="960" w:type="dxa"/>
            <w:tcBorders>
              <w:top w:val="nil"/>
              <w:left w:val="nil"/>
              <w:bottom w:val="single" w:sz="8" w:space="0" w:color="auto"/>
              <w:right w:val="single" w:sz="8" w:space="0" w:color="auto"/>
            </w:tcBorders>
            <w:shd w:val="clear" w:color="auto" w:fill="auto"/>
            <w:noWrap/>
            <w:vAlign w:val="center"/>
            <w:hideMark/>
          </w:tcPr>
          <w:p w14:paraId="303D2273"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$407 </w:t>
            </w:r>
          </w:p>
        </w:tc>
        <w:tc>
          <w:tcPr>
            <w:tcW w:w="784" w:type="dxa"/>
            <w:tcBorders>
              <w:top w:val="nil"/>
              <w:left w:val="nil"/>
              <w:bottom w:val="single" w:sz="8" w:space="0" w:color="auto"/>
              <w:right w:val="single" w:sz="8" w:space="0" w:color="auto"/>
            </w:tcBorders>
            <w:shd w:val="clear" w:color="auto" w:fill="auto"/>
            <w:noWrap/>
            <w:vAlign w:val="center"/>
            <w:hideMark/>
          </w:tcPr>
          <w:p w14:paraId="345F6760"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$3,542 </w:t>
            </w:r>
          </w:p>
        </w:tc>
        <w:tc>
          <w:tcPr>
            <w:tcW w:w="1120" w:type="dxa"/>
            <w:tcBorders>
              <w:top w:val="nil"/>
              <w:left w:val="nil"/>
              <w:bottom w:val="single" w:sz="8" w:space="0" w:color="auto"/>
              <w:right w:val="single" w:sz="8" w:space="0" w:color="auto"/>
            </w:tcBorders>
            <w:shd w:val="clear" w:color="auto" w:fill="auto"/>
            <w:noWrap/>
            <w:vAlign w:val="center"/>
            <w:hideMark/>
          </w:tcPr>
          <w:p w14:paraId="4B0DA04C"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$2,833 </w:t>
            </w:r>
          </w:p>
        </w:tc>
        <w:tc>
          <w:tcPr>
            <w:tcW w:w="976" w:type="dxa"/>
            <w:tcBorders>
              <w:top w:val="nil"/>
              <w:left w:val="nil"/>
              <w:bottom w:val="single" w:sz="8" w:space="0" w:color="auto"/>
              <w:right w:val="single" w:sz="8" w:space="0" w:color="auto"/>
            </w:tcBorders>
            <w:shd w:val="clear" w:color="auto" w:fill="auto"/>
            <w:noWrap/>
            <w:vAlign w:val="center"/>
            <w:hideMark/>
          </w:tcPr>
          <w:p w14:paraId="64CB55F4" w14:textId="77777777" w:rsidR="00746CA4" w:rsidRPr="00746CA4" w:rsidRDefault="00746CA4" w:rsidP="00746CA4">
            <w:pPr>
              <w:spacing w:after="0" w:line="240" w:lineRule="auto"/>
              <w:jc w:val="center"/>
              <w:rPr>
                <w:rFonts w:ascii="Calibri" w:eastAsia="Times New Roman" w:hAnsi="Calibri" w:cs="Calibri"/>
                <w:color w:val="000000"/>
              </w:rPr>
            </w:pPr>
            <w:r w:rsidRPr="00746CA4">
              <w:rPr>
                <w:rFonts w:ascii="Calibri" w:eastAsia="Times New Roman" w:hAnsi="Calibri" w:cstheme="minorHAnsi"/>
                <w:bCs/>
                <w:color w:val="000000"/>
              </w:rPr>
              <w:t xml:space="preserve">$708 </w:t>
            </w:r>
          </w:p>
        </w:tc>
      </w:tr>
    </w:tbl>
    <w:p w14:paraId="74736DE0" w14:textId="3F5E078F" w:rsidR="00F54432" w:rsidRDefault="00F54432" w:rsidP="006548F0">
      <w:pPr>
        <w:spacing w:line="240" w:lineRule="auto"/>
        <w:rPr>
          <w:rFonts w:cstheme="minorHAnsi"/>
          <w:bCs/>
          <w:sz w:val="24"/>
          <w:szCs w:val="24"/>
        </w:rPr>
      </w:pPr>
    </w:p>
    <w:p w14:paraId="1E700CC1" w14:textId="5E7F7BC8" w:rsidR="008E1D14" w:rsidRPr="00B75E11" w:rsidRDefault="00C9302A" w:rsidP="008E1D14">
      <w:pPr>
        <w:spacing w:line="240" w:lineRule="auto"/>
        <w:rPr>
          <w:rFonts w:cstheme="minorHAnsi"/>
          <w:sz w:val="24"/>
          <w:szCs w:val="24"/>
        </w:rPr>
      </w:pPr>
      <w:r>
        <w:rPr>
          <w:rFonts w:cstheme="minorHAnsi"/>
          <w:sz w:val="24"/>
          <w:szCs w:val="24"/>
        </w:rPr>
        <w:t>T</w:t>
      </w:r>
      <w:r w:rsidR="00F54432" w:rsidRPr="00B75E11">
        <w:rPr>
          <w:rFonts w:cstheme="minorHAnsi"/>
          <w:sz w:val="24"/>
          <w:szCs w:val="24"/>
        </w:rPr>
        <w:t>he</w:t>
      </w:r>
      <w:r w:rsidR="008E1D14" w:rsidRPr="008E1D14">
        <w:rPr>
          <w:rFonts w:cstheme="minorHAnsi"/>
          <w:sz w:val="24"/>
          <w:szCs w:val="24"/>
        </w:rPr>
        <w:t xml:space="preserve"> example</w:t>
      </w:r>
      <w:r w:rsidR="00F54432" w:rsidRPr="00B75E11">
        <w:rPr>
          <w:rFonts w:cstheme="minorHAnsi"/>
          <w:sz w:val="24"/>
          <w:szCs w:val="24"/>
        </w:rPr>
        <w:t>s</w:t>
      </w:r>
      <w:r>
        <w:rPr>
          <w:rFonts w:cstheme="minorHAnsi"/>
          <w:sz w:val="24"/>
          <w:szCs w:val="24"/>
        </w:rPr>
        <w:t xml:space="preserve"> show that</w:t>
      </w:r>
      <w:r w:rsidR="008E1D14" w:rsidRPr="008E1D14">
        <w:rPr>
          <w:rFonts w:cstheme="minorHAnsi"/>
          <w:sz w:val="24"/>
          <w:szCs w:val="24"/>
        </w:rPr>
        <w:t xml:space="preserve"> the average Medicare payment to </w:t>
      </w:r>
      <w:r w:rsidR="00F54432" w:rsidRPr="00B75E11">
        <w:rPr>
          <w:rFonts w:cstheme="minorHAnsi"/>
          <w:sz w:val="24"/>
          <w:szCs w:val="24"/>
        </w:rPr>
        <w:t>the ASC’s is less</w:t>
      </w:r>
      <w:r>
        <w:rPr>
          <w:rFonts w:cstheme="minorHAnsi"/>
          <w:sz w:val="24"/>
          <w:szCs w:val="24"/>
        </w:rPr>
        <w:t>, and that</w:t>
      </w:r>
      <w:r w:rsidR="00F54432" w:rsidRPr="00B75E11">
        <w:rPr>
          <w:rFonts w:cstheme="minorHAnsi"/>
          <w:sz w:val="24"/>
          <w:szCs w:val="24"/>
        </w:rPr>
        <w:t xml:space="preserve"> there is approximately a $300 copay cost saving for each of the procedures listed above.</w:t>
      </w:r>
      <w:r w:rsidR="00B75E11" w:rsidRPr="00B75E11">
        <w:rPr>
          <w:rStyle w:val="FootnoteReference"/>
          <w:rFonts w:cstheme="minorHAnsi"/>
          <w:sz w:val="24"/>
          <w:szCs w:val="24"/>
        </w:rPr>
        <w:footnoteReference w:id="15"/>
      </w:r>
      <w:r w:rsidR="008E1D14" w:rsidRPr="008E1D14">
        <w:rPr>
          <w:rFonts w:cstheme="minorHAnsi"/>
          <w:sz w:val="24"/>
          <w:szCs w:val="24"/>
        </w:rPr>
        <w:t xml:space="preserve"> </w:t>
      </w:r>
    </w:p>
    <w:p w14:paraId="4F64AC7A" w14:textId="6439977D" w:rsidR="004557E2" w:rsidRPr="004557E2" w:rsidRDefault="003253C6" w:rsidP="004557E2">
      <w:pPr>
        <w:pStyle w:val="Heading2"/>
        <w:spacing w:before="0" w:line="240" w:lineRule="auto"/>
        <w:contextualSpacing/>
        <w:rPr>
          <w:rFonts w:asciiTheme="minorHAnsi" w:hAnsiTheme="minorHAnsi" w:cstheme="minorHAnsi"/>
          <w:color w:val="42558C" w:themeColor="accent1" w:themeShade="BF"/>
          <w:sz w:val="28"/>
          <w:szCs w:val="28"/>
        </w:rPr>
      </w:pPr>
      <w:bookmarkStart w:id="64" w:name="_Toc29755685"/>
      <w:bookmarkStart w:id="65" w:name="_Toc115776590"/>
      <w:r w:rsidRPr="00241F83">
        <w:rPr>
          <w:rFonts w:asciiTheme="minorHAnsi" w:hAnsiTheme="minorHAnsi" w:cstheme="minorHAnsi"/>
          <w:color w:val="42558C" w:themeColor="accent1" w:themeShade="BF"/>
          <w:sz w:val="28"/>
          <w:szCs w:val="28"/>
        </w:rPr>
        <w:lastRenderedPageBreak/>
        <w:t>F</w:t>
      </w:r>
      <w:r w:rsidR="00966020" w:rsidRPr="00241F83">
        <w:rPr>
          <w:rFonts w:asciiTheme="minorHAnsi" w:hAnsiTheme="minorHAnsi" w:cstheme="minorHAnsi"/>
          <w:color w:val="42558C" w:themeColor="accent1" w:themeShade="BF"/>
          <w:sz w:val="28"/>
          <w:szCs w:val="28"/>
        </w:rPr>
        <w:t>actor</w:t>
      </w:r>
      <w:r w:rsidRPr="00241F83">
        <w:rPr>
          <w:rFonts w:asciiTheme="minorHAnsi" w:hAnsiTheme="minorHAnsi" w:cstheme="minorHAnsi"/>
          <w:color w:val="42558C" w:themeColor="accent1" w:themeShade="BF"/>
          <w:sz w:val="28"/>
          <w:szCs w:val="28"/>
        </w:rPr>
        <w:t xml:space="preserve"> 1</w:t>
      </w:r>
      <w:bookmarkEnd w:id="64"/>
      <w:r w:rsidRPr="00241F83">
        <w:rPr>
          <w:rFonts w:asciiTheme="minorHAnsi" w:hAnsiTheme="minorHAnsi" w:cstheme="minorHAnsi"/>
          <w:color w:val="42558C" w:themeColor="accent1" w:themeShade="BF"/>
          <w:sz w:val="28"/>
          <w:szCs w:val="28"/>
        </w:rPr>
        <w:t xml:space="preserve"> </w:t>
      </w:r>
      <w:r w:rsidR="00126DEE" w:rsidRPr="00241F83">
        <w:rPr>
          <w:rFonts w:asciiTheme="minorHAnsi" w:hAnsiTheme="minorHAnsi" w:cstheme="minorHAnsi"/>
          <w:color w:val="42558C" w:themeColor="accent1" w:themeShade="BF"/>
          <w:sz w:val="28"/>
          <w:szCs w:val="28"/>
        </w:rPr>
        <w:t>Summary</w:t>
      </w:r>
      <w:bookmarkEnd w:id="65"/>
      <w:r w:rsidR="00126DEE" w:rsidRPr="00241F83">
        <w:rPr>
          <w:rFonts w:asciiTheme="minorHAnsi" w:hAnsiTheme="minorHAnsi" w:cstheme="minorHAnsi"/>
          <w:color w:val="42558C" w:themeColor="accent1" w:themeShade="BF"/>
          <w:sz w:val="28"/>
          <w:szCs w:val="28"/>
        </w:rPr>
        <w:t xml:space="preserve"> </w:t>
      </w:r>
    </w:p>
    <w:p w14:paraId="7B45BD78" w14:textId="77777777" w:rsidR="002F38E8" w:rsidRDefault="008111D5" w:rsidP="004557E2">
      <w:pPr>
        <w:spacing w:before="240" w:after="0" w:line="240" w:lineRule="auto"/>
        <w:contextualSpacing/>
        <w:rPr>
          <w:rFonts w:cstheme="minorHAnsi"/>
          <w:sz w:val="24"/>
          <w:szCs w:val="24"/>
        </w:rPr>
      </w:pPr>
      <w:r w:rsidRPr="00241F83">
        <w:rPr>
          <w:rFonts w:cstheme="minorHAnsi"/>
          <w:sz w:val="24"/>
          <w:szCs w:val="24"/>
        </w:rPr>
        <w:t xml:space="preserve">As a result of information provided by the </w:t>
      </w:r>
      <w:r w:rsidR="00D33E4C" w:rsidRPr="00241F83">
        <w:rPr>
          <w:rFonts w:cstheme="minorHAnsi"/>
          <w:sz w:val="24"/>
          <w:szCs w:val="24"/>
        </w:rPr>
        <w:t>Applicant</w:t>
      </w:r>
      <w:r w:rsidRPr="00241F83">
        <w:rPr>
          <w:rFonts w:cstheme="minorHAnsi"/>
          <w:sz w:val="24"/>
          <w:szCs w:val="24"/>
        </w:rPr>
        <w:t xml:space="preserve"> and additional analysis, staff finds that the </w:t>
      </w:r>
      <w:r w:rsidR="00D33E4C" w:rsidRPr="00241F83">
        <w:rPr>
          <w:rFonts w:cstheme="minorHAnsi"/>
          <w:sz w:val="24"/>
          <w:szCs w:val="24"/>
        </w:rPr>
        <w:t>Applicant</w:t>
      </w:r>
      <w:r w:rsidRPr="00241F83">
        <w:rPr>
          <w:rFonts w:cstheme="minorHAnsi"/>
          <w:sz w:val="24"/>
          <w:szCs w:val="24"/>
        </w:rPr>
        <w:t xml:space="preserve"> has demonstrated that the </w:t>
      </w:r>
      <w:r w:rsidR="00A31EBE" w:rsidRPr="00241F83">
        <w:rPr>
          <w:rFonts w:cstheme="minorHAnsi"/>
          <w:sz w:val="24"/>
          <w:szCs w:val="24"/>
        </w:rPr>
        <w:t>proposed ambulatory surgery project</w:t>
      </w:r>
      <w:r w:rsidRPr="00241F83">
        <w:rPr>
          <w:rFonts w:cstheme="minorHAnsi"/>
          <w:sz w:val="24"/>
          <w:szCs w:val="24"/>
        </w:rPr>
        <w:t xml:space="preserve"> has met Factors </w:t>
      </w:r>
    </w:p>
    <w:p w14:paraId="10C2DD0B" w14:textId="65474C44" w:rsidR="00FC31DB" w:rsidRPr="00241F83" w:rsidRDefault="008111D5" w:rsidP="00DE1CDF">
      <w:pPr>
        <w:spacing w:line="240" w:lineRule="auto"/>
        <w:contextualSpacing/>
        <w:rPr>
          <w:rFonts w:cstheme="minorHAnsi"/>
          <w:sz w:val="24"/>
          <w:szCs w:val="24"/>
        </w:rPr>
      </w:pPr>
      <w:r w:rsidRPr="00241F83">
        <w:rPr>
          <w:rFonts w:cstheme="minorHAnsi"/>
          <w:sz w:val="24"/>
          <w:szCs w:val="24"/>
        </w:rPr>
        <w:t>1(a</w:t>
      </w:r>
      <w:r w:rsidR="009A52EA" w:rsidRPr="00241F83">
        <w:rPr>
          <w:rFonts w:cstheme="minorHAnsi"/>
          <w:sz w:val="24"/>
          <w:szCs w:val="24"/>
        </w:rPr>
        <w:t>-</w:t>
      </w:r>
      <w:r w:rsidRPr="00241F83">
        <w:rPr>
          <w:rFonts w:cstheme="minorHAnsi"/>
          <w:sz w:val="24"/>
          <w:szCs w:val="24"/>
        </w:rPr>
        <w:t>f).</w:t>
      </w:r>
    </w:p>
    <w:p w14:paraId="613D80C1" w14:textId="2363E97F" w:rsidR="006B0B69" w:rsidRPr="00241F83" w:rsidRDefault="0012392C" w:rsidP="00DE1CDF">
      <w:pPr>
        <w:pStyle w:val="Heading1"/>
        <w:spacing w:before="0" w:line="240" w:lineRule="auto"/>
        <w:rPr>
          <w:rFonts w:asciiTheme="minorHAnsi" w:hAnsiTheme="minorHAnsi" w:cstheme="minorHAnsi"/>
        </w:rPr>
      </w:pPr>
      <w:bookmarkStart w:id="66" w:name="_Toc29755686"/>
      <w:bookmarkStart w:id="67" w:name="_Toc115776591"/>
      <w:r w:rsidRPr="00241F83">
        <w:rPr>
          <w:rFonts w:asciiTheme="minorHAnsi" w:hAnsiTheme="minorHAnsi" w:cstheme="minorHAnsi"/>
        </w:rPr>
        <w:t xml:space="preserve">Factor 2: Cost </w:t>
      </w:r>
      <w:r w:rsidR="004C44D7" w:rsidRPr="00241F83">
        <w:rPr>
          <w:rFonts w:asciiTheme="minorHAnsi" w:hAnsiTheme="minorHAnsi" w:cstheme="minorHAnsi"/>
        </w:rPr>
        <w:t>C</w:t>
      </w:r>
      <w:r w:rsidRPr="00241F83">
        <w:rPr>
          <w:rFonts w:asciiTheme="minorHAnsi" w:hAnsiTheme="minorHAnsi" w:cstheme="minorHAnsi"/>
        </w:rPr>
        <w:t>ontainment, Improved Public Health Outcomes</w:t>
      </w:r>
      <w:r w:rsidR="004C44D7" w:rsidRPr="00241F83">
        <w:rPr>
          <w:rFonts w:asciiTheme="minorHAnsi" w:hAnsiTheme="minorHAnsi" w:cstheme="minorHAnsi"/>
        </w:rPr>
        <w:t>,</w:t>
      </w:r>
      <w:r w:rsidRPr="00241F83">
        <w:rPr>
          <w:rFonts w:asciiTheme="minorHAnsi" w:hAnsiTheme="minorHAnsi" w:cstheme="minorHAnsi"/>
        </w:rPr>
        <w:t xml:space="preserve"> and Delivery System Transformation</w:t>
      </w:r>
      <w:bookmarkEnd w:id="66"/>
      <w:bookmarkEnd w:id="67"/>
    </w:p>
    <w:p w14:paraId="3F713968" w14:textId="070C2B58" w:rsidR="006B0B69" w:rsidRDefault="006B0B69" w:rsidP="006B0B69">
      <w:pPr>
        <w:spacing w:after="0" w:line="240" w:lineRule="auto"/>
        <w:rPr>
          <w:rFonts w:eastAsia="Times New Roman" w:cstheme="minorHAnsi"/>
          <w:b/>
          <w:bCs/>
          <w:color w:val="000000"/>
          <w:sz w:val="24"/>
          <w:szCs w:val="24"/>
        </w:rPr>
      </w:pPr>
      <w:r w:rsidRPr="00241F83">
        <w:rPr>
          <w:rFonts w:eastAsia="Times New Roman" w:cstheme="minorHAnsi"/>
          <w:b/>
          <w:bCs/>
          <w:color w:val="000000"/>
        </w:rPr>
        <w:br/>
      </w:r>
      <w:r w:rsidRPr="00241F83">
        <w:rPr>
          <w:rFonts w:eastAsia="Times New Roman" w:cstheme="minorHAnsi"/>
          <w:b/>
          <w:bCs/>
          <w:color w:val="000000"/>
          <w:sz w:val="24"/>
          <w:szCs w:val="24"/>
        </w:rPr>
        <w:t>Cost Containment</w:t>
      </w:r>
    </w:p>
    <w:p w14:paraId="78E793E6" w14:textId="6721E2F3" w:rsidR="00AF541E" w:rsidRDefault="00AF541E" w:rsidP="006B0B69">
      <w:pPr>
        <w:spacing w:after="0" w:line="240" w:lineRule="auto"/>
        <w:rPr>
          <w:rFonts w:eastAsia="Times New Roman" w:cstheme="minorHAnsi"/>
          <w:b/>
          <w:bCs/>
          <w:color w:val="000000"/>
          <w:sz w:val="24"/>
          <w:szCs w:val="24"/>
        </w:rPr>
      </w:pPr>
    </w:p>
    <w:p w14:paraId="307DA793" w14:textId="2396D183" w:rsidR="00680DE6" w:rsidRPr="00680DE6" w:rsidRDefault="00680DE6" w:rsidP="00680DE6">
      <w:pPr>
        <w:spacing w:after="0" w:line="240" w:lineRule="auto"/>
        <w:rPr>
          <w:rFonts w:eastAsia="Times New Roman" w:cstheme="minorHAnsi"/>
          <w:color w:val="000000"/>
          <w:sz w:val="24"/>
          <w:szCs w:val="24"/>
        </w:rPr>
      </w:pPr>
      <w:r w:rsidRPr="00680DE6">
        <w:rPr>
          <w:rFonts w:eastAsia="Times New Roman" w:cstheme="minorHAnsi"/>
          <w:color w:val="000000"/>
          <w:sz w:val="24"/>
          <w:szCs w:val="24"/>
        </w:rPr>
        <w:t xml:space="preserve">The Applicant explains that the Proposed Project will meaningfully contribute to </w:t>
      </w:r>
      <w:r w:rsidR="00584A26">
        <w:rPr>
          <w:rFonts w:eastAsia="Times New Roman" w:cstheme="minorHAnsi"/>
          <w:color w:val="000000"/>
          <w:sz w:val="24"/>
          <w:szCs w:val="24"/>
        </w:rPr>
        <w:t>t</w:t>
      </w:r>
      <w:r w:rsidRPr="00680DE6">
        <w:rPr>
          <w:rFonts w:eastAsia="Times New Roman" w:cstheme="minorHAnsi"/>
          <w:color w:val="000000"/>
          <w:sz w:val="24"/>
          <w:szCs w:val="24"/>
        </w:rPr>
        <w:t>he Commonwealth’s goals for cost containment by providing efficient and high-quality care in a lower cost setting. As previously discussed in F</w:t>
      </w:r>
      <w:r w:rsidR="00584A26">
        <w:rPr>
          <w:rFonts w:eastAsia="Times New Roman" w:cstheme="minorHAnsi"/>
          <w:color w:val="000000"/>
          <w:sz w:val="24"/>
          <w:szCs w:val="24"/>
        </w:rPr>
        <w:t xml:space="preserve">actor </w:t>
      </w:r>
      <w:r w:rsidRPr="00680DE6">
        <w:rPr>
          <w:rFonts w:eastAsia="Times New Roman" w:cstheme="minorHAnsi"/>
          <w:color w:val="000000"/>
          <w:sz w:val="24"/>
          <w:szCs w:val="24"/>
        </w:rPr>
        <w:t>1 Competition, reimbursement rates for procedures performed in ASCs are, generally, reimbursed at 58% of the rate at HOPDs. Since the facility will be accessible to all patients in the service area, the lower cost setting will contribute to reducing the overall healthcare expenditures for the Commonwealth.</w:t>
      </w:r>
    </w:p>
    <w:p w14:paraId="1A0C82FC" w14:textId="77777777" w:rsidR="00AF541E" w:rsidRPr="00241F83" w:rsidRDefault="00AF541E" w:rsidP="006B0B69">
      <w:pPr>
        <w:spacing w:after="0" w:line="240" w:lineRule="auto"/>
        <w:rPr>
          <w:rFonts w:eastAsia="Times New Roman" w:cstheme="minorHAnsi"/>
          <w:b/>
          <w:bCs/>
          <w:color w:val="000000"/>
          <w:sz w:val="24"/>
          <w:szCs w:val="24"/>
        </w:rPr>
      </w:pPr>
    </w:p>
    <w:p w14:paraId="3E7F4E28" w14:textId="5E2B6596" w:rsidR="006B0B69" w:rsidRPr="00241F83" w:rsidRDefault="006B0B69" w:rsidP="006B0B69">
      <w:pPr>
        <w:spacing w:after="0" w:line="240" w:lineRule="auto"/>
        <w:rPr>
          <w:rFonts w:cstheme="minorHAnsi"/>
          <w:b/>
          <w:sz w:val="24"/>
          <w:szCs w:val="24"/>
        </w:rPr>
      </w:pPr>
      <w:r w:rsidRPr="00241F83">
        <w:rPr>
          <w:rFonts w:cstheme="minorHAnsi"/>
          <w:b/>
          <w:i/>
          <w:iCs/>
          <w:sz w:val="24"/>
          <w:szCs w:val="24"/>
        </w:rPr>
        <w:t>Analysis</w:t>
      </w:r>
      <w:r w:rsidRPr="00241F83">
        <w:rPr>
          <w:rFonts w:cstheme="minorHAnsi"/>
          <w:b/>
          <w:sz w:val="24"/>
          <w:szCs w:val="24"/>
        </w:rPr>
        <w:t>: Cost Containment</w:t>
      </w:r>
    </w:p>
    <w:p w14:paraId="000FFC96" w14:textId="3A746B84" w:rsidR="006B0B69" w:rsidRPr="00241F83" w:rsidRDefault="006B0B69" w:rsidP="006B0B69">
      <w:pPr>
        <w:spacing w:after="0" w:line="240" w:lineRule="auto"/>
        <w:contextualSpacing/>
        <w:rPr>
          <w:rFonts w:cstheme="minorHAnsi"/>
          <w:bCs/>
          <w:sz w:val="24"/>
          <w:szCs w:val="24"/>
        </w:rPr>
      </w:pPr>
      <w:r w:rsidRPr="00241F83">
        <w:rPr>
          <w:rFonts w:cstheme="minorHAnsi"/>
          <w:bCs/>
          <w:sz w:val="24"/>
          <w:szCs w:val="24"/>
        </w:rPr>
        <w:t xml:space="preserve">A review of the literature shows that the </w:t>
      </w:r>
      <w:r w:rsidR="00680DE6">
        <w:rPr>
          <w:rFonts w:cstheme="minorHAnsi"/>
          <w:bCs/>
          <w:sz w:val="24"/>
          <w:szCs w:val="24"/>
        </w:rPr>
        <w:t xml:space="preserve">shift to </w:t>
      </w:r>
      <w:r w:rsidRPr="00241F83">
        <w:rPr>
          <w:rFonts w:cstheme="minorHAnsi"/>
          <w:bCs/>
          <w:sz w:val="24"/>
          <w:szCs w:val="24"/>
        </w:rPr>
        <w:t xml:space="preserve">outpatient surgery is increasing in the ASC setting. Studies show that payment differentials between ASCs and HOPDs are driving care to take place in the lower-cost ASC setting, where </w:t>
      </w:r>
      <w:r w:rsidR="00A0259C">
        <w:rPr>
          <w:rFonts w:cstheme="minorHAnsi"/>
          <w:bCs/>
          <w:sz w:val="24"/>
          <w:szCs w:val="24"/>
        </w:rPr>
        <w:t xml:space="preserve">the provision of </w:t>
      </w:r>
      <w:r w:rsidRPr="00241F83">
        <w:rPr>
          <w:rFonts w:cstheme="minorHAnsi"/>
          <w:bCs/>
          <w:sz w:val="24"/>
          <w:szCs w:val="24"/>
        </w:rPr>
        <w:t>care may be more cost efficient.</w:t>
      </w:r>
      <w:r w:rsidRPr="00241F83">
        <w:rPr>
          <w:rStyle w:val="EndnoteReference"/>
          <w:rFonts w:cstheme="minorHAnsi"/>
          <w:bCs/>
          <w:sz w:val="24"/>
          <w:szCs w:val="24"/>
        </w:rPr>
        <w:endnoteReference w:id="35"/>
      </w:r>
      <w:r w:rsidRPr="00241F83">
        <w:rPr>
          <w:rFonts w:cstheme="minorHAnsi"/>
          <w:bCs/>
          <w:sz w:val="24"/>
          <w:szCs w:val="24"/>
        </w:rPr>
        <w:t xml:space="preserve"> </w:t>
      </w:r>
      <w:r w:rsidRPr="00241F83">
        <w:rPr>
          <w:rFonts w:cstheme="minorHAnsi"/>
          <w:sz w:val="24"/>
          <w:szCs w:val="24"/>
        </w:rPr>
        <w:t xml:space="preserve">Cost containment on a statewide level is impacted through pricing, which is a function of what providers charge payers and what payers agree to pay. While payment contracts between individual providers and commercial payers are confidential, contracts among providers and Medicare and Medicaid are more transparent. </w:t>
      </w:r>
      <w:r w:rsidRPr="00241F83">
        <w:rPr>
          <w:rFonts w:cstheme="minorHAnsi"/>
          <w:bCs/>
          <w:sz w:val="24"/>
          <w:szCs w:val="24"/>
        </w:rPr>
        <w:t>Since surgeries performed in the ASC setting have been shown to be efficient, cost-effective, and are of equal or higher quality than when they are performed in the HOPD, staff finds that expanding access to outpatient surgery in the ASC setting has the potential to contribute to the</w:t>
      </w:r>
      <w:r w:rsidR="00CA2EB8" w:rsidRPr="00241F83">
        <w:rPr>
          <w:rFonts w:cstheme="minorHAnsi"/>
          <w:bCs/>
          <w:sz w:val="24"/>
          <w:szCs w:val="24"/>
        </w:rPr>
        <w:t xml:space="preserve"> </w:t>
      </w:r>
      <w:r w:rsidRPr="00241F83">
        <w:rPr>
          <w:rFonts w:cstheme="minorHAnsi"/>
          <w:bCs/>
          <w:sz w:val="24"/>
          <w:szCs w:val="24"/>
        </w:rPr>
        <w:t>Commonwealth’s cost containment goals.</w:t>
      </w:r>
    </w:p>
    <w:p w14:paraId="12FE3B1A" w14:textId="2D393C41" w:rsidR="006B0B69" w:rsidRDefault="006B0B69" w:rsidP="006B0B69">
      <w:pPr>
        <w:spacing w:after="0" w:line="240" w:lineRule="auto"/>
        <w:rPr>
          <w:rFonts w:eastAsia="Times New Roman" w:cstheme="minorHAnsi"/>
          <w:b/>
          <w:bCs/>
          <w:color w:val="000000"/>
          <w:sz w:val="24"/>
          <w:szCs w:val="24"/>
        </w:rPr>
      </w:pPr>
      <w:r w:rsidRPr="00241F83">
        <w:rPr>
          <w:rFonts w:eastAsia="Times New Roman" w:cstheme="minorHAnsi"/>
          <w:b/>
          <w:bCs/>
          <w:color w:val="000000"/>
          <w:sz w:val="24"/>
          <w:szCs w:val="24"/>
        </w:rPr>
        <w:br/>
        <w:t>Public Health Outcomes</w:t>
      </w:r>
    </w:p>
    <w:p w14:paraId="07C95A04" w14:textId="77777777" w:rsidR="008B3949" w:rsidRDefault="008B3949" w:rsidP="006B0B69">
      <w:pPr>
        <w:spacing w:after="0" w:line="240" w:lineRule="auto"/>
        <w:rPr>
          <w:rFonts w:eastAsia="Times New Roman" w:cstheme="minorHAnsi"/>
          <w:b/>
          <w:bCs/>
          <w:color w:val="000000"/>
          <w:sz w:val="24"/>
          <w:szCs w:val="24"/>
        </w:rPr>
      </w:pPr>
    </w:p>
    <w:p w14:paraId="7BBA9F40" w14:textId="56C36D32" w:rsidR="008B3949" w:rsidRPr="008B3949" w:rsidRDefault="008B3949" w:rsidP="008B3949">
      <w:pPr>
        <w:spacing w:after="0" w:line="240" w:lineRule="auto"/>
        <w:rPr>
          <w:rFonts w:eastAsia="Times New Roman" w:cstheme="minorHAnsi"/>
          <w:color w:val="000000"/>
          <w:sz w:val="24"/>
          <w:szCs w:val="24"/>
        </w:rPr>
      </w:pPr>
      <w:r w:rsidRPr="008B3949">
        <w:rPr>
          <w:rFonts w:eastAsia="Times New Roman" w:cstheme="minorHAnsi"/>
          <w:color w:val="000000"/>
          <w:sz w:val="24"/>
          <w:szCs w:val="24"/>
        </w:rPr>
        <w:t>The Applicant describe</w:t>
      </w:r>
      <w:r w:rsidR="009D2B5B">
        <w:rPr>
          <w:rFonts w:eastAsia="Times New Roman" w:cstheme="minorHAnsi"/>
          <w:color w:val="000000"/>
          <w:sz w:val="24"/>
          <w:szCs w:val="24"/>
        </w:rPr>
        <w:t>s</w:t>
      </w:r>
      <w:r w:rsidRPr="008B3949">
        <w:rPr>
          <w:rFonts w:eastAsia="Times New Roman" w:cstheme="minorHAnsi"/>
          <w:color w:val="000000"/>
          <w:sz w:val="24"/>
          <w:szCs w:val="24"/>
        </w:rPr>
        <w:t xml:space="preserve"> how, </w:t>
      </w:r>
      <w:r w:rsidR="009D2B5B">
        <w:rPr>
          <w:rFonts w:eastAsia="Times New Roman" w:cstheme="minorHAnsi"/>
          <w:color w:val="000000"/>
          <w:sz w:val="24"/>
          <w:szCs w:val="24"/>
        </w:rPr>
        <w:t>(</w:t>
      </w:r>
      <w:r w:rsidRPr="008B3949">
        <w:rPr>
          <w:rFonts w:eastAsia="Times New Roman" w:cstheme="minorHAnsi"/>
          <w:color w:val="000000"/>
          <w:sz w:val="24"/>
          <w:szCs w:val="24"/>
        </w:rPr>
        <w:t>as previously discussed in F</w:t>
      </w:r>
      <w:r w:rsidR="00584A26">
        <w:rPr>
          <w:rFonts w:eastAsia="Times New Roman" w:cstheme="minorHAnsi"/>
          <w:color w:val="000000"/>
          <w:sz w:val="24"/>
          <w:szCs w:val="24"/>
        </w:rPr>
        <w:t xml:space="preserve">actor </w:t>
      </w:r>
      <w:r w:rsidRPr="008B3949">
        <w:rPr>
          <w:rFonts w:eastAsia="Times New Roman" w:cstheme="minorHAnsi"/>
          <w:color w:val="000000"/>
          <w:sz w:val="24"/>
          <w:szCs w:val="24"/>
        </w:rPr>
        <w:t xml:space="preserve">1b), the Proposed Project will improve public health outcomes by Increased access to care </w:t>
      </w:r>
      <w:r w:rsidR="00D03614">
        <w:rPr>
          <w:rFonts w:eastAsia="Times New Roman" w:cstheme="minorHAnsi"/>
          <w:color w:val="000000"/>
          <w:sz w:val="24"/>
          <w:szCs w:val="24"/>
        </w:rPr>
        <w:t xml:space="preserve">including </w:t>
      </w:r>
      <w:r w:rsidRPr="008B3949">
        <w:rPr>
          <w:rFonts w:eastAsia="Times New Roman" w:cstheme="minorHAnsi"/>
          <w:color w:val="000000"/>
          <w:sz w:val="24"/>
          <w:szCs w:val="24"/>
        </w:rPr>
        <w:t>through lower out-of-p</w:t>
      </w:r>
      <w:r w:rsidR="00A0259C">
        <w:rPr>
          <w:rFonts w:eastAsia="Times New Roman" w:cstheme="minorHAnsi"/>
          <w:color w:val="000000"/>
          <w:sz w:val="24"/>
          <w:szCs w:val="24"/>
        </w:rPr>
        <w:t>o</w:t>
      </w:r>
      <w:r w:rsidRPr="008B3949">
        <w:rPr>
          <w:rFonts w:eastAsia="Times New Roman" w:cstheme="minorHAnsi"/>
          <w:color w:val="000000"/>
          <w:sz w:val="24"/>
          <w:szCs w:val="24"/>
        </w:rPr>
        <w:t xml:space="preserve">cket costs, and reduced delays in care. </w:t>
      </w:r>
      <w:r w:rsidR="006F63E9" w:rsidRPr="006F63E9">
        <w:rPr>
          <w:rFonts w:eastAsia="Times New Roman" w:cstheme="minorHAnsi"/>
          <w:color w:val="000000"/>
          <w:sz w:val="24"/>
          <w:szCs w:val="24"/>
        </w:rPr>
        <w:t>As stated above, a substantial share of adults report deferring or skipping care due to cost,</w:t>
      </w:r>
      <w:r w:rsidR="006F63E9" w:rsidRPr="006F63E9">
        <w:rPr>
          <w:rFonts w:eastAsia="Times New Roman" w:cstheme="minorHAnsi"/>
          <w:color w:val="000000"/>
          <w:sz w:val="24"/>
          <w:szCs w:val="24"/>
          <w:vertAlign w:val="superscript"/>
        </w:rPr>
        <w:endnoteReference w:id="36"/>
      </w:r>
      <w:r w:rsidR="006F63E9" w:rsidRPr="006F63E9">
        <w:rPr>
          <w:rFonts w:eastAsia="Times New Roman" w:cstheme="minorHAnsi"/>
          <w:color w:val="000000"/>
          <w:sz w:val="24"/>
          <w:szCs w:val="24"/>
        </w:rPr>
        <w:t xml:space="preserve"> which is associated with poorer outcomes.</w:t>
      </w:r>
      <w:r w:rsidR="006F63E9" w:rsidRPr="006F63E9">
        <w:rPr>
          <w:rFonts w:eastAsia="Times New Roman" w:cstheme="minorHAnsi"/>
          <w:color w:val="000000"/>
          <w:sz w:val="24"/>
          <w:szCs w:val="24"/>
          <w:vertAlign w:val="superscript"/>
        </w:rPr>
        <w:endnoteReference w:id="37"/>
      </w:r>
      <w:r w:rsidR="006F63E9">
        <w:rPr>
          <w:rFonts w:eastAsia="Times New Roman" w:cstheme="minorHAnsi"/>
          <w:color w:val="000000"/>
          <w:sz w:val="24"/>
          <w:szCs w:val="24"/>
        </w:rPr>
        <w:t xml:space="preserve"> </w:t>
      </w:r>
      <w:r w:rsidRPr="008B3949">
        <w:rPr>
          <w:rFonts w:eastAsia="Times New Roman" w:cstheme="minorHAnsi"/>
          <w:color w:val="000000"/>
          <w:sz w:val="24"/>
          <w:szCs w:val="24"/>
        </w:rPr>
        <w:t xml:space="preserve">The lower out-of-pocket costs occur as function of the site of care; and </w:t>
      </w:r>
      <w:r w:rsidR="00D03614">
        <w:rPr>
          <w:rFonts w:eastAsia="Times New Roman" w:cstheme="minorHAnsi"/>
          <w:color w:val="000000"/>
          <w:sz w:val="24"/>
          <w:szCs w:val="24"/>
        </w:rPr>
        <w:t xml:space="preserve">performing appropriate </w:t>
      </w:r>
      <w:r w:rsidRPr="008B3949">
        <w:rPr>
          <w:rFonts w:eastAsia="Times New Roman" w:cstheme="minorHAnsi"/>
          <w:color w:val="000000"/>
          <w:sz w:val="24"/>
          <w:szCs w:val="24"/>
        </w:rPr>
        <w:t>procedure</w:t>
      </w:r>
      <w:r w:rsidR="00D03614">
        <w:rPr>
          <w:rFonts w:eastAsia="Times New Roman" w:cstheme="minorHAnsi"/>
          <w:color w:val="000000"/>
          <w:sz w:val="24"/>
          <w:szCs w:val="24"/>
        </w:rPr>
        <w:t>s</w:t>
      </w:r>
      <w:r w:rsidRPr="008B3949">
        <w:rPr>
          <w:rFonts w:eastAsia="Times New Roman" w:cstheme="minorHAnsi"/>
          <w:color w:val="000000"/>
          <w:sz w:val="24"/>
          <w:szCs w:val="24"/>
        </w:rPr>
        <w:t xml:space="preserve"> at an ASC has been shown to lead to improved health outcomes and improved quality of life for patients.</w:t>
      </w:r>
      <w:r w:rsidRPr="008B3949">
        <w:rPr>
          <w:rFonts w:eastAsia="Times New Roman" w:cstheme="minorHAnsi"/>
          <w:color w:val="000000"/>
          <w:sz w:val="24"/>
          <w:szCs w:val="24"/>
          <w:vertAlign w:val="superscript"/>
        </w:rPr>
        <w:endnoteReference w:id="38"/>
      </w:r>
      <w:r w:rsidRPr="008B3949">
        <w:rPr>
          <w:rFonts w:eastAsia="Times New Roman" w:cstheme="minorHAnsi"/>
          <w:color w:val="000000"/>
          <w:sz w:val="24"/>
          <w:szCs w:val="24"/>
        </w:rPr>
        <w:t xml:space="preserve"> Further, delays in care </w:t>
      </w:r>
      <w:r w:rsidR="00D03614">
        <w:rPr>
          <w:rFonts w:eastAsia="Times New Roman" w:cstheme="minorHAnsi"/>
          <w:color w:val="000000"/>
          <w:sz w:val="24"/>
          <w:szCs w:val="24"/>
        </w:rPr>
        <w:t xml:space="preserve">are </w:t>
      </w:r>
      <w:r w:rsidRPr="008B3949">
        <w:rPr>
          <w:rFonts w:eastAsia="Times New Roman" w:cstheme="minorHAnsi"/>
          <w:color w:val="000000"/>
          <w:sz w:val="24"/>
          <w:szCs w:val="24"/>
        </w:rPr>
        <w:t>reduced at the NEBH main campus by reducing current wait times for orthopedic procedures without increasing the number of operating and procedure rooms</w:t>
      </w:r>
      <w:r w:rsidR="00D03614">
        <w:rPr>
          <w:rFonts w:eastAsia="Times New Roman" w:cstheme="minorHAnsi"/>
          <w:color w:val="000000"/>
          <w:sz w:val="24"/>
          <w:szCs w:val="24"/>
        </w:rPr>
        <w:t>, which not only may improve outcomes but also leads to cost savings.</w:t>
      </w:r>
    </w:p>
    <w:p w14:paraId="5894A2FE" w14:textId="713FC702" w:rsidR="006B0B69" w:rsidRPr="00241F83" w:rsidRDefault="006B0B69" w:rsidP="006B0B69">
      <w:pPr>
        <w:spacing w:after="0" w:line="240" w:lineRule="auto"/>
        <w:rPr>
          <w:rFonts w:eastAsia="Times New Roman" w:cstheme="minorHAnsi"/>
          <w:color w:val="000000"/>
          <w:sz w:val="24"/>
          <w:szCs w:val="24"/>
        </w:rPr>
      </w:pPr>
    </w:p>
    <w:p w14:paraId="4CDC302E" w14:textId="77777777" w:rsidR="009D2B5B" w:rsidRDefault="006B0B69" w:rsidP="006B0B69">
      <w:pPr>
        <w:spacing w:line="240" w:lineRule="auto"/>
        <w:contextualSpacing/>
        <w:rPr>
          <w:rFonts w:cstheme="minorHAnsi"/>
          <w:b/>
          <w:bCs/>
          <w:sz w:val="24"/>
          <w:szCs w:val="24"/>
        </w:rPr>
      </w:pPr>
      <w:r w:rsidRPr="00241F83">
        <w:rPr>
          <w:rFonts w:cstheme="minorHAnsi"/>
          <w:b/>
          <w:i/>
          <w:iCs/>
          <w:sz w:val="24"/>
          <w:szCs w:val="24"/>
        </w:rPr>
        <w:lastRenderedPageBreak/>
        <w:t>Analysis</w:t>
      </w:r>
      <w:r w:rsidRPr="00241F83">
        <w:rPr>
          <w:rFonts w:cstheme="minorHAnsi"/>
          <w:b/>
          <w:sz w:val="24"/>
          <w:szCs w:val="24"/>
        </w:rPr>
        <w:t xml:space="preserve">: </w:t>
      </w:r>
      <w:r w:rsidRPr="00241F83">
        <w:rPr>
          <w:rFonts w:cstheme="minorHAnsi"/>
          <w:b/>
          <w:bCs/>
          <w:sz w:val="24"/>
          <w:szCs w:val="24"/>
        </w:rPr>
        <w:t>Public Health Outcomes</w:t>
      </w:r>
    </w:p>
    <w:p w14:paraId="28D013FA" w14:textId="12B55136" w:rsidR="006B0B69" w:rsidRPr="00241F83" w:rsidRDefault="006B0B69" w:rsidP="004557E2">
      <w:pPr>
        <w:spacing w:line="240" w:lineRule="auto"/>
        <w:contextualSpacing/>
        <w:rPr>
          <w:rFonts w:eastAsia="Times New Roman" w:cstheme="minorHAnsi"/>
          <w:color w:val="000000"/>
          <w:sz w:val="24"/>
          <w:szCs w:val="24"/>
        </w:rPr>
      </w:pPr>
      <w:r w:rsidRPr="00241F83">
        <w:rPr>
          <w:rFonts w:cstheme="minorHAnsi"/>
          <w:bCs/>
          <w:iCs/>
          <w:sz w:val="24"/>
          <w:szCs w:val="24"/>
        </w:rPr>
        <w:t>Surgical procedures performed in ASCs are associated with reduced mortality, morbidity, and hospital admission rates as compared to outpatient surgery performed in the hospital setting, and patients also experience shorter surgery and recovery times; these benefits appear to extend to vulnerable (highest-risk Medicare) patients.</w:t>
      </w:r>
      <w:r w:rsidRPr="00241F83">
        <w:rPr>
          <w:rStyle w:val="EndnoteReference"/>
          <w:rFonts w:cstheme="minorHAnsi"/>
          <w:bCs/>
          <w:iCs/>
          <w:sz w:val="24"/>
          <w:szCs w:val="24"/>
        </w:rPr>
        <w:endnoteReference w:id="39"/>
      </w:r>
      <w:r w:rsidRPr="00241F83">
        <w:rPr>
          <w:rFonts w:cstheme="minorHAnsi"/>
          <w:bCs/>
          <w:iCs/>
          <w:sz w:val="24"/>
          <w:szCs w:val="24"/>
          <w:vertAlign w:val="superscript"/>
        </w:rPr>
        <w:t>,</w:t>
      </w:r>
      <w:r w:rsidRPr="00241F83">
        <w:rPr>
          <w:rStyle w:val="EndnoteReference"/>
          <w:rFonts w:cstheme="minorHAnsi"/>
          <w:bCs/>
          <w:iCs/>
          <w:sz w:val="24"/>
          <w:szCs w:val="24"/>
        </w:rPr>
        <w:endnoteReference w:id="40"/>
      </w:r>
      <w:r w:rsidRPr="00241F83">
        <w:rPr>
          <w:rFonts w:cstheme="minorHAnsi"/>
          <w:bCs/>
          <w:iCs/>
          <w:sz w:val="24"/>
          <w:szCs w:val="24"/>
          <w:vertAlign w:val="superscript"/>
        </w:rPr>
        <w:t>,</w:t>
      </w:r>
      <w:r w:rsidRPr="00241F83">
        <w:rPr>
          <w:rStyle w:val="EndnoteReference"/>
          <w:rFonts w:cstheme="minorHAnsi"/>
          <w:bCs/>
          <w:iCs/>
          <w:sz w:val="24"/>
          <w:szCs w:val="24"/>
        </w:rPr>
        <w:endnoteReference w:id="41"/>
      </w:r>
      <w:r w:rsidRPr="00241F83">
        <w:rPr>
          <w:rFonts w:cstheme="minorHAnsi"/>
          <w:bCs/>
          <w:iCs/>
          <w:sz w:val="24"/>
          <w:szCs w:val="24"/>
          <w:vertAlign w:val="superscript"/>
        </w:rPr>
        <w:t xml:space="preserve"> </w:t>
      </w:r>
      <w:r w:rsidRPr="00241F83">
        <w:rPr>
          <w:rFonts w:cstheme="minorHAnsi"/>
          <w:bCs/>
          <w:sz w:val="24"/>
          <w:szCs w:val="24"/>
        </w:rPr>
        <w:t xml:space="preserve">Improving access to </w:t>
      </w:r>
      <w:r w:rsidR="00B30D95">
        <w:rPr>
          <w:rFonts w:cstheme="minorHAnsi"/>
          <w:bCs/>
          <w:sz w:val="24"/>
          <w:szCs w:val="24"/>
        </w:rPr>
        <w:t>NEBSC</w:t>
      </w:r>
      <w:r w:rsidRPr="00241F83">
        <w:rPr>
          <w:rFonts w:cstheme="minorHAnsi"/>
          <w:bCs/>
          <w:sz w:val="24"/>
          <w:szCs w:val="24"/>
        </w:rPr>
        <w:t>’s services has the potential to improve outcomes and quality of life for the Patient Panel.</w:t>
      </w:r>
      <w:r w:rsidRPr="00241F83">
        <w:rPr>
          <w:rFonts w:cstheme="minorHAnsi"/>
          <w:bCs/>
          <w:sz w:val="24"/>
          <w:szCs w:val="24"/>
        </w:rPr>
        <w:br/>
      </w:r>
    </w:p>
    <w:p w14:paraId="480EF0D5" w14:textId="0FBD3F94" w:rsidR="006B0B69" w:rsidRDefault="006B0B69" w:rsidP="006B0B69">
      <w:pPr>
        <w:spacing w:after="0" w:line="240" w:lineRule="auto"/>
        <w:rPr>
          <w:rFonts w:eastAsia="Times New Roman" w:cstheme="minorHAnsi"/>
          <w:b/>
          <w:bCs/>
          <w:color w:val="000000"/>
          <w:sz w:val="24"/>
          <w:szCs w:val="24"/>
        </w:rPr>
      </w:pPr>
      <w:r w:rsidRPr="00241F83">
        <w:rPr>
          <w:rFonts w:eastAsia="Times New Roman" w:cstheme="minorHAnsi"/>
          <w:b/>
          <w:bCs/>
          <w:color w:val="000000"/>
          <w:sz w:val="24"/>
          <w:szCs w:val="24"/>
        </w:rPr>
        <w:t>Delivery System Transformation</w:t>
      </w:r>
    </w:p>
    <w:p w14:paraId="6A3CD9AB" w14:textId="3B776B35" w:rsidR="006F63E9" w:rsidRPr="006F63E9" w:rsidRDefault="006F63E9" w:rsidP="006B0B69">
      <w:pPr>
        <w:spacing w:after="0" w:line="240" w:lineRule="auto"/>
        <w:rPr>
          <w:rFonts w:eastAsia="Times New Roman" w:cstheme="minorHAnsi"/>
          <w:color w:val="000000"/>
          <w:sz w:val="24"/>
          <w:szCs w:val="24"/>
        </w:rPr>
      </w:pPr>
    </w:p>
    <w:p w14:paraId="61925B60" w14:textId="1BABE349" w:rsidR="006B0B69" w:rsidRPr="00241F83" w:rsidRDefault="006F63E9" w:rsidP="00C47368">
      <w:pPr>
        <w:spacing w:after="0" w:line="240" w:lineRule="auto"/>
        <w:rPr>
          <w:rFonts w:cstheme="minorHAnsi"/>
          <w:b/>
          <w:bCs/>
          <w:sz w:val="24"/>
          <w:szCs w:val="24"/>
        </w:rPr>
      </w:pPr>
      <w:r w:rsidRPr="006F63E9">
        <w:rPr>
          <w:rFonts w:eastAsia="Times New Roman" w:cstheme="minorHAnsi"/>
          <w:color w:val="000000"/>
          <w:sz w:val="24"/>
          <w:szCs w:val="24"/>
        </w:rPr>
        <w:t xml:space="preserve">The Applicant </w:t>
      </w:r>
      <w:r w:rsidR="009D2B5B">
        <w:rPr>
          <w:rFonts w:eastAsia="Times New Roman" w:cstheme="minorHAnsi"/>
          <w:color w:val="000000"/>
          <w:sz w:val="24"/>
          <w:szCs w:val="24"/>
        </w:rPr>
        <w:t>explain</w:t>
      </w:r>
      <w:r w:rsidRPr="006F63E9">
        <w:rPr>
          <w:rFonts w:eastAsia="Times New Roman" w:cstheme="minorHAnsi"/>
          <w:color w:val="000000"/>
          <w:sz w:val="24"/>
          <w:szCs w:val="24"/>
        </w:rPr>
        <w:t xml:space="preserve">s in Factor 1b) its </w:t>
      </w:r>
      <w:r w:rsidR="009D2B5B" w:rsidRPr="006F63E9">
        <w:rPr>
          <w:rFonts w:eastAsia="Times New Roman" w:cstheme="minorHAnsi"/>
          <w:color w:val="000000"/>
          <w:sz w:val="24"/>
          <w:szCs w:val="24"/>
        </w:rPr>
        <w:t>commitment</w:t>
      </w:r>
      <w:r w:rsidRPr="006F63E9">
        <w:rPr>
          <w:rFonts w:eastAsia="Times New Roman" w:cstheme="minorHAnsi"/>
          <w:color w:val="000000"/>
          <w:sz w:val="24"/>
          <w:szCs w:val="24"/>
        </w:rPr>
        <w:t xml:space="preserve"> to providing patients with appropriate care planning resources, including linkages to social service organizations as necessary. As an affiliate of BILH, patients will have access to the full complement of social services support though NEBH or other BILH affiliates when these needs are identified. If during the pre-operative screening process, patients identif</w:t>
      </w:r>
      <w:r w:rsidR="00D03614">
        <w:rPr>
          <w:rFonts w:eastAsia="Times New Roman" w:cstheme="minorHAnsi"/>
          <w:color w:val="000000"/>
          <w:sz w:val="24"/>
          <w:szCs w:val="24"/>
        </w:rPr>
        <w:t>y</w:t>
      </w:r>
      <w:r w:rsidRPr="006F63E9">
        <w:rPr>
          <w:rFonts w:eastAsia="Times New Roman" w:cstheme="minorHAnsi"/>
          <w:color w:val="000000"/>
          <w:sz w:val="24"/>
          <w:szCs w:val="24"/>
        </w:rPr>
        <w:t xml:space="preserve"> social determina</w:t>
      </w:r>
      <w:r w:rsidR="00950E31">
        <w:rPr>
          <w:rFonts w:eastAsia="Times New Roman" w:cstheme="minorHAnsi"/>
          <w:color w:val="000000"/>
          <w:sz w:val="24"/>
          <w:szCs w:val="24"/>
        </w:rPr>
        <w:t>n</w:t>
      </w:r>
      <w:r w:rsidR="00C47368">
        <w:rPr>
          <w:rFonts w:eastAsia="Times New Roman" w:cstheme="minorHAnsi"/>
          <w:color w:val="000000"/>
          <w:sz w:val="24"/>
          <w:szCs w:val="24"/>
        </w:rPr>
        <w:t>t</w:t>
      </w:r>
      <w:r w:rsidRPr="006F63E9">
        <w:rPr>
          <w:rFonts w:eastAsia="Times New Roman" w:cstheme="minorHAnsi"/>
          <w:color w:val="000000"/>
          <w:sz w:val="24"/>
          <w:szCs w:val="24"/>
        </w:rPr>
        <w:t>s of health</w:t>
      </w:r>
      <w:r w:rsidR="0017591A">
        <w:rPr>
          <w:rFonts w:eastAsia="Times New Roman" w:cstheme="minorHAnsi"/>
          <w:color w:val="000000"/>
          <w:sz w:val="24"/>
          <w:szCs w:val="24"/>
        </w:rPr>
        <w:t xml:space="preserve"> </w:t>
      </w:r>
      <w:r w:rsidR="00C47368">
        <w:rPr>
          <w:rFonts w:eastAsia="Times New Roman" w:cstheme="minorHAnsi"/>
          <w:color w:val="000000"/>
          <w:sz w:val="24"/>
          <w:szCs w:val="24"/>
        </w:rPr>
        <w:t xml:space="preserve">(SDOH) </w:t>
      </w:r>
      <w:r w:rsidRPr="006F63E9">
        <w:rPr>
          <w:rFonts w:eastAsia="Times New Roman" w:cstheme="minorHAnsi"/>
          <w:color w:val="000000"/>
          <w:sz w:val="24"/>
          <w:szCs w:val="24"/>
        </w:rPr>
        <w:t>needs, staff at the ASC follow-up with the patient’s primary care provider to notify them of the patient’s needs.</w:t>
      </w:r>
      <w:r w:rsidR="009D2B5B">
        <w:rPr>
          <w:rFonts w:eastAsia="Times New Roman" w:cstheme="minorHAnsi"/>
          <w:color w:val="000000"/>
          <w:sz w:val="24"/>
          <w:szCs w:val="24"/>
        </w:rPr>
        <w:t xml:space="preserve"> Further, t</w:t>
      </w:r>
      <w:r w:rsidR="006B0B69" w:rsidRPr="00241F83">
        <w:rPr>
          <w:rFonts w:eastAsia="Times New Roman" w:cstheme="minorHAnsi"/>
          <w:color w:val="000000"/>
          <w:sz w:val="24"/>
          <w:szCs w:val="24"/>
        </w:rPr>
        <w:t xml:space="preserve">he </w:t>
      </w:r>
      <w:r w:rsidR="00D33E4C" w:rsidRPr="00241F83">
        <w:rPr>
          <w:rFonts w:eastAsia="Times New Roman" w:cstheme="minorHAnsi"/>
          <w:color w:val="000000"/>
          <w:sz w:val="24"/>
          <w:szCs w:val="24"/>
        </w:rPr>
        <w:t>Applicant</w:t>
      </w:r>
      <w:r w:rsidR="006B0B69" w:rsidRPr="00241F83">
        <w:rPr>
          <w:rFonts w:eastAsia="Times New Roman" w:cstheme="minorHAnsi"/>
          <w:color w:val="000000"/>
          <w:sz w:val="24"/>
          <w:szCs w:val="24"/>
        </w:rPr>
        <w:t xml:space="preserve"> notes that its clinicians </w:t>
      </w:r>
      <w:r w:rsidR="00B30D95">
        <w:rPr>
          <w:rFonts w:eastAsia="Times New Roman" w:cstheme="minorHAnsi"/>
          <w:color w:val="000000"/>
          <w:sz w:val="24"/>
          <w:szCs w:val="24"/>
        </w:rPr>
        <w:t>have training and experience at</w:t>
      </w:r>
      <w:r w:rsidR="006B0B69" w:rsidRPr="00241F83">
        <w:rPr>
          <w:rFonts w:eastAsia="Times New Roman" w:cstheme="minorHAnsi"/>
          <w:color w:val="000000"/>
          <w:sz w:val="24"/>
          <w:szCs w:val="24"/>
        </w:rPr>
        <w:t xml:space="preserve"> refer</w:t>
      </w:r>
      <w:r w:rsidR="00B30D95">
        <w:rPr>
          <w:rFonts w:eastAsia="Times New Roman" w:cstheme="minorHAnsi"/>
          <w:color w:val="000000"/>
          <w:sz w:val="24"/>
          <w:szCs w:val="24"/>
        </w:rPr>
        <w:t>ring</w:t>
      </w:r>
      <w:r w:rsidR="006B0B69" w:rsidRPr="00241F83">
        <w:rPr>
          <w:rFonts w:eastAsia="Times New Roman" w:cstheme="minorHAnsi"/>
          <w:color w:val="000000"/>
          <w:sz w:val="24"/>
          <w:szCs w:val="24"/>
        </w:rPr>
        <w:t xml:space="preserve"> patients to other providers as needed, connect patients with resources to address </w:t>
      </w:r>
      <w:r w:rsidR="00C47368">
        <w:rPr>
          <w:rFonts w:eastAsia="Times New Roman" w:cstheme="minorHAnsi"/>
          <w:color w:val="000000"/>
          <w:sz w:val="24"/>
          <w:szCs w:val="24"/>
        </w:rPr>
        <w:t>SDOH concerns</w:t>
      </w:r>
      <w:r w:rsidR="006B0B69" w:rsidRPr="00241F83">
        <w:rPr>
          <w:rFonts w:eastAsia="Times New Roman" w:cstheme="minorHAnsi"/>
          <w:color w:val="000000"/>
          <w:sz w:val="24"/>
          <w:szCs w:val="24"/>
        </w:rPr>
        <w:t xml:space="preserve">, and liaise with patients’ </w:t>
      </w:r>
      <w:r w:rsidR="00ED0236" w:rsidRPr="00241F83">
        <w:rPr>
          <w:rFonts w:eastAsia="Times New Roman" w:cstheme="minorHAnsi"/>
          <w:color w:val="000000"/>
          <w:sz w:val="24"/>
          <w:szCs w:val="24"/>
        </w:rPr>
        <w:t>PCP</w:t>
      </w:r>
      <w:r w:rsidR="00DA35F5">
        <w:rPr>
          <w:rFonts w:eastAsia="Times New Roman" w:cstheme="minorHAnsi"/>
          <w:color w:val="000000"/>
          <w:sz w:val="24"/>
          <w:szCs w:val="24"/>
        </w:rPr>
        <w:t>s</w:t>
      </w:r>
      <w:r w:rsidR="006B0B69" w:rsidRPr="00241F83">
        <w:rPr>
          <w:rFonts w:eastAsia="Times New Roman" w:cstheme="minorHAnsi"/>
          <w:color w:val="000000"/>
          <w:sz w:val="24"/>
          <w:szCs w:val="24"/>
        </w:rPr>
        <w:t xml:space="preserve"> as needed.</w:t>
      </w:r>
      <w:bookmarkStart w:id="68" w:name="_Toc17731330"/>
      <w:bookmarkStart w:id="69" w:name="_Toc17748250"/>
      <w:bookmarkStart w:id="70" w:name="_Toc17748477"/>
      <w:bookmarkStart w:id="71" w:name="_Toc17748721"/>
      <w:bookmarkStart w:id="72" w:name="_Toc18420200"/>
      <w:bookmarkStart w:id="73" w:name="_Toc18922421"/>
    </w:p>
    <w:bookmarkEnd w:id="68"/>
    <w:bookmarkEnd w:id="69"/>
    <w:bookmarkEnd w:id="70"/>
    <w:bookmarkEnd w:id="71"/>
    <w:bookmarkEnd w:id="72"/>
    <w:bookmarkEnd w:id="73"/>
    <w:p w14:paraId="2B6256CD" w14:textId="6A529C1D" w:rsidR="00C37646" w:rsidRDefault="00C37646">
      <w:pPr>
        <w:rPr>
          <w:rFonts w:cstheme="minorHAnsi"/>
          <w:b/>
          <w:i/>
          <w:sz w:val="24"/>
          <w:szCs w:val="24"/>
        </w:rPr>
      </w:pPr>
    </w:p>
    <w:p w14:paraId="42B3D41F" w14:textId="4E659DC4" w:rsidR="00E8532F" w:rsidRPr="00241F83" w:rsidRDefault="00E8532F" w:rsidP="00EA38CA">
      <w:pPr>
        <w:spacing w:after="0" w:line="240" w:lineRule="auto"/>
        <w:contextualSpacing/>
        <w:rPr>
          <w:rFonts w:cstheme="minorHAnsi"/>
          <w:bCs/>
          <w:iCs/>
          <w:sz w:val="24"/>
          <w:szCs w:val="24"/>
        </w:rPr>
      </w:pPr>
      <w:r w:rsidRPr="00241F83">
        <w:rPr>
          <w:rFonts w:cstheme="minorHAnsi"/>
          <w:b/>
          <w:i/>
          <w:sz w:val="24"/>
          <w:szCs w:val="24"/>
        </w:rPr>
        <w:t>Analysis</w:t>
      </w:r>
      <w:r w:rsidRPr="00241F83">
        <w:rPr>
          <w:rFonts w:cstheme="minorHAnsi"/>
          <w:b/>
          <w:iCs/>
          <w:sz w:val="24"/>
          <w:szCs w:val="24"/>
        </w:rPr>
        <w:t xml:space="preserve">: </w:t>
      </w:r>
      <w:r w:rsidRPr="00241F83">
        <w:rPr>
          <w:rFonts w:cstheme="minorHAnsi"/>
          <w:b/>
          <w:bCs/>
          <w:iCs/>
          <w:sz w:val="24"/>
          <w:szCs w:val="24"/>
        </w:rPr>
        <w:t>Delivery System Transformation</w:t>
      </w:r>
    </w:p>
    <w:p w14:paraId="0E560BC0" w14:textId="76032EA8" w:rsidR="00DE7C79" w:rsidRPr="00241F83" w:rsidRDefault="00D004BA" w:rsidP="00DE1CDF">
      <w:pPr>
        <w:spacing w:line="240" w:lineRule="auto"/>
        <w:contextualSpacing/>
        <w:rPr>
          <w:rFonts w:cstheme="minorHAnsi"/>
          <w:iCs/>
          <w:sz w:val="24"/>
          <w:szCs w:val="24"/>
        </w:rPr>
      </w:pPr>
      <w:r w:rsidRPr="00241F83">
        <w:rPr>
          <w:rFonts w:cstheme="minorHAnsi"/>
          <w:iCs/>
          <w:sz w:val="24"/>
          <w:szCs w:val="24"/>
        </w:rPr>
        <w:t xml:space="preserve">Central to the goal of Delivery System Transformation is the integration of social services and community-based expertise. </w:t>
      </w:r>
      <w:r w:rsidR="00775EA2" w:rsidRPr="00241F83">
        <w:rPr>
          <w:rFonts w:cstheme="minorHAnsi"/>
          <w:iCs/>
          <w:sz w:val="24"/>
          <w:szCs w:val="24"/>
        </w:rPr>
        <w:t>The</w:t>
      </w:r>
      <w:r w:rsidRPr="00241F83">
        <w:rPr>
          <w:rFonts w:cstheme="minorHAnsi"/>
          <w:iCs/>
          <w:sz w:val="24"/>
          <w:szCs w:val="24"/>
        </w:rPr>
        <w:t xml:space="preserve"> </w:t>
      </w:r>
      <w:r w:rsidR="00D33E4C" w:rsidRPr="00241F83">
        <w:rPr>
          <w:rFonts w:cstheme="minorHAnsi"/>
          <w:iCs/>
          <w:sz w:val="24"/>
          <w:szCs w:val="24"/>
        </w:rPr>
        <w:t>Applicant</w:t>
      </w:r>
      <w:r w:rsidRPr="00241F83">
        <w:rPr>
          <w:rFonts w:cstheme="minorHAnsi"/>
          <w:iCs/>
          <w:sz w:val="24"/>
          <w:szCs w:val="24"/>
        </w:rPr>
        <w:t xml:space="preserve"> described</w:t>
      </w:r>
      <w:r w:rsidR="00930CE0" w:rsidRPr="00241F83">
        <w:rPr>
          <w:rFonts w:cstheme="minorHAnsi"/>
          <w:iCs/>
          <w:sz w:val="24"/>
          <w:szCs w:val="24"/>
        </w:rPr>
        <w:t xml:space="preserve"> </w:t>
      </w:r>
      <w:r w:rsidR="009A6D55" w:rsidRPr="00241F83">
        <w:rPr>
          <w:rFonts w:cstheme="minorHAnsi"/>
          <w:iCs/>
          <w:sz w:val="24"/>
          <w:szCs w:val="24"/>
        </w:rPr>
        <w:t xml:space="preserve">its </w:t>
      </w:r>
      <w:r w:rsidR="00650E05" w:rsidRPr="00241F83">
        <w:rPr>
          <w:rFonts w:cstheme="minorHAnsi"/>
          <w:iCs/>
          <w:sz w:val="24"/>
          <w:szCs w:val="24"/>
        </w:rPr>
        <w:t>social needs</w:t>
      </w:r>
      <w:r w:rsidR="009A6D55" w:rsidRPr="00241F83">
        <w:rPr>
          <w:rFonts w:cstheme="minorHAnsi"/>
          <w:iCs/>
          <w:sz w:val="24"/>
          <w:szCs w:val="24"/>
        </w:rPr>
        <w:t xml:space="preserve"> screening processes including </w:t>
      </w:r>
      <w:r w:rsidRPr="00241F83">
        <w:rPr>
          <w:rFonts w:cstheme="minorHAnsi"/>
          <w:iCs/>
          <w:sz w:val="24"/>
          <w:szCs w:val="24"/>
        </w:rPr>
        <w:t>how</w:t>
      </w:r>
      <w:r w:rsidR="00A34FAA" w:rsidRPr="00241F83">
        <w:rPr>
          <w:rFonts w:cstheme="minorHAnsi"/>
          <w:iCs/>
          <w:sz w:val="24"/>
          <w:szCs w:val="24"/>
        </w:rPr>
        <w:t xml:space="preserve"> </w:t>
      </w:r>
      <w:r w:rsidR="00F112A9" w:rsidRPr="00241F83">
        <w:rPr>
          <w:rFonts w:cstheme="minorHAnsi"/>
          <w:iCs/>
          <w:sz w:val="24"/>
          <w:szCs w:val="24"/>
        </w:rPr>
        <w:t xml:space="preserve">surgery patients are assessed and how referrals are made to </w:t>
      </w:r>
      <w:r w:rsidR="00AD217E" w:rsidRPr="00241F83">
        <w:rPr>
          <w:rFonts w:cstheme="minorHAnsi"/>
          <w:iCs/>
          <w:sz w:val="24"/>
          <w:szCs w:val="24"/>
        </w:rPr>
        <w:t>the PC</w:t>
      </w:r>
      <w:r w:rsidR="00583224" w:rsidRPr="00241F83">
        <w:rPr>
          <w:rFonts w:cstheme="minorHAnsi"/>
          <w:iCs/>
          <w:sz w:val="24"/>
          <w:szCs w:val="24"/>
        </w:rPr>
        <w:t>P</w:t>
      </w:r>
      <w:r w:rsidR="00AD217E" w:rsidRPr="00241F83">
        <w:rPr>
          <w:rFonts w:cstheme="minorHAnsi"/>
          <w:iCs/>
          <w:sz w:val="24"/>
          <w:szCs w:val="24"/>
        </w:rPr>
        <w:t xml:space="preserve"> and </w:t>
      </w:r>
      <w:r w:rsidR="00F112A9" w:rsidRPr="00241F83">
        <w:rPr>
          <w:rFonts w:cstheme="minorHAnsi"/>
          <w:iCs/>
          <w:sz w:val="24"/>
          <w:szCs w:val="24"/>
        </w:rPr>
        <w:t>outside organizations</w:t>
      </w:r>
      <w:r w:rsidRPr="00241F83">
        <w:rPr>
          <w:rFonts w:cstheme="minorHAnsi"/>
          <w:iCs/>
          <w:sz w:val="24"/>
          <w:szCs w:val="24"/>
        </w:rPr>
        <w:t>.</w:t>
      </w:r>
    </w:p>
    <w:p w14:paraId="592D704E" w14:textId="2FB943D6" w:rsidR="007274E2" w:rsidRPr="00241F83" w:rsidRDefault="00930CE0" w:rsidP="00DE1CDF">
      <w:pPr>
        <w:pStyle w:val="Heading1"/>
        <w:spacing w:before="0" w:line="240" w:lineRule="auto"/>
        <w:rPr>
          <w:rFonts w:asciiTheme="minorHAnsi" w:hAnsiTheme="minorHAnsi" w:cstheme="minorHAnsi"/>
          <w:sz w:val="24"/>
          <w:szCs w:val="24"/>
        </w:rPr>
      </w:pPr>
      <w:bookmarkStart w:id="74" w:name="_Toc115776592"/>
      <w:bookmarkStart w:id="75" w:name="_Toc28797409"/>
      <w:bookmarkStart w:id="76" w:name="_Toc29755687"/>
      <w:bookmarkStart w:id="77" w:name="_Toc17748725"/>
      <w:bookmarkStart w:id="78" w:name="_Toc17748726"/>
      <w:r w:rsidRPr="00241F83">
        <w:rPr>
          <w:rFonts w:asciiTheme="minorHAnsi" w:hAnsiTheme="minorHAnsi" w:cstheme="minorHAnsi"/>
        </w:rPr>
        <w:t>Factor</w:t>
      </w:r>
      <w:r w:rsidR="00F90C88" w:rsidRPr="00241F83">
        <w:rPr>
          <w:rFonts w:asciiTheme="minorHAnsi" w:hAnsiTheme="minorHAnsi" w:cstheme="minorHAnsi"/>
        </w:rPr>
        <w:t xml:space="preserve"> </w:t>
      </w:r>
      <w:r w:rsidR="008D67DA" w:rsidRPr="00241F83">
        <w:rPr>
          <w:rFonts w:asciiTheme="minorHAnsi" w:hAnsiTheme="minorHAnsi" w:cstheme="minorHAnsi"/>
        </w:rPr>
        <w:t>2</w:t>
      </w:r>
      <w:r w:rsidRPr="00241F83">
        <w:rPr>
          <w:rFonts w:asciiTheme="minorHAnsi" w:hAnsiTheme="minorHAnsi" w:cstheme="minorHAnsi"/>
        </w:rPr>
        <w:t xml:space="preserve"> Summary</w:t>
      </w:r>
      <w:bookmarkEnd w:id="74"/>
      <w:r w:rsidR="008D67DA" w:rsidRPr="00241F83">
        <w:rPr>
          <w:rFonts w:asciiTheme="minorHAnsi" w:hAnsiTheme="minorHAnsi" w:cstheme="minorHAnsi"/>
        </w:rPr>
        <w:t xml:space="preserve"> </w:t>
      </w:r>
      <w:bookmarkEnd w:id="75"/>
      <w:bookmarkEnd w:id="76"/>
    </w:p>
    <w:p w14:paraId="633A3315" w14:textId="77777777" w:rsidR="00AD5651" w:rsidRDefault="00AD5651" w:rsidP="00DE1CDF">
      <w:pPr>
        <w:spacing w:line="240" w:lineRule="auto"/>
        <w:contextualSpacing/>
        <w:rPr>
          <w:rFonts w:cstheme="minorHAnsi"/>
          <w:sz w:val="24"/>
          <w:szCs w:val="24"/>
        </w:rPr>
      </w:pPr>
    </w:p>
    <w:p w14:paraId="4000AABF" w14:textId="2ACBB061" w:rsidR="00076AC1" w:rsidRPr="00241F83" w:rsidRDefault="007274E2" w:rsidP="00DE1CDF">
      <w:pPr>
        <w:spacing w:line="240" w:lineRule="auto"/>
        <w:contextualSpacing/>
        <w:rPr>
          <w:rFonts w:cstheme="minorHAnsi"/>
          <w:sz w:val="24"/>
          <w:szCs w:val="24"/>
        </w:rPr>
      </w:pPr>
      <w:r w:rsidRPr="00241F83">
        <w:rPr>
          <w:rFonts w:cstheme="minorHAnsi"/>
          <w:sz w:val="24"/>
          <w:szCs w:val="24"/>
        </w:rPr>
        <w:t>As a result of information provided</w:t>
      </w:r>
      <w:r w:rsidR="008B7B7B" w:rsidRPr="00241F83">
        <w:rPr>
          <w:rFonts w:cstheme="minorHAnsi"/>
          <w:sz w:val="24"/>
          <w:szCs w:val="24"/>
        </w:rPr>
        <w:t>, s</w:t>
      </w:r>
      <w:r w:rsidR="004F16BE" w:rsidRPr="00241F83">
        <w:rPr>
          <w:rFonts w:cstheme="minorHAnsi"/>
          <w:sz w:val="24"/>
          <w:szCs w:val="24"/>
        </w:rPr>
        <w:t xml:space="preserve">taff finds </w:t>
      </w:r>
      <w:r w:rsidR="00071F27" w:rsidRPr="00241F83">
        <w:rPr>
          <w:rFonts w:cstheme="minorHAnsi"/>
          <w:sz w:val="24"/>
          <w:szCs w:val="24"/>
        </w:rPr>
        <w:t>that</w:t>
      </w:r>
      <w:r w:rsidR="004F16BE" w:rsidRPr="00241F83">
        <w:rPr>
          <w:rFonts w:cstheme="minorHAnsi"/>
          <w:sz w:val="24"/>
          <w:szCs w:val="24"/>
        </w:rPr>
        <w:t xml:space="preserve"> the </w:t>
      </w:r>
      <w:r w:rsidR="00D33E4C" w:rsidRPr="00241F83">
        <w:rPr>
          <w:rFonts w:cstheme="minorHAnsi"/>
          <w:sz w:val="24"/>
          <w:szCs w:val="24"/>
        </w:rPr>
        <w:t>Applicant</w:t>
      </w:r>
      <w:r w:rsidR="004F16BE" w:rsidRPr="00241F83">
        <w:rPr>
          <w:rFonts w:cstheme="minorHAnsi"/>
          <w:sz w:val="24"/>
          <w:szCs w:val="24"/>
        </w:rPr>
        <w:t xml:space="preserve"> has </w:t>
      </w:r>
      <w:r w:rsidR="00071F27" w:rsidRPr="00241F83">
        <w:rPr>
          <w:rFonts w:cstheme="minorHAnsi"/>
          <w:sz w:val="24"/>
          <w:szCs w:val="24"/>
        </w:rPr>
        <w:t>sufficiently</w:t>
      </w:r>
      <w:r w:rsidR="004F16BE" w:rsidRPr="00241F83">
        <w:rPr>
          <w:rFonts w:cstheme="minorHAnsi"/>
          <w:sz w:val="24"/>
          <w:szCs w:val="24"/>
        </w:rPr>
        <w:t xml:space="preserve"> met the </w:t>
      </w:r>
      <w:r w:rsidR="00071F27" w:rsidRPr="00241F83">
        <w:rPr>
          <w:rFonts w:cstheme="minorHAnsi"/>
          <w:sz w:val="24"/>
          <w:szCs w:val="24"/>
        </w:rPr>
        <w:t>requirements</w:t>
      </w:r>
      <w:r w:rsidR="004F16BE" w:rsidRPr="00241F83">
        <w:rPr>
          <w:rFonts w:cstheme="minorHAnsi"/>
          <w:sz w:val="24"/>
          <w:szCs w:val="24"/>
        </w:rPr>
        <w:t xml:space="preserve"> of Factor 2</w:t>
      </w:r>
      <w:r w:rsidRPr="00241F83">
        <w:rPr>
          <w:rFonts w:cstheme="minorHAnsi"/>
          <w:sz w:val="24"/>
          <w:szCs w:val="24"/>
        </w:rPr>
        <w:t>.</w:t>
      </w:r>
      <w:r w:rsidR="00337A36" w:rsidRPr="00241F83">
        <w:rPr>
          <w:rFonts w:cstheme="minorHAnsi"/>
          <w:sz w:val="24"/>
          <w:szCs w:val="24"/>
        </w:rPr>
        <w:t xml:space="preserve"> </w:t>
      </w:r>
    </w:p>
    <w:p w14:paraId="3A7743C2" w14:textId="77777777" w:rsidR="0012392C" w:rsidRPr="00241F83" w:rsidRDefault="00DE19DE" w:rsidP="00EA38CA">
      <w:pPr>
        <w:pStyle w:val="Heading1"/>
        <w:spacing w:before="0" w:line="240" w:lineRule="auto"/>
        <w:contextualSpacing/>
        <w:rPr>
          <w:rFonts w:asciiTheme="minorHAnsi" w:hAnsiTheme="minorHAnsi" w:cstheme="minorHAnsi"/>
        </w:rPr>
      </w:pPr>
      <w:bookmarkStart w:id="79" w:name="_Toc29755688"/>
      <w:bookmarkStart w:id="80" w:name="_Toc115776593"/>
      <w:r w:rsidRPr="00241F83">
        <w:rPr>
          <w:rFonts w:asciiTheme="minorHAnsi" w:hAnsiTheme="minorHAnsi" w:cstheme="minorHAnsi"/>
        </w:rPr>
        <w:t>Fa</w:t>
      </w:r>
      <w:r w:rsidR="0012392C" w:rsidRPr="00241F83">
        <w:rPr>
          <w:rFonts w:asciiTheme="minorHAnsi" w:hAnsiTheme="minorHAnsi" w:cstheme="minorHAnsi"/>
        </w:rPr>
        <w:t>ctor 3: Relevant Licensure/Oversight Compliance</w:t>
      </w:r>
      <w:bookmarkEnd w:id="77"/>
      <w:bookmarkEnd w:id="79"/>
      <w:bookmarkEnd w:id="80"/>
    </w:p>
    <w:p w14:paraId="0C6F3DA0" w14:textId="5CCD3EED" w:rsidR="0012392C" w:rsidRPr="00241F83" w:rsidRDefault="0012392C" w:rsidP="00DE1CDF">
      <w:pPr>
        <w:spacing w:before="240" w:after="0" w:line="240" w:lineRule="auto"/>
        <w:contextualSpacing/>
        <w:rPr>
          <w:rFonts w:cstheme="minorHAnsi"/>
          <w:sz w:val="24"/>
          <w:szCs w:val="24"/>
        </w:rPr>
      </w:pPr>
      <w:r w:rsidRPr="00241F83">
        <w:rPr>
          <w:rFonts w:cstheme="minorHAnsi"/>
          <w:sz w:val="24"/>
          <w:szCs w:val="24"/>
        </w:rPr>
        <w:t xml:space="preserve">The </w:t>
      </w:r>
      <w:r w:rsidR="00D33E4C" w:rsidRPr="00241F83">
        <w:rPr>
          <w:rFonts w:cstheme="minorHAnsi"/>
          <w:sz w:val="24"/>
          <w:szCs w:val="24"/>
        </w:rPr>
        <w:t>Applicant</w:t>
      </w:r>
      <w:r w:rsidRPr="00241F83">
        <w:rPr>
          <w:rFonts w:cstheme="minorHAnsi"/>
          <w:sz w:val="24"/>
          <w:szCs w:val="24"/>
        </w:rPr>
        <w:t xml:space="preserve"> has provided evidence of compliance and good standing with federal, state, and local laws and regulations.</w:t>
      </w:r>
      <w:r w:rsidR="008002DF" w:rsidRPr="00241F83">
        <w:rPr>
          <w:rFonts w:cstheme="minorHAnsi"/>
        </w:rPr>
        <w:t xml:space="preserve"> </w:t>
      </w:r>
      <w:r w:rsidR="008002DF" w:rsidRPr="00241F83">
        <w:rPr>
          <w:rFonts w:cstheme="minorHAnsi"/>
          <w:sz w:val="24"/>
          <w:szCs w:val="24"/>
        </w:rPr>
        <w:t>As a result of informat</w:t>
      </w:r>
      <w:r w:rsidR="00035089" w:rsidRPr="00241F83">
        <w:rPr>
          <w:rFonts w:cstheme="minorHAnsi"/>
          <w:sz w:val="24"/>
          <w:szCs w:val="24"/>
        </w:rPr>
        <w:t xml:space="preserve">ion provided by the </w:t>
      </w:r>
      <w:r w:rsidR="00D33E4C" w:rsidRPr="00241F83">
        <w:rPr>
          <w:rFonts w:cstheme="minorHAnsi"/>
          <w:sz w:val="24"/>
          <w:szCs w:val="24"/>
        </w:rPr>
        <w:t>Applicant</w:t>
      </w:r>
      <w:r w:rsidR="00035089" w:rsidRPr="00241F83">
        <w:rPr>
          <w:rFonts w:cstheme="minorHAnsi"/>
          <w:sz w:val="24"/>
          <w:szCs w:val="24"/>
        </w:rPr>
        <w:t>, s</w:t>
      </w:r>
      <w:r w:rsidR="008002DF" w:rsidRPr="00241F83">
        <w:rPr>
          <w:rFonts w:cstheme="minorHAnsi"/>
          <w:sz w:val="24"/>
          <w:szCs w:val="24"/>
        </w:rPr>
        <w:t xml:space="preserve">taff finds the </w:t>
      </w:r>
      <w:r w:rsidR="00D33E4C" w:rsidRPr="00241F83">
        <w:rPr>
          <w:rFonts w:cstheme="minorHAnsi"/>
          <w:sz w:val="24"/>
          <w:szCs w:val="24"/>
        </w:rPr>
        <w:t>Applicant</w:t>
      </w:r>
      <w:r w:rsidR="008002DF" w:rsidRPr="00241F83">
        <w:rPr>
          <w:rFonts w:cstheme="minorHAnsi"/>
          <w:sz w:val="24"/>
          <w:szCs w:val="24"/>
        </w:rPr>
        <w:t xml:space="preserve"> has reasonably met the standards of Factor 3.</w:t>
      </w:r>
    </w:p>
    <w:p w14:paraId="229BD5EE" w14:textId="37124A60" w:rsidR="00653A41" w:rsidRPr="00241F83" w:rsidRDefault="00653A41" w:rsidP="00EA38CA">
      <w:pPr>
        <w:pStyle w:val="Heading1"/>
        <w:spacing w:before="0" w:line="240" w:lineRule="auto"/>
        <w:contextualSpacing/>
        <w:rPr>
          <w:rFonts w:asciiTheme="minorHAnsi" w:hAnsiTheme="minorHAnsi" w:cstheme="minorHAnsi"/>
        </w:rPr>
      </w:pPr>
    </w:p>
    <w:p w14:paraId="0C632F4C" w14:textId="008B5ED3" w:rsidR="00871D66" w:rsidRPr="00241F83" w:rsidRDefault="0012392C" w:rsidP="00634624">
      <w:pPr>
        <w:pStyle w:val="Heading1"/>
        <w:spacing w:before="0" w:line="240" w:lineRule="auto"/>
        <w:contextualSpacing/>
        <w:rPr>
          <w:rFonts w:asciiTheme="minorHAnsi" w:hAnsiTheme="minorHAnsi" w:cstheme="minorHAnsi"/>
        </w:rPr>
      </w:pPr>
      <w:bookmarkStart w:id="81" w:name="_Toc29755689"/>
      <w:bookmarkStart w:id="82" w:name="_Toc115776594"/>
      <w:r w:rsidRPr="00241F83">
        <w:rPr>
          <w:rFonts w:asciiTheme="minorHAnsi" w:hAnsiTheme="minorHAnsi" w:cstheme="minorHAnsi"/>
        </w:rPr>
        <w:t>Factor 4:</w:t>
      </w:r>
      <w:r w:rsidR="00F2354A" w:rsidRPr="00241F83">
        <w:rPr>
          <w:rFonts w:asciiTheme="minorHAnsi" w:hAnsiTheme="minorHAnsi" w:cstheme="minorHAnsi"/>
        </w:rPr>
        <w:t xml:space="preserve"> </w:t>
      </w:r>
      <w:bookmarkEnd w:id="78"/>
      <w:bookmarkEnd w:id="81"/>
      <w:r w:rsidR="00DE1CDF">
        <w:rPr>
          <w:rFonts w:asciiTheme="minorHAnsi" w:hAnsiTheme="minorHAnsi" w:cstheme="minorHAnsi"/>
        </w:rPr>
        <w:t>Financial Feasibility</w:t>
      </w:r>
      <w:bookmarkEnd w:id="82"/>
    </w:p>
    <w:p w14:paraId="0EB962AB" w14:textId="755A4188" w:rsidR="00D96DE6" w:rsidRPr="00241F83" w:rsidRDefault="00D96DE6" w:rsidP="00DE1CDF">
      <w:pPr>
        <w:spacing w:before="240" w:after="0" w:line="240" w:lineRule="auto"/>
        <w:rPr>
          <w:rFonts w:eastAsia="Times New Roman" w:cstheme="minorHAnsi"/>
          <w:sz w:val="24"/>
          <w:szCs w:val="24"/>
        </w:rPr>
      </w:pPr>
      <w:r w:rsidRPr="00241F83">
        <w:rPr>
          <w:rFonts w:eastAsia="Times New Roman" w:cstheme="minorHAnsi"/>
          <w:color w:val="000000"/>
          <w:sz w:val="24"/>
          <w:szCs w:val="24"/>
        </w:rPr>
        <w:t xml:space="preserve">Under Factor 4,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must demonstrate that it has sufficient funds available for capital and operating costs necessary to support the Proposed Project without negative effects or </w:t>
      </w:r>
      <w:r w:rsidR="002E6C8F">
        <w:rPr>
          <w:rFonts w:eastAsia="Times New Roman" w:cstheme="minorHAnsi"/>
          <w:color w:val="000000"/>
          <w:sz w:val="24"/>
          <w:szCs w:val="24"/>
        </w:rPr>
        <w:t>c</w:t>
      </w:r>
      <w:r w:rsidRPr="00241F83">
        <w:rPr>
          <w:rFonts w:eastAsia="Times New Roman" w:cstheme="minorHAnsi"/>
          <w:color w:val="000000"/>
          <w:sz w:val="24"/>
          <w:szCs w:val="24"/>
        </w:rPr>
        <w:t xml:space="preserve">onsequences to the existing Patient Panel. Documentation sufficient to make such </w:t>
      </w:r>
      <w:r w:rsidR="00DD25A5">
        <w:rPr>
          <w:rFonts w:eastAsia="Times New Roman" w:cstheme="minorHAnsi"/>
          <w:color w:val="000000"/>
          <w:sz w:val="24"/>
          <w:szCs w:val="24"/>
        </w:rPr>
        <w:t xml:space="preserve">a </w:t>
      </w:r>
      <w:r w:rsidRPr="00241F83">
        <w:rPr>
          <w:rFonts w:eastAsia="Times New Roman" w:cstheme="minorHAnsi"/>
          <w:color w:val="000000"/>
          <w:sz w:val="24"/>
          <w:szCs w:val="24"/>
        </w:rPr>
        <w:t xml:space="preserve">finding must be supported by an analysis conducted by an independent CPA.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submitted a report performed by</w:t>
      </w:r>
      <w:r w:rsidR="006514FB">
        <w:rPr>
          <w:rFonts w:eastAsia="Times New Roman" w:cstheme="minorHAnsi"/>
          <w:color w:val="000000"/>
          <w:sz w:val="24"/>
          <w:szCs w:val="24"/>
        </w:rPr>
        <w:t xml:space="preserve"> Whittlesey Forward Advising</w:t>
      </w:r>
      <w:r w:rsidRPr="00241F83">
        <w:rPr>
          <w:rFonts w:eastAsia="Times New Roman" w:cstheme="minorHAnsi"/>
          <w:color w:val="000000"/>
          <w:sz w:val="24"/>
          <w:szCs w:val="24"/>
        </w:rPr>
        <w:t>. (CPA Report).</w:t>
      </w:r>
    </w:p>
    <w:p w14:paraId="790AE4E7" w14:textId="77777777" w:rsidR="00D96DE6" w:rsidRPr="00241F83" w:rsidRDefault="00D96DE6" w:rsidP="00D96DE6">
      <w:pPr>
        <w:spacing w:after="0" w:line="240" w:lineRule="auto"/>
        <w:rPr>
          <w:rFonts w:eastAsia="Times New Roman" w:cstheme="minorHAnsi"/>
          <w:sz w:val="24"/>
          <w:szCs w:val="24"/>
        </w:rPr>
      </w:pPr>
    </w:p>
    <w:p w14:paraId="3560B27F" w14:textId="0836BBE3" w:rsidR="000E4814" w:rsidRDefault="00D96DE6" w:rsidP="00D96DE6">
      <w:pPr>
        <w:spacing w:after="0" w:line="240" w:lineRule="auto"/>
        <w:rPr>
          <w:rFonts w:eastAsia="Times New Roman" w:cstheme="minorHAnsi"/>
          <w:color w:val="000000"/>
          <w:sz w:val="24"/>
          <w:szCs w:val="24"/>
        </w:rPr>
      </w:pPr>
      <w:r w:rsidRPr="00241F83">
        <w:rPr>
          <w:rFonts w:eastAsia="Times New Roman" w:cstheme="minorHAnsi"/>
          <w:color w:val="000000"/>
          <w:sz w:val="24"/>
          <w:szCs w:val="24"/>
        </w:rPr>
        <w:lastRenderedPageBreak/>
        <w:t xml:space="preserve">The CPA Report is limited to an analysis of the five-year financial projections </w:t>
      </w:r>
      <w:r w:rsidR="003379A0">
        <w:rPr>
          <w:rFonts w:eastAsia="Times New Roman" w:cstheme="minorHAnsi"/>
          <w:color w:val="000000"/>
          <w:sz w:val="24"/>
          <w:szCs w:val="24"/>
        </w:rPr>
        <w:t>provided</w:t>
      </w:r>
      <w:r w:rsidRPr="00241F83">
        <w:rPr>
          <w:rFonts w:eastAsia="Times New Roman" w:cstheme="minorHAnsi"/>
          <w:color w:val="000000"/>
          <w:sz w:val="24"/>
          <w:szCs w:val="24"/>
        </w:rPr>
        <w:t xml:space="preserve"> by the </w:t>
      </w:r>
      <w:r w:rsidR="00D33E4C" w:rsidRPr="00241F83">
        <w:rPr>
          <w:rFonts w:eastAsia="Times New Roman" w:cstheme="minorHAnsi"/>
          <w:color w:val="000000"/>
          <w:sz w:val="24"/>
          <w:szCs w:val="24"/>
        </w:rPr>
        <w:t>Applicant</w:t>
      </w:r>
      <w:r w:rsidRPr="00241F83">
        <w:rPr>
          <w:rFonts w:eastAsia="Times New Roman" w:cstheme="minorHAnsi"/>
          <w:color w:val="000000"/>
          <w:sz w:val="24"/>
          <w:szCs w:val="24"/>
        </w:rPr>
        <w:t xml:space="preserve">. </w:t>
      </w:r>
      <w:r w:rsidR="003379A0">
        <w:rPr>
          <w:rFonts w:eastAsia="Times New Roman" w:cstheme="minorHAnsi"/>
          <w:color w:val="000000"/>
          <w:sz w:val="24"/>
          <w:szCs w:val="24"/>
        </w:rPr>
        <w:t>T</w:t>
      </w:r>
      <w:r w:rsidRPr="00241F83">
        <w:rPr>
          <w:rFonts w:eastAsia="Times New Roman" w:cstheme="minorHAnsi"/>
          <w:color w:val="000000"/>
          <w:sz w:val="24"/>
          <w:szCs w:val="24"/>
        </w:rPr>
        <w:t xml:space="preserve">o assess the reasonableness of assumptions used in the preparation and feasibility of the projections </w:t>
      </w:r>
      <w:r w:rsidR="00AD5651">
        <w:rPr>
          <w:rFonts w:eastAsia="Times New Roman" w:cstheme="minorHAnsi"/>
          <w:color w:val="000000"/>
          <w:sz w:val="24"/>
          <w:szCs w:val="24"/>
        </w:rPr>
        <w:t xml:space="preserve">for </w:t>
      </w:r>
      <w:r w:rsidRPr="00241F83">
        <w:rPr>
          <w:rFonts w:eastAsia="Times New Roman" w:cstheme="minorHAnsi"/>
          <w:color w:val="000000"/>
          <w:sz w:val="24"/>
          <w:szCs w:val="24"/>
        </w:rPr>
        <w:t>the proposed project</w:t>
      </w:r>
      <w:r w:rsidR="000E4814">
        <w:rPr>
          <w:rFonts w:eastAsia="Times New Roman" w:cstheme="minorHAnsi"/>
          <w:color w:val="000000"/>
          <w:sz w:val="24"/>
          <w:szCs w:val="24"/>
        </w:rPr>
        <w:t>, the C</w:t>
      </w:r>
      <w:r w:rsidRPr="00241F83">
        <w:rPr>
          <w:rFonts w:eastAsia="Times New Roman" w:cstheme="minorHAnsi"/>
          <w:color w:val="000000"/>
          <w:sz w:val="24"/>
          <w:szCs w:val="24"/>
        </w:rPr>
        <w:t>PA reviewed</w:t>
      </w:r>
      <w:r w:rsidR="000E4814">
        <w:rPr>
          <w:rFonts w:eastAsia="Times New Roman" w:cstheme="minorHAnsi"/>
          <w:color w:val="000000"/>
          <w:sz w:val="24"/>
          <w:szCs w:val="24"/>
        </w:rPr>
        <w:t xml:space="preserve"> key standard financial metri</w:t>
      </w:r>
      <w:r w:rsidR="00C706C7">
        <w:rPr>
          <w:rFonts w:eastAsia="Times New Roman" w:cstheme="minorHAnsi"/>
          <w:color w:val="000000"/>
          <w:sz w:val="24"/>
          <w:szCs w:val="24"/>
        </w:rPr>
        <w:t xml:space="preserve">cs and </w:t>
      </w:r>
      <w:r w:rsidR="000E4814">
        <w:rPr>
          <w:rFonts w:eastAsia="Times New Roman" w:cstheme="minorHAnsi"/>
          <w:color w:val="000000"/>
          <w:sz w:val="24"/>
          <w:szCs w:val="24"/>
        </w:rPr>
        <w:t>numerous primary sources of information provided by the Applicant</w:t>
      </w:r>
      <w:r w:rsidR="00AD5651">
        <w:rPr>
          <w:rFonts w:eastAsia="Times New Roman" w:cstheme="minorHAnsi"/>
          <w:color w:val="000000"/>
          <w:sz w:val="24"/>
          <w:szCs w:val="24"/>
        </w:rPr>
        <w:t>.</w:t>
      </w:r>
      <w:r w:rsidR="000E4814">
        <w:rPr>
          <w:rStyle w:val="FootnoteReference"/>
          <w:rFonts w:eastAsia="Times New Roman" w:cstheme="minorHAnsi"/>
          <w:color w:val="000000"/>
          <w:sz w:val="24"/>
          <w:szCs w:val="24"/>
        </w:rPr>
        <w:footnoteReference w:id="16"/>
      </w:r>
      <w:r w:rsidR="000E4814">
        <w:rPr>
          <w:rFonts w:eastAsia="Times New Roman" w:cstheme="minorHAnsi"/>
          <w:color w:val="000000"/>
          <w:sz w:val="24"/>
          <w:szCs w:val="24"/>
        </w:rPr>
        <w:t xml:space="preserve"> </w:t>
      </w:r>
    </w:p>
    <w:p w14:paraId="534F91C0" w14:textId="77777777" w:rsidR="004557E2" w:rsidRDefault="004557E2" w:rsidP="00D96DE6">
      <w:pPr>
        <w:spacing w:after="0" w:line="240" w:lineRule="auto"/>
        <w:rPr>
          <w:rFonts w:eastAsia="Times New Roman" w:cstheme="minorHAnsi"/>
          <w:color w:val="000000"/>
          <w:sz w:val="24"/>
          <w:szCs w:val="24"/>
        </w:rPr>
      </w:pPr>
    </w:p>
    <w:p w14:paraId="3F8FCFCF" w14:textId="5634BD6B" w:rsidR="00D96DE6" w:rsidRPr="00241F83" w:rsidRDefault="004557E2" w:rsidP="00D96DE6">
      <w:pPr>
        <w:spacing w:after="0" w:line="240" w:lineRule="auto"/>
        <w:rPr>
          <w:rFonts w:eastAsia="Times New Roman" w:cstheme="minorHAnsi"/>
          <w:b/>
          <w:bCs/>
          <w:sz w:val="24"/>
          <w:szCs w:val="24"/>
        </w:rPr>
      </w:pPr>
      <w:r>
        <w:rPr>
          <w:rFonts w:eastAsia="Times New Roman" w:cstheme="minorHAnsi"/>
          <w:b/>
          <w:bCs/>
          <w:color w:val="000000"/>
          <w:sz w:val="24"/>
          <w:szCs w:val="24"/>
        </w:rPr>
        <w:t xml:space="preserve">A - </w:t>
      </w:r>
      <w:r w:rsidR="00D96DE6" w:rsidRPr="00241F83">
        <w:rPr>
          <w:rFonts w:eastAsia="Times New Roman" w:cstheme="minorHAnsi"/>
          <w:b/>
          <w:bCs/>
          <w:color w:val="000000"/>
          <w:sz w:val="24"/>
          <w:szCs w:val="24"/>
        </w:rPr>
        <w:t>Revenue</w:t>
      </w:r>
    </w:p>
    <w:p w14:paraId="69FAEF4B" w14:textId="6D69302A" w:rsidR="00C706C7" w:rsidRDefault="003379A0" w:rsidP="006514FB">
      <w:pPr>
        <w:spacing w:after="0" w:line="240" w:lineRule="auto"/>
        <w:rPr>
          <w:rFonts w:eastAsia="Times New Roman" w:cstheme="minorHAnsi"/>
          <w:color w:val="000000"/>
          <w:sz w:val="24"/>
          <w:szCs w:val="24"/>
        </w:rPr>
      </w:pPr>
      <w:r>
        <w:rPr>
          <w:rFonts w:eastAsia="Times New Roman" w:cstheme="minorHAnsi"/>
          <w:color w:val="000000"/>
          <w:sz w:val="24"/>
          <w:szCs w:val="24"/>
        </w:rPr>
        <w:t>T</w:t>
      </w:r>
      <w:r w:rsidR="006514FB">
        <w:rPr>
          <w:rFonts w:eastAsia="Times New Roman" w:cstheme="minorHAnsi"/>
          <w:color w:val="000000"/>
          <w:sz w:val="24"/>
          <w:szCs w:val="24"/>
        </w:rPr>
        <w:t>he CPA</w:t>
      </w:r>
      <w:r w:rsidR="006514FB" w:rsidRPr="006514FB">
        <w:rPr>
          <w:rFonts w:eastAsia="Times New Roman" w:cstheme="minorHAnsi"/>
          <w:color w:val="000000"/>
          <w:sz w:val="24"/>
          <w:szCs w:val="24"/>
        </w:rPr>
        <w:t xml:space="preserve"> reviewed the underlying assumptions upon which Management relied.</w:t>
      </w:r>
      <w:r w:rsidR="006514FB">
        <w:rPr>
          <w:rFonts w:eastAsia="Times New Roman" w:cstheme="minorHAnsi"/>
          <w:color w:val="000000"/>
          <w:sz w:val="24"/>
          <w:szCs w:val="24"/>
        </w:rPr>
        <w:t xml:space="preserve"> </w:t>
      </w:r>
      <w:r w:rsidR="00C706C7">
        <w:rPr>
          <w:rFonts w:eastAsia="Times New Roman" w:cstheme="minorHAnsi"/>
          <w:color w:val="000000"/>
          <w:sz w:val="24"/>
          <w:szCs w:val="24"/>
        </w:rPr>
        <w:t>T</w:t>
      </w:r>
      <w:r w:rsidR="00C706C7" w:rsidRPr="00C706C7">
        <w:rPr>
          <w:rFonts w:eastAsia="Times New Roman" w:cstheme="minorHAnsi"/>
          <w:color w:val="000000"/>
          <w:sz w:val="24"/>
          <w:szCs w:val="24"/>
        </w:rPr>
        <w:t xml:space="preserve">he projected volume was based on historical data at the existing </w:t>
      </w:r>
      <w:r w:rsidR="00AD5651">
        <w:rPr>
          <w:rFonts w:eastAsia="Times New Roman" w:cstheme="minorHAnsi"/>
          <w:color w:val="000000"/>
          <w:sz w:val="24"/>
          <w:szCs w:val="24"/>
        </w:rPr>
        <w:t xml:space="preserve">HOPD </w:t>
      </w:r>
      <w:r w:rsidR="00C706C7" w:rsidRPr="00C706C7">
        <w:rPr>
          <w:rFonts w:eastAsia="Times New Roman" w:cstheme="minorHAnsi"/>
          <w:color w:val="000000"/>
          <w:sz w:val="24"/>
          <w:szCs w:val="24"/>
        </w:rPr>
        <w:t>and a gradual ramp-up schedule from 60% utilization in</w:t>
      </w:r>
      <w:r w:rsidR="00C706C7">
        <w:rPr>
          <w:rFonts w:eastAsia="Times New Roman" w:cstheme="minorHAnsi"/>
          <w:color w:val="000000"/>
          <w:sz w:val="24"/>
          <w:szCs w:val="24"/>
        </w:rPr>
        <w:t xml:space="preserve"> </w:t>
      </w:r>
      <w:r w:rsidR="00C706C7" w:rsidRPr="00C706C7">
        <w:rPr>
          <w:rFonts w:eastAsia="Times New Roman" w:cstheme="minorHAnsi"/>
          <w:color w:val="000000"/>
          <w:sz w:val="24"/>
          <w:szCs w:val="24"/>
        </w:rPr>
        <w:t xml:space="preserve">year 1 of operations to a sustained 70% utilization level for years 4 and 5 of the Projection. </w:t>
      </w:r>
    </w:p>
    <w:p w14:paraId="1C7D9CDF" w14:textId="77777777" w:rsidR="00C706C7" w:rsidRDefault="00C706C7" w:rsidP="00C706C7">
      <w:pPr>
        <w:spacing w:after="0" w:line="240" w:lineRule="auto"/>
        <w:rPr>
          <w:rFonts w:eastAsia="Times New Roman" w:cstheme="minorHAnsi"/>
          <w:color w:val="000000"/>
          <w:sz w:val="24"/>
          <w:szCs w:val="24"/>
        </w:rPr>
      </w:pPr>
    </w:p>
    <w:p w14:paraId="4324DD40" w14:textId="6621E2B9" w:rsidR="006514FB" w:rsidRPr="006514FB" w:rsidRDefault="00C706C7" w:rsidP="006514FB">
      <w:pPr>
        <w:spacing w:after="0" w:line="240" w:lineRule="auto"/>
        <w:rPr>
          <w:rFonts w:eastAsia="Times New Roman" w:cstheme="minorHAnsi"/>
          <w:color w:val="000000"/>
          <w:sz w:val="24"/>
          <w:szCs w:val="24"/>
        </w:rPr>
      </w:pPr>
      <w:r w:rsidRPr="006514FB">
        <w:rPr>
          <w:rFonts w:eastAsia="Times New Roman" w:cstheme="minorHAnsi"/>
          <w:color w:val="000000"/>
          <w:sz w:val="24"/>
          <w:szCs w:val="24"/>
        </w:rPr>
        <w:t xml:space="preserve">The payer mix was based on that of the specialties practicing at the </w:t>
      </w:r>
      <w:r w:rsidR="000E7AEB">
        <w:rPr>
          <w:rFonts w:eastAsia="Times New Roman" w:cstheme="minorHAnsi"/>
          <w:color w:val="000000"/>
          <w:sz w:val="24"/>
          <w:szCs w:val="24"/>
        </w:rPr>
        <w:t xml:space="preserve">HOPD </w:t>
      </w:r>
      <w:r w:rsidRPr="006514FB">
        <w:rPr>
          <w:rFonts w:eastAsia="Times New Roman" w:cstheme="minorHAnsi"/>
          <w:color w:val="000000"/>
          <w:sz w:val="24"/>
          <w:szCs w:val="24"/>
        </w:rPr>
        <w:t>(orthopedic, joint replacement, hand, podiatry, spine and other services)</w:t>
      </w:r>
      <w:r w:rsidR="003379A0">
        <w:rPr>
          <w:rFonts w:eastAsia="Times New Roman" w:cstheme="minorHAnsi"/>
          <w:color w:val="000000"/>
          <w:sz w:val="24"/>
          <w:szCs w:val="24"/>
        </w:rPr>
        <w:t xml:space="preserve"> and r</w:t>
      </w:r>
      <w:r w:rsidRPr="006514FB">
        <w:rPr>
          <w:rFonts w:eastAsia="Times New Roman" w:cstheme="minorHAnsi"/>
          <w:color w:val="000000"/>
          <w:sz w:val="24"/>
          <w:szCs w:val="24"/>
        </w:rPr>
        <w:t xml:space="preserve">eimbursement rates were based upon current Medicare </w:t>
      </w:r>
      <w:r w:rsidR="006514FB" w:rsidRPr="006514FB">
        <w:rPr>
          <w:rFonts w:eastAsia="Times New Roman" w:cstheme="minorHAnsi"/>
          <w:color w:val="000000"/>
          <w:sz w:val="24"/>
          <w:szCs w:val="24"/>
        </w:rPr>
        <w:t xml:space="preserve">and Medicaid </w:t>
      </w:r>
      <w:r w:rsidRPr="006514FB">
        <w:rPr>
          <w:rFonts w:eastAsia="Times New Roman" w:cstheme="minorHAnsi"/>
          <w:color w:val="000000"/>
          <w:sz w:val="24"/>
          <w:szCs w:val="24"/>
        </w:rPr>
        <w:t xml:space="preserve">rates, and </w:t>
      </w:r>
      <w:r w:rsidR="003379A0">
        <w:rPr>
          <w:rFonts w:eastAsia="Times New Roman" w:cstheme="minorHAnsi"/>
          <w:color w:val="000000"/>
          <w:sz w:val="24"/>
          <w:szCs w:val="24"/>
        </w:rPr>
        <w:t>anticipa</w:t>
      </w:r>
      <w:r w:rsidRPr="006514FB">
        <w:rPr>
          <w:rFonts w:eastAsia="Times New Roman" w:cstheme="minorHAnsi"/>
          <w:color w:val="000000"/>
          <w:sz w:val="24"/>
          <w:szCs w:val="24"/>
        </w:rPr>
        <w:t xml:space="preserve">ted </w:t>
      </w:r>
      <w:r w:rsidR="006514FB" w:rsidRPr="006514FB">
        <w:rPr>
          <w:rFonts w:eastAsia="Times New Roman" w:cstheme="minorHAnsi"/>
          <w:color w:val="000000"/>
          <w:sz w:val="24"/>
          <w:szCs w:val="24"/>
        </w:rPr>
        <w:t xml:space="preserve">commercial insurance </w:t>
      </w:r>
      <w:r w:rsidRPr="006514FB">
        <w:rPr>
          <w:rFonts w:eastAsia="Times New Roman" w:cstheme="minorHAnsi"/>
          <w:color w:val="000000"/>
          <w:sz w:val="24"/>
          <w:szCs w:val="24"/>
        </w:rPr>
        <w:t xml:space="preserve">contracted rates based on historical information. </w:t>
      </w:r>
    </w:p>
    <w:p w14:paraId="1A232A01" w14:textId="77777777" w:rsidR="006514FB" w:rsidRDefault="006514FB" w:rsidP="00C706C7">
      <w:pPr>
        <w:spacing w:after="0" w:line="240" w:lineRule="auto"/>
        <w:rPr>
          <w:rFonts w:eastAsia="Times New Roman" w:cstheme="minorHAnsi"/>
          <w:color w:val="000000"/>
          <w:sz w:val="24"/>
          <w:szCs w:val="24"/>
        </w:rPr>
      </w:pPr>
    </w:p>
    <w:p w14:paraId="73144C5C" w14:textId="0D431DBA" w:rsidR="00C706C7" w:rsidRDefault="003379A0" w:rsidP="00C706C7">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CPA then </w:t>
      </w:r>
      <w:r w:rsidR="00C706C7" w:rsidRPr="00C706C7">
        <w:rPr>
          <w:rFonts w:eastAsia="Times New Roman" w:cstheme="minorHAnsi"/>
          <w:color w:val="000000"/>
          <w:sz w:val="24"/>
          <w:szCs w:val="24"/>
        </w:rPr>
        <w:t>compared</w:t>
      </w:r>
      <w:r>
        <w:rPr>
          <w:rFonts w:eastAsia="Times New Roman" w:cstheme="minorHAnsi"/>
          <w:color w:val="000000"/>
          <w:sz w:val="24"/>
          <w:szCs w:val="24"/>
        </w:rPr>
        <w:t xml:space="preserve"> </w:t>
      </w:r>
      <w:r w:rsidR="00C706C7" w:rsidRPr="00C706C7">
        <w:rPr>
          <w:rFonts w:eastAsia="Times New Roman" w:cstheme="minorHAnsi"/>
          <w:color w:val="000000"/>
          <w:sz w:val="24"/>
          <w:szCs w:val="24"/>
        </w:rPr>
        <w:t xml:space="preserve">the benchmark data to an outside, </w:t>
      </w:r>
      <w:r>
        <w:rPr>
          <w:rFonts w:eastAsia="Times New Roman" w:cstheme="minorHAnsi"/>
          <w:color w:val="000000"/>
          <w:sz w:val="24"/>
          <w:szCs w:val="24"/>
        </w:rPr>
        <w:t xml:space="preserve">2017 </w:t>
      </w:r>
      <w:r w:rsidR="00C706C7" w:rsidRPr="00C706C7">
        <w:rPr>
          <w:rFonts w:eastAsia="Times New Roman" w:cstheme="minorHAnsi"/>
          <w:color w:val="000000"/>
          <w:sz w:val="24"/>
          <w:szCs w:val="24"/>
        </w:rPr>
        <w:t>independent survey of ambulatory surgery centers and found that the benchmark data used was reasonable, and that the number of projected cases and</w:t>
      </w:r>
      <w:r>
        <w:rPr>
          <w:rFonts w:eastAsia="Times New Roman" w:cstheme="minorHAnsi"/>
          <w:color w:val="000000"/>
          <w:sz w:val="24"/>
          <w:szCs w:val="24"/>
        </w:rPr>
        <w:t xml:space="preserve"> </w:t>
      </w:r>
      <w:r w:rsidR="00C706C7" w:rsidRPr="00C706C7">
        <w:rPr>
          <w:rFonts w:eastAsia="Times New Roman" w:cstheme="minorHAnsi"/>
          <w:color w:val="000000"/>
          <w:sz w:val="24"/>
          <w:szCs w:val="24"/>
        </w:rPr>
        <w:t>procedures per operating room at full utilization were within the ranges of currently operating ambulatory</w:t>
      </w:r>
      <w:r>
        <w:rPr>
          <w:rFonts w:eastAsia="Times New Roman" w:cstheme="minorHAnsi"/>
          <w:color w:val="000000"/>
          <w:sz w:val="24"/>
          <w:szCs w:val="24"/>
        </w:rPr>
        <w:t xml:space="preserve"> </w:t>
      </w:r>
      <w:r w:rsidR="00C706C7" w:rsidRPr="00C706C7">
        <w:rPr>
          <w:rFonts w:eastAsia="Times New Roman" w:cstheme="minorHAnsi"/>
          <w:color w:val="000000"/>
          <w:sz w:val="24"/>
          <w:szCs w:val="24"/>
        </w:rPr>
        <w:t>surgery centers</w:t>
      </w:r>
      <w:r>
        <w:rPr>
          <w:rFonts w:eastAsia="Times New Roman" w:cstheme="minorHAnsi"/>
          <w:color w:val="000000"/>
          <w:sz w:val="24"/>
          <w:szCs w:val="24"/>
        </w:rPr>
        <w:t>.</w:t>
      </w:r>
    </w:p>
    <w:p w14:paraId="62D828DB" w14:textId="77777777" w:rsidR="003379A0" w:rsidRPr="00C706C7" w:rsidRDefault="003379A0" w:rsidP="00C706C7">
      <w:pPr>
        <w:spacing w:after="0" w:line="240" w:lineRule="auto"/>
        <w:rPr>
          <w:rFonts w:eastAsia="Times New Roman" w:cstheme="minorHAnsi"/>
          <w:color w:val="000000"/>
          <w:sz w:val="24"/>
          <w:szCs w:val="24"/>
        </w:rPr>
      </w:pPr>
    </w:p>
    <w:p w14:paraId="04CDA0AB" w14:textId="752BBBF1" w:rsidR="00C706C7" w:rsidRDefault="00C706C7" w:rsidP="003B21E7">
      <w:pPr>
        <w:spacing w:after="0" w:line="240" w:lineRule="auto"/>
        <w:rPr>
          <w:rFonts w:eastAsia="Times New Roman" w:cstheme="minorHAnsi"/>
          <w:color w:val="000000"/>
          <w:sz w:val="24"/>
          <w:szCs w:val="24"/>
        </w:rPr>
      </w:pPr>
      <w:r w:rsidRPr="00C706C7">
        <w:rPr>
          <w:rFonts w:eastAsia="Times New Roman" w:cstheme="minorHAnsi"/>
          <w:color w:val="000000"/>
          <w:sz w:val="24"/>
          <w:szCs w:val="24"/>
        </w:rPr>
        <w:t>To determine the reasonableness</w:t>
      </w:r>
      <w:r w:rsidR="003379A0">
        <w:rPr>
          <w:rFonts w:eastAsia="Times New Roman" w:cstheme="minorHAnsi"/>
          <w:color w:val="000000"/>
          <w:sz w:val="24"/>
          <w:szCs w:val="24"/>
        </w:rPr>
        <w:t xml:space="preserve"> </w:t>
      </w:r>
      <w:r w:rsidRPr="00C706C7">
        <w:rPr>
          <w:rFonts w:eastAsia="Times New Roman" w:cstheme="minorHAnsi"/>
          <w:color w:val="000000"/>
          <w:sz w:val="24"/>
          <w:szCs w:val="24"/>
        </w:rPr>
        <w:t xml:space="preserve">of the payer mix in the projections, </w:t>
      </w:r>
      <w:r w:rsidR="003379A0">
        <w:rPr>
          <w:rFonts w:eastAsia="Times New Roman" w:cstheme="minorHAnsi"/>
          <w:color w:val="000000"/>
          <w:sz w:val="24"/>
          <w:szCs w:val="24"/>
        </w:rPr>
        <w:t xml:space="preserve">the CPA </w:t>
      </w:r>
      <w:r w:rsidRPr="00C706C7">
        <w:rPr>
          <w:rFonts w:eastAsia="Times New Roman" w:cstheme="minorHAnsi"/>
          <w:color w:val="000000"/>
          <w:sz w:val="24"/>
          <w:szCs w:val="24"/>
        </w:rPr>
        <w:t>compared them to the aforementioned independent survey's</w:t>
      </w:r>
      <w:r w:rsidR="003379A0">
        <w:rPr>
          <w:rFonts w:eastAsia="Times New Roman" w:cstheme="minorHAnsi"/>
          <w:color w:val="000000"/>
          <w:sz w:val="24"/>
          <w:szCs w:val="24"/>
        </w:rPr>
        <w:t xml:space="preserve"> </w:t>
      </w:r>
      <w:r w:rsidRPr="00C706C7">
        <w:rPr>
          <w:rFonts w:eastAsia="Times New Roman" w:cstheme="minorHAnsi"/>
          <w:color w:val="000000"/>
          <w:sz w:val="24"/>
          <w:szCs w:val="24"/>
        </w:rPr>
        <w:t xml:space="preserve">payer mix for the Northeast United States and found them to be within the </w:t>
      </w:r>
      <w:r w:rsidR="003379A0">
        <w:rPr>
          <w:rFonts w:eastAsia="Times New Roman" w:cstheme="minorHAnsi"/>
          <w:color w:val="000000"/>
          <w:sz w:val="24"/>
          <w:szCs w:val="24"/>
        </w:rPr>
        <w:t xml:space="preserve">survey’s </w:t>
      </w:r>
      <w:r w:rsidRPr="00C706C7">
        <w:rPr>
          <w:rFonts w:eastAsia="Times New Roman" w:cstheme="minorHAnsi"/>
          <w:color w:val="000000"/>
          <w:sz w:val="24"/>
          <w:szCs w:val="24"/>
        </w:rPr>
        <w:t>ranges. The Medicare rates are standard rates, using the Medicare Outpatient Prospective Payment</w:t>
      </w:r>
      <w:r w:rsidR="003379A0">
        <w:rPr>
          <w:rFonts w:eastAsia="Times New Roman" w:cstheme="minorHAnsi"/>
          <w:color w:val="000000"/>
          <w:sz w:val="24"/>
          <w:szCs w:val="24"/>
        </w:rPr>
        <w:t xml:space="preserve"> </w:t>
      </w:r>
      <w:r w:rsidRPr="00C706C7">
        <w:rPr>
          <w:rFonts w:eastAsia="Times New Roman" w:cstheme="minorHAnsi"/>
          <w:color w:val="000000"/>
          <w:sz w:val="24"/>
          <w:szCs w:val="24"/>
        </w:rPr>
        <w:t>System (OPPS) rates as a guide, adjusted for</w:t>
      </w:r>
      <w:r w:rsidR="003379A0">
        <w:rPr>
          <w:rFonts w:eastAsia="Times New Roman" w:cstheme="minorHAnsi"/>
          <w:color w:val="000000"/>
          <w:sz w:val="24"/>
          <w:szCs w:val="24"/>
        </w:rPr>
        <w:t xml:space="preserve"> </w:t>
      </w:r>
      <w:r w:rsidRPr="00C706C7">
        <w:rPr>
          <w:rFonts w:eastAsia="Times New Roman" w:cstheme="minorHAnsi"/>
          <w:color w:val="000000"/>
          <w:sz w:val="24"/>
          <w:szCs w:val="24"/>
        </w:rPr>
        <w:t>inflation and by a wage index for the specific geographic</w:t>
      </w:r>
      <w:r w:rsidR="003379A0">
        <w:rPr>
          <w:rFonts w:eastAsia="Times New Roman" w:cstheme="minorHAnsi"/>
          <w:color w:val="000000"/>
          <w:sz w:val="24"/>
          <w:szCs w:val="24"/>
        </w:rPr>
        <w:t xml:space="preserve"> </w:t>
      </w:r>
      <w:r w:rsidRPr="00C706C7">
        <w:rPr>
          <w:rFonts w:eastAsia="Times New Roman" w:cstheme="minorHAnsi"/>
          <w:color w:val="000000"/>
          <w:sz w:val="24"/>
          <w:szCs w:val="24"/>
        </w:rPr>
        <w:t xml:space="preserve">location of the facility. </w:t>
      </w:r>
    </w:p>
    <w:p w14:paraId="26F1CEDC" w14:textId="77777777" w:rsidR="00192AD2" w:rsidRPr="00C706C7" w:rsidRDefault="00192AD2" w:rsidP="003B21E7">
      <w:pPr>
        <w:spacing w:after="0" w:line="240" w:lineRule="auto"/>
        <w:rPr>
          <w:rFonts w:eastAsia="Times New Roman" w:cstheme="minorHAnsi"/>
          <w:color w:val="000000"/>
          <w:sz w:val="24"/>
          <w:szCs w:val="24"/>
        </w:rPr>
      </w:pPr>
    </w:p>
    <w:p w14:paraId="5E64561D" w14:textId="1F021177" w:rsidR="00C706C7" w:rsidRDefault="00AD5651" w:rsidP="00C706C7">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CPA </w:t>
      </w:r>
      <w:r w:rsidR="00C706C7" w:rsidRPr="00C706C7">
        <w:rPr>
          <w:rFonts w:eastAsia="Times New Roman" w:cstheme="minorHAnsi"/>
          <w:color w:val="000000"/>
          <w:sz w:val="24"/>
          <w:szCs w:val="24"/>
        </w:rPr>
        <w:t>compared the Medicare rates used for year 1 of the Projections to the Medicare rates effective</w:t>
      </w:r>
      <w:r w:rsidR="003B21E7">
        <w:rPr>
          <w:rFonts w:eastAsia="Times New Roman" w:cstheme="minorHAnsi"/>
          <w:color w:val="000000"/>
          <w:sz w:val="24"/>
          <w:szCs w:val="24"/>
        </w:rPr>
        <w:t xml:space="preserve"> </w:t>
      </w:r>
      <w:r w:rsidR="00C706C7" w:rsidRPr="00C706C7">
        <w:rPr>
          <w:rFonts w:eastAsia="Times New Roman" w:cstheme="minorHAnsi"/>
          <w:color w:val="000000"/>
          <w:sz w:val="24"/>
          <w:szCs w:val="24"/>
        </w:rPr>
        <w:t>January 1, 2022</w:t>
      </w:r>
      <w:r>
        <w:rPr>
          <w:rFonts w:eastAsia="Times New Roman" w:cstheme="minorHAnsi"/>
          <w:color w:val="000000"/>
          <w:sz w:val="24"/>
          <w:szCs w:val="24"/>
        </w:rPr>
        <w:t>.</w:t>
      </w:r>
      <w:r w:rsidR="00C706C7" w:rsidRPr="00C706C7">
        <w:rPr>
          <w:rFonts w:eastAsia="Times New Roman" w:cstheme="minorHAnsi"/>
          <w:color w:val="000000"/>
          <w:sz w:val="24"/>
          <w:szCs w:val="24"/>
        </w:rPr>
        <w:t xml:space="preserve"> </w:t>
      </w:r>
      <w:r>
        <w:rPr>
          <w:rStyle w:val="FootnoteReference"/>
          <w:rFonts w:eastAsia="Times New Roman" w:cstheme="minorHAnsi"/>
          <w:color w:val="000000"/>
          <w:sz w:val="24"/>
          <w:szCs w:val="24"/>
        </w:rPr>
        <w:footnoteReference w:id="17"/>
      </w:r>
      <w:r w:rsidR="00C706C7" w:rsidRPr="00C706C7">
        <w:rPr>
          <w:rFonts w:eastAsia="Times New Roman" w:cstheme="minorHAnsi"/>
          <w:color w:val="000000"/>
          <w:sz w:val="24"/>
          <w:szCs w:val="24"/>
        </w:rPr>
        <w:t>The Medicaid rates used in the</w:t>
      </w:r>
      <w:r w:rsidR="003B21E7">
        <w:rPr>
          <w:rFonts w:eastAsia="Times New Roman" w:cstheme="minorHAnsi"/>
          <w:color w:val="000000"/>
          <w:sz w:val="24"/>
          <w:szCs w:val="24"/>
        </w:rPr>
        <w:t xml:space="preserve"> </w:t>
      </w:r>
      <w:r w:rsidR="00C706C7" w:rsidRPr="00C706C7">
        <w:rPr>
          <w:rFonts w:eastAsia="Times New Roman" w:cstheme="minorHAnsi"/>
          <w:color w:val="000000"/>
          <w:sz w:val="24"/>
          <w:szCs w:val="24"/>
        </w:rPr>
        <w:t xml:space="preserve">projection are 70% of the Medicare rate. </w:t>
      </w:r>
      <w:r w:rsidR="007A4EFA">
        <w:rPr>
          <w:rFonts w:eastAsia="Times New Roman" w:cstheme="minorHAnsi"/>
          <w:color w:val="000000"/>
          <w:sz w:val="24"/>
          <w:szCs w:val="24"/>
        </w:rPr>
        <w:t xml:space="preserve">The CPA explained how it </w:t>
      </w:r>
      <w:r w:rsidR="00C706C7" w:rsidRPr="00C706C7">
        <w:rPr>
          <w:rFonts w:eastAsia="Times New Roman" w:cstheme="minorHAnsi"/>
          <w:color w:val="000000"/>
          <w:sz w:val="24"/>
          <w:szCs w:val="24"/>
        </w:rPr>
        <w:t xml:space="preserve">tested this assumption </w:t>
      </w:r>
      <w:r w:rsidR="007A4EFA">
        <w:rPr>
          <w:rFonts w:eastAsia="Times New Roman" w:cstheme="minorHAnsi"/>
          <w:color w:val="000000"/>
          <w:sz w:val="24"/>
          <w:szCs w:val="24"/>
        </w:rPr>
        <w:t xml:space="preserve">and </w:t>
      </w:r>
      <w:r w:rsidR="00C706C7" w:rsidRPr="00C706C7">
        <w:rPr>
          <w:rFonts w:eastAsia="Times New Roman" w:cstheme="minorHAnsi"/>
          <w:color w:val="000000"/>
          <w:sz w:val="24"/>
          <w:szCs w:val="24"/>
        </w:rPr>
        <w:t>found the average Medicaid rate to be approximately 76% of</w:t>
      </w:r>
      <w:r w:rsidR="003B21E7">
        <w:rPr>
          <w:rFonts w:eastAsia="Times New Roman" w:cstheme="minorHAnsi"/>
          <w:color w:val="000000"/>
          <w:sz w:val="24"/>
          <w:szCs w:val="24"/>
        </w:rPr>
        <w:t xml:space="preserve"> </w:t>
      </w:r>
      <w:r w:rsidR="00C706C7" w:rsidRPr="00C706C7">
        <w:rPr>
          <w:rFonts w:eastAsia="Times New Roman" w:cstheme="minorHAnsi"/>
          <w:color w:val="000000"/>
          <w:sz w:val="24"/>
          <w:szCs w:val="24"/>
        </w:rPr>
        <w:t>the applicable Medicare rate</w:t>
      </w:r>
      <w:r w:rsidR="007A4EFA">
        <w:rPr>
          <w:rFonts w:eastAsia="Times New Roman" w:cstheme="minorHAnsi"/>
          <w:color w:val="000000"/>
          <w:sz w:val="24"/>
          <w:szCs w:val="24"/>
        </w:rPr>
        <w:t xml:space="preserve"> and concluded</w:t>
      </w:r>
      <w:r w:rsidR="00C706C7" w:rsidRPr="00C706C7">
        <w:rPr>
          <w:rFonts w:eastAsia="Times New Roman" w:cstheme="minorHAnsi"/>
          <w:color w:val="000000"/>
          <w:sz w:val="24"/>
          <w:szCs w:val="24"/>
        </w:rPr>
        <w:t xml:space="preserve"> the assumption of Medicaid rates being equal to 70% of the Medicare</w:t>
      </w:r>
      <w:r w:rsidR="003B21E7">
        <w:rPr>
          <w:rFonts w:eastAsia="Times New Roman" w:cstheme="minorHAnsi"/>
          <w:color w:val="000000"/>
          <w:sz w:val="24"/>
          <w:szCs w:val="24"/>
        </w:rPr>
        <w:t xml:space="preserve"> </w:t>
      </w:r>
      <w:r w:rsidR="00C706C7" w:rsidRPr="00C706C7">
        <w:rPr>
          <w:rFonts w:eastAsia="Times New Roman" w:cstheme="minorHAnsi"/>
          <w:color w:val="000000"/>
          <w:sz w:val="24"/>
          <w:szCs w:val="24"/>
        </w:rPr>
        <w:t>rates is reasonable and deemed conservative.</w:t>
      </w:r>
      <w:r w:rsidR="003B21E7">
        <w:rPr>
          <w:rFonts w:eastAsia="Times New Roman" w:cstheme="minorHAnsi"/>
          <w:color w:val="000000"/>
          <w:sz w:val="24"/>
          <w:szCs w:val="24"/>
        </w:rPr>
        <w:t xml:space="preserve"> </w:t>
      </w:r>
      <w:r w:rsidR="00C706C7" w:rsidRPr="00C706C7">
        <w:rPr>
          <w:rFonts w:eastAsia="Times New Roman" w:cstheme="minorHAnsi"/>
          <w:color w:val="000000"/>
          <w:sz w:val="24"/>
          <w:szCs w:val="24"/>
        </w:rPr>
        <w:t xml:space="preserve">The Commercial Insurance </w:t>
      </w:r>
      <w:r w:rsidR="007A4EFA">
        <w:rPr>
          <w:rFonts w:eastAsia="Times New Roman" w:cstheme="minorHAnsi"/>
          <w:color w:val="000000"/>
          <w:sz w:val="24"/>
          <w:szCs w:val="24"/>
        </w:rPr>
        <w:t xml:space="preserve">and private pay </w:t>
      </w:r>
      <w:r w:rsidR="00C706C7" w:rsidRPr="00C706C7">
        <w:rPr>
          <w:rFonts w:eastAsia="Times New Roman" w:cstheme="minorHAnsi"/>
          <w:color w:val="000000"/>
          <w:sz w:val="24"/>
          <w:szCs w:val="24"/>
        </w:rPr>
        <w:t xml:space="preserve">rates were based on </w:t>
      </w:r>
      <w:r w:rsidR="007A4EFA">
        <w:rPr>
          <w:rFonts w:eastAsia="Times New Roman" w:cstheme="minorHAnsi"/>
          <w:color w:val="000000"/>
          <w:sz w:val="24"/>
          <w:szCs w:val="24"/>
        </w:rPr>
        <w:t xml:space="preserve">experience and are </w:t>
      </w:r>
      <w:proofErr w:type="gramStart"/>
      <w:r w:rsidR="007A4EFA">
        <w:rPr>
          <w:rFonts w:eastAsia="Times New Roman" w:cstheme="minorHAnsi"/>
          <w:color w:val="000000"/>
          <w:sz w:val="24"/>
          <w:szCs w:val="24"/>
        </w:rPr>
        <w:t>expect</w:t>
      </w:r>
      <w:proofErr w:type="gramEnd"/>
      <w:r w:rsidR="007A4EFA">
        <w:rPr>
          <w:rFonts w:eastAsia="Times New Roman" w:cstheme="minorHAnsi"/>
          <w:color w:val="000000"/>
          <w:sz w:val="24"/>
          <w:szCs w:val="24"/>
        </w:rPr>
        <w:t xml:space="preserve"> to be </w:t>
      </w:r>
      <w:r w:rsidR="00C706C7" w:rsidRPr="00C706C7">
        <w:rPr>
          <w:rFonts w:eastAsia="Times New Roman" w:cstheme="minorHAnsi"/>
          <w:color w:val="000000"/>
          <w:sz w:val="24"/>
          <w:szCs w:val="24"/>
        </w:rPr>
        <w:t>180% of the Medicare rate</w:t>
      </w:r>
      <w:r w:rsidR="007A4EFA">
        <w:rPr>
          <w:rFonts w:eastAsia="Times New Roman" w:cstheme="minorHAnsi"/>
          <w:color w:val="000000"/>
          <w:sz w:val="24"/>
          <w:szCs w:val="24"/>
        </w:rPr>
        <w:t xml:space="preserve"> </w:t>
      </w:r>
      <w:r w:rsidR="00C706C7" w:rsidRPr="00C706C7">
        <w:rPr>
          <w:rFonts w:eastAsia="Times New Roman" w:cstheme="minorHAnsi"/>
          <w:color w:val="000000"/>
          <w:sz w:val="24"/>
          <w:szCs w:val="24"/>
        </w:rPr>
        <w:t xml:space="preserve">150% of the Medicare rate </w:t>
      </w:r>
      <w:r w:rsidR="007A4EFA">
        <w:rPr>
          <w:rFonts w:eastAsia="Times New Roman" w:cstheme="minorHAnsi"/>
          <w:color w:val="000000"/>
          <w:sz w:val="24"/>
          <w:szCs w:val="24"/>
        </w:rPr>
        <w:t xml:space="preserve">respectively and </w:t>
      </w:r>
      <w:r w:rsidR="007A4EFA">
        <w:rPr>
          <w:rFonts w:eastAsia="Times New Roman" w:cstheme="minorHAnsi"/>
          <w:color w:val="000000"/>
          <w:sz w:val="24"/>
          <w:szCs w:val="24"/>
        </w:rPr>
        <w:lastRenderedPageBreak/>
        <w:t xml:space="preserve">deemed to be reasonable. </w:t>
      </w:r>
      <w:r w:rsidR="00C706C7" w:rsidRPr="00C706C7">
        <w:rPr>
          <w:rFonts w:eastAsia="Times New Roman" w:cstheme="minorHAnsi"/>
          <w:color w:val="000000"/>
          <w:sz w:val="24"/>
          <w:szCs w:val="24"/>
        </w:rPr>
        <w:t>All of the rates were increased by 2.0% for each of the succeeding years.</w:t>
      </w:r>
      <w:r w:rsidR="003B21E7">
        <w:rPr>
          <w:rFonts w:eastAsia="Times New Roman" w:cstheme="minorHAnsi"/>
          <w:color w:val="000000"/>
          <w:sz w:val="24"/>
          <w:szCs w:val="24"/>
        </w:rPr>
        <w:t xml:space="preserve"> </w:t>
      </w:r>
      <w:r w:rsidR="007A4EFA">
        <w:rPr>
          <w:rFonts w:eastAsia="Times New Roman" w:cstheme="minorHAnsi"/>
          <w:color w:val="000000"/>
          <w:sz w:val="24"/>
          <w:szCs w:val="24"/>
        </w:rPr>
        <w:t xml:space="preserve">As a result, the CPA concluded </w:t>
      </w:r>
      <w:r w:rsidR="00C706C7" w:rsidRPr="00C706C7">
        <w:rPr>
          <w:rFonts w:eastAsia="Times New Roman" w:cstheme="minorHAnsi"/>
          <w:color w:val="000000"/>
          <w:sz w:val="24"/>
          <w:szCs w:val="24"/>
        </w:rPr>
        <w:t>the revenue projected by Management reflects a reasonable estimation of</w:t>
      </w:r>
      <w:r w:rsidR="003B21E7">
        <w:rPr>
          <w:rFonts w:eastAsia="Times New Roman" w:cstheme="minorHAnsi"/>
          <w:color w:val="000000"/>
          <w:sz w:val="24"/>
          <w:szCs w:val="24"/>
        </w:rPr>
        <w:t xml:space="preserve"> </w:t>
      </w:r>
      <w:r w:rsidR="00C706C7" w:rsidRPr="00C706C7">
        <w:rPr>
          <w:rFonts w:eastAsia="Times New Roman" w:cstheme="minorHAnsi"/>
          <w:color w:val="000000"/>
          <w:sz w:val="24"/>
          <w:szCs w:val="24"/>
        </w:rPr>
        <w:t>future revenues of the Dedham ASC.</w:t>
      </w:r>
    </w:p>
    <w:p w14:paraId="5AB805C4" w14:textId="60C21A3A" w:rsidR="00C706C7" w:rsidRDefault="00C706C7" w:rsidP="00D96DE6">
      <w:pPr>
        <w:spacing w:after="0" w:line="240" w:lineRule="auto"/>
        <w:rPr>
          <w:rFonts w:eastAsia="Times New Roman" w:cstheme="minorHAnsi"/>
          <w:color w:val="000000"/>
          <w:sz w:val="24"/>
          <w:szCs w:val="24"/>
        </w:rPr>
      </w:pPr>
    </w:p>
    <w:p w14:paraId="03482903" w14:textId="178F5985" w:rsidR="00D96DE6" w:rsidRDefault="004557E2" w:rsidP="00D96DE6">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 xml:space="preserve">B - </w:t>
      </w:r>
      <w:r w:rsidR="00D96DE6" w:rsidRPr="00241F83">
        <w:rPr>
          <w:rFonts w:eastAsia="Times New Roman" w:cstheme="minorHAnsi"/>
          <w:b/>
          <w:bCs/>
          <w:color w:val="000000"/>
          <w:sz w:val="24"/>
          <w:szCs w:val="24"/>
        </w:rPr>
        <w:t>Expenses</w:t>
      </w:r>
    </w:p>
    <w:p w14:paraId="2AD0FBCD" w14:textId="52A5B002" w:rsidR="003B21E7" w:rsidRPr="003B21E7" w:rsidRDefault="001C6F43" w:rsidP="000C7BF7">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CPA analyzed the Applicants </w:t>
      </w:r>
      <w:r w:rsidR="003B21E7" w:rsidRPr="003B21E7">
        <w:rPr>
          <w:rFonts w:eastAsia="Times New Roman" w:cstheme="minorHAnsi"/>
          <w:color w:val="000000"/>
          <w:sz w:val="24"/>
          <w:szCs w:val="24"/>
        </w:rPr>
        <w:t xml:space="preserve">Salaries and Benefits </w:t>
      </w:r>
      <w:r>
        <w:rPr>
          <w:rFonts w:eastAsia="Times New Roman" w:cstheme="minorHAnsi"/>
          <w:color w:val="000000"/>
          <w:sz w:val="24"/>
          <w:szCs w:val="24"/>
        </w:rPr>
        <w:t xml:space="preserve">in terms of </w:t>
      </w:r>
      <w:r w:rsidR="003B21E7" w:rsidRPr="003B21E7">
        <w:rPr>
          <w:rFonts w:eastAsia="Times New Roman" w:cstheme="minorHAnsi"/>
          <w:color w:val="000000"/>
          <w:sz w:val="24"/>
          <w:szCs w:val="24"/>
        </w:rPr>
        <w:t xml:space="preserve">wage rates </w:t>
      </w:r>
      <w:r>
        <w:rPr>
          <w:rFonts w:eastAsia="Times New Roman" w:cstheme="minorHAnsi"/>
          <w:color w:val="000000"/>
          <w:sz w:val="24"/>
          <w:szCs w:val="24"/>
        </w:rPr>
        <w:t xml:space="preserve">and </w:t>
      </w:r>
      <w:r w:rsidR="003B21E7" w:rsidRPr="003B21E7">
        <w:rPr>
          <w:rFonts w:eastAsia="Times New Roman" w:cstheme="minorHAnsi"/>
          <w:color w:val="000000"/>
          <w:sz w:val="24"/>
          <w:szCs w:val="24"/>
        </w:rPr>
        <w:t>staff hours provided</w:t>
      </w:r>
      <w:r>
        <w:rPr>
          <w:rFonts w:eastAsia="Times New Roman" w:cstheme="minorHAnsi"/>
          <w:color w:val="000000"/>
          <w:sz w:val="24"/>
          <w:szCs w:val="24"/>
        </w:rPr>
        <w:t xml:space="preserve"> as compared </w:t>
      </w:r>
      <w:r w:rsidR="007A4EFA">
        <w:rPr>
          <w:rFonts w:eastAsia="Times New Roman" w:cstheme="minorHAnsi"/>
          <w:color w:val="000000"/>
          <w:sz w:val="24"/>
          <w:szCs w:val="24"/>
        </w:rPr>
        <w:t>to the i</w:t>
      </w:r>
      <w:r w:rsidR="003B21E7" w:rsidRPr="003B21E7">
        <w:rPr>
          <w:rFonts w:eastAsia="Times New Roman" w:cstheme="minorHAnsi"/>
          <w:color w:val="000000"/>
          <w:sz w:val="24"/>
          <w:szCs w:val="24"/>
        </w:rPr>
        <w:t>ndependent survey and were found to be consistent with the survey results for the Northeast United States</w:t>
      </w:r>
      <w:r>
        <w:rPr>
          <w:rFonts w:eastAsia="Times New Roman" w:cstheme="minorHAnsi"/>
          <w:color w:val="000000"/>
          <w:sz w:val="24"/>
          <w:szCs w:val="24"/>
        </w:rPr>
        <w:t xml:space="preserve"> and </w:t>
      </w:r>
      <w:r w:rsidR="003B21E7" w:rsidRPr="003B21E7">
        <w:rPr>
          <w:rFonts w:eastAsia="Times New Roman" w:cstheme="minorHAnsi"/>
          <w:color w:val="000000"/>
          <w:sz w:val="24"/>
          <w:szCs w:val="24"/>
        </w:rPr>
        <w:t>to Massachusetts median wages for 2022</w:t>
      </w:r>
      <w:r>
        <w:rPr>
          <w:rFonts w:eastAsia="Times New Roman" w:cstheme="minorHAnsi"/>
          <w:color w:val="000000"/>
          <w:sz w:val="24"/>
          <w:szCs w:val="24"/>
        </w:rPr>
        <w:t>.</w:t>
      </w:r>
      <w:r w:rsidR="003B21E7" w:rsidRPr="003B21E7">
        <w:rPr>
          <w:rFonts w:eastAsia="Times New Roman" w:cstheme="minorHAnsi"/>
          <w:color w:val="000000"/>
          <w:sz w:val="24"/>
          <w:szCs w:val="24"/>
        </w:rPr>
        <w:t xml:space="preserve"> </w:t>
      </w:r>
    </w:p>
    <w:p w14:paraId="4FBDD589" w14:textId="00B70329" w:rsidR="003B21E7" w:rsidRDefault="003B21E7" w:rsidP="007A4EFA">
      <w:pPr>
        <w:spacing w:after="0" w:line="240" w:lineRule="auto"/>
        <w:rPr>
          <w:rFonts w:eastAsia="Times New Roman" w:cstheme="minorHAnsi"/>
          <w:color w:val="000000"/>
          <w:sz w:val="24"/>
          <w:szCs w:val="24"/>
        </w:rPr>
      </w:pPr>
      <w:r w:rsidRPr="003B21E7">
        <w:rPr>
          <w:rFonts w:eastAsia="Times New Roman" w:cstheme="minorHAnsi"/>
          <w:color w:val="000000"/>
          <w:sz w:val="24"/>
          <w:szCs w:val="24"/>
        </w:rPr>
        <w:t>Medical Surgical Supplies</w:t>
      </w:r>
      <w:r w:rsidR="007A4EFA">
        <w:rPr>
          <w:rFonts w:eastAsia="Times New Roman" w:cstheme="minorHAnsi"/>
          <w:color w:val="000000"/>
          <w:sz w:val="24"/>
          <w:szCs w:val="24"/>
        </w:rPr>
        <w:t xml:space="preserve"> </w:t>
      </w:r>
      <w:r w:rsidR="001C6F43">
        <w:rPr>
          <w:rFonts w:eastAsia="Times New Roman" w:cstheme="minorHAnsi"/>
          <w:color w:val="000000"/>
          <w:sz w:val="24"/>
          <w:szCs w:val="24"/>
        </w:rPr>
        <w:t>and Othe</w:t>
      </w:r>
      <w:r w:rsidR="007A4EFA">
        <w:rPr>
          <w:rFonts w:eastAsia="Times New Roman" w:cstheme="minorHAnsi"/>
          <w:color w:val="000000"/>
          <w:sz w:val="24"/>
          <w:szCs w:val="24"/>
        </w:rPr>
        <w:t>r</w:t>
      </w:r>
      <w:r w:rsidR="001C6F43">
        <w:rPr>
          <w:rFonts w:eastAsia="Times New Roman" w:cstheme="minorHAnsi"/>
          <w:color w:val="000000"/>
          <w:sz w:val="24"/>
          <w:szCs w:val="24"/>
        </w:rPr>
        <w:t xml:space="preserve"> Expenses </w:t>
      </w:r>
      <w:r w:rsidRPr="003B21E7">
        <w:rPr>
          <w:rFonts w:eastAsia="Times New Roman" w:cstheme="minorHAnsi"/>
          <w:color w:val="000000"/>
          <w:sz w:val="24"/>
          <w:szCs w:val="24"/>
        </w:rPr>
        <w:t xml:space="preserve">included in the projections were </w:t>
      </w:r>
      <w:r w:rsidR="001C6F43">
        <w:rPr>
          <w:rFonts w:eastAsia="Times New Roman" w:cstheme="minorHAnsi"/>
          <w:color w:val="000000"/>
          <w:sz w:val="24"/>
          <w:szCs w:val="24"/>
        </w:rPr>
        <w:t xml:space="preserve">also </w:t>
      </w:r>
      <w:r w:rsidRPr="003B21E7">
        <w:rPr>
          <w:rFonts w:eastAsia="Times New Roman" w:cstheme="minorHAnsi"/>
          <w:color w:val="000000"/>
          <w:sz w:val="24"/>
          <w:szCs w:val="24"/>
        </w:rPr>
        <w:t>compared to the survey and found to be consistent with the ranges included in the survey</w:t>
      </w:r>
      <w:r w:rsidR="001C6F43">
        <w:rPr>
          <w:rFonts w:eastAsia="Times New Roman" w:cstheme="minorHAnsi"/>
          <w:color w:val="000000"/>
          <w:sz w:val="24"/>
          <w:szCs w:val="24"/>
        </w:rPr>
        <w:t xml:space="preserve"> and reasonable</w:t>
      </w:r>
      <w:r w:rsidRPr="003B21E7">
        <w:rPr>
          <w:rFonts w:eastAsia="Times New Roman" w:cstheme="minorHAnsi"/>
          <w:color w:val="000000"/>
          <w:sz w:val="24"/>
          <w:szCs w:val="24"/>
        </w:rPr>
        <w:t xml:space="preserve">. </w:t>
      </w:r>
    </w:p>
    <w:p w14:paraId="6F56C796" w14:textId="77777777" w:rsidR="001C6F43" w:rsidRPr="003B21E7" w:rsidRDefault="001C6F43" w:rsidP="001C6F43">
      <w:pPr>
        <w:spacing w:after="0" w:line="240" w:lineRule="auto"/>
        <w:rPr>
          <w:rFonts w:eastAsia="Times New Roman" w:cstheme="minorHAnsi"/>
          <w:color w:val="000000"/>
          <w:sz w:val="24"/>
          <w:szCs w:val="24"/>
        </w:rPr>
      </w:pPr>
    </w:p>
    <w:p w14:paraId="49AF05DF" w14:textId="57C8044C" w:rsidR="003B21E7" w:rsidRPr="003B21E7" w:rsidRDefault="003B21E7" w:rsidP="003B21E7">
      <w:pPr>
        <w:spacing w:after="0" w:line="240" w:lineRule="auto"/>
        <w:rPr>
          <w:rFonts w:eastAsia="Times New Roman" w:cstheme="minorHAnsi"/>
          <w:color w:val="000000"/>
          <w:sz w:val="24"/>
          <w:szCs w:val="24"/>
        </w:rPr>
      </w:pPr>
      <w:r w:rsidRPr="003B21E7">
        <w:rPr>
          <w:rFonts w:eastAsia="Times New Roman" w:cstheme="minorHAnsi"/>
          <w:color w:val="000000"/>
          <w:sz w:val="24"/>
          <w:szCs w:val="24"/>
        </w:rPr>
        <w:t>Salaries and benefits are projected to increase by 3% per year</w:t>
      </w:r>
      <w:r w:rsidR="007A4EFA">
        <w:rPr>
          <w:rFonts w:eastAsia="Times New Roman" w:cstheme="minorHAnsi"/>
          <w:color w:val="000000"/>
          <w:sz w:val="24"/>
          <w:szCs w:val="24"/>
        </w:rPr>
        <w:t xml:space="preserve"> and</w:t>
      </w:r>
      <w:r w:rsidRPr="003B21E7">
        <w:rPr>
          <w:rFonts w:eastAsia="Times New Roman" w:cstheme="minorHAnsi"/>
          <w:color w:val="000000"/>
          <w:sz w:val="24"/>
          <w:szCs w:val="24"/>
        </w:rPr>
        <w:t xml:space="preserve"> Clinical expenses </w:t>
      </w:r>
      <w:r w:rsidR="001C6F43">
        <w:rPr>
          <w:rFonts w:eastAsia="Times New Roman" w:cstheme="minorHAnsi"/>
          <w:color w:val="000000"/>
          <w:sz w:val="24"/>
          <w:szCs w:val="24"/>
        </w:rPr>
        <w:t xml:space="preserve">most Other Expenses </w:t>
      </w:r>
      <w:r w:rsidRPr="003B21E7">
        <w:rPr>
          <w:rFonts w:eastAsia="Times New Roman" w:cstheme="minorHAnsi"/>
          <w:color w:val="000000"/>
          <w:sz w:val="24"/>
          <w:szCs w:val="24"/>
        </w:rPr>
        <w:t xml:space="preserve">are projected to increase by </w:t>
      </w:r>
      <w:r w:rsidR="001C6F43">
        <w:rPr>
          <w:rFonts w:eastAsia="Times New Roman" w:cstheme="minorHAnsi"/>
          <w:color w:val="000000"/>
          <w:sz w:val="24"/>
          <w:szCs w:val="24"/>
        </w:rPr>
        <w:t>2-</w:t>
      </w:r>
      <w:r w:rsidRPr="003B21E7">
        <w:rPr>
          <w:rFonts w:eastAsia="Times New Roman" w:cstheme="minorHAnsi"/>
          <w:color w:val="000000"/>
          <w:sz w:val="24"/>
          <w:szCs w:val="24"/>
        </w:rPr>
        <w:t xml:space="preserve">3% per year after achieving full utilization. </w:t>
      </w:r>
      <w:r w:rsidR="001C6F43">
        <w:rPr>
          <w:rFonts w:eastAsia="Times New Roman" w:cstheme="minorHAnsi"/>
          <w:color w:val="000000"/>
          <w:sz w:val="24"/>
          <w:szCs w:val="24"/>
        </w:rPr>
        <w:t>As a result, the CPA expressed that t</w:t>
      </w:r>
      <w:r w:rsidRPr="003B21E7">
        <w:rPr>
          <w:rFonts w:eastAsia="Times New Roman" w:cstheme="minorHAnsi"/>
          <w:color w:val="000000"/>
          <w:sz w:val="24"/>
          <w:szCs w:val="24"/>
        </w:rPr>
        <w:t>he operating expenses projected by Management are reasonable</w:t>
      </w:r>
      <w:r w:rsidR="007A4EFA">
        <w:rPr>
          <w:rFonts w:eastAsia="Times New Roman" w:cstheme="minorHAnsi"/>
          <w:color w:val="000000"/>
          <w:sz w:val="24"/>
          <w:szCs w:val="24"/>
        </w:rPr>
        <w:t>.</w:t>
      </w:r>
    </w:p>
    <w:p w14:paraId="6CEE6F72" w14:textId="77777777" w:rsidR="003B21E7" w:rsidRPr="00241F83" w:rsidRDefault="003B21E7" w:rsidP="00D96DE6">
      <w:pPr>
        <w:spacing w:after="0" w:line="240" w:lineRule="auto"/>
        <w:rPr>
          <w:rFonts w:eastAsia="Times New Roman" w:cstheme="minorHAnsi"/>
          <w:b/>
          <w:bCs/>
          <w:sz w:val="24"/>
          <w:szCs w:val="24"/>
        </w:rPr>
      </w:pPr>
    </w:p>
    <w:p w14:paraId="46B860A2" w14:textId="2BBDB558" w:rsidR="003B21E7" w:rsidRDefault="003B21E7" w:rsidP="00D96DE6">
      <w:pPr>
        <w:spacing w:after="0" w:line="240" w:lineRule="auto"/>
        <w:rPr>
          <w:rFonts w:eastAsia="Times New Roman" w:cstheme="minorHAnsi"/>
          <w:b/>
          <w:bCs/>
          <w:color w:val="000000"/>
          <w:sz w:val="24"/>
          <w:szCs w:val="24"/>
        </w:rPr>
      </w:pPr>
      <w:r w:rsidRPr="003B21E7">
        <w:rPr>
          <w:rFonts w:eastAsia="Times New Roman" w:cstheme="minorHAnsi"/>
          <w:b/>
          <w:bCs/>
          <w:color w:val="000000"/>
          <w:sz w:val="24"/>
          <w:szCs w:val="24"/>
        </w:rPr>
        <w:t>C - Lease Agreement, Capital Expenditures and Cash Flows</w:t>
      </w:r>
    </w:p>
    <w:p w14:paraId="72697322" w14:textId="1AD03573" w:rsidR="003B21E7" w:rsidRDefault="008772D5" w:rsidP="003B21E7">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CPA examined </w:t>
      </w:r>
      <w:r w:rsidR="00370484">
        <w:rPr>
          <w:rFonts w:eastAsia="Times New Roman" w:cstheme="minorHAnsi"/>
          <w:color w:val="000000"/>
          <w:sz w:val="24"/>
          <w:szCs w:val="24"/>
        </w:rPr>
        <w:t xml:space="preserve">the </w:t>
      </w:r>
      <w:r>
        <w:rPr>
          <w:rFonts w:eastAsia="Times New Roman" w:cstheme="minorHAnsi"/>
          <w:color w:val="000000"/>
          <w:sz w:val="24"/>
          <w:szCs w:val="24"/>
        </w:rPr>
        <w:t>cashflow and working capital projections to determine</w:t>
      </w:r>
      <w:r w:rsidRPr="008772D5">
        <w:rPr>
          <w:rFonts w:eastAsia="Times New Roman" w:cstheme="minorHAnsi"/>
          <w:color w:val="000000"/>
          <w:sz w:val="24"/>
          <w:szCs w:val="24"/>
        </w:rPr>
        <w:t xml:space="preserve"> whether </w:t>
      </w:r>
      <w:r>
        <w:rPr>
          <w:rFonts w:eastAsia="Times New Roman" w:cstheme="minorHAnsi"/>
          <w:color w:val="000000"/>
          <w:sz w:val="24"/>
          <w:szCs w:val="24"/>
        </w:rPr>
        <w:t xml:space="preserve">determine the ASCs ability to </w:t>
      </w:r>
      <w:r w:rsidRPr="008772D5">
        <w:rPr>
          <w:rFonts w:eastAsia="Times New Roman" w:cstheme="minorHAnsi"/>
          <w:color w:val="000000"/>
          <w:sz w:val="24"/>
          <w:szCs w:val="24"/>
        </w:rPr>
        <w:t>support payments of the Dedham ASC’s lease, equipment and continued operations</w:t>
      </w:r>
      <w:r>
        <w:rPr>
          <w:rFonts w:eastAsia="Times New Roman" w:cstheme="minorHAnsi"/>
          <w:color w:val="000000"/>
          <w:sz w:val="24"/>
          <w:szCs w:val="24"/>
        </w:rPr>
        <w:t xml:space="preserve">. </w:t>
      </w:r>
      <w:r w:rsidR="003B21E7" w:rsidRPr="003B21E7">
        <w:rPr>
          <w:rFonts w:eastAsia="Times New Roman" w:cstheme="minorHAnsi"/>
          <w:color w:val="000000"/>
          <w:sz w:val="24"/>
          <w:szCs w:val="24"/>
        </w:rPr>
        <w:t xml:space="preserve">Rent and common area maintenance </w:t>
      </w:r>
      <w:r>
        <w:rPr>
          <w:rFonts w:eastAsia="Times New Roman" w:cstheme="minorHAnsi"/>
          <w:color w:val="000000"/>
          <w:sz w:val="24"/>
          <w:szCs w:val="24"/>
        </w:rPr>
        <w:t xml:space="preserve">are </w:t>
      </w:r>
      <w:r w:rsidR="003B21E7" w:rsidRPr="003B21E7">
        <w:rPr>
          <w:rFonts w:eastAsia="Times New Roman" w:cstheme="minorHAnsi"/>
          <w:color w:val="000000"/>
          <w:sz w:val="24"/>
          <w:szCs w:val="24"/>
        </w:rPr>
        <w:t>approximately $68 per square foot</w:t>
      </w:r>
      <w:r w:rsidR="00370484">
        <w:rPr>
          <w:rFonts w:eastAsia="Times New Roman" w:cstheme="minorHAnsi"/>
          <w:color w:val="000000"/>
          <w:sz w:val="24"/>
          <w:szCs w:val="24"/>
        </w:rPr>
        <w:t xml:space="preserve"> and </w:t>
      </w:r>
      <w:r w:rsidR="003B21E7" w:rsidRPr="003B21E7">
        <w:rPr>
          <w:rFonts w:eastAsia="Times New Roman" w:cstheme="minorHAnsi"/>
          <w:color w:val="000000"/>
          <w:sz w:val="24"/>
          <w:szCs w:val="24"/>
        </w:rPr>
        <w:t>inc</w:t>
      </w:r>
      <w:r>
        <w:rPr>
          <w:rFonts w:eastAsia="Times New Roman" w:cstheme="minorHAnsi"/>
          <w:color w:val="000000"/>
          <w:sz w:val="24"/>
          <w:szCs w:val="24"/>
        </w:rPr>
        <w:t xml:space="preserve">rease </w:t>
      </w:r>
      <w:r w:rsidR="003B21E7" w:rsidRPr="003B21E7">
        <w:rPr>
          <w:rFonts w:eastAsia="Times New Roman" w:cstheme="minorHAnsi"/>
          <w:color w:val="000000"/>
          <w:sz w:val="24"/>
          <w:szCs w:val="24"/>
        </w:rPr>
        <w:t xml:space="preserve">1.5% </w:t>
      </w:r>
      <w:r>
        <w:rPr>
          <w:rFonts w:eastAsia="Times New Roman" w:cstheme="minorHAnsi"/>
          <w:color w:val="000000"/>
          <w:sz w:val="24"/>
          <w:szCs w:val="24"/>
        </w:rPr>
        <w:t>a</w:t>
      </w:r>
      <w:r w:rsidR="003B21E7" w:rsidRPr="003B21E7">
        <w:rPr>
          <w:rFonts w:eastAsia="Times New Roman" w:cstheme="minorHAnsi"/>
          <w:color w:val="000000"/>
          <w:sz w:val="24"/>
          <w:szCs w:val="24"/>
        </w:rPr>
        <w:t>nnually.</w:t>
      </w:r>
      <w:r w:rsidR="003B21E7">
        <w:rPr>
          <w:rFonts w:eastAsia="Times New Roman" w:cstheme="minorHAnsi"/>
          <w:color w:val="000000"/>
          <w:sz w:val="24"/>
          <w:szCs w:val="24"/>
        </w:rPr>
        <w:t xml:space="preserve"> </w:t>
      </w:r>
      <w:r>
        <w:rPr>
          <w:rFonts w:eastAsia="Times New Roman" w:cstheme="minorHAnsi"/>
          <w:color w:val="000000"/>
          <w:sz w:val="24"/>
          <w:szCs w:val="24"/>
        </w:rPr>
        <w:t xml:space="preserve">As a </w:t>
      </w:r>
      <w:proofErr w:type="gramStart"/>
      <w:r>
        <w:rPr>
          <w:rFonts w:eastAsia="Times New Roman" w:cstheme="minorHAnsi"/>
          <w:color w:val="000000"/>
          <w:sz w:val="24"/>
          <w:szCs w:val="24"/>
        </w:rPr>
        <w:t>result</w:t>
      </w:r>
      <w:proofErr w:type="gramEnd"/>
      <w:r>
        <w:rPr>
          <w:rFonts w:eastAsia="Times New Roman" w:cstheme="minorHAnsi"/>
          <w:color w:val="000000"/>
          <w:sz w:val="24"/>
          <w:szCs w:val="24"/>
        </w:rPr>
        <w:t xml:space="preserve"> the CPA determined</w:t>
      </w:r>
      <w:r w:rsidR="003B21E7" w:rsidRPr="003B21E7">
        <w:rPr>
          <w:rFonts w:eastAsia="Times New Roman" w:cstheme="minorHAnsi"/>
          <w:color w:val="000000"/>
          <w:sz w:val="24"/>
          <w:szCs w:val="24"/>
        </w:rPr>
        <w:t xml:space="preserve"> </w:t>
      </w:r>
      <w:r>
        <w:rPr>
          <w:rFonts w:eastAsia="Times New Roman" w:cstheme="minorHAnsi"/>
          <w:color w:val="000000"/>
          <w:sz w:val="24"/>
          <w:szCs w:val="24"/>
        </w:rPr>
        <w:t xml:space="preserve">that </w:t>
      </w:r>
      <w:r w:rsidR="003B21E7" w:rsidRPr="003B21E7">
        <w:rPr>
          <w:rFonts w:eastAsia="Times New Roman" w:cstheme="minorHAnsi"/>
          <w:color w:val="000000"/>
          <w:sz w:val="24"/>
          <w:szCs w:val="24"/>
        </w:rPr>
        <w:t xml:space="preserve">the pro-forma </w:t>
      </w:r>
      <w:r w:rsidR="00370484">
        <w:rPr>
          <w:rFonts w:eastAsia="Times New Roman" w:cstheme="minorHAnsi"/>
          <w:color w:val="000000"/>
          <w:sz w:val="24"/>
          <w:szCs w:val="24"/>
        </w:rPr>
        <w:t xml:space="preserve">projections of </w:t>
      </w:r>
      <w:r w:rsidR="003B21E7" w:rsidRPr="003B21E7">
        <w:rPr>
          <w:rFonts w:eastAsia="Times New Roman" w:cstheme="minorHAnsi"/>
          <w:color w:val="000000"/>
          <w:sz w:val="24"/>
          <w:szCs w:val="24"/>
        </w:rPr>
        <w:t>working capital impact on the cash flows are reasonable.</w:t>
      </w:r>
    </w:p>
    <w:p w14:paraId="2A4E4BE5" w14:textId="77777777" w:rsidR="008772D5" w:rsidRDefault="008772D5" w:rsidP="003B21E7">
      <w:pPr>
        <w:spacing w:after="0" w:line="240" w:lineRule="auto"/>
        <w:rPr>
          <w:rFonts w:eastAsia="Times New Roman" w:cstheme="minorHAnsi"/>
          <w:color w:val="000000"/>
          <w:sz w:val="24"/>
          <w:szCs w:val="24"/>
        </w:rPr>
      </w:pPr>
    </w:p>
    <w:p w14:paraId="63A5C66F" w14:textId="395E2DA5" w:rsidR="00192AD2" w:rsidRDefault="00192AD2" w:rsidP="003B21E7">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CPA </w:t>
      </w:r>
      <w:r w:rsidR="008772D5">
        <w:rPr>
          <w:rFonts w:eastAsia="Times New Roman" w:cstheme="minorHAnsi"/>
          <w:color w:val="000000"/>
          <w:sz w:val="24"/>
          <w:szCs w:val="24"/>
        </w:rPr>
        <w:t xml:space="preserve">completed an </w:t>
      </w:r>
      <w:r>
        <w:rPr>
          <w:rFonts w:eastAsia="Times New Roman" w:cstheme="minorHAnsi"/>
          <w:color w:val="000000"/>
          <w:sz w:val="24"/>
          <w:szCs w:val="24"/>
        </w:rPr>
        <w:t>analysis of the Applicant’s projections and assumptions including analysis of revenues, expenses cashflows</w:t>
      </w:r>
      <w:r w:rsidR="008772D5">
        <w:rPr>
          <w:rFonts w:eastAsia="Times New Roman" w:cstheme="minorHAnsi"/>
          <w:color w:val="000000"/>
          <w:sz w:val="24"/>
          <w:szCs w:val="24"/>
        </w:rPr>
        <w:t xml:space="preserve">, </w:t>
      </w:r>
      <w:r>
        <w:rPr>
          <w:rFonts w:eastAsia="Times New Roman" w:cstheme="minorHAnsi"/>
          <w:color w:val="000000"/>
          <w:sz w:val="24"/>
          <w:szCs w:val="24"/>
        </w:rPr>
        <w:t xml:space="preserve">key financial metrics and </w:t>
      </w:r>
      <w:r w:rsidR="008772D5">
        <w:rPr>
          <w:rFonts w:eastAsia="Times New Roman" w:cstheme="minorHAnsi"/>
          <w:color w:val="000000"/>
          <w:sz w:val="24"/>
          <w:szCs w:val="24"/>
        </w:rPr>
        <w:t xml:space="preserve">compared these to </w:t>
      </w:r>
      <w:r>
        <w:rPr>
          <w:rFonts w:eastAsia="Times New Roman" w:cstheme="minorHAnsi"/>
          <w:color w:val="000000"/>
          <w:sz w:val="24"/>
          <w:szCs w:val="24"/>
        </w:rPr>
        <w:t>a benchmark survey.</w:t>
      </w:r>
      <w:r w:rsidR="008772D5">
        <w:rPr>
          <w:rFonts w:eastAsia="Times New Roman" w:cstheme="minorHAnsi"/>
          <w:color w:val="000000"/>
          <w:sz w:val="24"/>
          <w:szCs w:val="24"/>
        </w:rPr>
        <w:t xml:space="preserve"> </w:t>
      </w:r>
      <w:r w:rsidR="003B21E7" w:rsidRPr="003B21E7">
        <w:rPr>
          <w:rFonts w:eastAsia="Times New Roman" w:cstheme="minorHAnsi"/>
          <w:color w:val="000000"/>
          <w:sz w:val="24"/>
          <w:szCs w:val="24"/>
        </w:rPr>
        <w:t>Based upon review of the relevant documents and analysis of the projected financial</w:t>
      </w:r>
      <w:r>
        <w:rPr>
          <w:rFonts w:eastAsia="Times New Roman" w:cstheme="minorHAnsi"/>
          <w:color w:val="000000"/>
          <w:sz w:val="24"/>
          <w:szCs w:val="24"/>
        </w:rPr>
        <w:t xml:space="preserve"> </w:t>
      </w:r>
      <w:r w:rsidR="003B21E7" w:rsidRPr="003B21E7">
        <w:rPr>
          <w:rFonts w:eastAsia="Times New Roman" w:cstheme="minorHAnsi"/>
          <w:color w:val="000000"/>
          <w:sz w:val="24"/>
          <w:szCs w:val="24"/>
        </w:rPr>
        <w:t>statements,</w:t>
      </w:r>
      <w:r>
        <w:rPr>
          <w:rFonts w:eastAsia="Times New Roman" w:cstheme="minorHAnsi"/>
          <w:color w:val="000000"/>
          <w:sz w:val="24"/>
          <w:szCs w:val="24"/>
        </w:rPr>
        <w:t xml:space="preserve"> the CPA </w:t>
      </w:r>
      <w:r w:rsidR="003B21E7" w:rsidRPr="003B21E7">
        <w:rPr>
          <w:rFonts w:eastAsia="Times New Roman" w:cstheme="minorHAnsi"/>
          <w:color w:val="000000"/>
          <w:sz w:val="24"/>
          <w:szCs w:val="24"/>
        </w:rPr>
        <w:t>determined the project and continued operating surplus are reasonable and are</w:t>
      </w:r>
      <w:r>
        <w:rPr>
          <w:rFonts w:eastAsia="Times New Roman" w:cstheme="minorHAnsi"/>
          <w:color w:val="000000"/>
          <w:sz w:val="24"/>
          <w:szCs w:val="24"/>
        </w:rPr>
        <w:t xml:space="preserve"> </w:t>
      </w:r>
      <w:r w:rsidR="003B21E7" w:rsidRPr="003B21E7">
        <w:rPr>
          <w:rFonts w:eastAsia="Times New Roman" w:cstheme="minorHAnsi"/>
          <w:color w:val="000000"/>
          <w:sz w:val="24"/>
          <w:szCs w:val="24"/>
        </w:rPr>
        <w:t>based upon feasible financial assumptions.</w:t>
      </w:r>
      <w:r>
        <w:rPr>
          <w:rStyle w:val="FootnoteReference"/>
          <w:rFonts w:eastAsia="Times New Roman" w:cstheme="minorHAnsi"/>
          <w:color w:val="000000"/>
          <w:sz w:val="24"/>
          <w:szCs w:val="24"/>
        </w:rPr>
        <w:footnoteReference w:id="18"/>
      </w:r>
      <w:r w:rsidR="003B21E7" w:rsidRPr="003B21E7">
        <w:rPr>
          <w:rFonts w:eastAsia="Times New Roman" w:cstheme="minorHAnsi"/>
          <w:color w:val="000000"/>
          <w:sz w:val="24"/>
          <w:szCs w:val="24"/>
        </w:rPr>
        <w:t xml:space="preserve"> </w:t>
      </w:r>
    </w:p>
    <w:p w14:paraId="311A0CD3" w14:textId="77777777" w:rsidR="00192AD2" w:rsidRDefault="00192AD2" w:rsidP="003B21E7">
      <w:pPr>
        <w:spacing w:after="0" w:line="240" w:lineRule="auto"/>
        <w:rPr>
          <w:rFonts w:eastAsia="Times New Roman" w:cstheme="minorHAnsi"/>
          <w:color w:val="000000"/>
          <w:sz w:val="24"/>
          <w:szCs w:val="24"/>
        </w:rPr>
      </w:pPr>
    </w:p>
    <w:p w14:paraId="2AAC7990" w14:textId="3661D6CD" w:rsidR="003B21E7" w:rsidRPr="003B21E7" w:rsidRDefault="003B21E7" w:rsidP="003B21E7">
      <w:pPr>
        <w:spacing w:after="0" w:line="240" w:lineRule="auto"/>
        <w:rPr>
          <w:rFonts w:eastAsia="Times New Roman" w:cstheme="minorHAnsi"/>
          <w:color w:val="000000"/>
          <w:sz w:val="24"/>
          <w:szCs w:val="24"/>
        </w:rPr>
      </w:pPr>
      <w:r w:rsidRPr="003B21E7">
        <w:rPr>
          <w:rFonts w:eastAsia="Times New Roman" w:cstheme="minorHAnsi"/>
          <w:color w:val="000000"/>
          <w:sz w:val="24"/>
          <w:szCs w:val="24"/>
        </w:rPr>
        <w:t xml:space="preserve">Accordingly, </w:t>
      </w:r>
      <w:r w:rsidR="00192AD2">
        <w:rPr>
          <w:rFonts w:eastAsia="Times New Roman" w:cstheme="minorHAnsi"/>
          <w:color w:val="000000"/>
          <w:sz w:val="24"/>
          <w:szCs w:val="24"/>
        </w:rPr>
        <w:t>the CPA</w:t>
      </w:r>
      <w:r w:rsidRPr="003B21E7">
        <w:rPr>
          <w:rFonts w:eastAsia="Times New Roman" w:cstheme="minorHAnsi"/>
          <w:color w:val="000000"/>
          <w:sz w:val="24"/>
          <w:szCs w:val="24"/>
        </w:rPr>
        <w:t xml:space="preserve"> </w:t>
      </w:r>
      <w:r w:rsidR="00192AD2">
        <w:rPr>
          <w:rFonts w:eastAsia="Times New Roman" w:cstheme="minorHAnsi"/>
          <w:color w:val="000000"/>
          <w:sz w:val="24"/>
          <w:szCs w:val="24"/>
        </w:rPr>
        <w:t>“</w:t>
      </w:r>
      <w:r w:rsidRPr="00192AD2">
        <w:rPr>
          <w:rFonts w:eastAsia="Times New Roman" w:cstheme="minorHAnsi"/>
          <w:i/>
          <w:iCs/>
          <w:color w:val="000000"/>
          <w:sz w:val="24"/>
          <w:szCs w:val="24"/>
        </w:rPr>
        <w:t>determined that the Projections are</w:t>
      </w:r>
      <w:r w:rsidR="00192AD2" w:rsidRPr="00192AD2">
        <w:rPr>
          <w:rFonts w:eastAsia="Times New Roman" w:cstheme="minorHAnsi"/>
          <w:i/>
          <w:iCs/>
          <w:color w:val="000000"/>
          <w:sz w:val="24"/>
          <w:szCs w:val="24"/>
        </w:rPr>
        <w:t xml:space="preserve"> </w:t>
      </w:r>
      <w:r w:rsidRPr="00192AD2">
        <w:rPr>
          <w:rFonts w:eastAsia="Times New Roman" w:cstheme="minorHAnsi"/>
          <w:i/>
          <w:iCs/>
          <w:color w:val="000000"/>
          <w:sz w:val="24"/>
          <w:szCs w:val="24"/>
        </w:rPr>
        <w:t>feasible and sustainable and not likely to have a negative impact on the patient panel or result in</w:t>
      </w:r>
      <w:r w:rsidR="00457D2A">
        <w:rPr>
          <w:rFonts w:eastAsia="Times New Roman" w:cstheme="minorHAnsi"/>
          <w:i/>
          <w:iCs/>
          <w:color w:val="000000"/>
          <w:sz w:val="24"/>
          <w:szCs w:val="24"/>
        </w:rPr>
        <w:t xml:space="preserve"> </w:t>
      </w:r>
      <w:r w:rsidRPr="00192AD2">
        <w:rPr>
          <w:rFonts w:eastAsia="Times New Roman" w:cstheme="minorHAnsi"/>
          <w:i/>
          <w:iCs/>
          <w:color w:val="000000"/>
          <w:sz w:val="24"/>
          <w:szCs w:val="24"/>
        </w:rPr>
        <w:t>a liquidation of assets of the Dedham ASC.</w:t>
      </w:r>
      <w:r w:rsidR="00192AD2">
        <w:rPr>
          <w:rFonts w:eastAsia="Times New Roman" w:cstheme="minorHAnsi"/>
          <w:i/>
          <w:iCs/>
          <w:color w:val="000000"/>
          <w:sz w:val="24"/>
          <w:szCs w:val="24"/>
        </w:rPr>
        <w:t>”</w:t>
      </w:r>
    </w:p>
    <w:p w14:paraId="521AFB60" w14:textId="77777777" w:rsidR="00A009DF" w:rsidRDefault="00A009DF" w:rsidP="00A009DF">
      <w:pPr>
        <w:spacing w:after="0" w:line="240" w:lineRule="auto"/>
        <w:rPr>
          <w:rFonts w:eastAsia="Times New Roman" w:cstheme="minorHAnsi"/>
          <w:sz w:val="24"/>
          <w:szCs w:val="24"/>
        </w:rPr>
      </w:pPr>
    </w:p>
    <w:p w14:paraId="0648EC58" w14:textId="702A7873" w:rsidR="00A009DF" w:rsidRPr="00192AD2" w:rsidRDefault="00A009DF" w:rsidP="00962CA3">
      <w:pPr>
        <w:spacing w:line="240" w:lineRule="auto"/>
        <w:rPr>
          <w:rFonts w:eastAsia="Times New Roman" w:cstheme="minorHAnsi"/>
          <w:sz w:val="24"/>
          <w:szCs w:val="24"/>
        </w:rPr>
      </w:pPr>
      <w:r w:rsidRPr="00A009DF">
        <w:rPr>
          <w:rFonts w:eastAsia="Times New Roman" w:cstheme="minorHAnsi"/>
          <w:sz w:val="24"/>
          <w:szCs w:val="24"/>
        </w:rPr>
        <w:t>As a result of information provided by the Applicant, staff finds the Applicant has reasonably met the standards of Factor 4.</w:t>
      </w:r>
    </w:p>
    <w:p w14:paraId="3477769D" w14:textId="0195D853" w:rsidR="00664E2C" w:rsidRPr="00241F83" w:rsidRDefault="0012392C" w:rsidP="00810069">
      <w:pPr>
        <w:pStyle w:val="Heading1"/>
        <w:spacing w:before="0" w:line="240" w:lineRule="auto"/>
        <w:ind w:left="-360" w:firstLine="360"/>
        <w:contextualSpacing/>
        <w:rPr>
          <w:rFonts w:asciiTheme="minorHAnsi" w:hAnsiTheme="minorHAnsi" w:cstheme="minorHAnsi"/>
        </w:rPr>
      </w:pPr>
      <w:bookmarkStart w:id="83" w:name="_Toc30593461"/>
      <w:bookmarkStart w:id="84" w:name="_Toc115776595"/>
      <w:bookmarkStart w:id="85" w:name="_Toc29755691"/>
      <w:bookmarkStart w:id="86" w:name="_Toc29755729"/>
      <w:r w:rsidRPr="00241F83">
        <w:rPr>
          <w:rFonts w:asciiTheme="minorHAnsi" w:hAnsiTheme="minorHAnsi" w:cstheme="minorHAnsi"/>
        </w:rPr>
        <w:t>Factor 5: Relative Merit</w:t>
      </w:r>
      <w:bookmarkStart w:id="87" w:name="_Toc17151192"/>
      <w:bookmarkStart w:id="88" w:name="_Toc17322410"/>
      <w:bookmarkEnd w:id="83"/>
      <w:bookmarkEnd w:id="84"/>
      <w:r w:rsidR="002C45B4" w:rsidRPr="00241F83">
        <w:rPr>
          <w:rFonts w:asciiTheme="minorHAnsi" w:hAnsiTheme="minorHAnsi" w:cstheme="minorHAnsi"/>
        </w:rPr>
        <w:t xml:space="preserve"> </w:t>
      </w:r>
    </w:p>
    <w:p w14:paraId="281CBC81" w14:textId="627A47D8" w:rsidR="00455672" w:rsidRDefault="00455672" w:rsidP="00DE1CDF">
      <w:pPr>
        <w:tabs>
          <w:tab w:val="left" w:pos="7110"/>
        </w:tabs>
        <w:spacing w:before="240" w:after="0" w:line="240" w:lineRule="auto"/>
        <w:rPr>
          <w:rFonts w:cstheme="minorHAnsi"/>
          <w:sz w:val="24"/>
          <w:szCs w:val="24"/>
        </w:rPr>
      </w:pPr>
      <w:r w:rsidRPr="00455672">
        <w:rPr>
          <w:rFonts w:cstheme="minorHAnsi"/>
          <w:sz w:val="24"/>
          <w:szCs w:val="24"/>
        </w:rPr>
        <w:t>To Evaluate Relative Merit, Factor 5, the Applicant is required to consider potential alternatives or substitutes to the Proposed Project in terms of the quality, efficiency, and capital and operating costs of the Proposed Project.</w:t>
      </w:r>
    </w:p>
    <w:p w14:paraId="7178590F" w14:textId="43BAB972" w:rsidR="00455672" w:rsidRPr="00455672" w:rsidRDefault="00455672" w:rsidP="00962CA3">
      <w:pPr>
        <w:tabs>
          <w:tab w:val="left" w:pos="7110"/>
        </w:tabs>
        <w:spacing w:before="240" w:line="240" w:lineRule="auto"/>
        <w:rPr>
          <w:rFonts w:cstheme="minorHAnsi"/>
          <w:sz w:val="24"/>
          <w:szCs w:val="24"/>
        </w:rPr>
      </w:pPr>
      <w:r w:rsidRPr="00455672">
        <w:rPr>
          <w:rFonts w:cstheme="minorHAnsi"/>
          <w:sz w:val="24"/>
          <w:szCs w:val="24"/>
        </w:rPr>
        <w:lastRenderedPageBreak/>
        <w:t xml:space="preserve">The Applicant considered and rejected one alternative to the Proposed Project- continue to operate it as a </w:t>
      </w:r>
      <w:r w:rsidR="00457D2A">
        <w:rPr>
          <w:rFonts w:cstheme="minorHAnsi"/>
          <w:sz w:val="24"/>
          <w:szCs w:val="24"/>
        </w:rPr>
        <w:t xml:space="preserve">HOPD </w:t>
      </w:r>
      <w:r w:rsidRPr="00455672">
        <w:rPr>
          <w:rFonts w:cstheme="minorHAnsi"/>
          <w:sz w:val="24"/>
          <w:szCs w:val="24"/>
        </w:rPr>
        <w:t xml:space="preserve">at the same </w:t>
      </w:r>
      <w:r w:rsidR="000E7AEB" w:rsidRPr="00455672">
        <w:rPr>
          <w:rFonts w:cstheme="minorHAnsi"/>
          <w:sz w:val="24"/>
          <w:szCs w:val="24"/>
        </w:rPr>
        <w:t>location</w:t>
      </w:r>
      <w:r w:rsidR="000E7AEB">
        <w:rPr>
          <w:rFonts w:cstheme="minorHAnsi"/>
          <w:sz w:val="24"/>
          <w:szCs w:val="24"/>
        </w:rPr>
        <w:t xml:space="preserve"> or</w:t>
      </w:r>
      <w:r w:rsidR="00457D2A">
        <w:rPr>
          <w:rFonts w:cstheme="minorHAnsi"/>
          <w:sz w:val="24"/>
          <w:szCs w:val="24"/>
        </w:rPr>
        <w:t xml:space="preserve"> maintain the status quo. Under this alternative it asserts the following for quality efficiency and costs:</w:t>
      </w:r>
    </w:p>
    <w:p w14:paraId="30FD7722" w14:textId="5BF74C54" w:rsidR="00455672" w:rsidRPr="00455672" w:rsidRDefault="00455672" w:rsidP="00455672">
      <w:pPr>
        <w:tabs>
          <w:tab w:val="left" w:pos="7110"/>
        </w:tabs>
        <w:spacing w:line="240" w:lineRule="auto"/>
        <w:rPr>
          <w:rFonts w:cstheme="minorHAnsi"/>
          <w:sz w:val="24"/>
          <w:szCs w:val="24"/>
        </w:rPr>
      </w:pPr>
      <w:r w:rsidRPr="00455672">
        <w:rPr>
          <w:rFonts w:cstheme="minorHAnsi"/>
          <w:b/>
          <w:sz w:val="24"/>
          <w:szCs w:val="24"/>
        </w:rPr>
        <w:t xml:space="preserve">Alternative Quality: </w:t>
      </w:r>
      <w:r w:rsidRPr="00455672">
        <w:rPr>
          <w:rFonts w:cstheme="minorHAnsi"/>
          <w:sz w:val="24"/>
          <w:szCs w:val="24"/>
        </w:rPr>
        <w:t xml:space="preserve">Quality of care would not change under this alternative proposal (status quo). However, as noted under Factor 1b) procedures performed at ASCs can demonstrate the same or </w:t>
      </w:r>
      <w:r w:rsidR="00954A63">
        <w:rPr>
          <w:rFonts w:cstheme="minorHAnsi"/>
          <w:sz w:val="24"/>
          <w:szCs w:val="24"/>
        </w:rPr>
        <w:t>improved</w:t>
      </w:r>
      <w:r w:rsidRPr="00455672">
        <w:rPr>
          <w:rFonts w:cstheme="minorHAnsi"/>
          <w:sz w:val="24"/>
          <w:szCs w:val="24"/>
        </w:rPr>
        <w:t xml:space="preserve"> quality outcomes in comparison to HOPDs.</w:t>
      </w:r>
    </w:p>
    <w:p w14:paraId="06D00F5F" w14:textId="506CE003" w:rsidR="00455672" w:rsidRPr="00455672" w:rsidRDefault="00455672" w:rsidP="00455672">
      <w:pPr>
        <w:tabs>
          <w:tab w:val="left" w:pos="7110"/>
        </w:tabs>
        <w:spacing w:line="240" w:lineRule="auto"/>
        <w:rPr>
          <w:rFonts w:cstheme="minorHAnsi"/>
          <w:sz w:val="24"/>
          <w:szCs w:val="24"/>
        </w:rPr>
      </w:pPr>
      <w:r w:rsidRPr="00455672">
        <w:rPr>
          <w:rFonts w:cstheme="minorHAnsi"/>
          <w:b/>
          <w:sz w:val="24"/>
          <w:szCs w:val="24"/>
        </w:rPr>
        <w:t xml:space="preserve">Alternative Efficiency: </w:t>
      </w:r>
      <w:r w:rsidRPr="00455672">
        <w:rPr>
          <w:rFonts w:cstheme="minorHAnsi"/>
          <w:sz w:val="24"/>
          <w:szCs w:val="24"/>
        </w:rPr>
        <w:t xml:space="preserve">The status quo does not allow for the clinical and operational efficiencies that can be achieved through the Proposed Project through the use of highly trained staff </w:t>
      </w:r>
      <w:r w:rsidR="00457D2A">
        <w:rPr>
          <w:rFonts w:cstheme="minorHAnsi"/>
          <w:sz w:val="24"/>
          <w:szCs w:val="24"/>
        </w:rPr>
        <w:t xml:space="preserve">performing a limited set of procedures, </w:t>
      </w:r>
      <w:r w:rsidRPr="00455672">
        <w:rPr>
          <w:rFonts w:cstheme="minorHAnsi"/>
          <w:sz w:val="24"/>
          <w:szCs w:val="24"/>
        </w:rPr>
        <w:t>and through the use of a</w:t>
      </w:r>
      <w:r w:rsidR="00457D2A">
        <w:rPr>
          <w:rFonts w:cstheme="minorHAnsi"/>
          <w:sz w:val="24"/>
          <w:szCs w:val="24"/>
        </w:rPr>
        <w:t>n</w:t>
      </w:r>
      <w:r w:rsidRPr="00455672">
        <w:rPr>
          <w:rFonts w:cstheme="minorHAnsi"/>
          <w:sz w:val="24"/>
          <w:szCs w:val="24"/>
        </w:rPr>
        <w:t xml:space="preserve"> experienced management company (CSA).</w:t>
      </w:r>
    </w:p>
    <w:p w14:paraId="76EA75F1" w14:textId="7C3B1FAC" w:rsidR="00455672" w:rsidRDefault="00455672" w:rsidP="00455672">
      <w:pPr>
        <w:tabs>
          <w:tab w:val="left" w:pos="7110"/>
        </w:tabs>
        <w:spacing w:line="240" w:lineRule="auto"/>
        <w:rPr>
          <w:rFonts w:cstheme="minorHAnsi"/>
          <w:sz w:val="24"/>
          <w:szCs w:val="24"/>
        </w:rPr>
      </w:pPr>
      <w:r w:rsidRPr="00455672">
        <w:rPr>
          <w:rFonts w:cstheme="minorHAnsi"/>
          <w:b/>
          <w:sz w:val="24"/>
          <w:szCs w:val="24"/>
        </w:rPr>
        <w:t xml:space="preserve">Alternative Capital Expenses: </w:t>
      </w:r>
      <w:r w:rsidR="00457D2A">
        <w:rPr>
          <w:rFonts w:cstheme="minorHAnsi"/>
          <w:b/>
          <w:sz w:val="24"/>
          <w:szCs w:val="24"/>
        </w:rPr>
        <w:t>C</w:t>
      </w:r>
      <w:r w:rsidRPr="00455672">
        <w:rPr>
          <w:rFonts w:cstheme="minorHAnsi"/>
          <w:sz w:val="24"/>
          <w:szCs w:val="24"/>
        </w:rPr>
        <w:t>apital expenses would not change under this alternative.</w:t>
      </w:r>
      <w:r w:rsidR="00457D2A">
        <w:rPr>
          <w:rFonts w:cstheme="minorHAnsi"/>
          <w:sz w:val="24"/>
          <w:szCs w:val="24"/>
        </w:rPr>
        <w:t xml:space="preserve"> </w:t>
      </w:r>
    </w:p>
    <w:p w14:paraId="064AB4EF" w14:textId="780EC85C" w:rsidR="00455672" w:rsidRPr="00455672" w:rsidRDefault="00455672" w:rsidP="00455672">
      <w:pPr>
        <w:tabs>
          <w:tab w:val="left" w:pos="7110"/>
        </w:tabs>
        <w:spacing w:line="240" w:lineRule="auto"/>
        <w:rPr>
          <w:rFonts w:cstheme="minorHAnsi"/>
          <w:sz w:val="24"/>
          <w:szCs w:val="24"/>
        </w:rPr>
      </w:pPr>
      <w:r w:rsidRPr="00455672">
        <w:rPr>
          <w:rFonts w:cstheme="minorHAnsi"/>
          <w:b/>
          <w:sz w:val="24"/>
          <w:szCs w:val="24"/>
        </w:rPr>
        <w:t xml:space="preserve">Alternative Operating Costs: </w:t>
      </w:r>
      <w:r w:rsidRPr="00455672">
        <w:rPr>
          <w:rFonts w:cstheme="minorHAnsi"/>
          <w:sz w:val="24"/>
          <w:szCs w:val="24"/>
        </w:rPr>
        <w:t xml:space="preserve">operating costs </w:t>
      </w:r>
      <w:r w:rsidR="00457D2A">
        <w:rPr>
          <w:rFonts w:cstheme="minorHAnsi"/>
          <w:sz w:val="24"/>
          <w:szCs w:val="24"/>
        </w:rPr>
        <w:t xml:space="preserve">would </w:t>
      </w:r>
      <w:r w:rsidRPr="00455672">
        <w:rPr>
          <w:rFonts w:cstheme="minorHAnsi"/>
          <w:sz w:val="24"/>
          <w:szCs w:val="24"/>
        </w:rPr>
        <w:t xml:space="preserve">exceed those projected under the Proposed Project. As noted earlier, procedures performed in an ASC setting are reimbursed by payers at lower rates in comparison to inpatient or HOPD settings which translates into savings for both the Commonwealth and patients. </w:t>
      </w:r>
    </w:p>
    <w:p w14:paraId="17E0AD9B" w14:textId="77777777" w:rsidR="00962CA3" w:rsidRDefault="00455672" w:rsidP="00962CA3">
      <w:pPr>
        <w:tabs>
          <w:tab w:val="left" w:pos="7110"/>
        </w:tabs>
        <w:spacing w:after="0" w:line="240" w:lineRule="auto"/>
        <w:rPr>
          <w:rFonts w:cstheme="minorHAnsi"/>
          <w:b/>
          <w:bCs/>
          <w:i/>
          <w:iCs/>
          <w:sz w:val="24"/>
          <w:szCs w:val="24"/>
        </w:rPr>
      </w:pPr>
      <w:r w:rsidRPr="00455672">
        <w:rPr>
          <w:rFonts w:cstheme="minorHAnsi"/>
          <w:b/>
          <w:bCs/>
          <w:i/>
          <w:iCs/>
          <w:sz w:val="24"/>
          <w:szCs w:val="24"/>
        </w:rPr>
        <w:t>Analysis</w:t>
      </w:r>
    </w:p>
    <w:p w14:paraId="14DE2C80" w14:textId="6F2C7711" w:rsidR="00455672" w:rsidRPr="00962CA3" w:rsidRDefault="00455672" w:rsidP="00455672">
      <w:pPr>
        <w:tabs>
          <w:tab w:val="left" w:pos="7110"/>
        </w:tabs>
        <w:spacing w:line="240" w:lineRule="auto"/>
        <w:rPr>
          <w:rFonts w:cstheme="minorHAnsi"/>
          <w:b/>
          <w:bCs/>
          <w:i/>
          <w:iCs/>
          <w:sz w:val="24"/>
          <w:szCs w:val="24"/>
        </w:rPr>
      </w:pPr>
      <w:r w:rsidRPr="00455672">
        <w:rPr>
          <w:rFonts w:cstheme="minorHAnsi"/>
          <w:sz w:val="24"/>
          <w:szCs w:val="24"/>
        </w:rPr>
        <w:t>Staff finds that the Applicant has appropriately considered the quality, efficiency, and capital and operating costs of the Proposed Project relative to potential alternatives. As a result of information provided by the Applicant and additional analysis, staff finds the Applicant has reasonably met the standards of Factor 5.</w:t>
      </w:r>
    </w:p>
    <w:p w14:paraId="6B07E943" w14:textId="75CDBF43" w:rsidR="002F24F8" w:rsidRPr="001774F1" w:rsidRDefault="00323247" w:rsidP="001774F1">
      <w:pPr>
        <w:pStyle w:val="Heading1"/>
        <w:spacing w:before="0" w:line="240" w:lineRule="auto"/>
        <w:ind w:left="-360" w:firstLine="360"/>
        <w:contextualSpacing/>
        <w:rPr>
          <w:rFonts w:asciiTheme="minorHAnsi" w:hAnsiTheme="minorHAnsi" w:cstheme="minorHAnsi"/>
        </w:rPr>
      </w:pPr>
      <w:bookmarkStart w:id="89" w:name="_Toc30593462"/>
      <w:bookmarkStart w:id="90" w:name="_Toc115776596"/>
      <w:r w:rsidRPr="00241F83">
        <w:rPr>
          <w:rFonts w:asciiTheme="minorHAnsi" w:eastAsia="Times New Roman" w:hAnsiTheme="minorHAnsi" w:cstheme="minorHAnsi"/>
        </w:rPr>
        <w:t>F</w:t>
      </w:r>
      <w:r w:rsidR="00191B8C" w:rsidRPr="00241F83">
        <w:rPr>
          <w:rFonts w:asciiTheme="minorHAnsi" w:eastAsia="Times New Roman" w:hAnsiTheme="minorHAnsi" w:cstheme="minorHAnsi"/>
        </w:rPr>
        <w:t>actor 6: Fulfillment of DPH Community-based Health Initiatives Guideline</w:t>
      </w:r>
      <w:bookmarkEnd w:id="85"/>
      <w:bookmarkEnd w:id="86"/>
      <w:bookmarkEnd w:id="89"/>
      <w:bookmarkEnd w:id="90"/>
      <w:r w:rsidR="00191B8C" w:rsidRPr="00241F83">
        <w:rPr>
          <w:rFonts w:asciiTheme="minorHAnsi" w:eastAsia="Times New Roman" w:hAnsiTheme="minorHAnsi" w:cstheme="minorHAnsi"/>
        </w:rPr>
        <w:t xml:space="preserve"> </w:t>
      </w:r>
      <w:bookmarkStart w:id="91" w:name="_Toc29755693"/>
      <w:bookmarkEnd w:id="87"/>
      <w:bookmarkEnd w:id="88"/>
    </w:p>
    <w:p w14:paraId="5A92FA83" w14:textId="77777777" w:rsidR="00EC3F9E" w:rsidRDefault="003D503F" w:rsidP="00C47368">
      <w:pPr>
        <w:spacing w:before="240" w:after="0" w:line="240" w:lineRule="auto"/>
        <w:ind w:right="540"/>
        <w:contextualSpacing/>
        <w:rPr>
          <w:rFonts w:eastAsia="Calibri" w:cstheme="minorHAnsi"/>
          <w:b/>
          <w:bCs/>
          <w:sz w:val="24"/>
          <w:szCs w:val="24"/>
        </w:rPr>
      </w:pPr>
      <w:r w:rsidRPr="00241F83">
        <w:rPr>
          <w:rFonts w:eastAsia="Calibri" w:cstheme="minorHAnsi"/>
          <w:b/>
          <w:bCs/>
          <w:sz w:val="24"/>
          <w:szCs w:val="24"/>
        </w:rPr>
        <w:t xml:space="preserve">Summary and </w:t>
      </w:r>
      <w:r w:rsidR="009F2843" w:rsidRPr="00241F83">
        <w:rPr>
          <w:rFonts w:eastAsia="Calibri" w:cstheme="minorHAnsi"/>
          <w:b/>
          <w:bCs/>
          <w:sz w:val="24"/>
          <w:szCs w:val="24"/>
        </w:rPr>
        <w:t>B</w:t>
      </w:r>
      <w:r w:rsidRPr="00241F83">
        <w:rPr>
          <w:rFonts w:eastAsia="Calibri" w:cstheme="minorHAnsi"/>
          <w:b/>
          <w:bCs/>
          <w:sz w:val="24"/>
          <w:szCs w:val="24"/>
        </w:rPr>
        <w:t>ackground</w:t>
      </w:r>
    </w:p>
    <w:p w14:paraId="72239897" w14:textId="77777777" w:rsidR="00EC3F9E" w:rsidRDefault="00EC3F9E" w:rsidP="00EF785A">
      <w:pPr>
        <w:spacing w:after="0" w:line="240" w:lineRule="auto"/>
        <w:ind w:right="540"/>
        <w:contextualSpacing/>
        <w:rPr>
          <w:rFonts w:eastAsia="Calibri" w:cstheme="minorHAnsi"/>
          <w:b/>
          <w:bCs/>
          <w:sz w:val="24"/>
          <w:szCs w:val="24"/>
        </w:rPr>
      </w:pPr>
    </w:p>
    <w:p w14:paraId="764BFF1C" w14:textId="6BD4FAC3"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t xml:space="preserve">The Applicant is engaged in a different process to fulfill their Community Health Initiative (CHI) requirements associated with this DoN project application.  </w:t>
      </w:r>
      <w:r w:rsidR="004E7A50">
        <w:rPr>
          <w:rFonts w:eastAsia="Calibri" w:cstheme="minorHAnsi"/>
          <w:sz w:val="24"/>
          <w:szCs w:val="24"/>
        </w:rPr>
        <w:t>A DoN for an</w:t>
      </w:r>
      <w:r w:rsidRPr="00EC3F9E">
        <w:rPr>
          <w:rFonts w:eastAsia="Calibri" w:cstheme="minorHAnsi"/>
          <w:sz w:val="24"/>
          <w:szCs w:val="24"/>
        </w:rPr>
        <w:t xml:space="preserve"> ASC would traditionally pay its entire CHI contribution to the Statewide Funds. </w:t>
      </w:r>
      <w:r w:rsidR="004E7A50">
        <w:rPr>
          <w:rFonts w:eastAsia="Calibri" w:cstheme="minorHAnsi"/>
          <w:sz w:val="24"/>
          <w:szCs w:val="24"/>
        </w:rPr>
        <w:t>However, for the Proposed Project, t</w:t>
      </w:r>
      <w:r w:rsidRPr="00EC3F9E">
        <w:rPr>
          <w:rFonts w:eastAsia="Calibri" w:cstheme="minorHAnsi"/>
          <w:sz w:val="24"/>
          <w:szCs w:val="24"/>
        </w:rPr>
        <w:t>he Applicant will have a Local CHI, treated as a Tier 2 project, carried out by BID Needham.</w:t>
      </w:r>
      <w:r w:rsidR="00541265">
        <w:rPr>
          <w:rStyle w:val="FootnoteReference"/>
          <w:rFonts w:eastAsia="Calibri" w:cstheme="minorHAnsi"/>
          <w:sz w:val="24"/>
          <w:szCs w:val="24"/>
        </w:rPr>
        <w:footnoteReference w:id="19"/>
      </w:r>
      <w:r w:rsidRPr="00EC3F9E">
        <w:rPr>
          <w:rFonts w:eastAsia="Calibri" w:cstheme="minorHAnsi"/>
          <w:sz w:val="24"/>
          <w:szCs w:val="24"/>
        </w:rPr>
        <w:t xml:space="preserve"> The Applicant and DPH have agreed that since the ASC will be in Dedham, within BID Needham’s catchment area, BID Needham’s community health planning materials and activities will serve as the basis for this analysis.   </w:t>
      </w:r>
    </w:p>
    <w:p w14:paraId="5C86CC9B" w14:textId="77777777" w:rsidR="00EC3F9E" w:rsidRPr="00EC3F9E" w:rsidRDefault="00EC3F9E" w:rsidP="004E7A50">
      <w:pPr>
        <w:spacing w:after="0" w:line="240" w:lineRule="auto"/>
        <w:ind w:right="540"/>
        <w:contextualSpacing/>
        <w:rPr>
          <w:rFonts w:eastAsia="Calibri" w:cstheme="minorHAnsi"/>
          <w:sz w:val="24"/>
          <w:szCs w:val="24"/>
        </w:rPr>
      </w:pPr>
    </w:p>
    <w:p w14:paraId="3A6444D4" w14:textId="77777777"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t xml:space="preserve">The Applicant submitted a CHI narrative, as well as BID Needham’s 2019 Community Health Needs Assessment (CHNA), Self-Assessment and Stakeholder Assessments, all which cover the geography of the planned ASC. BID Needham’s next CHNA will be released in Fall of 2022 and will further inform the BID Needham’s investment strategies for the CHI funds associated with this application.  </w:t>
      </w:r>
    </w:p>
    <w:p w14:paraId="33B14FC9" w14:textId="77777777" w:rsidR="00EC3F9E" w:rsidRPr="00EC3F9E" w:rsidRDefault="00EC3F9E" w:rsidP="004E7A50">
      <w:pPr>
        <w:spacing w:after="0" w:line="240" w:lineRule="auto"/>
        <w:ind w:right="540"/>
        <w:contextualSpacing/>
        <w:rPr>
          <w:rFonts w:eastAsia="Calibri" w:cstheme="minorHAnsi"/>
          <w:sz w:val="24"/>
          <w:szCs w:val="24"/>
        </w:rPr>
      </w:pPr>
    </w:p>
    <w:p w14:paraId="344E9289" w14:textId="7683B924"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lastRenderedPageBreak/>
        <w:t xml:space="preserve">The Community Health Needs Assessment was conducted in 2019 by Beth Israel Deaconess Hospital Needham (BID-Needham).  The Community Health Needs Assessment was implemented in three phases. The first phase utilized preliminary engagement strategies including key informant interviews and an internal assessment of Community Benefits activities. The second phase included focus groups, community meetings, and a Community Health Survey.  In the final phase, the Applicant utilized internal meetings, a literature review, and developed an Implementation Strategy.  The Needs Assessment identifies priority populations and describes key findings and themes from the service area and participating communities.  The priority populations are Youth, Older Adults, Low-to-Moderate Income Individuals and Families, and Individuals with Chronic/Complex Conditions.  The priority areas identified are </w:t>
      </w:r>
      <w:r w:rsidR="00C47368">
        <w:rPr>
          <w:rFonts w:eastAsia="Calibri" w:cstheme="minorHAnsi"/>
          <w:sz w:val="24"/>
          <w:szCs w:val="24"/>
        </w:rPr>
        <w:t>SDOH</w:t>
      </w:r>
      <w:r w:rsidRPr="00EC3F9E">
        <w:rPr>
          <w:rFonts w:eastAsia="Calibri" w:cstheme="minorHAnsi"/>
          <w:sz w:val="24"/>
          <w:szCs w:val="24"/>
        </w:rPr>
        <w:t>, Substance Use and Mental Health, Behavioral Health Services, Chronic and Acute Physical Health Conditions, High Rates of Leading Risk Factors, and Challenges Navigating Systems and Coordinating Services.  The Applicant will release a new CHNA in 2022 and will employ similar strategies for engagement.  The Applicant will engage its Community Benefit Advisory Council (CBAC) to select priorities and identify strategies for implementation.</w:t>
      </w:r>
    </w:p>
    <w:p w14:paraId="4558544E" w14:textId="77777777" w:rsidR="00EC3F9E" w:rsidRPr="00EC3F9E" w:rsidRDefault="00EC3F9E" w:rsidP="004E7A50">
      <w:pPr>
        <w:spacing w:after="0" w:line="240" w:lineRule="auto"/>
        <w:ind w:right="540"/>
        <w:contextualSpacing/>
        <w:rPr>
          <w:rFonts w:eastAsia="Calibri" w:cstheme="minorHAnsi"/>
          <w:sz w:val="24"/>
          <w:szCs w:val="24"/>
        </w:rPr>
      </w:pPr>
    </w:p>
    <w:p w14:paraId="68A71990" w14:textId="61A0C4ED"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t xml:space="preserve">The Self-Assessment provided a summary of </w:t>
      </w:r>
      <w:r w:rsidR="00541265">
        <w:rPr>
          <w:rFonts w:eastAsia="Calibri" w:cstheme="minorHAnsi"/>
          <w:sz w:val="24"/>
          <w:szCs w:val="24"/>
        </w:rPr>
        <w:t xml:space="preserve">the </w:t>
      </w:r>
      <w:r w:rsidRPr="00EC3F9E">
        <w:rPr>
          <w:rFonts w:eastAsia="Calibri" w:cstheme="minorHAnsi"/>
          <w:sz w:val="24"/>
          <w:szCs w:val="24"/>
        </w:rPr>
        <w:t xml:space="preserve">community engagement processes and socio-demographic information, data and highlights related to topics and themes of community needs related to the current and ongoing assessment work (for the 2022 CHNA). Through primary data collection such as key informant interviews, focus groups, and community wide surveying, data analysis, and with guiding principles of equity, collaboration, engagement, and capacity building, the participating community groups and residents identified the key concerns to be outlined in the 2022 Community Health Needs Assessment. </w:t>
      </w:r>
    </w:p>
    <w:p w14:paraId="6D8C925C" w14:textId="77777777" w:rsidR="00EC3F9E" w:rsidRPr="00EC3F9E" w:rsidRDefault="00EC3F9E" w:rsidP="004E7A50">
      <w:pPr>
        <w:spacing w:after="0" w:line="240" w:lineRule="auto"/>
        <w:ind w:right="540"/>
        <w:contextualSpacing/>
        <w:rPr>
          <w:rFonts w:eastAsia="Calibri" w:cstheme="minorHAnsi"/>
          <w:sz w:val="24"/>
          <w:szCs w:val="24"/>
        </w:rPr>
      </w:pPr>
    </w:p>
    <w:p w14:paraId="44D7C696" w14:textId="6FAF9D53"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t>Stakeholder Assessments are submitted to provide information on the individuals’ engagement levels (e.g. their personal participation and role) and their analysis of how the Applicant engaged the community in community health improvement planning processes. In order to ensure a transparent and meaningfully engagement process, DPH will be asking the Applicant to provide stakeholder input specific to this project.</w:t>
      </w:r>
    </w:p>
    <w:p w14:paraId="24EA4960" w14:textId="77777777"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t xml:space="preserve"> </w:t>
      </w:r>
    </w:p>
    <w:p w14:paraId="4B0DBC65" w14:textId="598D2E1D"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t xml:space="preserve">The CHI Narrative provided background and overview information for the CHI processes that will be carried out </w:t>
      </w:r>
      <w:r w:rsidR="00541265">
        <w:rPr>
          <w:rFonts w:eastAsia="Calibri" w:cstheme="minorHAnsi"/>
          <w:sz w:val="24"/>
          <w:szCs w:val="24"/>
        </w:rPr>
        <w:t xml:space="preserve">by </w:t>
      </w:r>
      <w:r w:rsidRPr="00EC3F9E">
        <w:rPr>
          <w:rFonts w:eastAsia="Calibri" w:cstheme="minorHAnsi"/>
          <w:sz w:val="24"/>
          <w:szCs w:val="24"/>
        </w:rPr>
        <w:t>BID Needham. The narrative also outlines advisory duties for the advisory and allocation committees, and planned use of funding for evaluation and administrative activities</w:t>
      </w:r>
      <w:r w:rsidR="00541265">
        <w:rPr>
          <w:rFonts w:eastAsia="Calibri" w:cstheme="minorHAnsi"/>
          <w:sz w:val="24"/>
          <w:szCs w:val="24"/>
        </w:rPr>
        <w:t xml:space="preserve"> as well as a breakdown of</w:t>
      </w:r>
      <w:r w:rsidRPr="00EC3F9E">
        <w:rPr>
          <w:rFonts w:eastAsia="Calibri" w:cstheme="minorHAnsi"/>
          <w:sz w:val="24"/>
          <w:szCs w:val="24"/>
        </w:rPr>
        <w:t xml:space="preserve"> the CHI funds and </w:t>
      </w:r>
      <w:r w:rsidR="00541265">
        <w:rPr>
          <w:rFonts w:eastAsia="Calibri" w:cstheme="minorHAnsi"/>
          <w:sz w:val="24"/>
          <w:szCs w:val="24"/>
        </w:rPr>
        <w:t xml:space="preserve">an </w:t>
      </w:r>
      <w:r w:rsidRPr="00EC3F9E">
        <w:rPr>
          <w:rFonts w:eastAsia="Calibri" w:cstheme="minorHAnsi"/>
          <w:sz w:val="24"/>
          <w:szCs w:val="24"/>
        </w:rPr>
        <w:t>anticipated timeline for CHI activities.</w:t>
      </w:r>
    </w:p>
    <w:p w14:paraId="69014455" w14:textId="77777777" w:rsidR="00EC3F9E" w:rsidRPr="00EC3F9E" w:rsidRDefault="00EC3F9E" w:rsidP="004E7A50">
      <w:pPr>
        <w:spacing w:after="0" w:line="240" w:lineRule="auto"/>
        <w:ind w:right="540"/>
        <w:contextualSpacing/>
        <w:rPr>
          <w:rFonts w:eastAsia="Calibri" w:cstheme="minorHAnsi"/>
          <w:sz w:val="24"/>
          <w:szCs w:val="24"/>
        </w:rPr>
      </w:pPr>
    </w:p>
    <w:p w14:paraId="70A76251" w14:textId="00C977B3" w:rsidR="00EC3F9E" w:rsidRPr="00EC3F9E" w:rsidRDefault="00C47368" w:rsidP="004E7A50">
      <w:pPr>
        <w:spacing w:after="0" w:line="240" w:lineRule="auto"/>
        <w:ind w:right="540"/>
        <w:contextualSpacing/>
        <w:rPr>
          <w:rFonts w:eastAsia="Calibri" w:cstheme="minorHAnsi"/>
          <w:sz w:val="24"/>
          <w:szCs w:val="24"/>
        </w:rPr>
      </w:pPr>
      <w:r>
        <w:rPr>
          <w:rFonts w:eastAsia="Calibri" w:cstheme="minorHAnsi"/>
          <w:sz w:val="24"/>
          <w:szCs w:val="24"/>
        </w:rPr>
        <w:t>DPH</w:t>
      </w:r>
      <w:r w:rsidR="0017591A">
        <w:rPr>
          <w:rFonts w:eastAsia="Calibri" w:cstheme="minorHAnsi"/>
          <w:sz w:val="24"/>
          <w:szCs w:val="24"/>
        </w:rPr>
        <w:t xml:space="preserve"> Staff notes, t</w:t>
      </w:r>
      <w:r w:rsidR="00EC3F9E" w:rsidRPr="00EC3F9E">
        <w:rPr>
          <w:rFonts w:eastAsia="Calibri" w:cstheme="minorHAnsi"/>
          <w:sz w:val="24"/>
          <w:szCs w:val="24"/>
        </w:rPr>
        <w:t>he timeline, RFP processes, and use of evaluation and administrative funds are all appropriate and in line with CHI planning guidelines. In order to select strategies that meet Health Priority Guideline principles, BID Needham will need to focus on the priority areas in the upcoming final assessment that allow for implementation at the root cause level.  Examples of this from the 2019 CHNA submitted include the S</w:t>
      </w:r>
      <w:r>
        <w:rPr>
          <w:rFonts w:eastAsia="Calibri" w:cstheme="minorHAnsi"/>
          <w:sz w:val="24"/>
          <w:szCs w:val="24"/>
        </w:rPr>
        <w:t>DOH</w:t>
      </w:r>
      <w:r w:rsidR="00EC3F9E" w:rsidRPr="00EC3F9E">
        <w:rPr>
          <w:rFonts w:eastAsia="Calibri" w:cstheme="minorHAnsi"/>
          <w:sz w:val="24"/>
          <w:szCs w:val="24"/>
        </w:rPr>
        <w:t xml:space="preserve"> and upstream work across the leading risk factors. BID Needham will work with its CBAC to select priorities and approve implementation strategies. Based on strategies in BID </w:t>
      </w:r>
      <w:r w:rsidR="00EC3F9E" w:rsidRPr="00EC3F9E">
        <w:rPr>
          <w:rFonts w:eastAsia="Calibri" w:cstheme="minorHAnsi"/>
          <w:sz w:val="24"/>
          <w:szCs w:val="24"/>
        </w:rPr>
        <w:lastRenderedPageBreak/>
        <w:t>Needham’s ongoing community benefit work, DPH staff have determined that if the Applicant agrees to address community conditions and root causes while engaging in ongoing work with the CBAC, CHI investment will align appropriately with the Health Priorities Guideline.  The Applicant will also provide status updates and share the final 2022 Community Health Needs Assessment to DPH staff.</w:t>
      </w:r>
    </w:p>
    <w:p w14:paraId="6073BDC7" w14:textId="77777777" w:rsidR="00EC3F9E" w:rsidRPr="00EC3F9E" w:rsidRDefault="00EC3F9E" w:rsidP="004E7A50">
      <w:pPr>
        <w:spacing w:after="0" w:line="240" w:lineRule="auto"/>
        <w:ind w:right="540"/>
        <w:contextualSpacing/>
        <w:rPr>
          <w:rFonts w:eastAsia="Calibri" w:cstheme="minorHAnsi"/>
          <w:sz w:val="24"/>
          <w:szCs w:val="24"/>
        </w:rPr>
      </w:pPr>
    </w:p>
    <w:p w14:paraId="53445AFA" w14:textId="77777777"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t>The anticipated timeline for BID Needham’s CHI activities includes a meeting with its CBAC six-week post approval to review to 2022 CHNA to select Health Priorities for funding. Next, CBAC members will decide on the best investment strategy 2-4 months post-approval, followed by the creation of an Allocation Committee 5-6 months post-approval, with funding disbursed 9-12 months post-approval.</w:t>
      </w:r>
    </w:p>
    <w:p w14:paraId="006300F1" w14:textId="77777777" w:rsidR="00EC3F9E" w:rsidRPr="00EC3F9E" w:rsidRDefault="00EC3F9E" w:rsidP="004E7A50">
      <w:pPr>
        <w:spacing w:after="0" w:line="240" w:lineRule="auto"/>
        <w:ind w:right="540"/>
        <w:contextualSpacing/>
        <w:rPr>
          <w:rFonts w:eastAsia="Calibri" w:cstheme="minorHAnsi"/>
          <w:sz w:val="24"/>
          <w:szCs w:val="24"/>
        </w:rPr>
      </w:pPr>
    </w:p>
    <w:p w14:paraId="7127C20A" w14:textId="77777777" w:rsidR="00EC3F9E" w:rsidRPr="00EC3F9E" w:rsidRDefault="00EC3F9E" w:rsidP="004E7A50">
      <w:pPr>
        <w:spacing w:after="0" w:line="240" w:lineRule="auto"/>
        <w:ind w:right="540"/>
        <w:contextualSpacing/>
        <w:rPr>
          <w:rFonts w:eastAsia="Calibri" w:cstheme="minorHAnsi"/>
          <w:sz w:val="24"/>
          <w:szCs w:val="24"/>
        </w:rPr>
      </w:pPr>
      <w:r w:rsidRPr="00EC3F9E">
        <w:rPr>
          <w:rFonts w:eastAsia="Calibri" w:cstheme="minorHAnsi"/>
          <w:sz w:val="24"/>
          <w:szCs w:val="24"/>
        </w:rPr>
        <w:t>With the administration funds, BID Needham’s preliminary plans are to develop and disseminate communication materials to encourage community participation in the process.</w:t>
      </w:r>
    </w:p>
    <w:p w14:paraId="1D4BE515" w14:textId="77777777" w:rsidR="00EC3F9E" w:rsidRPr="00EC3F9E" w:rsidRDefault="00EC3F9E" w:rsidP="004E7A50">
      <w:pPr>
        <w:spacing w:after="0" w:line="240" w:lineRule="auto"/>
        <w:ind w:right="540"/>
        <w:contextualSpacing/>
        <w:rPr>
          <w:rFonts w:eastAsia="Calibri" w:cstheme="minorHAnsi"/>
          <w:sz w:val="24"/>
          <w:szCs w:val="24"/>
        </w:rPr>
      </w:pPr>
    </w:p>
    <w:p w14:paraId="0F9A89E3" w14:textId="77777777" w:rsidR="00EC3F9E" w:rsidRPr="00C47368" w:rsidRDefault="00EC3F9E" w:rsidP="004E7A50">
      <w:pPr>
        <w:spacing w:after="0" w:line="240" w:lineRule="auto"/>
        <w:ind w:right="540"/>
        <w:contextualSpacing/>
        <w:rPr>
          <w:rFonts w:eastAsia="Calibri" w:cstheme="minorHAnsi"/>
          <w:b/>
          <w:bCs/>
          <w:i/>
          <w:iCs/>
          <w:sz w:val="24"/>
          <w:szCs w:val="24"/>
        </w:rPr>
      </w:pPr>
      <w:r w:rsidRPr="00C47368">
        <w:rPr>
          <w:rFonts w:eastAsia="Calibri" w:cstheme="minorHAnsi"/>
          <w:b/>
          <w:bCs/>
          <w:i/>
          <w:iCs/>
          <w:sz w:val="24"/>
          <w:szCs w:val="24"/>
        </w:rPr>
        <w:t>Analysis</w:t>
      </w:r>
    </w:p>
    <w:p w14:paraId="54187BD0" w14:textId="77777777" w:rsidR="00EC3F9E" w:rsidRDefault="00EC3F9E" w:rsidP="004E7A50">
      <w:pPr>
        <w:spacing w:after="0" w:line="240" w:lineRule="auto"/>
        <w:ind w:right="540"/>
        <w:contextualSpacing/>
        <w:rPr>
          <w:rFonts w:cstheme="minorHAnsi"/>
        </w:rPr>
      </w:pPr>
      <w:r w:rsidRPr="00EC3F9E">
        <w:rPr>
          <w:rFonts w:eastAsia="Calibri" w:cstheme="minorHAnsi"/>
          <w:sz w:val="24"/>
          <w:szCs w:val="24"/>
        </w:rPr>
        <w:t>As a result of the information provided by the Applicant and BID Needham, staff finds that with the conditions outlined below, and the Applicants commitment to ongoing Community Health Planning processes in the geography of the ASC, the Applicant has demonstrated that the Proposed Project has met Factor 6.</w:t>
      </w:r>
      <w:r w:rsidR="003D503F" w:rsidRPr="00EC3F9E">
        <w:rPr>
          <w:rFonts w:eastAsia="Calibri" w:cstheme="minorHAnsi"/>
          <w:sz w:val="24"/>
          <w:szCs w:val="24"/>
        </w:rPr>
        <w:br/>
      </w:r>
      <w:bookmarkStart w:id="92" w:name="_Toc46169309"/>
    </w:p>
    <w:p w14:paraId="4F2A1853" w14:textId="2A427F40" w:rsidR="008E2CAB" w:rsidRPr="00EC3F9E" w:rsidRDefault="00E25270" w:rsidP="00C47368">
      <w:pPr>
        <w:pStyle w:val="Heading1"/>
        <w:spacing w:before="0"/>
        <w:rPr>
          <w:rFonts w:asciiTheme="minorHAnsi" w:hAnsiTheme="minorHAnsi" w:cstheme="minorHAnsi"/>
        </w:rPr>
      </w:pPr>
      <w:bookmarkStart w:id="93" w:name="_Toc115776597"/>
      <w:r w:rsidRPr="00EC3F9E">
        <w:rPr>
          <w:rFonts w:asciiTheme="minorHAnsi" w:hAnsiTheme="minorHAnsi" w:cstheme="minorHAnsi"/>
        </w:rPr>
        <w:t>F</w:t>
      </w:r>
      <w:r w:rsidR="008E2CAB" w:rsidRPr="00EC3F9E">
        <w:rPr>
          <w:rFonts w:asciiTheme="minorHAnsi" w:hAnsiTheme="minorHAnsi" w:cstheme="minorHAnsi"/>
        </w:rPr>
        <w:t>indings and Recommendations</w:t>
      </w:r>
      <w:bookmarkEnd w:id="92"/>
      <w:bookmarkEnd w:id="93"/>
    </w:p>
    <w:p w14:paraId="7FBCA88F" w14:textId="6725EF02" w:rsidR="005D09E5" w:rsidRPr="00241F83" w:rsidRDefault="005D09E5" w:rsidP="00C47368">
      <w:pPr>
        <w:spacing w:before="240" w:line="240" w:lineRule="auto"/>
        <w:rPr>
          <w:rFonts w:cstheme="minorHAnsi"/>
          <w:sz w:val="24"/>
          <w:szCs w:val="24"/>
        </w:rPr>
      </w:pPr>
      <w:bookmarkStart w:id="94" w:name="_Toc23157993"/>
      <w:bookmarkStart w:id="95" w:name="_Toc23323259"/>
      <w:bookmarkStart w:id="96" w:name="_Toc23324264"/>
      <w:bookmarkStart w:id="97" w:name="_Toc23424546"/>
      <w:bookmarkEnd w:id="91"/>
      <w:r w:rsidRPr="00241F83">
        <w:rPr>
          <w:rFonts w:cstheme="minorHAnsi"/>
          <w:sz w:val="24"/>
          <w:szCs w:val="24"/>
        </w:rPr>
        <w:t xml:space="preserve">Based upon a review of the materials submitted, </w:t>
      </w:r>
      <w:r w:rsidR="007C1B7E">
        <w:rPr>
          <w:rFonts w:cstheme="minorHAnsi"/>
          <w:sz w:val="24"/>
          <w:szCs w:val="24"/>
        </w:rPr>
        <w:t>s</w:t>
      </w:r>
      <w:r w:rsidR="007C1B7E" w:rsidRPr="00241F83">
        <w:rPr>
          <w:rFonts w:cstheme="minorHAnsi"/>
          <w:sz w:val="24"/>
          <w:szCs w:val="24"/>
        </w:rPr>
        <w:t xml:space="preserve">taff </w:t>
      </w:r>
      <w:r w:rsidRPr="00241F83">
        <w:rPr>
          <w:rFonts w:cstheme="minorHAnsi"/>
          <w:sz w:val="24"/>
          <w:szCs w:val="24"/>
        </w:rPr>
        <w:t xml:space="preserve">finds that, with the addition of the recommended </w:t>
      </w:r>
      <w:r w:rsidR="009F39D8" w:rsidRPr="00241F83">
        <w:rPr>
          <w:rFonts w:cstheme="minorHAnsi"/>
          <w:sz w:val="24"/>
          <w:szCs w:val="24"/>
        </w:rPr>
        <w:t>C</w:t>
      </w:r>
      <w:r w:rsidRPr="00241F83">
        <w:rPr>
          <w:rFonts w:cstheme="minorHAnsi"/>
          <w:sz w:val="24"/>
          <w:szCs w:val="24"/>
        </w:rPr>
        <w:t xml:space="preserve">ondition detailed below, the </w:t>
      </w:r>
      <w:r w:rsidR="00D33E4C" w:rsidRPr="00241F83">
        <w:rPr>
          <w:rFonts w:cstheme="minorHAnsi"/>
          <w:sz w:val="24"/>
          <w:szCs w:val="24"/>
        </w:rPr>
        <w:t>Applicant</w:t>
      </w:r>
      <w:r w:rsidRPr="00241F83">
        <w:rPr>
          <w:rFonts w:cstheme="minorHAnsi"/>
          <w:sz w:val="24"/>
          <w:szCs w:val="24"/>
        </w:rPr>
        <w:t xml:space="preserve"> has met each DoN Factor for the Proposed Project and recommends that the Department approve this Determination of Need, subject to all applicable Standard and Other Conditions.</w:t>
      </w:r>
    </w:p>
    <w:p w14:paraId="60E1F014" w14:textId="619A51FA" w:rsidR="00DC13B1" w:rsidRPr="00241F83" w:rsidRDefault="002F24F8" w:rsidP="00DC13B1">
      <w:pPr>
        <w:pStyle w:val="Heading1"/>
        <w:rPr>
          <w:rFonts w:asciiTheme="minorHAnsi" w:hAnsiTheme="minorHAnsi" w:cstheme="minorHAnsi"/>
        </w:rPr>
      </w:pPr>
      <w:bookmarkStart w:id="98" w:name="_Toc115776598"/>
      <w:r w:rsidRPr="00241F83">
        <w:rPr>
          <w:rFonts w:asciiTheme="minorHAnsi" w:hAnsiTheme="minorHAnsi" w:cstheme="minorHAnsi"/>
        </w:rPr>
        <w:t>Other Conditions</w:t>
      </w:r>
      <w:bookmarkEnd w:id="94"/>
      <w:bookmarkEnd w:id="95"/>
      <w:bookmarkEnd w:id="96"/>
      <w:bookmarkEnd w:id="97"/>
      <w:bookmarkEnd w:id="98"/>
    </w:p>
    <w:p w14:paraId="3E0BB6D8" w14:textId="77777777" w:rsidR="00EC3F9E" w:rsidRPr="00EC3F9E" w:rsidRDefault="00EC3F9E" w:rsidP="00C47368">
      <w:pPr>
        <w:numPr>
          <w:ilvl w:val="0"/>
          <w:numId w:val="37"/>
        </w:numPr>
        <w:spacing w:before="240"/>
        <w:rPr>
          <w:rFonts w:eastAsia="Calibri" w:cstheme="minorHAnsi"/>
          <w:sz w:val="24"/>
          <w:szCs w:val="24"/>
        </w:rPr>
      </w:pPr>
      <w:r w:rsidRPr="00EC3F9E">
        <w:rPr>
          <w:rFonts w:eastAsia="Calibri" w:cstheme="minorHAnsi"/>
          <w:sz w:val="24"/>
          <w:szCs w:val="24"/>
        </w:rPr>
        <w:t>Of the total required CHI contribution of $1,313,694.95</w:t>
      </w:r>
    </w:p>
    <w:p w14:paraId="62724200" w14:textId="77777777" w:rsidR="00EC3F9E" w:rsidRPr="00EC3F9E" w:rsidRDefault="00EC3F9E" w:rsidP="00EC3F9E">
      <w:pPr>
        <w:numPr>
          <w:ilvl w:val="1"/>
          <w:numId w:val="37"/>
        </w:numPr>
        <w:spacing w:after="0" w:line="240" w:lineRule="auto"/>
        <w:rPr>
          <w:rFonts w:eastAsia="Calibri" w:cstheme="minorHAnsi"/>
          <w:sz w:val="24"/>
          <w:szCs w:val="24"/>
        </w:rPr>
      </w:pPr>
      <w:r w:rsidRPr="00EC3F9E">
        <w:rPr>
          <w:rFonts w:eastAsia="Calibri" w:cstheme="minorHAnsi"/>
          <w:sz w:val="24"/>
          <w:szCs w:val="24"/>
        </w:rPr>
        <w:t xml:space="preserve">$318,571.03 will be directed to the CHI Statewide Initiative </w:t>
      </w:r>
    </w:p>
    <w:p w14:paraId="545AE96B" w14:textId="77777777" w:rsidR="00EC3F9E" w:rsidRPr="00EC3F9E" w:rsidRDefault="00EC3F9E" w:rsidP="00EC3F9E">
      <w:pPr>
        <w:numPr>
          <w:ilvl w:val="1"/>
          <w:numId w:val="37"/>
        </w:numPr>
        <w:spacing w:after="0" w:line="240" w:lineRule="auto"/>
        <w:rPr>
          <w:rFonts w:eastAsia="Calibri" w:cstheme="minorHAnsi"/>
          <w:sz w:val="24"/>
          <w:szCs w:val="24"/>
        </w:rPr>
      </w:pPr>
      <w:r w:rsidRPr="00EC3F9E">
        <w:rPr>
          <w:rFonts w:eastAsia="Calibri" w:cstheme="minorHAnsi"/>
          <w:sz w:val="24"/>
          <w:szCs w:val="24"/>
        </w:rPr>
        <w:t xml:space="preserve">$955,713.08 will be dedicated to local approaches to the DoN Health Priorities </w:t>
      </w:r>
    </w:p>
    <w:p w14:paraId="3EB98B88" w14:textId="043EF74C" w:rsidR="00EC3F9E" w:rsidRDefault="00EC3F9E" w:rsidP="00EC3F9E">
      <w:pPr>
        <w:numPr>
          <w:ilvl w:val="1"/>
          <w:numId w:val="37"/>
        </w:numPr>
        <w:spacing w:after="0" w:line="240" w:lineRule="auto"/>
        <w:rPr>
          <w:rFonts w:eastAsia="Calibri" w:cstheme="minorHAnsi"/>
          <w:sz w:val="24"/>
          <w:szCs w:val="24"/>
        </w:rPr>
      </w:pPr>
      <w:r w:rsidRPr="00EC3F9E">
        <w:rPr>
          <w:rFonts w:eastAsia="Calibri" w:cstheme="minorHAnsi"/>
          <w:sz w:val="24"/>
          <w:szCs w:val="24"/>
        </w:rPr>
        <w:t>$39,410.84 will be designated as the Administrative Allowance</w:t>
      </w:r>
    </w:p>
    <w:p w14:paraId="7EA1E078" w14:textId="77777777" w:rsidR="00EC3F9E" w:rsidRPr="00EC3F9E" w:rsidRDefault="00EC3F9E" w:rsidP="00EC3F9E">
      <w:pPr>
        <w:spacing w:after="0" w:line="240" w:lineRule="auto"/>
        <w:ind w:left="1440"/>
        <w:rPr>
          <w:rFonts w:eastAsia="Calibri" w:cstheme="minorHAnsi"/>
          <w:sz w:val="24"/>
          <w:szCs w:val="24"/>
        </w:rPr>
      </w:pPr>
    </w:p>
    <w:p w14:paraId="6F2ABC31" w14:textId="64DB6CB3" w:rsidR="00EC3F9E" w:rsidRDefault="00EC3F9E" w:rsidP="00EC3F9E">
      <w:pPr>
        <w:numPr>
          <w:ilvl w:val="0"/>
          <w:numId w:val="37"/>
        </w:numPr>
        <w:spacing w:after="0" w:line="240" w:lineRule="auto"/>
        <w:rPr>
          <w:rFonts w:eastAsia="Calibri" w:cstheme="minorHAnsi"/>
          <w:sz w:val="24"/>
          <w:szCs w:val="24"/>
        </w:rPr>
      </w:pPr>
      <w:r w:rsidRPr="00EC3F9E">
        <w:rPr>
          <w:rFonts w:eastAsia="Calibri" w:cstheme="minorHAnsi"/>
          <w:sz w:val="24"/>
          <w:szCs w:val="24"/>
        </w:rPr>
        <w:t xml:space="preserve">To comply with the Holder’s obligation to contribute to the Statewide CHI Initiative, the Holder must submit a check for $318,571.03 to Health Resources in Action (the fiscal agent for the CHI Statewide Initiative). </w:t>
      </w:r>
    </w:p>
    <w:p w14:paraId="50E60749" w14:textId="77777777" w:rsidR="00EC3F9E" w:rsidRPr="00EC3F9E" w:rsidRDefault="00EC3F9E" w:rsidP="00EC3F9E">
      <w:pPr>
        <w:spacing w:after="0" w:line="240" w:lineRule="auto"/>
        <w:ind w:left="720"/>
        <w:rPr>
          <w:rFonts w:eastAsia="Calibri" w:cstheme="minorHAnsi"/>
          <w:sz w:val="24"/>
          <w:szCs w:val="24"/>
        </w:rPr>
      </w:pPr>
    </w:p>
    <w:p w14:paraId="55829132" w14:textId="77777777" w:rsidR="00EC3F9E" w:rsidRPr="00EC3F9E" w:rsidRDefault="00EC3F9E" w:rsidP="00C47368">
      <w:pPr>
        <w:numPr>
          <w:ilvl w:val="1"/>
          <w:numId w:val="37"/>
        </w:numPr>
        <w:spacing w:after="0" w:line="240" w:lineRule="auto"/>
        <w:rPr>
          <w:rFonts w:eastAsia="Calibri" w:cstheme="minorHAnsi"/>
          <w:sz w:val="24"/>
          <w:szCs w:val="24"/>
        </w:rPr>
      </w:pPr>
      <w:r w:rsidRPr="00EC3F9E">
        <w:rPr>
          <w:rFonts w:eastAsia="Calibri" w:cstheme="minorHAnsi"/>
          <w:sz w:val="24"/>
          <w:szCs w:val="24"/>
        </w:rPr>
        <w:t xml:space="preserve">The Holder must submit the funds to HRiA within 30 days from the date of the Notice of Approval. </w:t>
      </w:r>
    </w:p>
    <w:p w14:paraId="0D090C80" w14:textId="23B269D1" w:rsidR="00EC3F9E" w:rsidRDefault="00EC3F9E" w:rsidP="00C47368">
      <w:pPr>
        <w:numPr>
          <w:ilvl w:val="1"/>
          <w:numId w:val="37"/>
        </w:numPr>
        <w:spacing w:after="0" w:line="240" w:lineRule="auto"/>
        <w:rPr>
          <w:rFonts w:eastAsia="Calibri" w:cstheme="minorHAnsi"/>
          <w:sz w:val="24"/>
          <w:szCs w:val="24"/>
        </w:rPr>
      </w:pPr>
      <w:r w:rsidRPr="00EC3F9E">
        <w:rPr>
          <w:rFonts w:eastAsia="Calibri" w:cstheme="minorHAnsi"/>
          <w:sz w:val="24"/>
          <w:szCs w:val="24"/>
        </w:rPr>
        <w:t>The Holder must promptly notify DPH (CHI contact staff) when the payment has been made.</w:t>
      </w:r>
    </w:p>
    <w:p w14:paraId="0E9238CB" w14:textId="77777777" w:rsidR="00EC3F9E" w:rsidRPr="00EC3F9E" w:rsidRDefault="00EC3F9E" w:rsidP="00EC3F9E">
      <w:pPr>
        <w:spacing w:after="0" w:line="240" w:lineRule="auto"/>
        <w:ind w:left="2160"/>
        <w:rPr>
          <w:rFonts w:eastAsia="Calibri" w:cstheme="minorHAnsi"/>
          <w:sz w:val="24"/>
          <w:szCs w:val="24"/>
        </w:rPr>
      </w:pPr>
    </w:p>
    <w:p w14:paraId="2F313C1B" w14:textId="77777777" w:rsidR="00EC3F9E" w:rsidRPr="00EC3F9E" w:rsidRDefault="00EC3F9E" w:rsidP="00C47368">
      <w:pPr>
        <w:ind w:left="2160"/>
        <w:rPr>
          <w:rFonts w:eastAsia="Calibri" w:cstheme="minorHAnsi"/>
          <w:sz w:val="24"/>
          <w:szCs w:val="24"/>
        </w:rPr>
      </w:pPr>
      <w:r w:rsidRPr="00EC3F9E">
        <w:rPr>
          <w:rFonts w:eastAsia="Calibri" w:cstheme="minorHAnsi"/>
          <w:sz w:val="24"/>
          <w:szCs w:val="24"/>
        </w:rPr>
        <w:t xml:space="preserve">Payment should be sent to: </w:t>
      </w:r>
    </w:p>
    <w:p w14:paraId="0EDB94BB" w14:textId="77777777" w:rsidR="00EC3F9E" w:rsidRPr="00EC3F9E" w:rsidRDefault="00EC3F9E" w:rsidP="00C47368">
      <w:pPr>
        <w:spacing w:after="0" w:line="240" w:lineRule="auto"/>
        <w:ind w:left="2160"/>
        <w:rPr>
          <w:rFonts w:eastAsia="Calibri" w:cstheme="minorHAnsi"/>
          <w:sz w:val="24"/>
          <w:szCs w:val="24"/>
        </w:rPr>
      </w:pPr>
      <w:r w:rsidRPr="00EC3F9E">
        <w:rPr>
          <w:rFonts w:eastAsia="Calibri" w:cstheme="minorHAnsi"/>
          <w:sz w:val="24"/>
          <w:szCs w:val="24"/>
        </w:rPr>
        <w:t xml:space="preserve">Health Resources in Action, Inc., (HRiA) </w:t>
      </w:r>
    </w:p>
    <w:p w14:paraId="18E570E6" w14:textId="77777777" w:rsidR="00EC3F9E" w:rsidRPr="00EC3F9E" w:rsidRDefault="00EC3F9E" w:rsidP="00C47368">
      <w:pPr>
        <w:spacing w:after="0" w:line="240" w:lineRule="auto"/>
        <w:ind w:left="2160"/>
        <w:rPr>
          <w:rFonts w:eastAsia="Calibri" w:cstheme="minorHAnsi"/>
          <w:sz w:val="24"/>
          <w:szCs w:val="24"/>
        </w:rPr>
      </w:pPr>
      <w:r w:rsidRPr="00EC3F9E">
        <w:rPr>
          <w:rFonts w:eastAsia="Calibri" w:cstheme="minorHAnsi"/>
          <w:sz w:val="24"/>
          <w:szCs w:val="24"/>
        </w:rPr>
        <w:t xml:space="preserve">2 Boylston Street, 4th Floor </w:t>
      </w:r>
    </w:p>
    <w:p w14:paraId="3528EC6A" w14:textId="77777777" w:rsidR="00EC3F9E" w:rsidRPr="00EC3F9E" w:rsidRDefault="00EC3F9E" w:rsidP="00C47368">
      <w:pPr>
        <w:spacing w:after="0" w:line="240" w:lineRule="auto"/>
        <w:ind w:left="2160"/>
        <w:rPr>
          <w:rFonts w:eastAsia="Calibri" w:cstheme="minorHAnsi"/>
          <w:sz w:val="24"/>
          <w:szCs w:val="24"/>
        </w:rPr>
      </w:pPr>
      <w:r w:rsidRPr="00EC3F9E">
        <w:rPr>
          <w:rFonts w:eastAsia="Calibri" w:cstheme="minorHAnsi"/>
          <w:sz w:val="24"/>
          <w:szCs w:val="24"/>
        </w:rPr>
        <w:t xml:space="preserve">Boston, MA 02116 </w:t>
      </w:r>
    </w:p>
    <w:p w14:paraId="7E027592" w14:textId="77777777" w:rsidR="00EC3F9E" w:rsidRPr="00EC3F9E" w:rsidRDefault="00EC3F9E" w:rsidP="00C47368">
      <w:pPr>
        <w:ind w:left="2160"/>
        <w:rPr>
          <w:rFonts w:eastAsia="Calibri" w:cstheme="minorHAnsi"/>
          <w:sz w:val="24"/>
          <w:szCs w:val="24"/>
        </w:rPr>
      </w:pPr>
      <w:r w:rsidRPr="00EC3F9E">
        <w:rPr>
          <w:rFonts w:eastAsia="Calibri" w:cstheme="minorHAnsi"/>
          <w:sz w:val="24"/>
          <w:szCs w:val="24"/>
        </w:rPr>
        <w:t>Attn: Ms. Bora Toro</w:t>
      </w:r>
    </w:p>
    <w:p w14:paraId="2AFFC4AF" w14:textId="4622565A" w:rsidR="004A36F2" w:rsidRDefault="004A36F2">
      <w:pPr>
        <w:rPr>
          <w:rFonts w:eastAsia="Calibri" w:cstheme="minorHAnsi"/>
          <w:sz w:val="24"/>
          <w:szCs w:val="24"/>
        </w:rPr>
      </w:pPr>
      <w:r>
        <w:rPr>
          <w:rFonts w:eastAsia="Calibri" w:cstheme="minorHAnsi"/>
          <w:sz w:val="24"/>
          <w:szCs w:val="24"/>
        </w:rPr>
        <w:br w:type="page"/>
      </w:r>
    </w:p>
    <w:p w14:paraId="2E578720" w14:textId="77777777" w:rsidR="00DC13B1" w:rsidRPr="00241F83" w:rsidRDefault="00DC13B1">
      <w:pPr>
        <w:rPr>
          <w:rFonts w:eastAsia="Calibri" w:cstheme="minorHAnsi"/>
          <w:sz w:val="24"/>
          <w:szCs w:val="24"/>
        </w:rPr>
      </w:pPr>
    </w:p>
    <w:p w14:paraId="0DE3D456" w14:textId="078F6046" w:rsidR="00DE1496" w:rsidRPr="00DE1496" w:rsidRDefault="0047450B" w:rsidP="004557E2">
      <w:pPr>
        <w:pStyle w:val="Heading1"/>
        <w:spacing w:before="0" w:line="240" w:lineRule="auto"/>
        <w:rPr>
          <w:color w:val="44546A"/>
        </w:rPr>
      </w:pPr>
      <w:bookmarkStart w:id="99" w:name="_Toc115776599"/>
      <w:r>
        <w:rPr>
          <w:rFonts w:asciiTheme="minorHAnsi" w:hAnsiTheme="minorHAnsi" w:cstheme="minorHAnsi"/>
        </w:rPr>
        <w:t>Appendi</w:t>
      </w:r>
      <w:r w:rsidR="00B75E11">
        <w:rPr>
          <w:rFonts w:asciiTheme="minorHAnsi" w:hAnsiTheme="minorHAnsi" w:cstheme="minorHAnsi"/>
        </w:rPr>
        <w:t>x</w:t>
      </w:r>
      <w:r w:rsidR="00264B81">
        <w:rPr>
          <w:rFonts w:ascii="Calibri Light" w:hAnsi="Calibri Light" w:cs="Calibri Light"/>
          <w:b w:val="0"/>
          <w:sz w:val="32"/>
          <w:szCs w:val="32"/>
        </w:rPr>
        <w:br/>
      </w:r>
      <w:r w:rsidR="00264B81">
        <w:rPr>
          <w:rFonts w:ascii="Calibri Light" w:hAnsi="Calibri Light" w:cs="Calibri Light"/>
          <w:b w:val="0"/>
          <w:sz w:val="32"/>
          <w:szCs w:val="32"/>
        </w:rPr>
        <w:br/>
      </w:r>
      <w:bookmarkStart w:id="100" w:name="_Hlk102482699"/>
      <w:r w:rsidR="00DE1496" w:rsidRPr="004557E2">
        <w:rPr>
          <w:rFonts w:asciiTheme="minorHAnsi" w:hAnsiTheme="minorHAnsi" w:cstheme="minorHAnsi"/>
          <w:color w:val="44546A"/>
        </w:rPr>
        <w:t>Quality Reporting Measures</w:t>
      </w:r>
      <w:bookmarkEnd w:id="99"/>
    </w:p>
    <w:p w14:paraId="7855A2A8" w14:textId="77777777" w:rsidR="00DE1496" w:rsidRPr="00DE1496" w:rsidRDefault="00DE1496" w:rsidP="00DE1496">
      <w:pPr>
        <w:numPr>
          <w:ilvl w:val="0"/>
          <w:numId w:val="25"/>
        </w:numPr>
        <w:spacing w:after="0" w:line="240" w:lineRule="auto"/>
        <w:contextualSpacing/>
        <w:rPr>
          <w:rFonts w:eastAsiaTheme="minorEastAsia"/>
          <w:sz w:val="24"/>
          <w:szCs w:val="24"/>
        </w:rPr>
      </w:pPr>
      <w:r w:rsidRPr="00DE1496">
        <w:rPr>
          <w:b/>
          <w:bCs/>
          <w:sz w:val="24"/>
          <w:szCs w:val="24"/>
        </w:rPr>
        <w:t>Patient Fall Prevention</w:t>
      </w:r>
      <w:r w:rsidRPr="00DE1496">
        <w:rPr>
          <w:sz w:val="24"/>
          <w:szCs w:val="24"/>
        </w:rPr>
        <w:t>: This measure is the incidence of patient falls that occur within the ASC either before or after surgery. Fall prevention is critical to an interdisciplinary approach to care.</w:t>
      </w:r>
    </w:p>
    <w:p w14:paraId="084E08D0" w14:textId="77777777" w:rsidR="00DE1496" w:rsidRPr="00DE1496" w:rsidRDefault="00DE1496" w:rsidP="00DE1496">
      <w:pPr>
        <w:numPr>
          <w:ilvl w:val="1"/>
          <w:numId w:val="25"/>
        </w:numPr>
        <w:spacing w:after="0" w:line="240" w:lineRule="auto"/>
        <w:contextualSpacing/>
        <w:rPr>
          <w:sz w:val="24"/>
          <w:szCs w:val="24"/>
        </w:rPr>
      </w:pPr>
      <w:r w:rsidRPr="00DE1496">
        <w:rPr>
          <w:sz w:val="24"/>
          <w:szCs w:val="24"/>
        </w:rPr>
        <w:t xml:space="preserve">Measure: The number of patient falls. A fall is defined as a sudden, unintentional descent, with or without injury to the patient that results in the patient coming to rest on the floor, on or against another surface, on another person, or an object. </w:t>
      </w:r>
    </w:p>
    <w:p w14:paraId="34B4B7C1" w14:textId="77777777" w:rsidR="00DE1496" w:rsidRPr="00DE1496" w:rsidRDefault="00DE1496" w:rsidP="00DE1496">
      <w:pPr>
        <w:numPr>
          <w:ilvl w:val="1"/>
          <w:numId w:val="25"/>
        </w:numPr>
        <w:spacing w:after="0" w:line="240" w:lineRule="auto"/>
        <w:contextualSpacing/>
        <w:rPr>
          <w:sz w:val="24"/>
          <w:szCs w:val="24"/>
        </w:rPr>
      </w:pPr>
      <w:r w:rsidRPr="00DE1496">
        <w:rPr>
          <w:sz w:val="24"/>
          <w:szCs w:val="24"/>
        </w:rPr>
        <w:t>Projections: Since the Proposed Project is a new ASC and the Applicant is a newly created entity, the Applicant will provide baseline data and projections following the first full fiscal year once implementation of the Proposed Project is complete.</w:t>
      </w:r>
    </w:p>
    <w:p w14:paraId="13FA36B1" w14:textId="77777777" w:rsidR="00DE1496" w:rsidRPr="00DE1496" w:rsidRDefault="00DE1496" w:rsidP="00DE1496">
      <w:pPr>
        <w:numPr>
          <w:ilvl w:val="1"/>
          <w:numId w:val="25"/>
        </w:numPr>
        <w:spacing w:after="0" w:line="240" w:lineRule="auto"/>
        <w:contextualSpacing/>
        <w:rPr>
          <w:sz w:val="24"/>
          <w:szCs w:val="24"/>
        </w:rPr>
      </w:pPr>
      <w:r w:rsidRPr="00DE1496">
        <w:rPr>
          <w:sz w:val="24"/>
          <w:szCs w:val="24"/>
        </w:rPr>
        <w:t>Monitoring: Monthly</w:t>
      </w:r>
    </w:p>
    <w:p w14:paraId="0110D409" w14:textId="77777777" w:rsidR="00DE1496" w:rsidRPr="00DE1496" w:rsidRDefault="00DE1496" w:rsidP="00DE1496">
      <w:pPr>
        <w:spacing w:after="0" w:line="240" w:lineRule="auto"/>
        <w:ind w:left="720"/>
        <w:contextualSpacing/>
        <w:rPr>
          <w:rFonts w:eastAsiaTheme="minorEastAsia" w:cstheme="minorHAnsi"/>
          <w:sz w:val="24"/>
          <w:szCs w:val="24"/>
        </w:rPr>
      </w:pPr>
    </w:p>
    <w:p w14:paraId="7DA3056D" w14:textId="77777777" w:rsidR="00DE1496" w:rsidRPr="00DE1496" w:rsidRDefault="00DE1496" w:rsidP="00DE1496">
      <w:pPr>
        <w:numPr>
          <w:ilvl w:val="0"/>
          <w:numId w:val="25"/>
        </w:numPr>
        <w:spacing w:after="0" w:line="240" w:lineRule="auto"/>
        <w:contextualSpacing/>
        <w:rPr>
          <w:rFonts w:eastAsiaTheme="minorEastAsia" w:cstheme="minorHAnsi"/>
          <w:sz w:val="24"/>
          <w:szCs w:val="24"/>
        </w:rPr>
      </w:pPr>
      <w:r w:rsidRPr="00DE1496">
        <w:rPr>
          <w:b/>
          <w:bCs/>
          <w:sz w:val="24"/>
          <w:szCs w:val="24"/>
        </w:rPr>
        <w:t>Surgical Site Infection</w:t>
      </w:r>
      <w:r w:rsidRPr="00DE1496">
        <w:rPr>
          <w:sz w:val="24"/>
          <w:szCs w:val="24"/>
        </w:rPr>
        <w:t>: Surgical Site Infections can be a significant setback to the patient’s recovery. Effective surgical infection prevention encompasses systems and processes to reduce risk factors and optimize evidence-based processes of care.</w:t>
      </w:r>
    </w:p>
    <w:p w14:paraId="72143496" w14:textId="77777777" w:rsidR="00DE1496" w:rsidRPr="00DE1496" w:rsidRDefault="00DE1496" w:rsidP="00DE1496">
      <w:pPr>
        <w:numPr>
          <w:ilvl w:val="1"/>
          <w:numId w:val="25"/>
        </w:numPr>
        <w:spacing w:after="0" w:line="240" w:lineRule="auto"/>
        <w:contextualSpacing/>
        <w:rPr>
          <w:sz w:val="24"/>
          <w:szCs w:val="24"/>
        </w:rPr>
      </w:pPr>
      <w:r w:rsidRPr="00DE1496">
        <w:rPr>
          <w:sz w:val="24"/>
          <w:szCs w:val="24"/>
        </w:rPr>
        <w:t xml:space="preserve">Measure: The number of infections that were not present or incubating at the time of admission to the facility that occur within 90 days of surgery for hip replacement, knee replacement, laminectomy, and spinal fusions. </w:t>
      </w:r>
    </w:p>
    <w:p w14:paraId="0C324BF7" w14:textId="77777777" w:rsidR="00DE1496" w:rsidRPr="00DE1496" w:rsidRDefault="00DE1496" w:rsidP="00DE1496">
      <w:pPr>
        <w:numPr>
          <w:ilvl w:val="1"/>
          <w:numId w:val="25"/>
        </w:numPr>
        <w:spacing w:after="0" w:line="240" w:lineRule="auto"/>
        <w:contextualSpacing/>
        <w:rPr>
          <w:sz w:val="24"/>
          <w:szCs w:val="24"/>
        </w:rPr>
      </w:pPr>
      <w:r w:rsidRPr="00DE1496">
        <w:rPr>
          <w:sz w:val="24"/>
          <w:szCs w:val="24"/>
        </w:rPr>
        <w:t>Projections: Since the Proposed Project is a new ASC and the Applicant is a newly created entity, the Applicant will provide baseline data and projections following the first full fiscal year once implementation of the Proposed Project is complete.</w:t>
      </w:r>
    </w:p>
    <w:p w14:paraId="009904BF" w14:textId="77777777" w:rsidR="00DE1496" w:rsidRPr="00DE1496" w:rsidRDefault="00DE1496" w:rsidP="00DE1496">
      <w:pPr>
        <w:numPr>
          <w:ilvl w:val="1"/>
          <w:numId w:val="25"/>
        </w:numPr>
        <w:spacing w:after="0" w:line="240" w:lineRule="auto"/>
        <w:contextualSpacing/>
        <w:rPr>
          <w:sz w:val="24"/>
          <w:szCs w:val="24"/>
        </w:rPr>
      </w:pPr>
      <w:r w:rsidRPr="00DE1496">
        <w:rPr>
          <w:sz w:val="24"/>
          <w:szCs w:val="24"/>
        </w:rPr>
        <w:t>Monitoring: Monthly and quarterly</w:t>
      </w:r>
    </w:p>
    <w:p w14:paraId="0957C7D7" w14:textId="77777777" w:rsidR="00DE1496" w:rsidRPr="00DE1496" w:rsidRDefault="00DE1496" w:rsidP="00DE1496">
      <w:pPr>
        <w:spacing w:after="0" w:line="240" w:lineRule="auto"/>
        <w:ind w:left="720"/>
        <w:contextualSpacing/>
        <w:rPr>
          <w:rFonts w:eastAsiaTheme="minorEastAsia"/>
          <w:sz w:val="24"/>
          <w:szCs w:val="24"/>
        </w:rPr>
      </w:pPr>
    </w:p>
    <w:p w14:paraId="079A3C48" w14:textId="77777777" w:rsidR="00DE1496" w:rsidRPr="00DE1496" w:rsidRDefault="00DE1496" w:rsidP="00DE1496">
      <w:pPr>
        <w:numPr>
          <w:ilvl w:val="0"/>
          <w:numId w:val="25"/>
        </w:numPr>
        <w:spacing w:after="0" w:line="240" w:lineRule="auto"/>
        <w:contextualSpacing/>
        <w:rPr>
          <w:rFonts w:eastAsiaTheme="minorEastAsia"/>
          <w:sz w:val="24"/>
          <w:szCs w:val="24"/>
        </w:rPr>
      </w:pPr>
      <w:r w:rsidRPr="00DE1496">
        <w:rPr>
          <w:b/>
          <w:bCs/>
          <w:sz w:val="24"/>
          <w:szCs w:val="24"/>
        </w:rPr>
        <w:t>Patient Satisfaction</w:t>
      </w:r>
      <w:r w:rsidRPr="00DE1496">
        <w:rPr>
          <w:sz w:val="24"/>
          <w:szCs w:val="24"/>
        </w:rPr>
        <w:t>: This self-reported metric measures the extent to which a patient is content with the care that they received from their health care provider. The results will drive performance improvement to enhance patient satisfaction.</w:t>
      </w:r>
    </w:p>
    <w:p w14:paraId="43074579" w14:textId="77777777" w:rsidR="00DE1496" w:rsidRPr="00DE1496" w:rsidRDefault="00DE1496" w:rsidP="00DE1496">
      <w:pPr>
        <w:numPr>
          <w:ilvl w:val="1"/>
          <w:numId w:val="25"/>
        </w:numPr>
        <w:spacing w:after="0" w:line="240" w:lineRule="auto"/>
        <w:contextualSpacing/>
        <w:rPr>
          <w:rFonts w:eastAsiaTheme="minorEastAsia"/>
          <w:sz w:val="24"/>
          <w:szCs w:val="24"/>
        </w:rPr>
      </w:pPr>
      <w:r w:rsidRPr="00DE1496">
        <w:rPr>
          <w:sz w:val="24"/>
          <w:szCs w:val="24"/>
        </w:rPr>
        <w:t>Measure: CAHPS Patient Satisfaction Survey – Overall Rating 9/10 on Scale of 1-10.</w:t>
      </w:r>
    </w:p>
    <w:p w14:paraId="090114B4" w14:textId="77777777" w:rsidR="00DE1496" w:rsidRPr="00DE1496" w:rsidRDefault="00DE1496" w:rsidP="00DE1496">
      <w:pPr>
        <w:numPr>
          <w:ilvl w:val="1"/>
          <w:numId w:val="25"/>
        </w:numPr>
        <w:spacing w:after="0" w:line="240" w:lineRule="auto"/>
        <w:contextualSpacing/>
        <w:rPr>
          <w:sz w:val="24"/>
          <w:szCs w:val="24"/>
        </w:rPr>
      </w:pPr>
      <w:r w:rsidRPr="00DE1496">
        <w:rPr>
          <w:sz w:val="24"/>
          <w:szCs w:val="24"/>
        </w:rPr>
        <w:t>Projections: Since the Proposed Project is a new ASC and the Applicant is a newly created entity, the Applicant will provide baseline data and projections following the first full fiscal year once implementation of the Proposed Project is complete.</w:t>
      </w:r>
    </w:p>
    <w:p w14:paraId="0984022E" w14:textId="77777777" w:rsidR="00DE1496" w:rsidRPr="00DE1496" w:rsidRDefault="00DE1496" w:rsidP="00DE1496">
      <w:pPr>
        <w:numPr>
          <w:ilvl w:val="1"/>
          <w:numId w:val="25"/>
        </w:numPr>
        <w:spacing w:after="0" w:line="240" w:lineRule="auto"/>
        <w:contextualSpacing/>
        <w:rPr>
          <w:sz w:val="24"/>
          <w:szCs w:val="24"/>
        </w:rPr>
      </w:pPr>
      <w:r w:rsidRPr="00DE1496">
        <w:rPr>
          <w:sz w:val="24"/>
          <w:szCs w:val="24"/>
        </w:rPr>
        <w:t>Monitoring: Monthly</w:t>
      </w:r>
    </w:p>
    <w:p w14:paraId="1C8FED50" w14:textId="28544873" w:rsidR="00DE1496" w:rsidRDefault="00DE1496" w:rsidP="00D4346E">
      <w:pPr>
        <w:pStyle w:val="Heading1"/>
        <w:spacing w:line="240" w:lineRule="auto"/>
        <w:rPr>
          <w:color w:val="44546A"/>
        </w:rPr>
      </w:pPr>
    </w:p>
    <w:bookmarkEnd w:id="100"/>
    <w:p w14:paraId="49D42BD6" w14:textId="77777777" w:rsidR="00264B81" w:rsidRDefault="00264B81">
      <w:pPr>
        <w:rPr>
          <w:rFonts w:cstheme="minorHAnsi"/>
          <w:sz w:val="18"/>
          <w:szCs w:val="18"/>
        </w:rPr>
      </w:pPr>
      <w:r>
        <w:rPr>
          <w:rFonts w:cstheme="minorHAnsi"/>
          <w:sz w:val="18"/>
          <w:szCs w:val="18"/>
        </w:rPr>
        <w:br w:type="page"/>
      </w:r>
    </w:p>
    <w:p w14:paraId="6A2FF12B" w14:textId="57018D86" w:rsidR="003253C6" w:rsidRPr="00D4346E" w:rsidRDefault="001C3E2E" w:rsidP="00DC13B1">
      <w:pPr>
        <w:spacing w:after="0" w:line="240" w:lineRule="auto"/>
        <w:ind w:right="540"/>
        <w:contextualSpacing/>
        <w:rPr>
          <w:rFonts w:eastAsia="Calibri" w:cstheme="minorHAnsi"/>
          <w:sz w:val="28"/>
          <w:szCs w:val="28"/>
        </w:rPr>
      </w:pPr>
      <w:r w:rsidRPr="00D4346E">
        <w:rPr>
          <w:rFonts w:cstheme="minorHAnsi"/>
          <w:b/>
          <w:sz w:val="28"/>
          <w:szCs w:val="28"/>
        </w:rPr>
        <w:lastRenderedPageBreak/>
        <w:t>REFERENCES</w:t>
      </w:r>
    </w:p>
    <w:sectPr w:rsidR="003253C6" w:rsidRPr="00D4346E" w:rsidSect="00224A39">
      <w:headerReference w:type="even" r:id="rId10"/>
      <w:headerReference w:type="default" r:id="rId11"/>
      <w:footerReference w:type="default" r:id="rId12"/>
      <w:headerReference w:type="first" r:id="rId13"/>
      <w:endnotePr>
        <w:numFmt w:val="lowerLetter"/>
      </w:endnotePr>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6B7C" w14:textId="77777777" w:rsidR="009A1F3E" w:rsidRDefault="009A1F3E" w:rsidP="008C0709">
      <w:pPr>
        <w:spacing w:after="0" w:line="240" w:lineRule="auto"/>
      </w:pPr>
      <w:r>
        <w:separator/>
      </w:r>
    </w:p>
  </w:endnote>
  <w:endnote w:type="continuationSeparator" w:id="0">
    <w:p w14:paraId="5C3FFBBD" w14:textId="77777777" w:rsidR="009A1F3E" w:rsidRDefault="009A1F3E" w:rsidP="008C0709">
      <w:pPr>
        <w:spacing w:after="0" w:line="240" w:lineRule="auto"/>
      </w:pPr>
      <w:r>
        <w:continuationSeparator/>
      </w:r>
    </w:p>
  </w:endnote>
  <w:endnote w:id="1">
    <w:p w14:paraId="1C2BC452" w14:textId="06C45177" w:rsidR="004A36F2" w:rsidRPr="005D3C0C" w:rsidRDefault="004A36F2" w:rsidP="00C51FD3">
      <w:pPr>
        <w:pStyle w:val="EndnoteText"/>
      </w:pPr>
      <w:r>
        <w:rPr>
          <w:rStyle w:val="EndnoteReference"/>
        </w:rPr>
        <w:endnoteRef/>
      </w:r>
      <w:r>
        <w:t xml:space="preserve"> </w:t>
      </w:r>
      <w:r w:rsidRPr="005D3C0C">
        <w:t xml:space="preserve">Madeleine McDowell, MD, FAAP. </w:t>
      </w:r>
      <w:hyperlink r:id="rId1" w:history="1">
        <w:r w:rsidRPr="00ED7B11">
          <w:rPr>
            <w:rStyle w:val="Hyperlink"/>
            <w:color w:val="auto"/>
            <w:u w:val="none"/>
          </w:rPr>
          <w:t>Sg2 2021 Impact of Change® Forecast: Post-Pandemic Recovery, Rising Acuity and Ambulatory Shifts.</w:t>
        </w:r>
      </w:hyperlink>
      <w:r w:rsidRPr="00ED7B11">
        <w:t xml:space="preserve"> </w:t>
      </w:r>
      <w:r w:rsidRPr="005D3C0C">
        <w:t xml:space="preserve">(June 2021). Available at: </w:t>
      </w:r>
      <w:hyperlink r:id="rId2" w:history="1">
        <w:r w:rsidR="00613AE5" w:rsidRPr="0030419B">
          <w:rPr>
            <w:rStyle w:val="Hyperlink"/>
          </w:rPr>
          <w:t>https://www.sg2.com/health-care-intelligence-blog/2021/06/sg2-2021-impact-of-change-forecast/</w:t>
        </w:r>
      </w:hyperlink>
      <w:r w:rsidR="00613AE5">
        <w:t xml:space="preserve"> </w:t>
      </w:r>
    </w:p>
  </w:endnote>
  <w:endnote w:id="2">
    <w:p w14:paraId="4B3B901B" w14:textId="256FC8A4" w:rsidR="004A36F2" w:rsidRPr="005D3C0C" w:rsidRDefault="004A36F2" w:rsidP="002767EE">
      <w:pPr>
        <w:pStyle w:val="EndnoteText"/>
      </w:pPr>
      <w:r w:rsidRPr="005D3C0C">
        <w:rPr>
          <w:rStyle w:val="EndnoteReference"/>
        </w:rPr>
        <w:endnoteRef/>
      </w:r>
      <w:r w:rsidRPr="005D3C0C">
        <w:t xml:space="preserve"> Madeleine McDowell, MD, FAAP.</w:t>
      </w:r>
      <w:r w:rsidRPr="00ED7B11">
        <w:t xml:space="preserve"> </w:t>
      </w:r>
      <w:hyperlink r:id="rId3" w:history="1">
        <w:r w:rsidRPr="00ED7B11">
          <w:rPr>
            <w:rStyle w:val="Hyperlink"/>
            <w:color w:val="auto"/>
            <w:u w:val="none"/>
          </w:rPr>
          <w:t>Sg2 2021 Impact of Change® Forecast: Post-Pandemic Recovery, Rising Acuity and Ambulatory Shifts</w:t>
        </w:r>
      </w:hyperlink>
      <w:r w:rsidRPr="00ED7B11">
        <w:t xml:space="preserve">. </w:t>
      </w:r>
      <w:r w:rsidRPr="005D3C0C">
        <w:t xml:space="preserve">(June 2021). Available at: </w:t>
      </w:r>
      <w:hyperlink r:id="rId4" w:history="1">
        <w:r w:rsidR="00613AE5" w:rsidRPr="0030419B">
          <w:rPr>
            <w:rStyle w:val="Hyperlink"/>
          </w:rPr>
          <w:t>https://www.sg2.com/health-care-intelligence-blog/2021/06/sg2-2021-impact-of-change-forecast/</w:t>
        </w:r>
      </w:hyperlink>
      <w:r w:rsidR="00613AE5">
        <w:t xml:space="preserve"> </w:t>
      </w:r>
    </w:p>
  </w:endnote>
  <w:endnote w:id="3">
    <w:p w14:paraId="47142BAF" w14:textId="0F3A62FC" w:rsidR="004A36F2" w:rsidRPr="005D3C0C" w:rsidRDefault="004A36F2" w:rsidP="002767EE">
      <w:pPr>
        <w:pStyle w:val="EndnoteText"/>
      </w:pPr>
      <w:r w:rsidRPr="005D3C0C">
        <w:rPr>
          <w:rStyle w:val="EndnoteReference"/>
        </w:rPr>
        <w:endnoteRef/>
      </w:r>
      <w:r w:rsidRPr="005D3C0C">
        <w:t xml:space="preserve"> Madeleine McDowell, MD, FAAP.</w:t>
      </w:r>
      <w:r w:rsidRPr="00ED7B11">
        <w:t xml:space="preserve"> </w:t>
      </w:r>
      <w:hyperlink r:id="rId5" w:history="1">
        <w:r w:rsidRPr="00ED7B11">
          <w:rPr>
            <w:rStyle w:val="Hyperlink"/>
            <w:color w:val="auto"/>
            <w:u w:val="none"/>
          </w:rPr>
          <w:t>Sg2 2021 Impact of Change® Forecast: Post-Pandemic Recovery, Rising Acuity and Ambulatory Shifts.</w:t>
        </w:r>
      </w:hyperlink>
      <w:r w:rsidRPr="00ED7B11">
        <w:t xml:space="preserve"> </w:t>
      </w:r>
      <w:r w:rsidRPr="005D3C0C">
        <w:t xml:space="preserve">(June 2021). Available at: </w:t>
      </w:r>
      <w:hyperlink r:id="rId6" w:history="1">
        <w:r w:rsidR="00613AE5" w:rsidRPr="0030419B">
          <w:rPr>
            <w:rStyle w:val="Hyperlink"/>
          </w:rPr>
          <w:t>https://www.sg2.com/health-care-intelligence-blog/2021/06/sg2-2021-impact-of-change-forecast/</w:t>
        </w:r>
      </w:hyperlink>
      <w:r w:rsidR="00613AE5">
        <w:t xml:space="preserve"> </w:t>
      </w:r>
    </w:p>
  </w:endnote>
  <w:endnote w:id="4">
    <w:p w14:paraId="76C57653" w14:textId="77777777" w:rsidR="004A36F2" w:rsidRPr="005D3C0C" w:rsidRDefault="004A36F2" w:rsidP="00C51FD3">
      <w:pPr>
        <w:pStyle w:val="EndnoteText"/>
      </w:pPr>
      <w:r w:rsidRPr="005D3C0C">
        <w:rPr>
          <w:rStyle w:val="EndnoteReference"/>
        </w:rPr>
        <w:endnoteRef/>
      </w:r>
      <w:r w:rsidRPr="005D3C0C">
        <w:t xml:space="preserve"> Yang, Relin et al. “Unique Aspects of the Elderly Surgical Population: An Anesthesiologist’s Perspective.” Geriatric orthopaedic surgery &amp; rehabilitation vol. 2,2 (2011): 56-64. doi:10.1177/2151458510394606</w:t>
      </w:r>
    </w:p>
  </w:endnote>
  <w:endnote w:id="5">
    <w:p w14:paraId="6A6E76BF" w14:textId="77777777" w:rsidR="004A36F2" w:rsidRPr="005D3C0C" w:rsidRDefault="004A36F2" w:rsidP="00173C0C">
      <w:pPr>
        <w:pStyle w:val="EndnoteText"/>
      </w:pPr>
      <w:r w:rsidRPr="005D3C0C">
        <w:rPr>
          <w:rStyle w:val="EndnoteReference"/>
        </w:rPr>
        <w:endnoteRef/>
      </w:r>
      <w:r w:rsidRPr="005D3C0C">
        <w:t xml:space="preserve"> </w:t>
      </w:r>
      <w:r w:rsidRPr="005D3C0C">
        <w:rPr>
          <w:rFonts w:cstheme="minorHAnsi"/>
        </w:rPr>
        <w:t>Hall MJ, Schwartzman A, Zhang J, et al. Ambulatory surgery data from hospitals and ambulatory surgery centers: United States, 2010. Nat Health Stat Rep 2017;102:1-14.</w:t>
      </w:r>
    </w:p>
  </w:endnote>
  <w:endnote w:id="6">
    <w:p w14:paraId="558D03BF" w14:textId="6CBC6522" w:rsidR="004A36F2" w:rsidRPr="005D3C0C" w:rsidRDefault="004A36F2" w:rsidP="00AA7573">
      <w:pPr>
        <w:pStyle w:val="EndnoteText"/>
      </w:pPr>
      <w:r w:rsidRPr="005D3C0C">
        <w:rPr>
          <w:rStyle w:val="EndnoteReference"/>
        </w:rPr>
        <w:endnoteRef/>
      </w:r>
      <w:r w:rsidRPr="005D3C0C">
        <w:t xml:space="preserve"> Hootman, Jennifer M. et al. </w:t>
      </w:r>
      <w:hyperlink r:id="rId7" w:history="1">
        <w:r w:rsidRPr="00613AE5">
          <w:rPr>
            <w:rStyle w:val="Hyperlink"/>
            <w:color w:val="auto"/>
            <w:u w:val="none"/>
          </w:rPr>
          <w:t>Updated Projected Prevalence of Self-Reported Doctor-Diagnosed Arthritis and Arthritis-Attributable Activity Limitation Among US Adults, 2015-2040</w:t>
        </w:r>
      </w:hyperlink>
      <w:r w:rsidRPr="005D3C0C">
        <w:t xml:space="preserve">. (July 2016). Available at: </w:t>
      </w:r>
      <w:hyperlink r:id="rId8" w:history="1">
        <w:r w:rsidR="00613AE5" w:rsidRPr="0030419B">
          <w:rPr>
            <w:rStyle w:val="Hyperlink"/>
          </w:rPr>
          <w:t>https://pubmed.ncbi.nlm.nih.gov/27015600/</w:t>
        </w:r>
      </w:hyperlink>
      <w:r w:rsidR="00613AE5">
        <w:t xml:space="preserve"> </w:t>
      </w:r>
    </w:p>
  </w:endnote>
  <w:endnote w:id="7">
    <w:p w14:paraId="5E22C8AE" w14:textId="6C42C31C" w:rsidR="004A36F2" w:rsidRPr="005D3C0C" w:rsidRDefault="004A36F2" w:rsidP="00173C0C">
      <w:pPr>
        <w:pStyle w:val="EndnoteText"/>
      </w:pPr>
      <w:r w:rsidRPr="005D3C0C">
        <w:rPr>
          <w:rStyle w:val="EndnoteReference"/>
        </w:rPr>
        <w:endnoteRef/>
      </w:r>
      <w:r w:rsidRPr="005D3C0C">
        <w:t xml:space="preserve"> Drew, Jacob M. et al. </w:t>
      </w:r>
      <w:hyperlink r:id="rId9" w:history="1">
        <w:r w:rsidRPr="00D801E1">
          <w:rPr>
            <w:rStyle w:val="Hyperlink"/>
            <w:color w:val="auto"/>
            <w:u w:val="none"/>
          </w:rPr>
          <w:t>Trends in Total Knee Arthroplasty in the U.S.: Understanding the Shift to a Younger Demographic.</w:t>
        </w:r>
      </w:hyperlink>
      <w:r w:rsidRPr="005D3C0C">
        <w:t xml:space="preserve"> (March 2014). Available at: </w:t>
      </w:r>
      <w:hyperlink r:id="rId10" w:history="1">
        <w:r w:rsidR="00096FF3" w:rsidRPr="0030419B">
          <w:rPr>
            <w:rStyle w:val="Hyperlink"/>
          </w:rPr>
          <w:t>https://www.abstractsonline.com/Plan/ViewAbstract.aspx?mID=3358&amp;sKey=2ad4cafd-9e8b-42f3-8af1-c591b71fd9e6&amp;cKey=bd1c947a-e921-467a-b89b-1047fdb059c5&amp;mKey=4393d428-d755-4a34-8a63-26b1b7a349a1</w:t>
        </w:r>
      </w:hyperlink>
      <w:r w:rsidR="00096FF3">
        <w:t xml:space="preserve"> </w:t>
      </w:r>
    </w:p>
  </w:endnote>
  <w:endnote w:id="8">
    <w:p w14:paraId="77799DD0" w14:textId="3860B71A" w:rsidR="004A36F2" w:rsidRPr="005D3C0C" w:rsidRDefault="004A36F2" w:rsidP="00173C0C">
      <w:pPr>
        <w:pStyle w:val="EndnoteText"/>
      </w:pPr>
      <w:r w:rsidRPr="005D3C0C">
        <w:rPr>
          <w:rStyle w:val="EndnoteReference"/>
        </w:rPr>
        <w:endnoteRef/>
      </w:r>
      <w:r w:rsidRPr="005D3C0C">
        <w:t xml:space="preserve"> American Academy of Orthopedic Surgeons. </w:t>
      </w:r>
      <w:hyperlink r:id="rId11" w:history="1">
        <w:r w:rsidRPr="00D801E1">
          <w:rPr>
            <w:rStyle w:val="Hyperlink"/>
            <w:color w:val="auto"/>
            <w:u w:val="none"/>
          </w:rPr>
          <w:t>The Impact of Obesity on Bone and Joint Health</w:t>
        </w:r>
      </w:hyperlink>
      <w:r w:rsidRPr="005D3C0C">
        <w:t xml:space="preserve">. (March 2015). Available at: </w:t>
      </w:r>
      <w:hyperlink r:id="rId12" w:history="1">
        <w:r w:rsidR="00D801E1" w:rsidRPr="0030419B">
          <w:rPr>
            <w:rStyle w:val="Hyperlink"/>
          </w:rPr>
          <w:t>https://www.aaos.org/contentassets/1cd7f41417ec4dd4b5c4c48532183b96/1184-the-impact-of-obesity-on-bone-%20and-joint-health1.pdf</w:t>
        </w:r>
      </w:hyperlink>
      <w:r w:rsidR="00D801E1">
        <w:t xml:space="preserve"> </w:t>
      </w:r>
    </w:p>
  </w:endnote>
  <w:endnote w:id="9">
    <w:p w14:paraId="783F624B" w14:textId="441BE04D" w:rsidR="004A36F2" w:rsidRPr="005D3C0C" w:rsidRDefault="004A36F2" w:rsidP="00173C0C">
      <w:pPr>
        <w:pStyle w:val="EndnoteText"/>
      </w:pPr>
      <w:r w:rsidRPr="005D3C0C">
        <w:rPr>
          <w:rStyle w:val="EndnoteReference"/>
        </w:rPr>
        <w:endnoteRef/>
      </w:r>
      <w:r w:rsidRPr="005D3C0C">
        <w:t xml:space="preserve"> </w:t>
      </w:r>
      <w:hyperlink r:id="rId13" w:history="1">
        <w:r w:rsidRPr="00D801E1">
          <w:rPr>
            <w:rStyle w:val="Hyperlink"/>
            <w:color w:val="auto"/>
            <w:u w:val="none"/>
          </w:rPr>
          <w:t>Study: Commercial Insurance Cost Savings in Ambulatory Surgery Centers</w:t>
        </w:r>
      </w:hyperlink>
      <w:r w:rsidRPr="00D801E1">
        <w:t xml:space="preserve">. </w:t>
      </w:r>
      <w:r w:rsidRPr="005D3C0C">
        <w:t xml:space="preserve">(June 2016). Available at: </w:t>
      </w:r>
      <w:hyperlink r:id="rId14" w:history="1">
        <w:r w:rsidR="00D801E1" w:rsidRPr="0030419B">
          <w:rPr>
            <w:rStyle w:val="Hyperlink"/>
          </w:rPr>
          <w:t>https://www.ascassociation.org/advancingsurgicalcare/reducinghealthcarecosts/privatepayerdata/healthcarebluebookstudy</w:t>
        </w:r>
      </w:hyperlink>
      <w:r w:rsidR="00D801E1">
        <w:t xml:space="preserve"> </w:t>
      </w:r>
    </w:p>
  </w:endnote>
  <w:endnote w:id="10">
    <w:p w14:paraId="23733B9C" w14:textId="68C29A3B" w:rsidR="004A36F2" w:rsidRPr="005D3C0C" w:rsidRDefault="004A36F2" w:rsidP="005D3C0C">
      <w:pPr>
        <w:pStyle w:val="EndnoteText"/>
        <w:rPr>
          <w:rFonts w:cstheme="minorHAnsi"/>
        </w:rPr>
      </w:pPr>
      <w:r w:rsidRPr="005D3C0C">
        <w:rPr>
          <w:rStyle w:val="EndnoteReference"/>
          <w:rFonts w:cstheme="minorHAnsi"/>
        </w:rPr>
        <w:endnoteRef/>
      </w:r>
      <w:r w:rsidRPr="005D3C0C">
        <w:rPr>
          <w:rFonts w:cstheme="minorHAnsi"/>
        </w:rPr>
        <w:t xml:space="preserve"> Munnich EL, Parente ST. </w:t>
      </w:r>
      <w:hyperlink r:id="rId15" w:history="1">
        <w:r w:rsidRPr="00657495">
          <w:rPr>
            <w:rStyle w:val="Hyperlink"/>
            <w:rFonts w:cstheme="minorHAnsi"/>
            <w:color w:val="auto"/>
            <w:u w:val="none"/>
          </w:rPr>
          <w:t>Procedures take less time at ambulatory surgery centers, keeping costs down and ability to meet demand up</w:t>
        </w:r>
      </w:hyperlink>
      <w:r w:rsidRPr="00657495">
        <w:rPr>
          <w:rFonts w:cstheme="minorHAnsi"/>
        </w:rPr>
        <w:t xml:space="preserve">. </w:t>
      </w:r>
      <w:r w:rsidRPr="005D3C0C">
        <w:rPr>
          <w:rFonts w:cstheme="minorHAnsi"/>
        </w:rPr>
        <w:t xml:space="preserve">Health Aff (Millwood). 2014 May;33(5):764-9. doi: 10.1377/hlthaff.2013.1281. Available: </w:t>
      </w:r>
      <w:hyperlink r:id="rId16" w:history="1">
        <w:r w:rsidRPr="005D3C0C">
          <w:rPr>
            <w:rStyle w:val="Hyperlink"/>
            <w:rFonts w:cstheme="minorHAnsi"/>
          </w:rPr>
          <w:t>https://www.healthaffairs.org/doi/pdf/10.1377/hlthaff.2013.1281</w:t>
        </w:r>
      </w:hyperlink>
      <w:r w:rsidRPr="005D3C0C">
        <w:rPr>
          <w:rFonts w:cstheme="minorHAnsi"/>
        </w:rPr>
        <w:t xml:space="preserve"> </w:t>
      </w:r>
    </w:p>
  </w:endnote>
  <w:endnote w:id="11">
    <w:p w14:paraId="16C29416" w14:textId="77777777" w:rsidR="004A36F2" w:rsidRPr="005D3C0C" w:rsidRDefault="004A36F2" w:rsidP="005D3C0C">
      <w:pPr>
        <w:pStyle w:val="EndnoteText"/>
      </w:pPr>
      <w:r w:rsidRPr="005D3C0C">
        <w:rPr>
          <w:rStyle w:val="EndnoteReference"/>
        </w:rPr>
        <w:endnoteRef/>
      </w:r>
      <w:r w:rsidRPr="005D3C0C">
        <w:t xml:space="preserve"> Munnich EL, Parente ST. Returns to specialization: Evidence from the outpatient surgery market. J Health Econ. 2018;57:147‐167. doi:10.1016/j.jhealeco.2017.11.004</w:t>
      </w:r>
    </w:p>
  </w:endnote>
  <w:endnote w:id="12">
    <w:p w14:paraId="41B7BD40" w14:textId="08E56EE3" w:rsidR="004A36F2" w:rsidRPr="005D3C0C" w:rsidRDefault="004A36F2" w:rsidP="005D3C0C">
      <w:pPr>
        <w:pStyle w:val="EndnoteText"/>
      </w:pPr>
      <w:r w:rsidRPr="005D3C0C">
        <w:rPr>
          <w:rStyle w:val="EndnoteReference"/>
        </w:rPr>
        <w:endnoteRef/>
      </w:r>
      <w:r w:rsidRPr="005D3C0C">
        <w:t xml:space="preserve"> Hollenbeck BK, Dunn RL, Suskind AM, Strope SA, Zhang Y, Hollingsworth JM. </w:t>
      </w:r>
      <w:hyperlink r:id="rId17" w:history="1">
        <w:r w:rsidRPr="000B65F2">
          <w:rPr>
            <w:rStyle w:val="Hyperlink"/>
            <w:color w:val="auto"/>
            <w:u w:val="none"/>
          </w:rPr>
          <w:t>Ambulatory Surgery Centers and Their Intended Effects on Outpatient Surgery</w:t>
        </w:r>
      </w:hyperlink>
      <w:r w:rsidRPr="000B65F2">
        <w:t xml:space="preserve">. </w:t>
      </w:r>
      <w:r w:rsidRPr="005D3C0C">
        <w:t xml:space="preserve">Health Serv Res. 2015;50(5):1491‐1507. doi:10.1111/1475-6773.12278. Available: </w:t>
      </w:r>
      <w:hyperlink r:id="rId18" w:history="1">
        <w:r w:rsidRPr="005D3C0C">
          <w:rPr>
            <w:rStyle w:val="Hyperlink"/>
          </w:rPr>
          <w:t>https://www.ncbi.nlm.nih.gov/pmc/articles/PMC4600358/pdf/hesr0050-1491.pdf</w:t>
        </w:r>
      </w:hyperlink>
      <w:r w:rsidRPr="005D3C0C">
        <w:t xml:space="preserve"> </w:t>
      </w:r>
    </w:p>
  </w:endnote>
  <w:endnote w:id="13">
    <w:p w14:paraId="5625CA2B" w14:textId="77777777" w:rsidR="004A36F2" w:rsidRPr="005D3C0C" w:rsidRDefault="004A36F2" w:rsidP="00BA1CF3">
      <w:pPr>
        <w:pStyle w:val="EndnoteText"/>
      </w:pPr>
      <w:r w:rsidRPr="005D3C0C">
        <w:rPr>
          <w:rStyle w:val="EndnoteReference"/>
        </w:rPr>
        <w:endnoteRef/>
      </w:r>
      <w:r w:rsidRPr="005D3C0C">
        <w:t xml:space="preserve"> Munnich EL, Parente ST. Procedures take less time at ambulatory surgery centers, keeping costs down and ability to meet demand up. Health Aff (Millwood). 2014;33:764–769. doi:10.1377/hlthaff.2013.1281; Hall et al., </w:t>
      </w:r>
      <w:r w:rsidRPr="005D3C0C">
        <w:rPr>
          <w:i/>
        </w:rPr>
        <w:t xml:space="preserve">supra </w:t>
      </w:r>
      <w:r w:rsidRPr="005D3C0C">
        <w:t xml:space="preserve">note </w:t>
      </w:r>
      <w:r w:rsidRPr="005D3C0C">
        <w:rPr>
          <w:i/>
        </w:rPr>
        <w:t>i</w:t>
      </w:r>
      <w:r w:rsidRPr="005D3C0C">
        <w:t>.</w:t>
      </w:r>
    </w:p>
  </w:endnote>
  <w:endnote w:id="14">
    <w:p w14:paraId="4FD85005" w14:textId="77777777" w:rsidR="004A36F2" w:rsidRPr="005D3C0C" w:rsidRDefault="004A36F2" w:rsidP="005D3C0C">
      <w:pPr>
        <w:pStyle w:val="EndnoteText"/>
        <w:rPr>
          <w:rFonts w:cstheme="minorHAnsi"/>
        </w:rPr>
      </w:pPr>
      <w:r w:rsidRPr="005D3C0C">
        <w:rPr>
          <w:rStyle w:val="EndnoteReference"/>
          <w:rFonts w:cstheme="minorHAnsi"/>
        </w:rPr>
        <w:endnoteRef/>
      </w:r>
      <w:r w:rsidRPr="005D3C0C">
        <w:rPr>
          <w:rFonts w:cstheme="minorHAnsi"/>
        </w:rPr>
        <w:t xml:space="preserve"> Thompson NB, Calandruccio JH. Hand Surgery in the Ambulatory Surgery Center. Orthop Clin North Am. 2018 Jan;49(1):69-72. doi: 10.1016/j.ocl.2017.08.009. </w:t>
      </w:r>
    </w:p>
  </w:endnote>
  <w:endnote w:id="15">
    <w:p w14:paraId="3882B3B2" w14:textId="77777777" w:rsidR="004A36F2" w:rsidRPr="005D3C0C" w:rsidRDefault="004A36F2" w:rsidP="005D3C0C">
      <w:pPr>
        <w:pStyle w:val="EndnoteText"/>
        <w:rPr>
          <w:rFonts w:cstheme="minorHAnsi"/>
        </w:rPr>
      </w:pPr>
      <w:r w:rsidRPr="005D3C0C">
        <w:rPr>
          <w:rStyle w:val="EndnoteReference"/>
          <w:rFonts w:cstheme="minorHAnsi"/>
        </w:rPr>
        <w:endnoteRef/>
      </w:r>
      <w:r w:rsidRPr="005D3C0C">
        <w:rPr>
          <w:rFonts w:cstheme="minorHAnsi"/>
        </w:rPr>
        <w:t xml:space="preserve"> Goyal KS, Jain S, Buterbaugh GA, Imbriglia JE. The Safety of Hand and Upper-Extremity Surgical Procedures at a Freestanding Ambulatory Surgery Center: A Review of 28,737 Cases. J Bone Joint Surg Am. 2016 Apr 20;98(8):700-4. doi: 10.2106/JBJS.15.00239. Review.</w:t>
      </w:r>
    </w:p>
  </w:endnote>
  <w:endnote w:id="16">
    <w:p w14:paraId="241534B3" w14:textId="39054145" w:rsidR="004A36F2" w:rsidRPr="005D3C0C" w:rsidRDefault="004A36F2" w:rsidP="00AA6081">
      <w:pPr>
        <w:pStyle w:val="EndnoteText"/>
      </w:pPr>
      <w:r w:rsidRPr="005D3C0C">
        <w:rPr>
          <w:rStyle w:val="EndnoteReference"/>
        </w:rPr>
        <w:endnoteRef/>
      </w:r>
      <w:r w:rsidRPr="005D3C0C">
        <w:t xml:space="preserve"> </w:t>
      </w:r>
      <w:r w:rsidRPr="005D3C0C">
        <w:rPr>
          <w:rFonts w:ascii="Calibri" w:eastAsia="Calibri" w:hAnsi="Calibri" w:cs="Times New Roman"/>
        </w:rPr>
        <w:t>Eytan, D., MD, PhD, Gina M. Mosich, G, MD, Bendich, I., MD, MBA, Kapadia, BM.,S, Ast, M., MD, Westrich, G., MD</w:t>
      </w:r>
      <w:r w:rsidRPr="005D3C0C">
        <w:t xml:space="preserve"> </w:t>
      </w:r>
      <w:hyperlink r:id="rId19" w:history="1">
        <w:r w:rsidRPr="006A6F18">
          <w:rPr>
            <w:rStyle w:val="Hyperlink"/>
            <w:color w:val="auto"/>
            <w:u w:val="none"/>
          </w:rPr>
          <w:t>Same-Day Discharge Total Hip and Knee Arthroplasty: Trends, Complications, and Readmission Rates,</w:t>
        </w:r>
      </w:hyperlink>
      <w:r w:rsidRPr="005D3C0C">
        <w:t xml:space="preserve"> PRIMARY HIP AND KNEE ARTHROPLASTY| VOLUME 37, ISSUE 3, P444-448.E1, MARCH 01, 2022</w:t>
      </w:r>
    </w:p>
    <w:p w14:paraId="043B89ED" w14:textId="762BB8AE" w:rsidR="004A36F2" w:rsidRPr="005D3C0C" w:rsidRDefault="004A36F2" w:rsidP="00AA6081">
      <w:pPr>
        <w:pStyle w:val="EndnoteText"/>
      </w:pPr>
      <w:r w:rsidRPr="005D3C0C">
        <w:t xml:space="preserve">Crossref DOI link: </w:t>
      </w:r>
      <w:hyperlink r:id="rId20" w:history="1">
        <w:r w:rsidR="006A6F18" w:rsidRPr="0030419B">
          <w:rPr>
            <w:rStyle w:val="Hyperlink"/>
          </w:rPr>
          <w:t>https://doi.org/10.1016/J.ARTH.2021.11.023</w:t>
        </w:r>
      </w:hyperlink>
      <w:r w:rsidR="006A6F18">
        <w:t xml:space="preserve"> </w:t>
      </w:r>
    </w:p>
  </w:endnote>
  <w:endnote w:id="17">
    <w:p w14:paraId="78387BB8" w14:textId="3D89FA45" w:rsidR="004A36F2" w:rsidRPr="005D3C0C" w:rsidRDefault="004A36F2" w:rsidP="005D3C0C">
      <w:pPr>
        <w:pStyle w:val="EndnoteText"/>
        <w:rPr>
          <w:rFonts w:cstheme="minorHAnsi"/>
        </w:rPr>
      </w:pPr>
      <w:r w:rsidRPr="005D3C0C">
        <w:rPr>
          <w:rStyle w:val="EndnoteReference"/>
          <w:rFonts w:cstheme="minorHAnsi"/>
        </w:rPr>
        <w:endnoteRef/>
      </w:r>
      <w:r w:rsidRPr="005D3C0C">
        <w:rPr>
          <w:rFonts w:cstheme="minorHAnsi"/>
        </w:rPr>
        <w:t xml:space="preserve"> Munnich EL, Parente ST. </w:t>
      </w:r>
      <w:hyperlink r:id="rId21" w:history="1">
        <w:r w:rsidRPr="00F63364">
          <w:rPr>
            <w:rStyle w:val="Hyperlink"/>
            <w:rFonts w:cstheme="minorHAnsi"/>
            <w:color w:val="auto"/>
            <w:u w:val="none"/>
          </w:rPr>
          <w:t>Procedures take less time at ambulatory surgery centers, keeping costs down and ability to meet demand up.</w:t>
        </w:r>
      </w:hyperlink>
      <w:r w:rsidRPr="00F63364">
        <w:rPr>
          <w:rFonts w:cstheme="minorHAnsi"/>
        </w:rPr>
        <w:t xml:space="preserve"> </w:t>
      </w:r>
      <w:r w:rsidRPr="005D3C0C">
        <w:rPr>
          <w:rFonts w:cstheme="minorHAnsi"/>
        </w:rPr>
        <w:t xml:space="preserve">Health Aff (Millwood). 2014 May;33(5):764-9. doi: 10.1377/hlthaff.2013.1281. PubMed PMID: 24799572. Available: </w:t>
      </w:r>
      <w:hyperlink r:id="rId22" w:history="1">
        <w:r w:rsidRPr="005D3C0C">
          <w:rPr>
            <w:rStyle w:val="Hyperlink"/>
            <w:rFonts w:cstheme="minorHAnsi"/>
          </w:rPr>
          <w:t>https://www.healthaffairs.org/doi/pdf/10.1377/hlthaff.2013.1281</w:t>
        </w:r>
      </w:hyperlink>
      <w:r w:rsidRPr="005D3C0C">
        <w:rPr>
          <w:rFonts w:cstheme="minorHAnsi"/>
        </w:rPr>
        <w:t xml:space="preserve"> </w:t>
      </w:r>
    </w:p>
  </w:endnote>
  <w:endnote w:id="18">
    <w:p w14:paraId="29EF30F7" w14:textId="5C64B3E6" w:rsidR="004A36F2" w:rsidRPr="005D3C0C" w:rsidRDefault="004A36F2" w:rsidP="005D3C0C">
      <w:pPr>
        <w:pStyle w:val="EndnoteText"/>
        <w:rPr>
          <w:rFonts w:cstheme="minorHAnsi"/>
        </w:rPr>
      </w:pPr>
      <w:r w:rsidRPr="005D3C0C">
        <w:rPr>
          <w:rStyle w:val="EndnoteReference"/>
          <w:rFonts w:cstheme="minorHAnsi"/>
        </w:rPr>
        <w:endnoteRef/>
      </w:r>
      <w:r w:rsidRPr="005D3C0C">
        <w:rPr>
          <w:rFonts w:cstheme="minorHAnsi"/>
        </w:rPr>
        <w:t xml:space="preserve"> American Society of Orthopaedic Surgeons. </w:t>
      </w:r>
      <w:hyperlink r:id="rId23" w:history="1">
        <w:r w:rsidRPr="003D2B0E">
          <w:rPr>
            <w:rStyle w:val="Hyperlink"/>
            <w:rFonts w:cstheme="minorHAnsi"/>
            <w:color w:val="auto"/>
            <w:u w:val="none"/>
          </w:rPr>
          <w:t>Position Statement. Ambulatory Surgical Centers</w:t>
        </w:r>
      </w:hyperlink>
      <w:r w:rsidRPr="005D3C0C">
        <w:rPr>
          <w:rFonts w:cstheme="minorHAnsi"/>
        </w:rPr>
        <w:t xml:space="preserve">. Available: </w:t>
      </w:r>
      <w:hyperlink r:id="rId24" w:history="1">
        <w:r w:rsidRPr="005D3C0C">
          <w:rPr>
            <w:rStyle w:val="Hyperlink"/>
            <w:rFonts w:cstheme="minorHAnsi"/>
          </w:rPr>
          <w:t>https://www.aaos.org/uploadedFiles/1161 Ambulatory Surgical Centers.pdf</w:t>
        </w:r>
      </w:hyperlink>
      <w:r w:rsidRPr="005D3C0C">
        <w:rPr>
          <w:rFonts w:cstheme="minorHAnsi"/>
        </w:rPr>
        <w:t xml:space="preserve"> </w:t>
      </w:r>
    </w:p>
  </w:endnote>
  <w:endnote w:id="19">
    <w:p w14:paraId="58363597" w14:textId="269E92CA" w:rsidR="004A36F2" w:rsidRPr="005D3C0C" w:rsidRDefault="004A36F2" w:rsidP="005D3C0C">
      <w:pPr>
        <w:pStyle w:val="EndnoteText"/>
        <w:rPr>
          <w:rFonts w:cstheme="minorHAnsi"/>
        </w:rPr>
      </w:pPr>
      <w:r w:rsidRPr="005D3C0C">
        <w:rPr>
          <w:rStyle w:val="EndnoteReference"/>
          <w:rFonts w:cstheme="minorHAnsi"/>
        </w:rPr>
        <w:endnoteRef/>
      </w:r>
      <w:r w:rsidRPr="005D3C0C">
        <w:rPr>
          <w:rFonts w:cstheme="minorHAnsi"/>
        </w:rPr>
        <w:t xml:space="preserve"> Ambulatory Surgery Center Association. </w:t>
      </w:r>
      <w:hyperlink r:id="rId25" w:history="1">
        <w:r w:rsidRPr="001E03DA">
          <w:rPr>
            <w:rStyle w:val="Hyperlink"/>
            <w:rFonts w:cstheme="minorHAnsi"/>
            <w:color w:val="auto"/>
            <w:u w:val="none"/>
          </w:rPr>
          <w:t>Ambulatory Surgery Centers. A Positive Trend in Health Care</w:t>
        </w:r>
      </w:hyperlink>
      <w:r w:rsidRPr="005D3C0C">
        <w:rPr>
          <w:rFonts w:cstheme="minorHAnsi"/>
        </w:rPr>
        <w:t xml:space="preserve">. Available: </w:t>
      </w:r>
      <w:hyperlink r:id="rId26" w:history="1">
        <w:r w:rsidRPr="005D3C0C">
          <w:rPr>
            <w:rStyle w:val="Hyperlink"/>
            <w:rFonts w:cstheme="minorHAnsi"/>
          </w:rPr>
          <w:t>https://higherlogicdownload.s3.amazonaws.com/ASCACONNECT/fd1693e2-e4a8-43d3-816d-17ecfc7d55c1/UploadedImages/About%20Us/ASCs%20-%20A%20Positive%20Trend%20in%20Health%20Care.pdf</w:t>
        </w:r>
      </w:hyperlink>
      <w:r w:rsidRPr="005D3C0C">
        <w:rPr>
          <w:rFonts w:cstheme="minorHAnsi"/>
        </w:rPr>
        <w:t xml:space="preserve"> </w:t>
      </w:r>
    </w:p>
  </w:endnote>
  <w:endnote w:id="20">
    <w:p w14:paraId="338D3D92" w14:textId="16A4C113" w:rsidR="004A36F2" w:rsidRPr="005D3C0C" w:rsidRDefault="004A36F2">
      <w:pPr>
        <w:pStyle w:val="EndnoteText"/>
        <w:rPr>
          <w:rFonts w:cstheme="minorHAnsi"/>
        </w:rPr>
      </w:pPr>
      <w:r w:rsidRPr="005D3C0C">
        <w:rPr>
          <w:rStyle w:val="EndnoteReference"/>
          <w:rFonts w:cstheme="minorHAnsi"/>
        </w:rPr>
        <w:endnoteRef/>
      </w:r>
      <w:r w:rsidRPr="005D3C0C">
        <w:rPr>
          <w:rFonts w:cstheme="minorHAnsi"/>
        </w:rPr>
        <w:t xml:space="preserve"> </w:t>
      </w:r>
      <w:hyperlink r:id="rId27" w:history="1">
        <w:r w:rsidRPr="005D3C0C">
          <w:rPr>
            <w:rStyle w:val="Hyperlink"/>
            <w:rFonts w:cstheme="minorHAnsi"/>
          </w:rPr>
          <w:t>Healthy People</w:t>
        </w:r>
      </w:hyperlink>
      <w:r w:rsidRPr="005D3C0C">
        <w:rPr>
          <w:rFonts w:cstheme="minorHAnsi"/>
        </w:rPr>
        <w:t>. Access to Health Services.</w:t>
      </w:r>
    </w:p>
  </w:endnote>
  <w:endnote w:id="21">
    <w:p w14:paraId="4C7FD232" w14:textId="4D698A16" w:rsidR="004A36F2" w:rsidRPr="005D3C0C" w:rsidRDefault="004A36F2">
      <w:pPr>
        <w:pStyle w:val="EndnoteText"/>
        <w:rPr>
          <w:rFonts w:cstheme="minorHAnsi"/>
        </w:rPr>
      </w:pPr>
      <w:r w:rsidRPr="005D3C0C">
        <w:rPr>
          <w:rStyle w:val="EndnoteReference"/>
          <w:rFonts w:cstheme="minorHAnsi"/>
        </w:rPr>
        <w:endnoteRef/>
      </w:r>
      <w:r w:rsidRPr="005D3C0C">
        <w:rPr>
          <w:rFonts w:cstheme="minorHAnsi"/>
        </w:rPr>
        <w:t xml:space="preserve"> Robert Wood Johnson Foundation. </w:t>
      </w:r>
      <w:hyperlink r:id="rId28" w:history="1">
        <w:r w:rsidRPr="005D3C0C">
          <w:rPr>
            <w:rStyle w:val="Hyperlink"/>
            <w:rFonts w:cstheme="minorHAnsi"/>
          </w:rPr>
          <w:t>County Health Rankings and Roadmaps</w:t>
        </w:r>
      </w:hyperlink>
      <w:r w:rsidRPr="005D3C0C">
        <w:rPr>
          <w:rFonts w:cstheme="minorHAnsi"/>
        </w:rPr>
        <w:t>. Access to Care.</w:t>
      </w:r>
    </w:p>
  </w:endnote>
  <w:endnote w:id="22">
    <w:p w14:paraId="1CA4C328" w14:textId="0EB0F0DE" w:rsidR="004A36F2" w:rsidRPr="005D3C0C" w:rsidRDefault="004A36F2" w:rsidP="00AE382F">
      <w:pPr>
        <w:pStyle w:val="EndnoteText"/>
        <w:rPr>
          <w:rFonts w:cstheme="minorHAnsi"/>
        </w:rPr>
      </w:pPr>
      <w:r w:rsidRPr="005D3C0C">
        <w:rPr>
          <w:rStyle w:val="EndnoteReference"/>
          <w:rFonts w:cstheme="minorHAnsi"/>
        </w:rPr>
        <w:endnoteRef/>
      </w:r>
      <w:r w:rsidRPr="005D3C0C">
        <w:rPr>
          <w:rFonts w:cstheme="minorHAnsi"/>
        </w:rPr>
        <w:t xml:space="preserve"> Samii A, </w:t>
      </w:r>
      <w:hyperlink r:id="rId29" w:history="1">
        <w:r w:rsidRPr="005D3C0C">
          <w:rPr>
            <w:rStyle w:val="Hyperlink"/>
            <w:rFonts w:cstheme="minorHAnsi"/>
          </w:rPr>
          <w:t>Shining a Light on the Value of Value-Based Care: ASCs are positioned to lead the way,</w:t>
        </w:r>
      </w:hyperlink>
      <w:r w:rsidRPr="005D3C0C">
        <w:rPr>
          <w:rFonts w:cstheme="minorHAnsi"/>
        </w:rPr>
        <w:t xml:space="preserve"> Becker’s ASC Review.</w:t>
      </w:r>
    </w:p>
  </w:endnote>
  <w:endnote w:id="23">
    <w:p w14:paraId="77DF930B" w14:textId="34331FDA" w:rsidR="004A36F2" w:rsidRPr="005D3C0C" w:rsidRDefault="004A36F2" w:rsidP="00AE382F">
      <w:pPr>
        <w:pStyle w:val="EndnoteText"/>
        <w:rPr>
          <w:rFonts w:cstheme="minorHAnsi"/>
        </w:rPr>
      </w:pPr>
      <w:r w:rsidRPr="005D3C0C">
        <w:rPr>
          <w:rStyle w:val="EndnoteReference"/>
          <w:rFonts w:cstheme="minorHAnsi"/>
        </w:rPr>
        <w:endnoteRef/>
      </w:r>
      <w:r w:rsidRPr="005D3C0C">
        <w:rPr>
          <w:rFonts w:cstheme="minorHAnsi"/>
        </w:rPr>
        <w:t xml:space="preserve"> Harjot Uppal. </w:t>
      </w:r>
      <w:hyperlink r:id="rId30" w:history="1">
        <w:r w:rsidRPr="005D3C0C">
          <w:rPr>
            <w:rStyle w:val="Hyperlink"/>
            <w:rFonts w:cstheme="minorHAnsi"/>
          </w:rPr>
          <w:t>Economic Advantages of Performing Orthopaedic Surgical Procedures in Ambulatory Surgical Centres Over Hospital Out-Patient Settings</w:t>
        </w:r>
      </w:hyperlink>
      <w:r w:rsidRPr="005D3C0C">
        <w:rPr>
          <w:rFonts w:cstheme="minorHAnsi"/>
        </w:rPr>
        <w:t xml:space="preserve">. </w:t>
      </w:r>
    </w:p>
  </w:endnote>
  <w:endnote w:id="24">
    <w:p w14:paraId="32CB53D4" w14:textId="087549DB" w:rsidR="004A36F2" w:rsidRPr="005D3C0C" w:rsidRDefault="004A36F2">
      <w:pPr>
        <w:pStyle w:val="EndnoteText"/>
        <w:rPr>
          <w:rFonts w:cstheme="minorHAnsi"/>
        </w:rPr>
      </w:pPr>
      <w:r w:rsidRPr="005D3C0C">
        <w:rPr>
          <w:rStyle w:val="EndnoteReference"/>
          <w:rFonts w:cstheme="minorHAnsi"/>
        </w:rPr>
        <w:endnoteRef/>
      </w:r>
      <w:r w:rsidRPr="005D3C0C">
        <w:rPr>
          <w:rFonts w:cstheme="minorHAnsi"/>
        </w:rPr>
        <w:t xml:space="preserve"> Abrams M. </w:t>
      </w:r>
      <w:hyperlink r:id="rId31" w:history="1">
        <w:r w:rsidRPr="005D3C0C">
          <w:rPr>
            <w:rStyle w:val="Hyperlink"/>
            <w:rFonts w:cstheme="minorHAnsi"/>
          </w:rPr>
          <w:t>Coming to Terms With Care Migration.</w:t>
        </w:r>
      </w:hyperlink>
      <w:r w:rsidRPr="005D3C0C">
        <w:rPr>
          <w:rFonts w:cstheme="minorHAnsi"/>
        </w:rPr>
        <w:t xml:space="preserve"> AJMC. Published May 30, 2019.</w:t>
      </w:r>
    </w:p>
  </w:endnote>
  <w:endnote w:id="25">
    <w:p w14:paraId="68793669" w14:textId="77777777" w:rsidR="004A36F2" w:rsidRPr="005D3C0C" w:rsidRDefault="004A36F2" w:rsidP="009C6309">
      <w:pPr>
        <w:pStyle w:val="EndnoteText"/>
        <w:contextualSpacing/>
        <w:rPr>
          <w:rFonts w:cstheme="minorHAnsi"/>
        </w:rPr>
      </w:pPr>
      <w:r w:rsidRPr="005D3C0C">
        <w:rPr>
          <w:rStyle w:val="EndnoteReference"/>
          <w:rFonts w:cstheme="minorHAnsi"/>
        </w:rPr>
        <w:endnoteRef/>
      </w:r>
      <w:r w:rsidRPr="005D3C0C">
        <w:rPr>
          <w:rFonts w:cstheme="minorHAnsi"/>
        </w:rPr>
        <w:t xml:space="preserve"> </w:t>
      </w:r>
      <w:hyperlink r:id="rId32" w:history="1">
        <w:r w:rsidRPr="005D3C0C">
          <w:rPr>
            <w:rStyle w:val="Hyperlink"/>
            <w:rFonts w:cstheme="minorHAnsi"/>
          </w:rPr>
          <w:t>Community Engagement Standards for Community Health Planning Guideline</w:t>
        </w:r>
      </w:hyperlink>
      <w:r w:rsidRPr="005D3C0C">
        <w:rPr>
          <w:rFonts w:cstheme="minorHAnsi"/>
        </w:rPr>
        <w:t xml:space="preserve">. </w:t>
      </w:r>
    </w:p>
  </w:endnote>
  <w:endnote w:id="26">
    <w:p w14:paraId="2F9610AE" w14:textId="7DC16801" w:rsidR="004A36F2" w:rsidRPr="005D3C0C" w:rsidRDefault="004A36F2" w:rsidP="009E3954">
      <w:pPr>
        <w:pStyle w:val="EndnoteText"/>
        <w:contextualSpacing/>
        <w:rPr>
          <w:rFonts w:cstheme="minorHAnsi"/>
        </w:rPr>
      </w:pPr>
      <w:r w:rsidRPr="005D3C0C">
        <w:rPr>
          <w:rStyle w:val="EndnoteReference"/>
          <w:rFonts w:cstheme="minorHAnsi"/>
        </w:rPr>
        <w:endnoteRef/>
      </w:r>
      <w:r w:rsidRPr="005D3C0C">
        <w:rPr>
          <w:rFonts w:cstheme="minorHAnsi"/>
        </w:rPr>
        <w:t xml:space="preserve"> </w:t>
      </w:r>
      <w:hyperlink r:id="rId33" w:history="1">
        <w:r w:rsidRPr="005D3C0C">
          <w:rPr>
            <w:rStyle w:val="Hyperlink"/>
            <w:rFonts w:cstheme="minorHAnsi"/>
          </w:rPr>
          <w:t>DoN Regulation 100.210 (A)(1)(e).</w:t>
        </w:r>
      </w:hyperlink>
      <w:r w:rsidRPr="005D3C0C">
        <w:rPr>
          <w:rFonts w:cstheme="minorHAnsi"/>
        </w:rPr>
        <w:t xml:space="preserve"> </w:t>
      </w:r>
    </w:p>
  </w:endnote>
  <w:endnote w:id="27">
    <w:p w14:paraId="24376C61" w14:textId="0EC48907" w:rsidR="004A36F2" w:rsidRPr="005D3C0C" w:rsidRDefault="004A36F2" w:rsidP="0055578D">
      <w:pPr>
        <w:pStyle w:val="EndnoteText"/>
      </w:pPr>
      <w:r w:rsidRPr="005D3C0C">
        <w:rPr>
          <w:rStyle w:val="EndnoteReference"/>
        </w:rPr>
        <w:endnoteRef/>
      </w:r>
      <w:r w:rsidRPr="005D3C0C">
        <w:t xml:space="preserve">Ambulatory Surgery Center Association. </w:t>
      </w:r>
      <w:hyperlink r:id="rId34" w:history="1">
        <w:r w:rsidRPr="00EA1AC4">
          <w:rPr>
            <w:rStyle w:val="Hyperlink"/>
            <w:color w:val="auto"/>
            <w:u w:val="none"/>
          </w:rPr>
          <w:t>Medicare Cost Savings Tied to Ambulatory Surgery Centers</w:t>
        </w:r>
      </w:hyperlink>
      <w:r w:rsidRPr="00EA1AC4">
        <w:t xml:space="preserve">. </w:t>
      </w:r>
      <w:r w:rsidRPr="005D3C0C">
        <w:t>(2013). Available at: https://www.ascaconnect.org/HigherLogic/System/DownloadDocumentFile.ashx?DocumentFileKey=7b33b916- f3f1-42e5-a646-35cc2f38fe4d&amp;forceDialog=0</w:t>
      </w:r>
    </w:p>
  </w:endnote>
  <w:endnote w:id="28">
    <w:p w14:paraId="050F2853" w14:textId="5AD75182" w:rsidR="004A36F2" w:rsidRPr="005D3C0C" w:rsidRDefault="004A36F2" w:rsidP="001C52C7">
      <w:pPr>
        <w:pStyle w:val="EndnoteText"/>
      </w:pPr>
      <w:r w:rsidRPr="005D3C0C">
        <w:rPr>
          <w:rStyle w:val="EndnoteReference"/>
        </w:rPr>
        <w:endnoteRef/>
      </w:r>
      <w:r w:rsidRPr="005D3C0C">
        <w:t xml:space="preserve"> </w:t>
      </w:r>
      <w:hyperlink r:id="rId35" w:history="1">
        <w:r w:rsidRPr="00A47828">
          <w:rPr>
            <w:rStyle w:val="Hyperlink"/>
            <w:color w:val="auto"/>
            <w:u w:val="none"/>
          </w:rPr>
          <w:t>Commercial Insurance Cost Savings in Ambulatory Surgery Centers</w:t>
        </w:r>
      </w:hyperlink>
      <w:r w:rsidRPr="005D3C0C">
        <w:t>. Available at: https://www.ascassociation.org/HigherLogic/System/DownloadDocumentFile.ashx?DocumentFileKey=829b1dd6- 0b5d-9686-e57c-3e2ed4ab42ca&amp;forceDialog=0</w:t>
      </w:r>
    </w:p>
  </w:endnote>
  <w:endnote w:id="29">
    <w:p w14:paraId="20C65CBC" w14:textId="0E8BCF0F" w:rsidR="004A36F2" w:rsidRPr="005D3C0C" w:rsidRDefault="004A36F2" w:rsidP="00614A16">
      <w:pPr>
        <w:pStyle w:val="EndnoteText"/>
      </w:pPr>
      <w:r w:rsidRPr="005D3C0C">
        <w:rPr>
          <w:rStyle w:val="EndnoteReference"/>
        </w:rPr>
        <w:endnoteRef/>
      </w:r>
      <w:r w:rsidRPr="005D3C0C">
        <w:t xml:space="preserve"> 2021 Ambulatory Surgery Center Market Report. (October 2021). Available at: https://www.researchandmarkets.com/reports/5178168/2021-ambulatory-surgery-center-market- report?utm_source=GNOM&amp;utm_medium=PressRelease&amp;utm_code=km7gmp&amp;utm_campaign=1454975+-+2020+Ambulatory+Surgery+Center+Market+Report&amp;utm_exec=jamu273prd</w:t>
      </w:r>
      <w:r w:rsidR="002C11A2">
        <w:t xml:space="preserve"> </w:t>
      </w:r>
    </w:p>
  </w:endnote>
  <w:endnote w:id="30">
    <w:p w14:paraId="47C61173" w14:textId="64DAFAC1" w:rsidR="004A36F2" w:rsidRPr="005D3C0C" w:rsidRDefault="004A36F2" w:rsidP="00FA6BB2">
      <w:pPr>
        <w:pStyle w:val="EndnoteText"/>
        <w:rPr>
          <w:rFonts w:cstheme="minorHAnsi"/>
        </w:rPr>
      </w:pPr>
      <w:r w:rsidRPr="005D3C0C">
        <w:rPr>
          <w:rStyle w:val="EndnoteReference"/>
          <w:rFonts w:cstheme="minorHAnsi"/>
        </w:rPr>
        <w:endnoteRef/>
      </w:r>
      <w:r w:rsidRPr="005D3C0C">
        <w:rPr>
          <w:rFonts w:cstheme="minorHAnsi"/>
        </w:rPr>
        <w:t xml:space="preserve"> Dyrda L, </w:t>
      </w:r>
      <w:hyperlink r:id="rId36" w:history="1">
        <w:r w:rsidRPr="005D3C0C">
          <w:rPr>
            <w:rStyle w:val="Hyperlink"/>
            <w:rFonts w:cstheme="minorHAnsi"/>
          </w:rPr>
          <w:t>CMS posts payments for ASCs vs. HOPDs — Medicare pays ASCs $359 less for colonoscopy, $1,092 less for knee arthroscopy</w:t>
        </w:r>
      </w:hyperlink>
      <w:r w:rsidRPr="005D3C0C">
        <w:rPr>
          <w:rFonts w:cstheme="minorHAnsi"/>
        </w:rPr>
        <w:t xml:space="preserve">, Beckers ASC Review. </w:t>
      </w:r>
    </w:p>
  </w:endnote>
  <w:endnote w:id="31">
    <w:p w14:paraId="31712B5D" w14:textId="2EB77A8D" w:rsidR="004A36F2" w:rsidRPr="005D3C0C" w:rsidRDefault="004A36F2" w:rsidP="00FA6BB2">
      <w:pPr>
        <w:pStyle w:val="EndnoteText"/>
        <w:rPr>
          <w:rFonts w:cstheme="minorHAnsi"/>
        </w:rPr>
      </w:pPr>
      <w:r w:rsidRPr="005D3C0C">
        <w:rPr>
          <w:rStyle w:val="EndnoteReference"/>
          <w:rFonts w:cstheme="minorHAnsi"/>
        </w:rPr>
        <w:endnoteRef/>
      </w:r>
      <w:r w:rsidRPr="005D3C0C">
        <w:rPr>
          <w:rFonts w:cstheme="minorHAnsi"/>
        </w:rPr>
        <w:t xml:space="preserve"> Ambulatory Surgery Center Association. </w:t>
      </w:r>
      <w:hyperlink r:id="rId37" w:history="1">
        <w:r w:rsidRPr="005D3C0C">
          <w:rPr>
            <w:rStyle w:val="Hyperlink"/>
            <w:rFonts w:cstheme="minorHAnsi"/>
          </w:rPr>
          <w:t>Medicare Cost Savings Tied to Ambulatory Surgery Centers (Rep.).</w:t>
        </w:r>
      </w:hyperlink>
      <w:r w:rsidRPr="005D3C0C">
        <w:rPr>
          <w:rFonts w:cstheme="minorHAnsi"/>
        </w:rPr>
        <w:t xml:space="preserve"> (2013, September 10). </w:t>
      </w:r>
    </w:p>
  </w:endnote>
  <w:endnote w:id="32">
    <w:p w14:paraId="5F052E2E" w14:textId="44F118DB" w:rsidR="004A36F2" w:rsidRPr="005D3C0C" w:rsidRDefault="004A36F2" w:rsidP="00FA6BB2">
      <w:pPr>
        <w:pStyle w:val="EndnoteText"/>
        <w:rPr>
          <w:rFonts w:cstheme="minorHAnsi"/>
        </w:rPr>
      </w:pPr>
      <w:r w:rsidRPr="005D3C0C">
        <w:rPr>
          <w:rStyle w:val="EndnoteReference"/>
          <w:rFonts w:cstheme="minorHAnsi"/>
        </w:rPr>
        <w:endnoteRef/>
      </w:r>
      <w:r w:rsidRPr="005D3C0C">
        <w:rPr>
          <w:rFonts w:cstheme="minorHAnsi"/>
        </w:rPr>
        <w:t xml:space="preserve"> Advancing Surgical Care. </w:t>
      </w:r>
      <w:hyperlink r:id="rId38" w:history="1">
        <w:r w:rsidRPr="005D3C0C">
          <w:rPr>
            <w:rStyle w:val="Hyperlink"/>
            <w:rFonts w:cstheme="minorHAnsi"/>
          </w:rPr>
          <w:t>Study: Commercial Insurance Cost Savings in Ambulatory Surgery Centers</w:t>
        </w:r>
      </w:hyperlink>
      <w:r w:rsidRPr="005D3C0C">
        <w:rPr>
          <w:rFonts w:cstheme="minorHAnsi"/>
        </w:rPr>
        <w:t xml:space="preserve">. </w:t>
      </w:r>
    </w:p>
  </w:endnote>
  <w:endnote w:id="33">
    <w:p w14:paraId="663F002C" w14:textId="462BEAD2" w:rsidR="004A36F2" w:rsidRPr="005D3C0C" w:rsidRDefault="004A36F2" w:rsidP="00716D9E">
      <w:pPr>
        <w:pStyle w:val="EndnoteText"/>
        <w:rPr>
          <w:rFonts w:cstheme="minorHAnsi"/>
        </w:rPr>
      </w:pPr>
      <w:r w:rsidRPr="005D3C0C">
        <w:rPr>
          <w:rStyle w:val="EndnoteReference"/>
          <w:rFonts w:cstheme="minorHAnsi"/>
        </w:rPr>
        <w:endnoteRef/>
      </w:r>
      <w:r w:rsidRPr="005D3C0C">
        <w:rPr>
          <w:rFonts w:cstheme="minorHAnsi"/>
        </w:rPr>
        <w:t xml:space="preserve"> KNG Health Consulting, LLC. </w:t>
      </w:r>
      <w:hyperlink r:id="rId39" w:history="1">
        <w:r w:rsidRPr="005D3C0C">
          <w:rPr>
            <w:rStyle w:val="Hyperlink"/>
            <w:rFonts w:cstheme="minorHAnsi"/>
          </w:rPr>
          <w:t>Comparison of Medicare Fee-for-Service Beneficiaries Treated in Ambulatory Surgical Centers and Hospital Outpatient Departments</w:t>
        </w:r>
      </w:hyperlink>
      <w:r w:rsidRPr="005D3C0C">
        <w:rPr>
          <w:rFonts w:cstheme="minorHAnsi"/>
        </w:rPr>
        <w:t xml:space="preserve">. </w:t>
      </w:r>
    </w:p>
  </w:endnote>
  <w:endnote w:id="34">
    <w:p w14:paraId="19F67666" w14:textId="3FAEA93D" w:rsidR="004A36F2" w:rsidRPr="005D3C0C" w:rsidRDefault="004A36F2" w:rsidP="009E78AF">
      <w:pPr>
        <w:pStyle w:val="EndnoteText"/>
        <w:rPr>
          <w:rFonts w:cstheme="minorHAnsi"/>
        </w:rPr>
      </w:pPr>
      <w:r w:rsidRPr="005D3C0C">
        <w:rPr>
          <w:rStyle w:val="EndnoteReference"/>
          <w:rFonts w:cstheme="minorHAnsi"/>
        </w:rPr>
        <w:endnoteRef/>
      </w:r>
      <w:r w:rsidRPr="005D3C0C">
        <w:rPr>
          <w:rFonts w:cstheme="minorHAnsi"/>
        </w:rPr>
        <w:t xml:space="preserve"> </w:t>
      </w:r>
      <w:hyperlink r:id="rId40" w:history="1">
        <w:r w:rsidRPr="005D3C0C">
          <w:rPr>
            <w:rStyle w:val="Hyperlink"/>
            <w:rFonts w:cstheme="minorHAnsi"/>
          </w:rPr>
          <w:t>Report to the Congress: Medicare Payment Policy</w:t>
        </w:r>
      </w:hyperlink>
      <w:r w:rsidRPr="005D3C0C">
        <w:rPr>
          <w:rFonts w:cstheme="minorHAnsi"/>
        </w:rPr>
        <w:t xml:space="preserve"> | March 2019. Chapter 5: Ambulatory Surgical Center Services. </w:t>
      </w:r>
    </w:p>
  </w:endnote>
  <w:endnote w:id="35">
    <w:p w14:paraId="0059B63A" w14:textId="5A4D0760" w:rsidR="004A36F2" w:rsidRPr="005D3C0C" w:rsidRDefault="004A36F2" w:rsidP="006B0B69">
      <w:pPr>
        <w:pStyle w:val="EndnoteText"/>
        <w:rPr>
          <w:rFonts w:cstheme="minorHAnsi"/>
        </w:rPr>
      </w:pPr>
      <w:r w:rsidRPr="005D3C0C">
        <w:rPr>
          <w:rStyle w:val="EndnoteReference"/>
          <w:rFonts w:cstheme="minorHAnsi"/>
        </w:rPr>
        <w:endnoteRef/>
      </w:r>
      <w:r w:rsidRPr="005D3C0C">
        <w:rPr>
          <w:rFonts w:cstheme="minorHAnsi"/>
        </w:rPr>
        <w:t xml:space="preserve"> </w:t>
      </w:r>
      <w:hyperlink r:id="rId41" w:history="1">
        <w:r w:rsidRPr="005D3C0C">
          <w:rPr>
            <w:rStyle w:val="Hyperlink"/>
            <w:rFonts w:cstheme="minorHAnsi"/>
          </w:rPr>
          <w:t>HOPDs vs. ASCs: understanding payment differences</w:t>
        </w:r>
      </w:hyperlink>
      <w:r w:rsidRPr="005D3C0C">
        <w:rPr>
          <w:rFonts w:cstheme="minorHAnsi"/>
        </w:rPr>
        <w:t xml:space="preserve">. </w:t>
      </w:r>
    </w:p>
  </w:endnote>
  <w:endnote w:id="36">
    <w:p w14:paraId="39E3FB81" w14:textId="77777777" w:rsidR="004A36F2" w:rsidRPr="005D3C0C" w:rsidRDefault="004A36F2" w:rsidP="006F63E9">
      <w:pPr>
        <w:pStyle w:val="EndnoteText"/>
        <w:rPr>
          <w:rFonts w:cstheme="minorHAnsi"/>
        </w:rPr>
      </w:pPr>
      <w:r w:rsidRPr="005D3C0C">
        <w:rPr>
          <w:rStyle w:val="EndnoteReference"/>
          <w:rFonts w:cstheme="minorHAnsi"/>
        </w:rPr>
        <w:endnoteRef/>
      </w:r>
      <w:r w:rsidRPr="005D3C0C">
        <w:rPr>
          <w:rFonts w:cstheme="minorHAnsi"/>
        </w:rPr>
        <w:t xml:space="preserve"> Dennis C. Crawford et al., </w:t>
      </w:r>
      <w:hyperlink r:id="rId42" w:history="1">
        <w:r w:rsidRPr="005D3C0C">
          <w:rPr>
            <w:rStyle w:val="Hyperlink"/>
            <w:rFonts w:cstheme="minorHAnsi"/>
          </w:rPr>
          <w:t>Clinical and Cost Implications of Inpatient Versus Outpatient Orthopedic Surgeries: A Systematic Review of the Published Literature</w:t>
        </w:r>
      </w:hyperlink>
      <w:r w:rsidRPr="005D3C0C">
        <w:rPr>
          <w:rFonts w:cstheme="minorHAnsi"/>
        </w:rPr>
        <w:t xml:space="preserve">, 7 ORTHOPEDIC REVIEW 116 (2015); David Cook et al., </w:t>
      </w:r>
      <w:hyperlink r:id="rId43" w:history="1">
        <w:r w:rsidRPr="005D3C0C">
          <w:rPr>
            <w:rStyle w:val="Hyperlink"/>
            <w:rFonts w:cstheme="minorHAnsi"/>
          </w:rPr>
          <w:t>From ‘Solution Shop’ Model to ‘Focused Factor’ In Hospital Surgery: Increasing Care Value and Predictability</w:t>
        </w:r>
      </w:hyperlink>
      <w:r w:rsidRPr="005D3C0C">
        <w:rPr>
          <w:rFonts w:cstheme="minorHAnsi"/>
        </w:rPr>
        <w:t>, 33 HEALTH AFFAIRS 746 (2014)</w:t>
      </w:r>
    </w:p>
  </w:endnote>
  <w:endnote w:id="37">
    <w:p w14:paraId="7A34698A" w14:textId="77777777" w:rsidR="004A36F2" w:rsidRPr="005D3C0C" w:rsidRDefault="004A36F2" w:rsidP="006F63E9">
      <w:pPr>
        <w:pStyle w:val="EndnoteText"/>
        <w:rPr>
          <w:rFonts w:cstheme="minorHAnsi"/>
        </w:rPr>
      </w:pPr>
      <w:r w:rsidRPr="005D3C0C">
        <w:rPr>
          <w:rStyle w:val="EndnoteReference"/>
          <w:rFonts w:cstheme="minorHAnsi"/>
        </w:rPr>
        <w:endnoteRef/>
      </w:r>
      <w:r w:rsidRPr="005D3C0C">
        <w:rPr>
          <w:rFonts w:cstheme="minorHAnsi"/>
        </w:rPr>
        <w:t xml:space="preserve"> Ibid.</w:t>
      </w:r>
    </w:p>
  </w:endnote>
  <w:endnote w:id="38">
    <w:p w14:paraId="417C4805" w14:textId="2F43B80C" w:rsidR="004A36F2" w:rsidRPr="005D3C0C" w:rsidRDefault="004A36F2" w:rsidP="008B3949">
      <w:pPr>
        <w:pStyle w:val="EndnoteText"/>
      </w:pPr>
      <w:r w:rsidRPr="005D3C0C">
        <w:rPr>
          <w:rStyle w:val="EndnoteReference"/>
        </w:rPr>
        <w:endnoteRef/>
      </w:r>
      <w:r w:rsidRPr="005D3C0C">
        <w:t xml:space="preserve"> Office of Disease Prevention and Health Promotion. </w:t>
      </w:r>
      <w:r w:rsidRPr="005D3C0C">
        <w:rPr>
          <w:i/>
          <w:iCs/>
        </w:rPr>
        <w:t>Healthy People 2020: Access to Health Services</w:t>
      </w:r>
      <w:r w:rsidRPr="005D3C0C">
        <w:t xml:space="preserve">. Available at: </w:t>
      </w:r>
    </w:p>
    <w:p w14:paraId="582454B8" w14:textId="0EB2390D" w:rsidR="004A36F2" w:rsidRPr="005D3C0C" w:rsidRDefault="009A1F3E" w:rsidP="008B3949">
      <w:pPr>
        <w:pStyle w:val="EndnoteText"/>
      </w:pPr>
      <w:hyperlink r:id="rId44" w:history="1">
        <w:r w:rsidR="004A36F2" w:rsidRPr="005D3C0C">
          <w:rPr>
            <w:rStyle w:val="Hyperlink"/>
          </w:rPr>
          <w:t>https://www.healthypeople.gov/2020/leading-health-indicators/2020-lhi-topics/Access-to-Health-Services</w:t>
        </w:r>
      </w:hyperlink>
    </w:p>
  </w:endnote>
  <w:endnote w:id="39">
    <w:p w14:paraId="3E0F54CD" w14:textId="77777777" w:rsidR="004A36F2" w:rsidRPr="005D3C0C" w:rsidRDefault="004A36F2" w:rsidP="006B0B69">
      <w:pPr>
        <w:pStyle w:val="EndnoteText"/>
        <w:rPr>
          <w:rFonts w:cstheme="minorHAnsi"/>
        </w:rPr>
      </w:pPr>
      <w:r w:rsidRPr="005D3C0C">
        <w:rPr>
          <w:rStyle w:val="EndnoteReference"/>
          <w:rFonts w:cstheme="minorHAnsi"/>
        </w:rPr>
        <w:endnoteRef/>
      </w:r>
      <w:r w:rsidRPr="005D3C0C">
        <w:rPr>
          <w:rFonts w:cstheme="minorHAnsi"/>
        </w:rPr>
        <w:t xml:space="preserve"> Munnich EL, Parente ST. Returns to specialization: Evidence from the outpatient surgery market. J Health Econ. 2018;57:147-167. doi:10.1016/j.jhealeco.2017.11.004</w:t>
      </w:r>
    </w:p>
  </w:endnote>
  <w:endnote w:id="40">
    <w:p w14:paraId="6D35024E" w14:textId="77777777" w:rsidR="004A36F2" w:rsidRPr="005D3C0C" w:rsidRDefault="004A36F2" w:rsidP="006B0B69">
      <w:pPr>
        <w:pStyle w:val="EndnoteText"/>
        <w:rPr>
          <w:rFonts w:cstheme="minorHAnsi"/>
        </w:rPr>
      </w:pPr>
      <w:r w:rsidRPr="005D3C0C">
        <w:rPr>
          <w:rStyle w:val="EndnoteReference"/>
          <w:rFonts w:cstheme="minorHAnsi"/>
        </w:rPr>
        <w:endnoteRef/>
      </w:r>
      <w:r w:rsidRPr="005D3C0C">
        <w:rPr>
          <w:rFonts w:cstheme="minorHAnsi"/>
        </w:rPr>
        <w:t xml:space="preserve"> Hollenbeck BK, Dunn RL, Suskind AM, Strope SA, Zhang Y, Hollingsworth JM. Ambulatory surgery centers and their intended effects on outpatient surgery. Health Serv Res. 2015;50(5):1491-1507. doi:10.1111/1475-6773.12278</w:t>
      </w:r>
    </w:p>
  </w:endnote>
  <w:endnote w:id="41">
    <w:p w14:paraId="25A64F44" w14:textId="77777777" w:rsidR="004A36F2" w:rsidRPr="005D3C0C" w:rsidRDefault="004A36F2" w:rsidP="006B0B69">
      <w:pPr>
        <w:pStyle w:val="EndnoteText"/>
        <w:rPr>
          <w:rFonts w:cstheme="minorHAnsi"/>
        </w:rPr>
      </w:pPr>
      <w:r w:rsidRPr="005D3C0C">
        <w:rPr>
          <w:rStyle w:val="EndnoteReference"/>
          <w:rFonts w:cstheme="minorHAnsi"/>
        </w:rPr>
        <w:endnoteRef/>
      </w:r>
      <w:r w:rsidRPr="005D3C0C">
        <w:rPr>
          <w:rFonts w:cstheme="minorHAnsi"/>
        </w:rPr>
        <w:t xml:space="preserve"> Muunich EL, Parente ST. Procedures take less time at ambulatory surgery centers, keeping costs down and ability to meet demand up. Health Aff. 2014;33(5):764-769.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27"/>
      <w:docPartObj>
        <w:docPartGallery w:val="Page Numbers (Bottom of Page)"/>
        <w:docPartUnique/>
      </w:docPartObj>
    </w:sdtPr>
    <w:sdtEndPr>
      <w:rPr>
        <w:noProof/>
      </w:rPr>
    </w:sdtEndPr>
    <w:sdtContent>
      <w:p w14:paraId="5840DB8E" w14:textId="1A09AB81" w:rsidR="004A36F2" w:rsidRDefault="004A36F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28E5BC7" w14:textId="77777777" w:rsidR="004A36F2" w:rsidRDefault="004A3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67123"/>
      <w:docPartObj>
        <w:docPartGallery w:val="Page Numbers (Bottom of Page)"/>
        <w:docPartUnique/>
      </w:docPartObj>
    </w:sdtPr>
    <w:sdtEndPr>
      <w:rPr>
        <w:noProof/>
      </w:rPr>
    </w:sdtEndPr>
    <w:sdtContent>
      <w:p w14:paraId="7101FF5C" w14:textId="6247EAC5" w:rsidR="004A36F2" w:rsidRDefault="004A36F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E0CD9D" w14:textId="77777777" w:rsidR="004A36F2" w:rsidRDefault="004A3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291BDEC9" w14:textId="43E5E14B" w:rsidR="004A36F2" w:rsidRPr="00FF59B1" w:rsidRDefault="004A36F2">
        <w:pPr>
          <w:pStyle w:val="Footer"/>
          <w:jc w:val="center"/>
          <w:rPr>
            <w:rFonts w:ascii="Garamond" w:hAnsi="Garamond"/>
            <w:sz w:val="24"/>
            <w:szCs w:val="24"/>
          </w:rPr>
        </w:pPr>
        <w:r w:rsidRPr="00FF59B1">
          <w:rPr>
            <w:rFonts w:ascii="Garamond" w:hAnsi="Garamond"/>
            <w:sz w:val="24"/>
            <w:szCs w:val="24"/>
          </w:rPr>
          <w:fldChar w:fldCharType="begin"/>
        </w:r>
        <w:r w:rsidRPr="00FF59B1">
          <w:rPr>
            <w:rFonts w:ascii="Garamond" w:hAnsi="Garamond"/>
            <w:sz w:val="24"/>
            <w:szCs w:val="24"/>
          </w:rPr>
          <w:instrText xml:space="preserve"> PAGE   \* MERGEFORMAT </w:instrText>
        </w:r>
        <w:r w:rsidRPr="00FF59B1">
          <w:rPr>
            <w:rFonts w:ascii="Garamond" w:hAnsi="Garamond"/>
            <w:sz w:val="24"/>
            <w:szCs w:val="24"/>
          </w:rPr>
          <w:fldChar w:fldCharType="separate"/>
        </w:r>
        <w:r>
          <w:rPr>
            <w:rFonts w:ascii="Garamond" w:hAnsi="Garamond"/>
            <w:noProof/>
            <w:sz w:val="24"/>
            <w:szCs w:val="24"/>
          </w:rPr>
          <w:t>18</w:t>
        </w:r>
        <w:r w:rsidRPr="00FF59B1">
          <w:rPr>
            <w:rFonts w:ascii="Garamond" w:hAnsi="Garamond"/>
            <w:noProof/>
            <w:sz w:val="24"/>
            <w:szCs w:val="24"/>
          </w:rPr>
          <w:fldChar w:fldCharType="end"/>
        </w:r>
      </w:p>
    </w:sdtContent>
  </w:sdt>
  <w:p w14:paraId="2D3E7FB1" w14:textId="77777777" w:rsidR="004A36F2" w:rsidRDefault="004A3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C719" w14:textId="77777777" w:rsidR="009A1F3E" w:rsidRDefault="009A1F3E" w:rsidP="008C0709">
      <w:pPr>
        <w:spacing w:after="0" w:line="240" w:lineRule="auto"/>
      </w:pPr>
      <w:r>
        <w:separator/>
      </w:r>
    </w:p>
  </w:footnote>
  <w:footnote w:type="continuationSeparator" w:id="0">
    <w:p w14:paraId="63B79199" w14:textId="77777777" w:rsidR="009A1F3E" w:rsidRDefault="009A1F3E" w:rsidP="008C0709">
      <w:pPr>
        <w:spacing w:after="0" w:line="240" w:lineRule="auto"/>
      </w:pPr>
      <w:r>
        <w:continuationSeparator/>
      </w:r>
    </w:p>
  </w:footnote>
  <w:footnote w:id="1">
    <w:p w14:paraId="43CE105D" w14:textId="4DF5BAA7" w:rsidR="004A36F2" w:rsidRDefault="004A36F2">
      <w:pPr>
        <w:pStyle w:val="FootnoteText"/>
      </w:pPr>
      <w:r>
        <w:rPr>
          <w:rStyle w:val="FootnoteReference"/>
        </w:rPr>
        <w:footnoteRef/>
      </w:r>
      <w:r>
        <w:t xml:space="preserve"> S</w:t>
      </w:r>
      <w:r w:rsidRPr="00483D77">
        <w:t>taff use</w:t>
      </w:r>
      <w:r>
        <w:t>s</w:t>
      </w:r>
      <w:r w:rsidRPr="00483D77">
        <w:t xml:space="preserve"> “HOPD” to refer only to this HOPD surgical center.</w:t>
      </w:r>
      <w:r>
        <w:t xml:space="preserve"> While NEBH has other HOPDs separate from the surgical site, these do not factor into this DoN. </w:t>
      </w:r>
    </w:p>
  </w:footnote>
  <w:footnote w:id="2">
    <w:p w14:paraId="1D26A336" w14:textId="77777777" w:rsidR="004A36F2" w:rsidRDefault="004A36F2" w:rsidP="003042C7">
      <w:pPr>
        <w:pStyle w:val="FootnoteText"/>
      </w:pPr>
      <w:r>
        <w:rPr>
          <w:rStyle w:val="FootnoteReference"/>
        </w:rPr>
        <w:footnoteRef/>
      </w:r>
      <w:r>
        <w:t xml:space="preserve"> </w:t>
      </w:r>
      <w:r w:rsidRPr="008631D9">
        <w:t>CSA currently manages 15 Ambulatory Surgery Centers and 2 Hospital Outpatient Departments</w:t>
      </w:r>
      <w:r>
        <w:t xml:space="preserve">; </w:t>
      </w:r>
      <w:r w:rsidRPr="008631D9">
        <w:t xml:space="preserve">4 </w:t>
      </w:r>
      <w:r>
        <w:t xml:space="preserve">centers </w:t>
      </w:r>
      <w:r w:rsidRPr="008631D9">
        <w:t>in Massachusetts</w:t>
      </w:r>
    </w:p>
  </w:footnote>
  <w:footnote w:id="3">
    <w:p w14:paraId="0035791E" w14:textId="1D56E131" w:rsidR="004A36F2" w:rsidRDefault="004A36F2">
      <w:pPr>
        <w:pStyle w:val="FootnoteText"/>
      </w:pPr>
      <w:r>
        <w:rPr>
          <w:rStyle w:val="FootnoteReference"/>
        </w:rPr>
        <w:footnoteRef/>
      </w:r>
      <w:r>
        <w:t xml:space="preserve"> NEBH is</w:t>
      </w:r>
      <w:r w:rsidRPr="003042C7">
        <w:t xml:space="preserve"> part of Beth Israel Lahey Health (BILH)</w:t>
      </w:r>
      <w:r>
        <w:t>.</w:t>
      </w:r>
    </w:p>
  </w:footnote>
  <w:footnote w:id="4">
    <w:p w14:paraId="0A38B02E" w14:textId="364283CE" w:rsidR="004A36F2" w:rsidRDefault="004A36F2">
      <w:pPr>
        <w:pStyle w:val="FootnoteText"/>
      </w:pPr>
      <w:r>
        <w:rPr>
          <w:rStyle w:val="FootnoteReference"/>
        </w:rPr>
        <w:footnoteRef/>
      </w:r>
      <w:r w:rsidRPr="000E7AEB">
        <w:t xml:space="preserve">It is located on the second floor of the New England Baptist Outpatient Care Center. </w:t>
      </w:r>
      <w:r>
        <w:t xml:space="preserve"> </w:t>
      </w:r>
    </w:p>
  </w:footnote>
  <w:footnote w:id="5">
    <w:p w14:paraId="6AA618CB" w14:textId="6D09E283" w:rsidR="004A36F2" w:rsidRDefault="004A36F2" w:rsidP="003042C7">
      <w:pPr>
        <w:pStyle w:val="FootnoteText"/>
      </w:pPr>
      <w:r>
        <w:rPr>
          <w:rStyle w:val="FootnoteReference"/>
        </w:rPr>
        <w:footnoteRef/>
      </w:r>
      <w:r>
        <w:t xml:space="preserve"> There are minor construction costs for code updates and “fit-out” </w:t>
      </w:r>
      <w:r w:rsidRPr="00C251B4">
        <w:t>$617,441.</w:t>
      </w:r>
    </w:p>
  </w:footnote>
  <w:footnote w:id="6">
    <w:p w14:paraId="6F0AB160" w14:textId="0C8292AC" w:rsidR="004A36F2" w:rsidRPr="002C432F" w:rsidRDefault="004A36F2" w:rsidP="009E3954">
      <w:pPr>
        <w:pStyle w:val="FootnoteText"/>
        <w:contextualSpacing/>
        <w:rPr>
          <w:rFonts w:cstheme="minorHAnsi"/>
          <w:sz w:val="18"/>
          <w:szCs w:val="18"/>
        </w:rPr>
      </w:pPr>
      <w:r w:rsidRPr="002C432F">
        <w:rPr>
          <w:rStyle w:val="FootnoteReference"/>
          <w:rFonts w:cstheme="minorHAnsi"/>
          <w:sz w:val="18"/>
          <w:szCs w:val="18"/>
        </w:rPr>
        <w:footnoteRef/>
      </w:r>
      <w:r w:rsidRPr="002C432F">
        <w:rPr>
          <w:rFonts w:cstheme="minorHAnsi"/>
          <w:sz w:val="18"/>
          <w:szCs w:val="18"/>
        </w:rPr>
        <w:t xml:space="preserve"> As defined in 105 CMR 100.100, Patient Panel is the total of the individual patients regardless of payer, including patients seen at an emergency department (if applicable), seen over the course of the most recent complete 36-month period by the Applicant or Holder. </w:t>
      </w:r>
      <w:r w:rsidRPr="002C432F">
        <w:rPr>
          <w:sz w:val="18"/>
          <w:szCs w:val="18"/>
        </w:rPr>
        <w:t>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7">
    <w:p w14:paraId="72011D0D" w14:textId="0854C512" w:rsidR="004A36F2" w:rsidRDefault="004A36F2" w:rsidP="00E74C38">
      <w:pPr>
        <w:pStyle w:val="FootnoteText"/>
      </w:pPr>
      <w:r>
        <w:rPr>
          <w:rStyle w:val="FootnoteReference"/>
        </w:rPr>
        <w:footnoteRef/>
      </w:r>
      <w:r>
        <w:t xml:space="preserve"> - Patients who fall into multiple age categories in a given year are included in the younger category. </w:t>
      </w:r>
    </w:p>
    <w:p w14:paraId="2FC46C57" w14:textId="77777777" w:rsidR="004A36F2" w:rsidRDefault="004A36F2" w:rsidP="00E74C38">
      <w:pPr>
        <w:pStyle w:val="FootnoteText"/>
      </w:pPr>
      <w:r>
        <w:t>- Race information is self-reported. Patients for whom a race is not specified are included in "Unknown". Patients for whom race varies across visits over the time period are included in "Other." Under Race, "Other" includes American Indian or Alaska Native, Native Hawaiian, Hawaiian or Other Pacific Islander, and Patient Declined.</w:t>
      </w:r>
    </w:p>
    <w:p w14:paraId="6437A991" w14:textId="77777777" w:rsidR="004A36F2" w:rsidRDefault="004A36F2" w:rsidP="00E74C38">
      <w:pPr>
        <w:pStyle w:val="FootnoteText"/>
      </w:pPr>
      <w:r w:rsidRPr="007743D4">
        <w:t>- Under ZIP Code Summary, "Other" includes CT, FL, and NY, which account for most of the cases among states not listed individually.</w:t>
      </w:r>
    </w:p>
  </w:footnote>
  <w:footnote w:id="8">
    <w:p w14:paraId="1BAC16F9" w14:textId="520D1DCF" w:rsidR="004A36F2" w:rsidRDefault="004A36F2">
      <w:pPr>
        <w:pStyle w:val="FootnoteText"/>
      </w:pPr>
      <w:r>
        <w:rPr>
          <w:rStyle w:val="FootnoteReference"/>
        </w:rPr>
        <w:footnoteRef/>
      </w:r>
      <w:r>
        <w:t xml:space="preserve"> D</w:t>
      </w:r>
      <w:r w:rsidRPr="002152E5">
        <w:t>oes not include pre- or post-op visits as those visits do not occur at the HOPD</w:t>
      </w:r>
      <w:r>
        <w:t>.</w:t>
      </w:r>
    </w:p>
  </w:footnote>
  <w:footnote w:id="9">
    <w:p w14:paraId="61E28CAC" w14:textId="77777777" w:rsidR="004A36F2" w:rsidRDefault="004A36F2" w:rsidP="002767EE">
      <w:pPr>
        <w:pStyle w:val="FootnoteText"/>
      </w:pPr>
      <w:r>
        <w:rPr>
          <w:rStyle w:val="FootnoteReference"/>
        </w:rPr>
        <w:footnoteRef/>
      </w:r>
      <w:r>
        <w:t xml:space="preserve"> </w:t>
      </w:r>
      <w:r w:rsidRPr="00832BAF">
        <w:t>Sg2 projections are based on all hospital discharges for patients residing in the combined NEBH primary and secondary service areas</w:t>
      </w:r>
      <w:r>
        <w:t>.</w:t>
      </w:r>
    </w:p>
  </w:footnote>
  <w:footnote w:id="10">
    <w:p w14:paraId="11A7B8EF" w14:textId="38C914B7" w:rsidR="004A36F2" w:rsidRDefault="004A36F2" w:rsidP="00173C0C">
      <w:pPr>
        <w:pStyle w:val="FootnoteText"/>
      </w:pPr>
      <w:r>
        <w:rPr>
          <w:rStyle w:val="FootnoteReference"/>
        </w:rPr>
        <w:footnoteRef/>
      </w:r>
      <w:r>
        <w:t xml:space="preserve"> </w:t>
      </w:r>
      <w:r w:rsidRPr="00832BAF">
        <w:t xml:space="preserve">Tufts Health Plan Foundation. (2014). Highlights from the </w:t>
      </w:r>
      <w:hyperlink r:id="rId1" w:anchor=":~:text=the%20percentage%20of%20the%20state,remarkable%2021%20percent%20in%202030" w:history="1">
        <w:r w:rsidRPr="00E26CCA">
          <w:rPr>
            <w:rStyle w:val="Hyperlink"/>
            <w:color w:val="auto"/>
            <w:u w:val="none"/>
          </w:rPr>
          <w:t>Massachusetts Health Aging Data Report: Community Profiles 2014</w:t>
        </w:r>
      </w:hyperlink>
      <w:r w:rsidRPr="00832BAF">
        <w:t>.Available at: https://www.mass.gov/doc/mass-healthy-aging-data-report-community-profiles-commissioned-by-tufts-health-plan-0/download#:~:text=the%20percentage%20of%20the%20state,remarkable%2021%20percent%20in%202030</w:t>
      </w:r>
    </w:p>
  </w:footnote>
  <w:footnote w:id="11">
    <w:p w14:paraId="2F1F7132" w14:textId="3FB0C420" w:rsidR="004A36F2" w:rsidRPr="006D0CE6" w:rsidRDefault="004A36F2">
      <w:pPr>
        <w:pStyle w:val="FootnoteText"/>
        <w:rPr>
          <w:sz w:val="18"/>
          <w:szCs w:val="18"/>
        </w:rPr>
      </w:pPr>
      <w:r w:rsidRPr="006D0CE6">
        <w:rPr>
          <w:rStyle w:val="FootnoteReference"/>
          <w:sz w:val="18"/>
          <w:szCs w:val="18"/>
        </w:rPr>
        <w:footnoteRef/>
      </w:r>
      <w:r w:rsidRPr="006D0CE6">
        <w:rPr>
          <w:sz w:val="18"/>
          <w:szCs w:val="18"/>
        </w:rPr>
        <w:t xml:space="preserve"> See Appendix I for more details. </w:t>
      </w:r>
    </w:p>
  </w:footnote>
  <w:footnote w:id="12">
    <w:p w14:paraId="75DC8183" w14:textId="77777777" w:rsidR="004A36F2" w:rsidRPr="00197300" w:rsidRDefault="004A36F2" w:rsidP="003130DF">
      <w:pPr>
        <w:pStyle w:val="FootnoteText"/>
        <w:rPr>
          <w:sz w:val="18"/>
          <w:szCs w:val="18"/>
        </w:rPr>
      </w:pPr>
      <w:r>
        <w:rPr>
          <w:rStyle w:val="FootnoteReference"/>
        </w:rPr>
        <w:footnoteRef/>
      </w:r>
      <w:r>
        <w:t xml:space="preserve"> </w:t>
      </w:r>
      <w:r w:rsidRPr="00B51C3D">
        <w:rPr>
          <w:rFonts w:cstheme="minorHAnsi"/>
          <w:sz w:val="18"/>
          <w:szCs w:val="18"/>
        </w:rPr>
        <w:t xml:space="preserve">MacDonald left the board earlier </w:t>
      </w:r>
      <w:r w:rsidRPr="00197300">
        <w:rPr>
          <w:rFonts w:cstheme="minorHAnsi"/>
          <w:sz w:val="18"/>
          <w:szCs w:val="18"/>
        </w:rPr>
        <w:t xml:space="preserve">this year. </w:t>
      </w:r>
    </w:p>
  </w:footnote>
  <w:footnote w:id="13">
    <w:p w14:paraId="27617A39" w14:textId="77777777" w:rsidR="004A36F2" w:rsidRPr="00197300" w:rsidRDefault="004A36F2" w:rsidP="003130DF">
      <w:pPr>
        <w:pStyle w:val="FootnoteText"/>
        <w:rPr>
          <w:sz w:val="18"/>
          <w:szCs w:val="18"/>
        </w:rPr>
      </w:pPr>
      <w:r w:rsidRPr="00197300">
        <w:rPr>
          <w:rStyle w:val="FootnoteReference"/>
          <w:sz w:val="18"/>
          <w:szCs w:val="18"/>
        </w:rPr>
        <w:footnoteRef/>
      </w:r>
      <w:r w:rsidRPr="00197300">
        <w:rPr>
          <w:sz w:val="18"/>
          <w:szCs w:val="18"/>
        </w:rPr>
        <w:t xml:space="preserve"> For Dedham: the town manager, assistant town manager, building inspector, and fire chief. For Westwood: fire chief, building inspector, and members of the select board.</w:t>
      </w:r>
    </w:p>
  </w:footnote>
  <w:footnote w:id="14">
    <w:p w14:paraId="45F7F8D0" w14:textId="25FF623A" w:rsidR="004A36F2" w:rsidRPr="000E7AEB" w:rsidRDefault="004A36F2">
      <w:pPr>
        <w:pStyle w:val="FootnoteText"/>
      </w:pPr>
      <w:r w:rsidRPr="002C432F">
        <w:rPr>
          <w:rStyle w:val="FootnoteReference"/>
          <w:sz w:val="18"/>
          <w:szCs w:val="18"/>
        </w:rPr>
        <w:footnoteRef/>
      </w:r>
      <w:r w:rsidRPr="002C432F">
        <w:rPr>
          <w:sz w:val="18"/>
          <w:szCs w:val="18"/>
        </w:rPr>
        <w:t xml:space="preserve"> </w:t>
      </w:r>
      <w:r w:rsidRPr="000E7AEB">
        <w:t>It has been reported that data from the Price Procedure Lookup tool are limited because the prices are based on national averages and copayment estimates are only for patients with Original Medicare and no supplemental policy. In addition, Medicare costs and copayments are not always aligned; a patient copay may be less expensive at an HOPD, but the total cost of the procedure may be more expensive than an ASC.</w:t>
      </w:r>
    </w:p>
  </w:footnote>
  <w:footnote w:id="15">
    <w:p w14:paraId="486B7476" w14:textId="77777777" w:rsidR="004A36F2" w:rsidRPr="000E7AEB" w:rsidRDefault="004A36F2" w:rsidP="00B75E11">
      <w:pPr>
        <w:pStyle w:val="FootnoteText"/>
        <w:rPr>
          <w:b/>
          <w:bCs/>
        </w:rPr>
      </w:pPr>
      <w:r w:rsidRPr="000E7AEB">
        <w:rPr>
          <w:rStyle w:val="FootnoteReference"/>
        </w:rPr>
        <w:footnoteRef/>
      </w:r>
      <w:r w:rsidRPr="000E7AEB">
        <w:t xml:space="preserve"> Price data obtained using Procedure Price Lookup, Medicare.gov. https://www.medicare.gov/procedure-price-lookup/</w:t>
      </w:r>
    </w:p>
    <w:p w14:paraId="729804F4" w14:textId="5D5FBB51" w:rsidR="004A36F2" w:rsidRDefault="004A36F2">
      <w:pPr>
        <w:pStyle w:val="FootnoteText"/>
      </w:pPr>
    </w:p>
  </w:footnote>
  <w:footnote w:id="16">
    <w:p w14:paraId="6BF912A5" w14:textId="77777777" w:rsidR="004A36F2" w:rsidRDefault="004A36F2" w:rsidP="000E4814">
      <w:pPr>
        <w:pStyle w:val="FootnoteText"/>
      </w:pPr>
      <w:r>
        <w:rPr>
          <w:rStyle w:val="FootnoteReference"/>
        </w:rPr>
        <w:footnoteRef/>
      </w:r>
      <w:r>
        <w:t xml:space="preserve"> New England Baptist Hospital – Dedham ASC – 5-Year Projected Financial Statements and</w:t>
      </w:r>
    </w:p>
    <w:p w14:paraId="4D4D2247" w14:textId="77777777" w:rsidR="004A36F2" w:rsidRDefault="004A36F2" w:rsidP="000E4814">
      <w:pPr>
        <w:pStyle w:val="FootnoteText"/>
      </w:pPr>
      <w:r>
        <w:t>Assumptions received from Management on February 28, 2022</w:t>
      </w:r>
    </w:p>
    <w:p w14:paraId="2328CBA5" w14:textId="77777777" w:rsidR="004A36F2" w:rsidRDefault="004A36F2" w:rsidP="000E4814">
      <w:pPr>
        <w:pStyle w:val="FootnoteText"/>
      </w:pPr>
      <w:r>
        <w:t>2. Medicare rates and base rate calculations, received from Management on February 28, 2022</w:t>
      </w:r>
    </w:p>
    <w:p w14:paraId="6F194837" w14:textId="77777777" w:rsidR="004A36F2" w:rsidRDefault="004A36F2" w:rsidP="000E4814">
      <w:pPr>
        <w:pStyle w:val="FootnoteText"/>
      </w:pPr>
      <w:r>
        <w:t>3. New England Baptist Hospital – Dedham ASC draft DoN Application as of May 2022</w:t>
      </w:r>
    </w:p>
    <w:p w14:paraId="37F44690" w14:textId="77777777" w:rsidR="004A36F2" w:rsidRDefault="004A36F2" w:rsidP="000E4814">
      <w:pPr>
        <w:pStyle w:val="FootnoteText"/>
      </w:pPr>
      <w:r>
        <w:t>4. Determination of Need Application Instructions dated March 2017</w:t>
      </w:r>
    </w:p>
    <w:p w14:paraId="3143E166" w14:textId="77777777" w:rsidR="004A36F2" w:rsidRDefault="004A36F2" w:rsidP="000E4814">
      <w:pPr>
        <w:pStyle w:val="FootnoteText"/>
      </w:pPr>
      <w:r>
        <w:t>5. CMS.gov (Medicare) Ambulatory Surgical Center Payment System website</w:t>
      </w:r>
    </w:p>
    <w:p w14:paraId="142ACCCA" w14:textId="77777777" w:rsidR="004A36F2" w:rsidRDefault="004A36F2" w:rsidP="000E4814">
      <w:pPr>
        <w:pStyle w:val="FootnoteText"/>
      </w:pPr>
      <w:r>
        <w:t>6. Mass.gov Executive Office of Health and Human Services</w:t>
      </w:r>
    </w:p>
    <w:p w14:paraId="48FF26D7" w14:textId="77777777" w:rsidR="004A36F2" w:rsidRDefault="004A36F2" w:rsidP="000E4814">
      <w:pPr>
        <w:pStyle w:val="FootnoteText"/>
      </w:pPr>
      <w:r>
        <w:t>7. Constitution’s company website https://www.csasurgery.com</w:t>
      </w:r>
    </w:p>
    <w:p w14:paraId="7F81EE8D" w14:textId="77777777" w:rsidR="004A36F2" w:rsidRDefault="004A36F2" w:rsidP="000E4814">
      <w:pPr>
        <w:pStyle w:val="FootnoteText"/>
      </w:pPr>
      <w:r>
        <w:t>8. VMG Health Intellimarker Multi-Specialty ASC Study 2017</w:t>
      </w:r>
    </w:p>
    <w:p w14:paraId="618F9C52" w14:textId="58115EF4" w:rsidR="004A36F2" w:rsidRDefault="004A36F2" w:rsidP="000E4814">
      <w:pPr>
        <w:pStyle w:val="FootnoteText"/>
      </w:pPr>
      <w:r>
        <w:t xml:space="preserve">9. </w:t>
      </w:r>
      <w:r>
        <w:t xml:space="preserve">New England Baptist Hospital company website </w:t>
      </w:r>
      <w:hyperlink r:id="rId2" w:history="1">
        <w:r w:rsidR="008E0249" w:rsidRPr="0030419B">
          <w:rPr>
            <w:rStyle w:val="Hyperlink"/>
          </w:rPr>
          <w:t>https://www.nebh.org</w:t>
        </w:r>
      </w:hyperlink>
      <w:r w:rsidR="008E0249">
        <w:t xml:space="preserve"> </w:t>
      </w:r>
    </w:p>
  </w:footnote>
  <w:footnote w:id="17">
    <w:p w14:paraId="68149C4A" w14:textId="3BCF827E" w:rsidR="004A36F2" w:rsidRDefault="004A36F2">
      <w:pPr>
        <w:pStyle w:val="FootnoteText"/>
      </w:pPr>
      <w:r>
        <w:rPr>
          <w:rStyle w:val="FootnoteReference"/>
        </w:rPr>
        <w:footnoteRef/>
      </w:r>
      <w:r>
        <w:t xml:space="preserve"> A</w:t>
      </w:r>
      <w:r w:rsidRPr="00AD5651">
        <w:t>djusted by inflation and the wage index, included in the 2022 OPPS and ASC Proposed Final Rule, published by CMS effective January 1, 2022.</w:t>
      </w:r>
    </w:p>
  </w:footnote>
  <w:footnote w:id="18">
    <w:p w14:paraId="05E19355" w14:textId="1FD49245" w:rsidR="004A36F2" w:rsidRDefault="004A36F2">
      <w:pPr>
        <w:pStyle w:val="FootnoteText"/>
      </w:pPr>
      <w:r>
        <w:rPr>
          <w:rStyle w:val="FootnoteReference"/>
        </w:rPr>
        <w:footnoteRef/>
      </w:r>
      <w:r>
        <w:t xml:space="preserve"> T</w:t>
      </w:r>
      <w:r w:rsidRPr="00192AD2">
        <w:t>he Projections do not account for any changes in accounting standards</w:t>
      </w:r>
      <w:r>
        <w:t xml:space="preserve"> </w:t>
      </w:r>
      <w:r w:rsidRPr="00192AD2">
        <w:t xml:space="preserve">which may have a material impact on individual future years, </w:t>
      </w:r>
      <w:r>
        <w:t xml:space="preserve">and </w:t>
      </w:r>
      <w:r w:rsidRPr="00192AD2">
        <w:t>are not anticipated to have a material impact on the aggregate Projections.</w:t>
      </w:r>
    </w:p>
  </w:footnote>
  <w:footnote w:id="19">
    <w:p w14:paraId="64A4ED72" w14:textId="1A662942" w:rsidR="004A36F2" w:rsidRDefault="004A36F2">
      <w:pPr>
        <w:pStyle w:val="FootnoteText"/>
      </w:pPr>
      <w:r>
        <w:rPr>
          <w:rStyle w:val="FootnoteReference"/>
        </w:rPr>
        <w:footnoteRef/>
      </w:r>
      <w:r>
        <w:t xml:space="preserve"> Both BID Needham and NEBH are members of the Beth Israel Lahey Health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B643" w14:textId="5914A7B3" w:rsidR="004A36F2" w:rsidRDefault="004A3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CB2F" w14:textId="08726DF9" w:rsidR="004A36F2" w:rsidRDefault="004A3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FC3D" w14:textId="5ABB28AF" w:rsidR="004A36F2" w:rsidRDefault="004A3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C0"/>
    <w:multiLevelType w:val="hybridMultilevel"/>
    <w:tmpl w:val="D26ACF4E"/>
    <w:lvl w:ilvl="0" w:tplc="0409000F">
      <w:start w:val="1"/>
      <w:numFmt w:val="decimal"/>
      <w:lvlText w:val="%1."/>
      <w:lvlJc w:val="left"/>
      <w:pPr>
        <w:ind w:left="540" w:hanging="360"/>
      </w:pPr>
    </w:lvl>
    <w:lvl w:ilvl="1" w:tplc="834A53E4">
      <w:start w:val="1"/>
      <w:numFmt w:val="lowerLetter"/>
      <w:lvlText w:val="%2."/>
      <w:lvlJc w:val="left"/>
      <w:pPr>
        <w:ind w:left="1260" w:hanging="360"/>
      </w:pPr>
      <w:rPr>
        <w:b w:val="0"/>
        <w:bCs w:val="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924D7C"/>
    <w:multiLevelType w:val="hybridMultilevel"/>
    <w:tmpl w:val="0EB20904"/>
    <w:lvl w:ilvl="0" w:tplc="0672A684">
      <w:start w:val="1"/>
      <w:numFmt w:val="lowerLetter"/>
      <w:lvlText w:val="%1."/>
      <w:lvlJc w:val="left"/>
      <w:pPr>
        <w:ind w:left="1260" w:hanging="360"/>
      </w:pPr>
      <w:rPr>
        <w:b w:val="0"/>
        <w:bCs/>
      </w:rPr>
    </w:lvl>
    <w:lvl w:ilvl="1" w:tplc="53C4E5C4">
      <w:start w:val="1"/>
      <w:numFmt w:val="lowerRoman"/>
      <w:lvlText w:val="%2."/>
      <w:lvlJc w:val="right"/>
      <w:pPr>
        <w:ind w:left="1620" w:hanging="360"/>
      </w:pPr>
      <w:rPr>
        <w:b w:val="0"/>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C86E49"/>
    <w:multiLevelType w:val="hybridMultilevel"/>
    <w:tmpl w:val="91B07178"/>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38950CA"/>
    <w:multiLevelType w:val="hybridMultilevel"/>
    <w:tmpl w:val="9154C574"/>
    <w:lvl w:ilvl="0" w:tplc="0409000F">
      <w:start w:val="1"/>
      <w:numFmt w:val="decimal"/>
      <w:lvlText w:val="%1."/>
      <w:lvlJc w:val="left"/>
      <w:pPr>
        <w:ind w:left="734" w:hanging="255"/>
      </w:pPr>
      <w:rPr>
        <w:rFonts w:hint="default"/>
        <w:w w:val="100"/>
        <w:lang w:val="en-US" w:eastAsia="en-US" w:bidi="ar-SA"/>
      </w:rPr>
    </w:lvl>
    <w:lvl w:ilvl="1" w:tplc="69322D90">
      <w:start w:val="1"/>
      <w:numFmt w:val="decimal"/>
      <w:lvlText w:val="%2."/>
      <w:lvlJc w:val="left"/>
      <w:pPr>
        <w:ind w:left="1200" w:hanging="360"/>
      </w:pPr>
      <w:rPr>
        <w:rFonts w:ascii="Calibri" w:eastAsia="Calibri" w:hAnsi="Calibri" w:cs="Calibri" w:hint="default"/>
        <w:b w:val="0"/>
        <w:bCs w:val="0"/>
        <w:i w:val="0"/>
        <w:iCs w:val="0"/>
        <w:w w:val="100"/>
        <w:sz w:val="24"/>
        <w:szCs w:val="24"/>
        <w:lang w:val="en-US" w:eastAsia="en-US" w:bidi="ar-SA"/>
      </w:rPr>
    </w:lvl>
    <w:lvl w:ilvl="2" w:tplc="38CAE800">
      <w:numFmt w:val="bullet"/>
      <w:lvlText w:val="•"/>
      <w:lvlJc w:val="left"/>
      <w:pPr>
        <w:ind w:left="2213" w:hanging="360"/>
      </w:pPr>
      <w:rPr>
        <w:rFonts w:hint="default"/>
        <w:lang w:val="en-US" w:eastAsia="en-US" w:bidi="ar-SA"/>
      </w:rPr>
    </w:lvl>
    <w:lvl w:ilvl="3" w:tplc="F72879CA">
      <w:numFmt w:val="bullet"/>
      <w:lvlText w:val="•"/>
      <w:lvlJc w:val="left"/>
      <w:pPr>
        <w:ind w:left="3226" w:hanging="360"/>
      </w:pPr>
      <w:rPr>
        <w:rFonts w:hint="default"/>
        <w:lang w:val="en-US" w:eastAsia="en-US" w:bidi="ar-SA"/>
      </w:rPr>
    </w:lvl>
    <w:lvl w:ilvl="4" w:tplc="A6C8C112">
      <w:numFmt w:val="bullet"/>
      <w:lvlText w:val="•"/>
      <w:lvlJc w:val="left"/>
      <w:pPr>
        <w:ind w:left="4240" w:hanging="360"/>
      </w:pPr>
      <w:rPr>
        <w:rFonts w:hint="default"/>
        <w:lang w:val="en-US" w:eastAsia="en-US" w:bidi="ar-SA"/>
      </w:rPr>
    </w:lvl>
    <w:lvl w:ilvl="5" w:tplc="4B58F6E6">
      <w:numFmt w:val="bullet"/>
      <w:lvlText w:val="•"/>
      <w:lvlJc w:val="left"/>
      <w:pPr>
        <w:ind w:left="5253" w:hanging="360"/>
      </w:pPr>
      <w:rPr>
        <w:rFonts w:hint="default"/>
        <w:lang w:val="en-US" w:eastAsia="en-US" w:bidi="ar-SA"/>
      </w:rPr>
    </w:lvl>
    <w:lvl w:ilvl="6" w:tplc="8D70AA5A">
      <w:numFmt w:val="bullet"/>
      <w:lvlText w:val="•"/>
      <w:lvlJc w:val="left"/>
      <w:pPr>
        <w:ind w:left="6266" w:hanging="360"/>
      </w:pPr>
      <w:rPr>
        <w:rFonts w:hint="default"/>
        <w:lang w:val="en-US" w:eastAsia="en-US" w:bidi="ar-SA"/>
      </w:rPr>
    </w:lvl>
    <w:lvl w:ilvl="7" w:tplc="B24EC8BA">
      <w:numFmt w:val="bullet"/>
      <w:lvlText w:val="•"/>
      <w:lvlJc w:val="left"/>
      <w:pPr>
        <w:ind w:left="7280" w:hanging="360"/>
      </w:pPr>
      <w:rPr>
        <w:rFonts w:hint="default"/>
        <w:lang w:val="en-US" w:eastAsia="en-US" w:bidi="ar-SA"/>
      </w:rPr>
    </w:lvl>
    <w:lvl w:ilvl="8" w:tplc="40E2A9BA">
      <w:numFmt w:val="bullet"/>
      <w:lvlText w:val="•"/>
      <w:lvlJc w:val="left"/>
      <w:pPr>
        <w:ind w:left="8293" w:hanging="360"/>
      </w:pPr>
      <w:rPr>
        <w:rFonts w:hint="default"/>
        <w:lang w:val="en-US" w:eastAsia="en-US" w:bidi="ar-SA"/>
      </w:rPr>
    </w:lvl>
  </w:abstractNum>
  <w:abstractNum w:abstractNumId="4" w15:restartNumberingAfterBreak="0">
    <w:nsid w:val="07131E8B"/>
    <w:multiLevelType w:val="hybridMultilevel"/>
    <w:tmpl w:val="0522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41F7"/>
    <w:multiLevelType w:val="hybridMultilevel"/>
    <w:tmpl w:val="FEACB07E"/>
    <w:lvl w:ilvl="0" w:tplc="9E7EE32E">
      <w:numFmt w:val="bullet"/>
      <w:lvlText w:val="-"/>
      <w:lvlJc w:val="left"/>
      <w:pPr>
        <w:ind w:left="1140" w:hanging="360"/>
      </w:pPr>
      <w:rPr>
        <w:rFonts w:ascii="Garamond" w:eastAsiaTheme="minorHAnsi" w:hAnsi="Garamond" w:cstheme="minorBidi"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1952373"/>
    <w:multiLevelType w:val="hybridMultilevel"/>
    <w:tmpl w:val="CA94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202C4"/>
    <w:multiLevelType w:val="hybridMultilevel"/>
    <w:tmpl w:val="83B6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649AC"/>
    <w:multiLevelType w:val="hybridMultilevel"/>
    <w:tmpl w:val="8F5C2036"/>
    <w:lvl w:ilvl="0" w:tplc="5C9429CC">
      <w:start w:val="1"/>
      <w:numFmt w:val="decimal"/>
      <w:lvlText w:val="%1."/>
      <w:lvlJc w:val="left"/>
      <w:pPr>
        <w:ind w:left="720" w:hanging="360"/>
      </w:pPr>
      <w:rPr>
        <w:b/>
        <w:bCs/>
      </w:rPr>
    </w:lvl>
    <w:lvl w:ilvl="1" w:tplc="2BB8A85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B74A0"/>
    <w:multiLevelType w:val="hybridMultilevel"/>
    <w:tmpl w:val="E4DEAB6A"/>
    <w:lvl w:ilvl="0" w:tplc="1B40DC80">
      <w:start w:val="1"/>
      <w:numFmt w:val="decimal"/>
      <w:lvlText w:val="%1)"/>
      <w:lvlJc w:val="left"/>
      <w:pPr>
        <w:ind w:left="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A5364"/>
    <w:multiLevelType w:val="hybridMultilevel"/>
    <w:tmpl w:val="3064D398"/>
    <w:lvl w:ilvl="0" w:tplc="1B40DC8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 w15:restartNumberingAfterBreak="0">
    <w:nsid w:val="23A40574"/>
    <w:multiLevelType w:val="hybridMultilevel"/>
    <w:tmpl w:val="DE40F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A741D"/>
    <w:multiLevelType w:val="hybridMultilevel"/>
    <w:tmpl w:val="16309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F6C7E"/>
    <w:multiLevelType w:val="hybridMultilevel"/>
    <w:tmpl w:val="A13609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564A11"/>
    <w:multiLevelType w:val="hybridMultilevel"/>
    <w:tmpl w:val="68062E18"/>
    <w:lvl w:ilvl="0" w:tplc="B4D0353E">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ECDA2B3E">
      <w:numFmt w:val="bullet"/>
      <w:lvlText w:val="o"/>
      <w:lvlJc w:val="left"/>
      <w:pPr>
        <w:ind w:left="1920" w:hanging="360"/>
      </w:pPr>
      <w:rPr>
        <w:rFonts w:ascii="Courier New" w:eastAsia="Courier New" w:hAnsi="Courier New" w:cs="Courier New" w:hint="default"/>
        <w:b w:val="0"/>
        <w:bCs w:val="0"/>
        <w:i w:val="0"/>
        <w:iCs w:val="0"/>
        <w:w w:val="100"/>
        <w:sz w:val="24"/>
        <w:szCs w:val="24"/>
        <w:lang w:val="en-US" w:eastAsia="en-US" w:bidi="ar-SA"/>
      </w:rPr>
    </w:lvl>
    <w:lvl w:ilvl="2" w:tplc="4508B674">
      <w:numFmt w:val="bullet"/>
      <w:lvlText w:val="•"/>
      <w:lvlJc w:val="left"/>
      <w:pPr>
        <w:ind w:left="2853" w:hanging="360"/>
      </w:pPr>
      <w:rPr>
        <w:rFonts w:hint="default"/>
        <w:lang w:val="en-US" w:eastAsia="en-US" w:bidi="ar-SA"/>
      </w:rPr>
    </w:lvl>
    <w:lvl w:ilvl="3" w:tplc="37B21B22">
      <w:numFmt w:val="bullet"/>
      <w:lvlText w:val="•"/>
      <w:lvlJc w:val="left"/>
      <w:pPr>
        <w:ind w:left="3786" w:hanging="360"/>
      </w:pPr>
      <w:rPr>
        <w:rFonts w:hint="default"/>
        <w:lang w:val="en-US" w:eastAsia="en-US" w:bidi="ar-SA"/>
      </w:rPr>
    </w:lvl>
    <w:lvl w:ilvl="4" w:tplc="56380028">
      <w:numFmt w:val="bullet"/>
      <w:lvlText w:val="•"/>
      <w:lvlJc w:val="left"/>
      <w:pPr>
        <w:ind w:left="4720" w:hanging="360"/>
      </w:pPr>
      <w:rPr>
        <w:rFonts w:hint="default"/>
        <w:lang w:val="en-US" w:eastAsia="en-US" w:bidi="ar-SA"/>
      </w:rPr>
    </w:lvl>
    <w:lvl w:ilvl="5" w:tplc="658ADA8A">
      <w:numFmt w:val="bullet"/>
      <w:lvlText w:val="•"/>
      <w:lvlJc w:val="left"/>
      <w:pPr>
        <w:ind w:left="5653" w:hanging="360"/>
      </w:pPr>
      <w:rPr>
        <w:rFonts w:hint="default"/>
        <w:lang w:val="en-US" w:eastAsia="en-US" w:bidi="ar-SA"/>
      </w:rPr>
    </w:lvl>
    <w:lvl w:ilvl="6" w:tplc="688E8990">
      <w:numFmt w:val="bullet"/>
      <w:lvlText w:val="•"/>
      <w:lvlJc w:val="left"/>
      <w:pPr>
        <w:ind w:left="6586" w:hanging="360"/>
      </w:pPr>
      <w:rPr>
        <w:rFonts w:hint="default"/>
        <w:lang w:val="en-US" w:eastAsia="en-US" w:bidi="ar-SA"/>
      </w:rPr>
    </w:lvl>
    <w:lvl w:ilvl="7" w:tplc="DDEEA814">
      <w:numFmt w:val="bullet"/>
      <w:lvlText w:val="•"/>
      <w:lvlJc w:val="left"/>
      <w:pPr>
        <w:ind w:left="7520" w:hanging="360"/>
      </w:pPr>
      <w:rPr>
        <w:rFonts w:hint="default"/>
        <w:lang w:val="en-US" w:eastAsia="en-US" w:bidi="ar-SA"/>
      </w:rPr>
    </w:lvl>
    <w:lvl w:ilvl="8" w:tplc="A7E8147E">
      <w:numFmt w:val="bullet"/>
      <w:lvlText w:val="•"/>
      <w:lvlJc w:val="left"/>
      <w:pPr>
        <w:ind w:left="8453" w:hanging="360"/>
      </w:pPr>
      <w:rPr>
        <w:rFonts w:hint="default"/>
        <w:lang w:val="en-US" w:eastAsia="en-US" w:bidi="ar-SA"/>
      </w:rPr>
    </w:lvl>
  </w:abstractNum>
  <w:abstractNum w:abstractNumId="15" w15:restartNumberingAfterBreak="0">
    <w:nsid w:val="275B0FE7"/>
    <w:multiLevelType w:val="hybridMultilevel"/>
    <w:tmpl w:val="9302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63808"/>
    <w:multiLevelType w:val="hybridMultilevel"/>
    <w:tmpl w:val="AE4A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F6471"/>
    <w:multiLevelType w:val="hybridMultilevel"/>
    <w:tmpl w:val="1764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908CC"/>
    <w:multiLevelType w:val="hybridMultilevel"/>
    <w:tmpl w:val="388CC6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14EB8"/>
    <w:multiLevelType w:val="hybridMultilevel"/>
    <w:tmpl w:val="83060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41FE4"/>
    <w:multiLevelType w:val="hybridMultilevel"/>
    <w:tmpl w:val="2C6CA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B85BAE"/>
    <w:multiLevelType w:val="hybridMultilevel"/>
    <w:tmpl w:val="C568AC28"/>
    <w:lvl w:ilvl="0" w:tplc="F6C6C52A">
      <w:start w:val="1"/>
      <w:numFmt w:val="upperLetter"/>
      <w:lvlText w:val="%1."/>
      <w:lvlJc w:val="left"/>
      <w:pPr>
        <w:ind w:left="734" w:hanging="255"/>
      </w:pPr>
      <w:rPr>
        <w:rFonts w:hint="default"/>
        <w:w w:val="100"/>
        <w:lang w:val="en-US" w:eastAsia="en-US" w:bidi="ar-SA"/>
      </w:rPr>
    </w:lvl>
    <w:lvl w:ilvl="1" w:tplc="69322D90">
      <w:start w:val="1"/>
      <w:numFmt w:val="decimal"/>
      <w:lvlText w:val="%2."/>
      <w:lvlJc w:val="left"/>
      <w:pPr>
        <w:ind w:left="1200" w:hanging="360"/>
      </w:pPr>
      <w:rPr>
        <w:rFonts w:ascii="Calibri" w:eastAsia="Calibri" w:hAnsi="Calibri" w:cs="Calibri" w:hint="default"/>
        <w:b w:val="0"/>
        <w:bCs w:val="0"/>
        <w:i w:val="0"/>
        <w:iCs w:val="0"/>
        <w:w w:val="100"/>
        <w:sz w:val="24"/>
        <w:szCs w:val="24"/>
        <w:lang w:val="en-US" w:eastAsia="en-US" w:bidi="ar-SA"/>
      </w:rPr>
    </w:lvl>
    <w:lvl w:ilvl="2" w:tplc="38CAE800">
      <w:numFmt w:val="bullet"/>
      <w:lvlText w:val="•"/>
      <w:lvlJc w:val="left"/>
      <w:pPr>
        <w:ind w:left="2213" w:hanging="360"/>
      </w:pPr>
      <w:rPr>
        <w:rFonts w:hint="default"/>
        <w:lang w:val="en-US" w:eastAsia="en-US" w:bidi="ar-SA"/>
      </w:rPr>
    </w:lvl>
    <w:lvl w:ilvl="3" w:tplc="F72879CA">
      <w:numFmt w:val="bullet"/>
      <w:lvlText w:val="•"/>
      <w:lvlJc w:val="left"/>
      <w:pPr>
        <w:ind w:left="3226" w:hanging="360"/>
      </w:pPr>
      <w:rPr>
        <w:rFonts w:hint="default"/>
        <w:lang w:val="en-US" w:eastAsia="en-US" w:bidi="ar-SA"/>
      </w:rPr>
    </w:lvl>
    <w:lvl w:ilvl="4" w:tplc="A6C8C112">
      <w:numFmt w:val="bullet"/>
      <w:lvlText w:val="•"/>
      <w:lvlJc w:val="left"/>
      <w:pPr>
        <w:ind w:left="4240" w:hanging="360"/>
      </w:pPr>
      <w:rPr>
        <w:rFonts w:hint="default"/>
        <w:lang w:val="en-US" w:eastAsia="en-US" w:bidi="ar-SA"/>
      </w:rPr>
    </w:lvl>
    <w:lvl w:ilvl="5" w:tplc="4B58F6E6">
      <w:numFmt w:val="bullet"/>
      <w:lvlText w:val="•"/>
      <w:lvlJc w:val="left"/>
      <w:pPr>
        <w:ind w:left="5253" w:hanging="360"/>
      </w:pPr>
      <w:rPr>
        <w:rFonts w:hint="default"/>
        <w:lang w:val="en-US" w:eastAsia="en-US" w:bidi="ar-SA"/>
      </w:rPr>
    </w:lvl>
    <w:lvl w:ilvl="6" w:tplc="8D70AA5A">
      <w:numFmt w:val="bullet"/>
      <w:lvlText w:val="•"/>
      <w:lvlJc w:val="left"/>
      <w:pPr>
        <w:ind w:left="6266" w:hanging="360"/>
      </w:pPr>
      <w:rPr>
        <w:rFonts w:hint="default"/>
        <w:lang w:val="en-US" w:eastAsia="en-US" w:bidi="ar-SA"/>
      </w:rPr>
    </w:lvl>
    <w:lvl w:ilvl="7" w:tplc="B24EC8BA">
      <w:numFmt w:val="bullet"/>
      <w:lvlText w:val="•"/>
      <w:lvlJc w:val="left"/>
      <w:pPr>
        <w:ind w:left="7280" w:hanging="360"/>
      </w:pPr>
      <w:rPr>
        <w:rFonts w:hint="default"/>
        <w:lang w:val="en-US" w:eastAsia="en-US" w:bidi="ar-SA"/>
      </w:rPr>
    </w:lvl>
    <w:lvl w:ilvl="8" w:tplc="40E2A9BA">
      <w:numFmt w:val="bullet"/>
      <w:lvlText w:val="•"/>
      <w:lvlJc w:val="left"/>
      <w:pPr>
        <w:ind w:left="8293" w:hanging="360"/>
      </w:pPr>
      <w:rPr>
        <w:rFonts w:hint="default"/>
        <w:lang w:val="en-US" w:eastAsia="en-US" w:bidi="ar-SA"/>
      </w:rPr>
    </w:lvl>
  </w:abstractNum>
  <w:abstractNum w:abstractNumId="22"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7321D"/>
    <w:multiLevelType w:val="hybridMultilevel"/>
    <w:tmpl w:val="ACBE9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C2452"/>
    <w:multiLevelType w:val="hybridMultilevel"/>
    <w:tmpl w:val="30767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77305"/>
    <w:multiLevelType w:val="hybridMultilevel"/>
    <w:tmpl w:val="C8E0C566"/>
    <w:lvl w:ilvl="0" w:tplc="7B0CE810">
      <w:start w:val="1"/>
      <w:numFmt w:val="decimal"/>
      <w:lvlText w:val="%1."/>
      <w:lvlJc w:val="left"/>
      <w:pPr>
        <w:ind w:left="720" w:hanging="360"/>
      </w:pPr>
    </w:lvl>
    <w:lvl w:ilvl="1" w:tplc="2C261DF4">
      <w:start w:val="1"/>
      <w:numFmt w:val="lowerLetter"/>
      <w:lvlText w:val="%2."/>
      <w:lvlJc w:val="left"/>
      <w:pPr>
        <w:ind w:left="1440" w:hanging="360"/>
      </w:pPr>
    </w:lvl>
    <w:lvl w:ilvl="2" w:tplc="59AA3DF8">
      <w:start w:val="1"/>
      <w:numFmt w:val="lowerRoman"/>
      <w:lvlText w:val="%3."/>
      <w:lvlJc w:val="right"/>
      <w:pPr>
        <w:ind w:left="2160" w:hanging="180"/>
      </w:pPr>
    </w:lvl>
    <w:lvl w:ilvl="3" w:tplc="AAE0DC46">
      <w:start w:val="1"/>
      <w:numFmt w:val="decimal"/>
      <w:lvlText w:val="%4."/>
      <w:lvlJc w:val="left"/>
      <w:pPr>
        <w:ind w:left="2880" w:hanging="360"/>
      </w:pPr>
    </w:lvl>
    <w:lvl w:ilvl="4" w:tplc="2E2EE83E">
      <w:start w:val="1"/>
      <w:numFmt w:val="lowerLetter"/>
      <w:lvlText w:val="%5."/>
      <w:lvlJc w:val="left"/>
      <w:pPr>
        <w:ind w:left="3600" w:hanging="360"/>
      </w:pPr>
    </w:lvl>
    <w:lvl w:ilvl="5" w:tplc="4FDC1F38">
      <w:start w:val="1"/>
      <w:numFmt w:val="lowerRoman"/>
      <w:lvlText w:val="%6."/>
      <w:lvlJc w:val="right"/>
      <w:pPr>
        <w:ind w:left="4320" w:hanging="180"/>
      </w:pPr>
    </w:lvl>
    <w:lvl w:ilvl="6" w:tplc="F9165E10">
      <w:start w:val="1"/>
      <w:numFmt w:val="decimal"/>
      <w:lvlText w:val="%7."/>
      <w:lvlJc w:val="left"/>
      <w:pPr>
        <w:ind w:left="5040" w:hanging="360"/>
      </w:pPr>
    </w:lvl>
    <w:lvl w:ilvl="7" w:tplc="297CCFFA">
      <w:start w:val="1"/>
      <w:numFmt w:val="lowerLetter"/>
      <w:lvlText w:val="%8."/>
      <w:lvlJc w:val="left"/>
      <w:pPr>
        <w:ind w:left="5760" w:hanging="360"/>
      </w:pPr>
    </w:lvl>
    <w:lvl w:ilvl="8" w:tplc="5CBACC7E">
      <w:start w:val="1"/>
      <w:numFmt w:val="lowerRoman"/>
      <w:lvlText w:val="%9."/>
      <w:lvlJc w:val="right"/>
      <w:pPr>
        <w:ind w:left="6480" w:hanging="180"/>
      </w:pPr>
    </w:lvl>
  </w:abstractNum>
  <w:abstractNum w:abstractNumId="26" w15:restartNumberingAfterBreak="0">
    <w:nsid w:val="68CC3009"/>
    <w:multiLevelType w:val="hybridMultilevel"/>
    <w:tmpl w:val="5B6EE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30287"/>
    <w:multiLevelType w:val="hybridMultilevel"/>
    <w:tmpl w:val="5D06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67E95"/>
    <w:multiLevelType w:val="hybridMultilevel"/>
    <w:tmpl w:val="7D58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E3061A"/>
    <w:multiLevelType w:val="multilevel"/>
    <w:tmpl w:val="AC549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D543B2"/>
    <w:multiLevelType w:val="hybridMultilevel"/>
    <w:tmpl w:val="518E2736"/>
    <w:lvl w:ilvl="0" w:tplc="0409000F">
      <w:start w:val="1"/>
      <w:numFmt w:val="decimal"/>
      <w:lvlText w:val="%1."/>
      <w:lvlJc w:val="left"/>
      <w:pPr>
        <w:ind w:left="12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902388">
    <w:abstractNumId w:val="4"/>
  </w:num>
  <w:num w:numId="2" w16cid:durableId="749692288">
    <w:abstractNumId w:val="23"/>
  </w:num>
  <w:num w:numId="3" w16cid:durableId="842010302">
    <w:abstractNumId w:val="16"/>
  </w:num>
  <w:num w:numId="4" w16cid:durableId="743768393">
    <w:abstractNumId w:val="0"/>
  </w:num>
  <w:num w:numId="5" w16cid:durableId="660734428">
    <w:abstractNumId w:val="8"/>
  </w:num>
  <w:num w:numId="6" w16cid:durableId="1735927954">
    <w:abstractNumId w:val="1"/>
  </w:num>
  <w:num w:numId="7" w16cid:durableId="1014725800">
    <w:abstractNumId w:val="29"/>
  </w:num>
  <w:num w:numId="8" w16cid:durableId="5693861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86278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7005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3985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34240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62354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2591740">
    <w:abstractNumId w:val="2"/>
  </w:num>
  <w:num w:numId="15" w16cid:durableId="1144930228">
    <w:abstractNumId w:val="28"/>
  </w:num>
  <w:num w:numId="16" w16cid:durableId="1479106087">
    <w:abstractNumId w:val="30"/>
  </w:num>
  <w:num w:numId="17" w16cid:durableId="776485295">
    <w:abstractNumId w:val="13"/>
  </w:num>
  <w:num w:numId="18" w16cid:durableId="1064060168">
    <w:abstractNumId w:val="11"/>
  </w:num>
  <w:num w:numId="19" w16cid:durableId="189612126">
    <w:abstractNumId w:val="17"/>
  </w:num>
  <w:num w:numId="20" w16cid:durableId="2102754543">
    <w:abstractNumId w:val="22"/>
  </w:num>
  <w:num w:numId="21" w16cid:durableId="175731982">
    <w:abstractNumId w:val="20"/>
  </w:num>
  <w:num w:numId="22" w16cid:durableId="1933273957">
    <w:abstractNumId w:val="10"/>
  </w:num>
  <w:num w:numId="23" w16cid:durableId="2078697826">
    <w:abstractNumId w:val="14"/>
  </w:num>
  <w:num w:numId="24" w16cid:durableId="562908233">
    <w:abstractNumId w:val="9"/>
  </w:num>
  <w:num w:numId="25" w16cid:durableId="441220584">
    <w:abstractNumId w:val="18"/>
  </w:num>
  <w:num w:numId="26" w16cid:durableId="870455063">
    <w:abstractNumId w:val="27"/>
  </w:num>
  <w:num w:numId="27" w16cid:durableId="343363791">
    <w:abstractNumId w:val="7"/>
  </w:num>
  <w:num w:numId="28" w16cid:durableId="765224020">
    <w:abstractNumId w:val="26"/>
  </w:num>
  <w:num w:numId="29" w16cid:durableId="314261393">
    <w:abstractNumId w:val="21"/>
  </w:num>
  <w:num w:numId="30" w16cid:durableId="757365100">
    <w:abstractNumId w:val="3"/>
  </w:num>
  <w:num w:numId="31" w16cid:durableId="876507605">
    <w:abstractNumId w:val="24"/>
  </w:num>
  <w:num w:numId="32" w16cid:durableId="159349874">
    <w:abstractNumId w:val="12"/>
  </w:num>
  <w:num w:numId="33" w16cid:durableId="1067456743">
    <w:abstractNumId w:val="6"/>
  </w:num>
  <w:num w:numId="34" w16cid:durableId="259148155">
    <w:abstractNumId w:val="15"/>
  </w:num>
  <w:num w:numId="35" w16cid:durableId="1796630609">
    <w:abstractNumId w:val="19"/>
  </w:num>
  <w:num w:numId="36" w16cid:durableId="1597716224">
    <w:abstractNumId w:val="5"/>
  </w:num>
  <w:num w:numId="37" w16cid:durableId="1502038111">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fr-FR"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9"/>
    <w:rsid w:val="00000112"/>
    <w:rsid w:val="000004E9"/>
    <w:rsid w:val="00000829"/>
    <w:rsid w:val="0000112F"/>
    <w:rsid w:val="0000230D"/>
    <w:rsid w:val="000024E4"/>
    <w:rsid w:val="000028FF"/>
    <w:rsid w:val="00003172"/>
    <w:rsid w:val="000034ED"/>
    <w:rsid w:val="00004564"/>
    <w:rsid w:val="00004A48"/>
    <w:rsid w:val="00005606"/>
    <w:rsid w:val="00005803"/>
    <w:rsid w:val="000067CB"/>
    <w:rsid w:val="00006B94"/>
    <w:rsid w:val="000073EC"/>
    <w:rsid w:val="000075E6"/>
    <w:rsid w:val="00007811"/>
    <w:rsid w:val="00007CF8"/>
    <w:rsid w:val="0001038F"/>
    <w:rsid w:val="0001062A"/>
    <w:rsid w:val="00010CB8"/>
    <w:rsid w:val="00011399"/>
    <w:rsid w:val="00011696"/>
    <w:rsid w:val="00011A9D"/>
    <w:rsid w:val="00011C4B"/>
    <w:rsid w:val="00011F67"/>
    <w:rsid w:val="0001210E"/>
    <w:rsid w:val="00012491"/>
    <w:rsid w:val="00012736"/>
    <w:rsid w:val="000130CD"/>
    <w:rsid w:val="00013646"/>
    <w:rsid w:val="0001369B"/>
    <w:rsid w:val="000139FB"/>
    <w:rsid w:val="00013C9B"/>
    <w:rsid w:val="00013E7F"/>
    <w:rsid w:val="000146B0"/>
    <w:rsid w:val="00014A95"/>
    <w:rsid w:val="00014B30"/>
    <w:rsid w:val="00015618"/>
    <w:rsid w:val="00015BA4"/>
    <w:rsid w:val="00015FB3"/>
    <w:rsid w:val="0001692A"/>
    <w:rsid w:val="00016BCE"/>
    <w:rsid w:val="00016EA5"/>
    <w:rsid w:val="0001756C"/>
    <w:rsid w:val="00017667"/>
    <w:rsid w:val="0001772E"/>
    <w:rsid w:val="00017B56"/>
    <w:rsid w:val="000206AB"/>
    <w:rsid w:val="000208FF"/>
    <w:rsid w:val="00020CA9"/>
    <w:rsid w:val="00020E34"/>
    <w:rsid w:val="00022914"/>
    <w:rsid w:val="000229D3"/>
    <w:rsid w:val="00022C75"/>
    <w:rsid w:val="00022CE4"/>
    <w:rsid w:val="00022F15"/>
    <w:rsid w:val="0002301A"/>
    <w:rsid w:val="0002366A"/>
    <w:rsid w:val="00023C3C"/>
    <w:rsid w:val="00023E6B"/>
    <w:rsid w:val="00024AD9"/>
    <w:rsid w:val="00024CE4"/>
    <w:rsid w:val="00025188"/>
    <w:rsid w:val="00025F5B"/>
    <w:rsid w:val="0002603D"/>
    <w:rsid w:val="00026469"/>
    <w:rsid w:val="00027463"/>
    <w:rsid w:val="00027B44"/>
    <w:rsid w:val="00027B9B"/>
    <w:rsid w:val="00027C98"/>
    <w:rsid w:val="00027FEC"/>
    <w:rsid w:val="00030170"/>
    <w:rsid w:val="00030F71"/>
    <w:rsid w:val="00030F81"/>
    <w:rsid w:val="00030FFD"/>
    <w:rsid w:val="000311A6"/>
    <w:rsid w:val="00031489"/>
    <w:rsid w:val="000316E3"/>
    <w:rsid w:val="0003258A"/>
    <w:rsid w:val="000325EE"/>
    <w:rsid w:val="00032E2F"/>
    <w:rsid w:val="00033F29"/>
    <w:rsid w:val="00034016"/>
    <w:rsid w:val="000341C3"/>
    <w:rsid w:val="0003476F"/>
    <w:rsid w:val="0003494B"/>
    <w:rsid w:val="00035081"/>
    <w:rsid w:val="00035089"/>
    <w:rsid w:val="0003571E"/>
    <w:rsid w:val="0003573D"/>
    <w:rsid w:val="00035882"/>
    <w:rsid w:val="00035DA3"/>
    <w:rsid w:val="00036077"/>
    <w:rsid w:val="00036304"/>
    <w:rsid w:val="000368BE"/>
    <w:rsid w:val="000369E7"/>
    <w:rsid w:val="0003777C"/>
    <w:rsid w:val="00037844"/>
    <w:rsid w:val="000378CE"/>
    <w:rsid w:val="00040371"/>
    <w:rsid w:val="00040884"/>
    <w:rsid w:val="00040A7A"/>
    <w:rsid w:val="0004197B"/>
    <w:rsid w:val="00041E73"/>
    <w:rsid w:val="00041FCC"/>
    <w:rsid w:val="00042241"/>
    <w:rsid w:val="000427E0"/>
    <w:rsid w:val="00043001"/>
    <w:rsid w:val="00043499"/>
    <w:rsid w:val="00043A9F"/>
    <w:rsid w:val="0004400F"/>
    <w:rsid w:val="00044142"/>
    <w:rsid w:val="000446EE"/>
    <w:rsid w:val="00044B80"/>
    <w:rsid w:val="00045006"/>
    <w:rsid w:val="0004507F"/>
    <w:rsid w:val="000450D9"/>
    <w:rsid w:val="000451B2"/>
    <w:rsid w:val="000451E2"/>
    <w:rsid w:val="0004538A"/>
    <w:rsid w:val="000455D3"/>
    <w:rsid w:val="00045705"/>
    <w:rsid w:val="00045E7E"/>
    <w:rsid w:val="00046261"/>
    <w:rsid w:val="00046924"/>
    <w:rsid w:val="00046F4C"/>
    <w:rsid w:val="000472A6"/>
    <w:rsid w:val="000479CF"/>
    <w:rsid w:val="00047C8C"/>
    <w:rsid w:val="00047DCA"/>
    <w:rsid w:val="00047F79"/>
    <w:rsid w:val="000502E2"/>
    <w:rsid w:val="00050CB2"/>
    <w:rsid w:val="0005108C"/>
    <w:rsid w:val="00051151"/>
    <w:rsid w:val="000515B1"/>
    <w:rsid w:val="00051BEB"/>
    <w:rsid w:val="000523D7"/>
    <w:rsid w:val="0005256B"/>
    <w:rsid w:val="0005267E"/>
    <w:rsid w:val="00052697"/>
    <w:rsid w:val="00052CD7"/>
    <w:rsid w:val="000531C1"/>
    <w:rsid w:val="000534AF"/>
    <w:rsid w:val="00053968"/>
    <w:rsid w:val="00054068"/>
    <w:rsid w:val="000540E2"/>
    <w:rsid w:val="00054A7A"/>
    <w:rsid w:val="00054EE5"/>
    <w:rsid w:val="00055187"/>
    <w:rsid w:val="00055A80"/>
    <w:rsid w:val="00055B26"/>
    <w:rsid w:val="000564EE"/>
    <w:rsid w:val="000568DE"/>
    <w:rsid w:val="00056CFB"/>
    <w:rsid w:val="0005739F"/>
    <w:rsid w:val="00057500"/>
    <w:rsid w:val="000579D3"/>
    <w:rsid w:val="00057DA0"/>
    <w:rsid w:val="00060374"/>
    <w:rsid w:val="00060584"/>
    <w:rsid w:val="0006083B"/>
    <w:rsid w:val="000608EB"/>
    <w:rsid w:val="0006094E"/>
    <w:rsid w:val="00060950"/>
    <w:rsid w:val="00060BF9"/>
    <w:rsid w:val="00060E72"/>
    <w:rsid w:val="0006171E"/>
    <w:rsid w:val="00061849"/>
    <w:rsid w:val="00061D56"/>
    <w:rsid w:val="00061FCE"/>
    <w:rsid w:val="000622EC"/>
    <w:rsid w:val="00062316"/>
    <w:rsid w:val="00062AD7"/>
    <w:rsid w:val="00062E94"/>
    <w:rsid w:val="00062E9B"/>
    <w:rsid w:val="00062EEF"/>
    <w:rsid w:val="000633AF"/>
    <w:rsid w:val="000635A1"/>
    <w:rsid w:val="00063791"/>
    <w:rsid w:val="00064474"/>
    <w:rsid w:val="000646E0"/>
    <w:rsid w:val="00064B9C"/>
    <w:rsid w:val="00064E2D"/>
    <w:rsid w:val="00065175"/>
    <w:rsid w:val="000655C9"/>
    <w:rsid w:val="000656F4"/>
    <w:rsid w:val="00065F1D"/>
    <w:rsid w:val="000665A9"/>
    <w:rsid w:val="000667BA"/>
    <w:rsid w:val="00066E21"/>
    <w:rsid w:val="000672F8"/>
    <w:rsid w:val="0006739A"/>
    <w:rsid w:val="00067432"/>
    <w:rsid w:val="0006772A"/>
    <w:rsid w:val="00067A34"/>
    <w:rsid w:val="00067DB2"/>
    <w:rsid w:val="00070074"/>
    <w:rsid w:val="00070785"/>
    <w:rsid w:val="00070802"/>
    <w:rsid w:val="000708E5"/>
    <w:rsid w:val="00071373"/>
    <w:rsid w:val="00071F27"/>
    <w:rsid w:val="0007201D"/>
    <w:rsid w:val="0007236A"/>
    <w:rsid w:val="000723E2"/>
    <w:rsid w:val="000725A5"/>
    <w:rsid w:val="00072B95"/>
    <w:rsid w:val="00072E5B"/>
    <w:rsid w:val="00072FB0"/>
    <w:rsid w:val="0007398E"/>
    <w:rsid w:val="00074313"/>
    <w:rsid w:val="00074FD0"/>
    <w:rsid w:val="0007520A"/>
    <w:rsid w:val="000756CA"/>
    <w:rsid w:val="0007588A"/>
    <w:rsid w:val="000764E9"/>
    <w:rsid w:val="00076AC1"/>
    <w:rsid w:val="00076B1A"/>
    <w:rsid w:val="00076EF2"/>
    <w:rsid w:val="000813D1"/>
    <w:rsid w:val="00082213"/>
    <w:rsid w:val="00082892"/>
    <w:rsid w:val="0008299E"/>
    <w:rsid w:val="00082C43"/>
    <w:rsid w:val="00082E1E"/>
    <w:rsid w:val="00083274"/>
    <w:rsid w:val="00084463"/>
    <w:rsid w:val="00085145"/>
    <w:rsid w:val="000857B4"/>
    <w:rsid w:val="000867C2"/>
    <w:rsid w:val="00086AC4"/>
    <w:rsid w:val="00086AF3"/>
    <w:rsid w:val="00086B5D"/>
    <w:rsid w:val="00086E75"/>
    <w:rsid w:val="000870AA"/>
    <w:rsid w:val="000871C1"/>
    <w:rsid w:val="00087B5A"/>
    <w:rsid w:val="00087E18"/>
    <w:rsid w:val="0009013A"/>
    <w:rsid w:val="00090949"/>
    <w:rsid w:val="00090989"/>
    <w:rsid w:val="00090E66"/>
    <w:rsid w:val="00091156"/>
    <w:rsid w:val="0009121B"/>
    <w:rsid w:val="000912F4"/>
    <w:rsid w:val="00091646"/>
    <w:rsid w:val="00091D13"/>
    <w:rsid w:val="00091D54"/>
    <w:rsid w:val="000922A1"/>
    <w:rsid w:val="00092A70"/>
    <w:rsid w:val="00092F6E"/>
    <w:rsid w:val="00093560"/>
    <w:rsid w:val="0009388E"/>
    <w:rsid w:val="00093A4B"/>
    <w:rsid w:val="00094249"/>
    <w:rsid w:val="000942E8"/>
    <w:rsid w:val="00094596"/>
    <w:rsid w:val="00094E73"/>
    <w:rsid w:val="0009553E"/>
    <w:rsid w:val="000959E1"/>
    <w:rsid w:val="00095E43"/>
    <w:rsid w:val="00096949"/>
    <w:rsid w:val="00096FF3"/>
    <w:rsid w:val="00097100"/>
    <w:rsid w:val="0009721C"/>
    <w:rsid w:val="00097585"/>
    <w:rsid w:val="00097B0B"/>
    <w:rsid w:val="00097E6A"/>
    <w:rsid w:val="000A01AB"/>
    <w:rsid w:val="000A0973"/>
    <w:rsid w:val="000A0C49"/>
    <w:rsid w:val="000A0CE8"/>
    <w:rsid w:val="000A234E"/>
    <w:rsid w:val="000A23A5"/>
    <w:rsid w:val="000A2BEA"/>
    <w:rsid w:val="000A3469"/>
    <w:rsid w:val="000A3479"/>
    <w:rsid w:val="000A3AB5"/>
    <w:rsid w:val="000A431B"/>
    <w:rsid w:val="000A44CC"/>
    <w:rsid w:val="000A45D5"/>
    <w:rsid w:val="000A45E7"/>
    <w:rsid w:val="000A4672"/>
    <w:rsid w:val="000A4809"/>
    <w:rsid w:val="000A497A"/>
    <w:rsid w:val="000A4E19"/>
    <w:rsid w:val="000A5041"/>
    <w:rsid w:val="000A526D"/>
    <w:rsid w:val="000A54C5"/>
    <w:rsid w:val="000A59EA"/>
    <w:rsid w:val="000A5B71"/>
    <w:rsid w:val="000A60C3"/>
    <w:rsid w:val="000A6947"/>
    <w:rsid w:val="000A6F29"/>
    <w:rsid w:val="000A6FB1"/>
    <w:rsid w:val="000A70D9"/>
    <w:rsid w:val="000A7291"/>
    <w:rsid w:val="000A799B"/>
    <w:rsid w:val="000B0284"/>
    <w:rsid w:val="000B0973"/>
    <w:rsid w:val="000B0A95"/>
    <w:rsid w:val="000B13C4"/>
    <w:rsid w:val="000B237E"/>
    <w:rsid w:val="000B2464"/>
    <w:rsid w:val="000B25FF"/>
    <w:rsid w:val="000B28BE"/>
    <w:rsid w:val="000B2B59"/>
    <w:rsid w:val="000B2EE6"/>
    <w:rsid w:val="000B36EA"/>
    <w:rsid w:val="000B3E1D"/>
    <w:rsid w:val="000B40CE"/>
    <w:rsid w:val="000B4770"/>
    <w:rsid w:val="000B4B2B"/>
    <w:rsid w:val="000B5094"/>
    <w:rsid w:val="000B512F"/>
    <w:rsid w:val="000B56E4"/>
    <w:rsid w:val="000B5FC8"/>
    <w:rsid w:val="000B6260"/>
    <w:rsid w:val="000B6291"/>
    <w:rsid w:val="000B65F2"/>
    <w:rsid w:val="000B65FF"/>
    <w:rsid w:val="000B6844"/>
    <w:rsid w:val="000B7985"/>
    <w:rsid w:val="000B7D07"/>
    <w:rsid w:val="000B7FF3"/>
    <w:rsid w:val="000C0114"/>
    <w:rsid w:val="000C03C1"/>
    <w:rsid w:val="000C04C1"/>
    <w:rsid w:val="000C051E"/>
    <w:rsid w:val="000C0AE7"/>
    <w:rsid w:val="000C0C2F"/>
    <w:rsid w:val="000C0D67"/>
    <w:rsid w:val="000C1108"/>
    <w:rsid w:val="000C13B9"/>
    <w:rsid w:val="000C198D"/>
    <w:rsid w:val="000C20BC"/>
    <w:rsid w:val="000C2263"/>
    <w:rsid w:val="000C2A12"/>
    <w:rsid w:val="000C2F5B"/>
    <w:rsid w:val="000C349E"/>
    <w:rsid w:val="000C3F4E"/>
    <w:rsid w:val="000C41D9"/>
    <w:rsid w:val="000C4B41"/>
    <w:rsid w:val="000C4F77"/>
    <w:rsid w:val="000C56C3"/>
    <w:rsid w:val="000C5B17"/>
    <w:rsid w:val="000C5D83"/>
    <w:rsid w:val="000C660C"/>
    <w:rsid w:val="000C6B59"/>
    <w:rsid w:val="000C7050"/>
    <w:rsid w:val="000C7B35"/>
    <w:rsid w:val="000C7BF7"/>
    <w:rsid w:val="000C7D54"/>
    <w:rsid w:val="000C7E04"/>
    <w:rsid w:val="000D08A5"/>
    <w:rsid w:val="000D1001"/>
    <w:rsid w:val="000D218B"/>
    <w:rsid w:val="000D22A8"/>
    <w:rsid w:val="000D28DA"/>
    <w:rsid w:val="000D2BEB"/>
    <w:rsid w:val="000D32B0"/>
    <w:rsid w:val="000D41D6"/>
    <w:rsid w:val="000D4726"/>
    <w:rsid w:val="000D4824"/>
    <w:rsid w:val="000D4C02"/>
    <w:rsid w:val="000D586E"/>
    <w:rsid w:val="000D5AD2"/>
    <w:rsid w:val="000D644C"/>
    <w:rsid w:val="000D668D"/>
    <w:rsid w:val="000D6735"/>
    <w:rsid w:val="000D6DE3"/>
    <w:rsid w:val="000D6E7A"/>
    <w:rsid w:val="000D70D5"/>
    <w:rsid w:val="000D7212"/>
    <w:rsid w:val="000D78CD"/>
    <w:rsid w:val="000D7BFE"/>
    <w:rsid w:val="000E0505"/>
    <w:rsid w:val="000E0AA2"/>
    <w:rsid w:val="000E101E"/>
    <w:rsid w:val="000E22E7"/>
    <w:rsid w:val="000E26C9"/>
    <w:rsid w:val="000E2A58"/>
    <w:rsid w:val="000E31F5"/>
    <w:rsid w:val="000E35A3"/>
    <w:rsid w:val="000E36BB"/>
    <w:rsid w:val="000E3E75"/>
    <w:rsid w:val="000E455F"/>
    <w:rsid w:val="000E477A"/>
    <w:rsid w:val="000E4814"/>
    <w:rsid w:val="000E4DD4"/>
    <w:rsid w:val="000E54A6"/>
    <w:rsid w:val="000E5A4F"/>
    <w:rsid w:val="000E61E2"/>
    <w:rsid w:val="000E6352"/>
    <w:rsid w:val="000E6514"/>
    <w:rsid w:val="000E6625"/>
    <w:rsid w:val="000E6A17"/>
    <w:rsid w:val="000E6D89"/>
    <w:rsid w:val="000E7AEB"/>
    <w:rsid w:val="000E7F2D"/>
    <w:rsid w:val="000F03B2"/>
    <w:rsid w:val="000F05A3"/>
    <w:rsid w:val="000F0AAD"/>
    <w:rsid w:val="000F0B29"/>
    <w:rsid w:val="000F1581"/>
    <w:rsid w:val="000F1784"/>
    <w:rsid w:val="000F1892"/>
    <w:rsid w:val="000F2753"/>
    <w:rsid w:val="000F28D2"/>
    <w:rsid w:val="000F29FD"/>
    <w:rsid w:val="000F2FD6"/>
    <w:rsid w:val="000F31E0"/>
    <w:rsid w:val="000F3697"/>
    <w:rsid w:val="000F383A"/>
    <w:rsid w:val="000F3A46"/>
    <w:rsid w:val="000F3E5B"/>
    <w:rsid w:val="000F3FCB"/>
    <w:rsid w:val="000F44B8"/>
    <w:rsid w:val="000F5147"/>
    <w:rsid w:val="000F6105"/>
    <w:rsid w:val="000F63FF"/>
    <w:rsid w:val="000F6A5C"/>
    <w:rsid w:val="000F7045"/>
    <w:rsid w:val="000F7501"/>
    <w:rsid w:val="000F7820"/>
    <w:rsid w:val="000F789B"/>
    <w:rsid w:val="000F78EA"/>
    <w:rsid w:val="000F7A35"/>
    <w:rsid w:val="000F7A7C"/>
    <w:rsid w:val="000F7BFA"/>
    <w:rsid w:val="000F7D9E"/>
    <w:rsid w:val="00100705"/>
    <w:rsid w:val="00100B1E"/>
    <w:rsid w:val="00100B42"/>
    <w:rsid w:val="00100B91"/>
    <w:rsid w:val="00100DE1"/>
    <w:rsid w:val="00100EA2"/>
    <w:rsid w:val="001012EE"/>
    <w:rsid w:val="00101428"/>
    <w:rsid w:val="0010176C"/>
    <w:rsid w:val="001020D8"/>
    <w:rsid w:val="001020EE"/>
    <w:rsid w:val="0010282D"/>
    <w:rsid w:val="00102C74"/>
    <w:rsid w:val="00102FB2"/>
    <w:rsid w:val="0010319D"/>
    <w:rsid w:val="00103670"/>
    <w:rsid w:val="00103A4B"/>
    <w:rsid w:val="00104383"/>
    <w:rsid w:val="00104A0B"/>
    <w:rsid w:val="001052D1"/>
    <w:rsid w:val="00105750"/>
    <w:rsid w:val="00105B9A"/>
    <w:rsid w:val="001068C1"/>
    <w:rsid w:val="00106BF4"/>
    <w:rsid w:val="00106C44"/>
    <w:rsid w:val="001073D9"/>
    <w:rsid w:val="0010785F"/>
    <w:rsid w:val="00110B03"/>
    <w:rsid w:val="00111014"/>
    <w:rsid w:val="0011165D"/>
    <w:rsid w:val="00111FBF"/>
    <w:rsid w:val="001124EB"/>
    <w:rsid w:val="00112641"/>
    <w:rsid w:val="00112A0B"/>
    <w:rsid w:val="0011313C"/>
    <w:rsid w:val="001131EB"/>
    <w:rsid w:val="001133D6"/>
    <w:rsid w:val="0011367A"/>
    <w:rsid w:val="001138A8"/>
    <w:rsid w:val="00113AF4"/>
    <w:rsid w:val="00114877"/>
    <w:rsid w:val="00115298"/>
    <w:rsid w:val="00115BBD"/>
    <w:rsid w:val="001164DD"/>
    <w:rsid w:val="001166F5"/>
    <w:rsid w:val="00116757"/>
    <w:rsid w:val="00117721"/>
    <w:rsid w:val="00117909"/>
    <w:rsid w:val="001203DA"/>
    <w:rsid w:val="00120D62"/>
    <w:rsid w:val="0012122D"/>
    <w:rsid w:val="00121EA5"/>
    <w:rsid w:val="00122290"/>
    <w:rsid w:val="001223E1"/>
    <w:rsid w:val="00122669"/>
    <w:rsid w:val="0012271E"/>
    <w:rsid w:val="00122860"/>
    <w:rsid w:val="00122D29"/>
    <w:rsid w:val="00122D88"/>
    <w:rsid w:val="00122E17"/>
    <w:rsid w:val="0012392C"/>
    <w:rsid w:val="001239C1"/>
    <w:rsid w:val="001244F4"/>
    <w:rsid w:val="0012521D"/>
    <w:rsid w:val="0012638F"/>
    <w:rsid w:val="001263B3"/>
    <w:rsid w:val="001265DC"/>
    <w:rsid w:val="00126615"/>
    <w:rsid w:val="00126902"/>
    <w:rsid w:val="00126DEE"/>
    <w:rsid w:val="0012777C"/>
    <w:rsid w:val="00127B67"/>
    <w:rsid w:val="00130275"/>
    <w:rsid w:val="0013042B"/>
    <w:rsid w:val="00130530"/>
    <w:rsid w:val="001316FD"/>
    <w:rsid w:val="0013182A"/>
    <w:rsid w:val="0013197F"/>
    <w:rsid w:val="00131FF5"/>
    <w:rsid w:val="00132340"/>
    <w:rsid w:val="0013246A"/>
    <w:rsid w:val="00132744"/>
    <w:rsid w:val="00132781"/>
    <w:rsid w:val="00132D48"/>
    <w:rsid w:val="00133184"/>
    <w:rsid w:val="00133B68"/>
    <w:rsid w:val="00134697"/>
    <w:rsid w:val="001353DE"/>
    <w:rsid w:val="0013543C"/>
    <w:rsid w:val="00135636"/>
    <w:rsid w:val="001357BA"/>
    <w:rsid w:val="0013675F"/>
    <w:rsid w:val="001368AE"/>
    <w:rsid w:val="0013696F"/>
    <w:rsid w:val="00136CD0"/>
    <w:rsid w:val="00137099"/>
    <w:rsid w:val="0013724C"/>
    <w:rsid w:val="00137301"/>
    <w:rsid w:val="00140278"/>
    <w:rsid w:val="001405ED"/>
    <w:rsid w:val="00140642"/>
    <w:rsid w:val="0014075B"/>
    <w:rsid w:val="001407FD"/>
    <w:rsid w:val="00142184"/>
    <w:rsid w:val="001422B9"/>
    <w:rsid w:val="001422E5"/>
    <w:rsid w:val="00142833"/>
    <w:rsid w:val="00142BE7"/>
    <w:rsid w:val="00143408"/>
    <w:rsid w:val="001438F2"/>
    <w:rsid w:val="00143C61"/>
    <w:rsid w:val="001440EE"/>
    <w:rsid w:val="001444CD"/>
    <w:rsid w:val="001445DC"/>
    <w:rsid w:val="00144A1A"/>
    <w:rsid w:val="0014549A"/>
    <w:rsid w:val="001455DF"/>
    <w:rsid w:val="0014582E"/>
    <w:rsid w:val="00145A1F"/>
    <w:rsid w:val="00145AD2"/>
    <w:rsid w:val="00145C09"/>
    <w:rsid w:val="00145D30"/>
    <w:rsid w:val="00146130"/>
    <w:rsid w:val="00146154"/>
    <w:rsid w:val="00146526"/>
    <w:rsid w:val="001467FC"/>
    <w:rsid w:val="00146BAC"/>
    <w:rsid w:val="00146D3E"/>
    <w:rsid w:val="00147072"/>
    <w:rsid w:val="00147EEF"/>
    <w:rsid w:val="00150B1E"/>
    <w:rsid w:val="00150C03"/>
    <w:rsid w:val="00150D59"/>
    <w:rsid w:val="00150E91"/>
    <w:rsid w:val="0015175A"/>
    <w:rsid w:val="0015191A"/>
    <w:rsid w:val="00151B96"/>
    <w:rsid w:val="00151E08"/>
    <w:rsid w:val="00151F61"/>
    <w:rsid w:val="00152075"/>
    <w:rsid w:val="00152B0E"/>
    <w:rsid w:val="00152CD8"/>
    <w:rsid w:val="001533E4"/>
    <w:rsid w:val="001545D8"/>
    <w:rsid w:val="00154783"/>
    <w:rsid w:val="00154B3A"/>
    <w:rsid w:val="00154DE8"/>
    <w:rsid w:val="001565C3"/>
    <w:rsid w:val="00156BDE"/>
    <w:rsid w:val="0015773C"/>
    <w:rsid w:val="001601F0"/>
    <w:rsid w:val="0016038D"/>
    <w:rsid w:val="00160741"/>
    <w:rsid w:val="00161068"/>
    <w:rsid w:val="001616DC"/>
    <w:rsid w:val="00161929"/>
    <w:rsid w:val="00161E92"/>
    <w:rsid w:val="001625D8"/>
    <w:rsid w:val="00162635"/>
    <w:rsid w:val="001626CF"/>
    <w:rsid w:val="001628DD"/>
    <w:rsid w:val="00162AB8"/>
    <w:rsid w:val="00162BA9"/>
    <w:rsid w:val="00162BB4"/>
    <w:rsid w:val="00162C36"/>
    <w:rsid w:val="0016369C"/>
    <w:rsid w:val="001636D9"/>
    <w:rsid w:val="0016397E"/>
    <w:rsid w:val="00163B74"/>
    <w:rsid w:val="00163EF3"/>
    <w:rsid w:val="00163FB2"/>
    <w:rsid w:val="001645C7"/>
    <w:rsid w:val="001646C5"/>
    <w:rsid w:val="00165F2B"/>
    <w:rsid w:val="0016668B"/>
    <w:rsid w:val="00167041"/>
    <w:rsid w:val="0016747D"/>
    <w:rsid w:val="00167664"/>
    <w:rsid w:val="0016779F"/>
    <w:rsid w:val="00170804"/>
    <w:rsid w:val="00171764"/>
    <w:rsid w:val="00171777"/>
    <w:rsid w:val="00171DE5"/>
    <w:rsid w:val="001728BE"/>
    <w:rsid w:val="00173498"/>
    <w:rsid w:val="0017352D"/>
    <w:rsid w:val="00173576"/>
    <w:rsid w:val="0017366A"/>
    <w:rsid w:val="00173C0C"/>
    <w:rsid w:val="001743B4"/>
    <w:rsid w:val="00174F81"/>
    <w:rsid w:val="0017591A"/>
    <w:rsid w:val="00175AF1"/>
    <w:rsid w:val="00175D04"/>
    <w:rsid w:val="00175FAC"/>
    <w:rsid w:val="00176379"/>
    <w:rsid w:val="0017662D"/>
    <w:rsid w:val="001767B7"/>
    <w:rsid w:val="00177225"/>
    <w:rsid w:val="001774F1"/>
    <w:rsid w:val="001803E6"/>
    <w:rsid w:val="001806BA"/>
    <w:rsid w:val="00180D40"/>
    <w:rsid w:val="00180EED"/>
    <w:rsid w:val="00181C68"/>
    <w:rsid w:val="00182821"/>
    <w:rsid w:val="00182953"/>
    <w:rsid w:val="00182D6D"/>
    <w:rsid w:val="001837B1"/>
    <w:rsid w:val="00183984"/>
    <w:rsid w:val="001839C9"/>
    <w:rsid w:val="001841A8"/>
    <w:rsid w:val="00184417"/>
    <w:rsid w:val="001846E8"/>
    <w:rsid w:val="00184F6B"/>
    <w:rsid w:val="0018514E"/>
    <w:rsid w:val="00185246"/>
    <w:rsid w:val="001852F2"/>
    <w:rsid w:val="00186426"/>
    <w:rsid w:val="00186503"/>
    <w:rsid w:val="00187CCE"/>
    <w:rsid w:val="001905B5"/>
    <w:rsid w:val="0019073F"/>
    <w:rsid w:val="00190A8D"/>
    <w:rsid w:val="00190CC2"/>
    <w:rsid w:val="00190D7B"/>
    <w:rsid w:val="00191268"/>
    <w:rsid w:val="001912E5"/>
    <w:rsid w:val="00191B8C"/>
    <w:rsid w:val="00191E68"/>
    <w:rsid w:val="001921C9"/>
    <w:rsid w:val="001924DC"/>
    <w:rsid w:val="0019276B"/>
    <w:rsid w:val="00192AD2"/>
    <w:rsid w:val="00193460"/>
    <w:rsid w:val="00193C13"/>
    <w:rsid w:val="00194100"/>
    <w:rsid w:val="0019412B"/>
    <w:rsid w:val="001943EC"/>
    <w:rsid w:val="0019451A"/>
    <w:rsid w:val="0019488B"/>
    <w:rsid w:val="00194A80"/>
    <w:rsid w:val="00194F0B"/>
    <w:rsid w:val="00194F7E"/>
    <w:rsid w:val="00195039"/>
    <w:rsid w:val="0019525E"/>
    <w:rsid w:val="0019527F"/>
    <w:rsid w:val="0019558F"/>
    <w:rsid w:val="0019577A"/>
    <w:rsid w:val="00195960"/>
    <w:rsid w:val="00195C98"/>
    <w:rsid w:val="00195D25"/>
    <w:rsid w:val="00195E9C"/>
    <w:rsid w:val="00196AA1"/>
    <w:rsid w:val="00196F90"/>
    <w:rsid w:val="001976E0"/>
    <w:rsid w:val="001978B0"/>
    <w:rsid w:val="001A01B9"/>
    <w:rsid w:val="001A07C4"/>
    <w:rsid w:val="001A0A75"/>
    <w:rsid w:val="001A0BE5"/>
    <w:rsid w:val="001A0E40"/>
    <w:rsid w:val="001A143B"/>
    <w:rsid w:val="001A1872"/>
    <w:rsid w:val="001A1873"/>
    <w:rsid w:val="001A2159"/>
    <w:rsid w:val="001A2289"/>
    <w:rsid w:val="001A22E4"/>
    <w:rsid w:val="001A24C4"/>
    <w:rsid w:val="001A27A9"/>
    <w:rsid w:val="001A2E92"/>
    <w:rsid w:val="001A3339"/>
    <w:rsid w:val="001A363A"/>
    <w:rsid w:val="001A4991"/>
    <w:rsid w:val="001A5382"/>
    <w:rsid w:val="001A5C30"/>
    <w:rsid w:val="001A6173"/>
    <w:rsid w:val="001A67ED"/>
    <w:rsid w:val="001A6B67"/>
    <w:rsid w:val="001A6F03"/>
    <w:rsid w:val="001A77AD"/>
    <w:rsid w:val="001A78AF"/>
    <w:rsid w:val="001A7A07"/>
    <w:rsid w:val="001A7B7D"/>
    <w:rsid w:val="001B10B6"/>
    <w:rsid w:val="001B1201"/>
    <w:rsid w:val="001B14D8"/>
    <w:rsid w:val="001B24CF"/>
    <w:rsid w:val="001B2C1D"/>
    <w:rsid w:val="001B3708"/>
    <w:rsid w:val="001B3D92"/>
    <w:rsid w:val="001B4494"/>
    <w:rsid w:val="001B4CF9"/>
    <w:rsid w:val="001B53CE"/>
    <w:rsid w:val="001B5821"/>
    <w:rsid w:val="001B5884"/>
    <w:rsid w:val="001B5E12"/>
    <w:rsid w:val="001B6A59"/>
    <w:rsid w:val="001B7617"/>
    <w:rsid w:val="001B7770"/>
    <w:rsid w:val="001B7893"/>
    <w:rsid w:val="001B7902"/>
    <w:rsid w:val="001B79BC"/>
    <w:rsid w:val="001C0E1D"/>
    <w:rsid w:val="001C0F2F"/>
    <w:rsid w:val="001C11DE"/>
    <w:rsid w:val="001C1271"/>
    <w:rsid w:val="001C1B5E"/>
    <w:rsid w:val="001C27E3"/>
    <w:rsid w:val="001C2B39"/>
    <w:rsid w:val="001C34AC"/>
    <w:rsid w:val="001C3E2E"/>
    <w:rsid w:val="001C4405"/>
    <w:rsid w:val="001C4412"/>
    <w:rsid w:val="001C4C13"/>
    <w:rsid w:val="001C5074"/>
    <w:rsid w:val="001C52C7"/>
    <w:rsid w:val="001C5416"/>
    <w:rsid w:val="001C5719"/>
    <w:rsid w:val="001C5728"/>
    <w:rsid w:val="001C5AAD"/>
    <w:rsid w:val="001C648C"/>
    <w:rsid w:val="001C6E4B"/>
    <w:rsid w:val="001C6F43"/>
    <w:rsid w:val="001C721C"/>
    <w:rsid w:val="001C72CB"/>
    <w:rsid w:val="001C746D"/>
    <w:rsid w:val="001C79BC"/>
    <w:rsid w:val="001C79FE"/>
    <w:rsid w:val="001D0183"/>
    <w:rsid w:val="001D019F"/>
    <w:rsid w:val="001D0C93"/>
    <w:rsid w:val="001D11BE"/>
    <w:rsid w:val="001D19D9"/>
    <w:rsid w:val="001D22B4"/>
    <w:rsid w:val="001D2622"/>
    <w:rsid w:val="001D27EC"/>
    <w:rsid w:val="001D32EA"/>
    <w:rsid w:val="001D337B"/>
    <w:rsid w:val="001D34C8"/>
    <w:rsid w:val="001D38D4"/>
    <w:rsid w:val="001D3E95"/>
    <w:rsid w:val="001D3FFD"/>
    <w:rsid w:val="001D4589"/>
    <w:rsid w:val="001D4BF6"/>
    <w:rsid w:val="001D4D9F"/>
    <w:rsid w:val="001D53D9"/>
    <w:rsid w:val="001D5777"/>
    <w:rsid w:val="001D5B0D"/>
    <w:rsid w:val="001D60EB"/>
    <w:rsid w:val="001D616C"/>
    <w:rsid w:val="001D6767"/>
    <w:rsid w:val="001D68CB"/>
    <w:rsid w:val="001D6B32"/>
    <w:rsid w:val="001D6D59"/>
    <w:rsid w:val="001D7380"/>
    <w:rsid w:val="001D7458"/>
    <w:rsid w:val="001D7582"/>
    <w:rsid w:val="001D7AA1"/>
    <w:rsid w:val="001D7E95"/>
    <w:rsid w:val="001E03DA"/>
    <w:rsid w:val="001E04E3"/>
    <w:rsid w:val="001E06E6"/>
    <w:rsid w:val="001E0878"/>
    <w:rsid w:val="001E135B"/>
    <w:rsid w:val="001E19B9"/>
    <w:rsid w:val="001E2007"/>
    <w:rsid w:val="001E262F"/>
    <w:rsid w:val="001E2772"/>
    <w:rsid w:val="001E363A"/>
    <w:rsid w:val="001E3761"/>
    <w:rsid w:val="001E37BA"/>
    <w:rsid w:val="001E3D04"/>
    <w:rsid w:val="001E3E07"/>
    <w:rsid w:val="001E43DE"/>
    <w:rsid w:val="001E4A60"/>
    <w:rsid w:val="001E4CB5"/>
    <w:rsid w:val="001E4E78"/>
    <w:rsid w:val="001E529A"/>
    <w:rsid w:val="001E57D4"/>
    <w:rsid w:val="001E57F5"/>
    <w:rsid w:val="001E63FC"/>
    <w:rsid w:val="001E6B51"/>
    <w:rsid w:val="001E71D2"/>
    <w:rsid w:val="001E73A2"/>
    <w:rsid w:val="001E7DC1"/>
    <w:rsid w:val="001F12C8"/>
    <w:rsid w:val="001F137E"/>
    <w:rsid w:val="001F1694"/>
    <w:rsid w:val="001F16C0"/>
    <w:rsid w:val="001F1873"/>
    <w:rsid w:val="001F197C"/>
    <w:rsid w:val="001F1A11"/>
    <w:rsid w:val="001F1CC6"/>
    <w:rsid w:val="001F1D66"/>
    <w:rsid w:val="001F1F5F"/>
    <w:rsid w:val="001F25BB"/>
    <w:rsid w:val="001F273E"/>
    <w:rsid w:val="001F38B7"/>
    <w:rsid w:val="001F3AEF"/>
    <w:rsid w:val="001F3FDA"/>
    <w:rsid w:val="001F4EF7"/>
    <w:rsid w:val="001F51AE"/>
    <w:rsid w:val="001F528D"/>
    <w:rsid w:val="001F548F"/>
    <w:rsid w:val="001F5DA0"/>
    <w:rsid w:val="001F65CE"/>
    <w:rsid w:val="001F662A"/>
    <w:rsid w:val="001F7DBC"/>
    <w:rsid w:val="00200537"/>
    <w:rsid w:val="00200807"/>
    <w:rsid w:val="0020082D"/>
    <w:rsid w:val="00200CAB"/>
    <w:rsid w:val="002020A3"/>
    <w:rsid w:val="0020255E"/>
    <w:rsid w:val="00202B49"/>
    <w:rsid w:val="002043EE"/>
    <w:rsid w:val="00204697"/>
    <w:rsid w:val="00204746"/>
    <w:rsid w:val="0020478E"/>
    <w:rsid w:val="00204D69"/>
    <w:rsid w:val="00204F87"/>
    <w:rsid w:val="002055AA"/>
    <w:rsid w:val="002055B3"/>
    <w:rsid w:val="00205832"/>
    <w:rsid w:val="00206738"/>
    <w:rsid w:val="00206F80"/>
    <w:rsid w:val="002070A9"/>
    <w:rsid w:val="00207164"/>
    <w:rsid w:val="002071A1"/>
    <w:rsid w:val="002073A7"/>
    <w:rsid w:val="0020757B"/>
    <w:rsid w:val="0021024F"/>
    <w:rsid w:val="00210432"/>
    <w:rsid w:val="002105E8"/>
    <w:rsid w:val="002106A3"/>
    <w:rsid w:val="0021086F"/>
    <w:rsid w:val="00210EF8"/>
    <w:rsid w:val="00211508"/>
    <w:rsid w:val="002118F4"/>
    <w:rsid w:val="00211BF5"/>
    <w:rsid w:val="0021203A"/>
    <w:rsid w:val="0021275E"/>
    <w:rsid w:val="002127AA"/>
    <w:rsid w:val="002129AE"/>
    <w:rsid w:val="0021453E"/>
    <w:rsid w:val="002147FB"/>
    <w:rsid w:val="002152A7"/>
    <w:rsid w:val="002152E5"/>
    <w:rsid w:val="002156DC"/>
    <w:rsid w:val="00215CD6"/>
    <w:rsid w:val="00215E5D"/>
    <w:rsid w:val="00215ED2"/>
    <w:rsid w:val="00216CE0"/>
    <w:rsid w:val="00216D46"/>
    <w:rsid w:val="00216F15"/>
    <w:rsid w:val="00216FAB"/>
    <w:rsid w:val="00217B91"/>
    <w:rsid w:val="00220D48"/>
    <w:rsid w:val="00220D60"/>
    <w:rsid w:val="0022119B"/>
    <w:rsid w:val="002213E6"/>
    <w:rsid w:val="0022169E"/>
    <w:rsid w:val="00221E35"/>
    <w:rsid w:val="00221ECD"/>
    <w:rsid w:val="00222277"/>
    <w:rsid w:val="002225C6"/>
    <w:rsid w:val="002244AE"/>
    <w:rsid w:val="00224A39"/>
    <w:rsid w:val="00224C97"/>
    <w:rsid w:val="00224EEE"/>
    <w:rsid w:val="002255E1"/>
    <w:rsid w:val="00225C07"/>
    <w:rsid w:val="00226AB8"/>
    <w:rsid w:val="00226BEC"/>
    <w:rsid w:val="0022738D"/>
    <w:rsid w:val="002273CC"/>
    <w:rsid w:val="00227590"/>
    <w:rsid w:val="002276EE"/>
    <w:rsid w:val="0023005C"/>
    <w:rsid w:val="00230187"/>
    <w:rsid w:val="00230470"/>
    <w:rsid w:val="0023064A"/>
    <w:rsid w:val="00230F9A"/>
    <w:rsid w:val="00231A5C"/>
    <w:rsid w:val="00231ABE"/>
    <w:rsid w:val="0023349A"/>
    <w:rsid w:val="0023407E"/>
    <w:rsid w:val="002347EF"/>
    <w:rsid w:val="00234964"/>
    <w:rsid w:val="00234A76"/>
    <w:rsid w:val="00235692"/>
    <w:rsid w:val="0023575D"/>
    <w:rsid w:val="00235B69"/>
    <w:rsid w:val="00235B73"/>
    <w:rsid w:val="00235EED"/>
    <w:rsid w:val="002363E6"/>
    <w:rsid w:val="002368DE"/>
    <w:rsid w:val="00236BCA"/>
    <w:rsid w:val="00237390"/>
    <w:rsid w:val="002375CC"/>
    <w:rsid w:val="00237D20"/>
    <w:rsid w:val="00237E3B"/>
    <w:rsid w:val="00237F51"/>
    <w:rsid w:val="00237F81"/>
    <w:rsid w:val="00240B7F"/>
    <w:rsid w:val="00240F43"/>
    <w:rsid w:val="002419D0"/>
    <w:rsid w:val="00241D92"/>
    <w:rsid w:val="00241F76"/>
    <w:rsid w:val="00241F83"/>
    <w:rsid w:val="00241FD7"/>
    <w:rsid w:val="0024282E"/>
    <w:rsid w:val="002428DC"/>
    <w:rsid w:val="00243CB3"/>
    <w:rsid w:val="00243D0E"/>
    <w:rsid w:val="00243D15"/>
    <w:rsid w:val="002440B4"/>
    <w:rsid w:val="0024450E"/>
    <w:rsid w:val="00244F20"/>
    <w:rsid w:val="0024504D"/>
    <w:rsid w:val="002452C7"/>
    <w:rsid w:val="00245F2A"/>
    <w:rsid w:val="00246121"/>
    <w:rsid w:val="002464E8"/>
    <w:rsid w:val="002464FF"/>
    <w:rsid w:val="002466DF"/>
    <w:rsid w:val="002468C8"/>
    <w:rsid w:val="00246C44"/>
    <w:rsid w:val="00246DC8"/>
    <w:rsid w:val="00246F9D"/>
    <w:rsid w:val="00247287"/>
    <w:rsid w:val="0024765B"/>
    <w:rsid w:val="002476D8"/>
    <w:rsid w:val="00247C4A"/>
    <w:rsid w:val="00247CC2"/>
    <w:rsid w:val="00247E44"/>
    <w:rsid w:val="002505DD"/>
    <w:rsid w:val="00250DFC"/>
    <w:rsid w:val="00251254"/>
    <w:rsid w:val="0025134E"/>
    <w:rsid w:val="002524A3"/>
    <w:rsid w:val="00252969"/>
    <w:rsid w:val="00252AB6"/>
    <w:rsid w:val="00253486"/>
    <w:rsid w:val="0025453C"/>
    <w:rsid w:val="002545E7"/>
    <w:rsid w:val="00254AA8"/>
    <w:rsid w:val="00254BE1"/>
    <w:rsid w:val="002553D9"/>
    <w:rsid w:val="0025594E"/>
    <w:rsid w:val="00255B3E"/>
    <w:rsid w:val="00256382"/>
    <w:rsid w:val="002568F6"/>
    <w:rsid w:val="00257021"/>
    <w:rsid w:val="0025717B"/>
    <w:rsid w:val="00257EB1"/>
    <w:rsid w:val="002607BB"/>
    <w:rsid w:val="0026082C"/>
    <w:rsid w:val="002609DC"/>
    <w:rsid w:val="00260C2A"/>
    <w:rsid w:val="00260D4E"/>
    <w:rsid w:val="00260F5F"/>
    <w:rsid w:val="002610C0"/>
    <w:rsid w:val="00261AD1"/>
    <w:rsid w:val="00261B4D"/>
    <w:rsid w:val="00261E77"/>
    <w:rsid w:val="00261FAF"/>
    <w:rsid w:val="00262721"/>
    <w:rsid w:val="00262FE7"/>
    <w:rsid w:val="00263088"/>
    <w:rsid w:val="00263433"/>
    <w:rsid w:val="00263B9E"/>
    <w:rsid w:val="002641A7"/>
    <w:rsid w:val="002647D9"/>
    <w:rsid w:val="00264B81"/>
    <w:rsid w:val="00264E5C"/>
    <w:rsid w:val="002658D2"/>
    <w:rsid w:val="002660E6"/>
    <w:rsid w:val="00266D7E"/>
    <w:rsid w:val="002671A3"/>
    <w:rsid w:val="002671A4"/>
    <w:rsid w:val="0026741B"/>
    <w:rsid w:val="00267548"/>
    <w:rsid w:val="00270B10"/>
    <w:rsid w:val="00270FFF"/>
    <w:rsid w:val="0027152A"/>
    <w:rsid w:val="00271BF1"/>
    <w:rsid w:val="002721B9"/>
    <w:rsid w:val="00272862"/>
    <w:rsid w:val="002729DF"/>
    <w:rsid w:val="00272D17"/>
    <w:rsid w:val="00272F01"/>
    <w:rsid w:val="00274510"/>
    <w:rsid w:val="0027472F"/>
    <w:rsid w:val="002748AA"/>
    <w:rsid w:val="00274B67"/>
    <w:rsid w:val="002750B8"/>
    <w:rsid w:val="0027514A"/>
    <w:rsid w:val="0027537F"/>
    <w:rsid w:val="00275D5D"/>
    <w:rsid w:val="0027620E"/>
    <w:rsid w:val="002767EE"/>
    <w:rsid w:val="0027694A"/>
    <w:rsid w:val="00277066"/>
    <w:rsid w:val="002770D6"/>
    <w:rsid w:val="00277488"/>
    <w:rsid w:val="002775FB"/>
    <w:rsid w:val="002776F2"/>
    <w:rsid w:val="00280189"/>
    <w:rsid w:val="00280D11"/>
    <w:rsid w:val="0028132B"/>
    <w:rsid w:val="00281834"/>
    <w:rsid w:val="002821E5"/>
    <w:rsid w:val="00282579"/>
    <w:rsid w:val="0028257B"/>
    <w:rsid w:val="00282924"/>
    <w:rsid w:val="002832A0"/>
    <w:rsid w:val="002835E7"/>
    <w:rsid w:val="00283A0B"/>
    <w:rsid w:val="00283A38"/>
    <w:rsid w:val="00283B55"/>
    <w:rsid w:val="00283E62"/>
    <w:rsid w:val="002858D7"/>
    <w:rsid w:val="00285A32"/>
    <w:rsid w:val="002869B9"/>
    <w:rsid w:val="00286B51"/>
    <w:rsid w:val="00286D52"/>
    <w:rsid w:val="002878AE"/>
    <w:rsid w:val="00287AF2"/>
    <w:rsid w:val="00287F1A"/>
    <w:rsid w:val="00290121"/>
    <w:rsid w:val="0029049B"/>
    <w:rsid w:val="002905AB"/>
    <w:rsid w:val="00291858"/>
    <w:rsid w:val="002921EA"/>
    <w:rsid w:val="00293320"/>
    <w:rsid w:val="00293A02"/>
    <w:rsid w:val="00293E9A"/>
    <w:rsid w:val="0029454F"/>
    <w:rsid w:val="002947CC"/>
    <w:rsid w:val="00295081"/>
    <w:rsid w:val="002950B4"/>
    <w:rsid w:val="002952B7"/>
    <w:rsid w:val="00296126"/>
    <w:rsid w:val="002963E8"/>
    <w:rsid w:val="00296790"/>
    <w:rsid w:val="00297331"/>
    <w:rsid w:val="00297AEF"/>
    <w:rsid w:val="002A08DB"/>
    <w:rsid w:val="002A0AE2"/>
    <w:rsid w:val="002A0C97"/>
    <w:rsid w:val="002A15C2"/>
    <w:rsid w:val="002A179E"/>
    <w:rsid w:val="002A1AD4"/>
    <w:rsid w:val="002A1B31"/>
    <w:rsid w:val="002A2DA4"/>
    <w:rsid w:val="002A3449"/>
    <w:rsid w:val="002A4AB7"/>
    <w:rsid w:val="002A4C1E"/>
    <w:rsid w:val="002A5860"/>
    <w:rsid w:val="002A64C1"/>
    <w:rsid w:val="002A70E3"/>
    <w:rsid w:val="002A7200"/>
    <w:rsid w:val="002A7347"/>
    <w:rsid w:val="002A73F5"/>
    <w:rsid w:val="002A757C"/>
    <w:rsid w:val="002A7F9C"/>
    <w:rsid w:val="002B0051"/>
    <w:rsid w:val="002B1383"/>
    <w:rsid w:val="002B19A7"/>
    <w:rsid w:val="002B1B77"/>
    <w:rsid w:val="002B1D47"/>
    <w:rsid w:val="002B1E79"/>
    <w:rsid w:val="002B205D"/>
    <w:rsid w:val="002B2E7B"/>
    <w:rsid w:val="002B31FB"/>
    <w:rsid w:val="002B32E2"/>
    <w:rsid w:val="002B373A"/>
    <w:rsid w:val="002B3AFA"/>
    <w:rsid w:val="002B40C3"/>
    <w:rsid w:val="002B424F"/>
    <w:rsid w:val="002B4524"/>
    <w:rsid w:val="002B46B0"/>
    <w:rsid w:val="002B4841"/>
    <w:rsid w:val="002B49E3"/>
    <w:rsid w:val="002B501C"/>
    <w:rsid w:val="002B517A"/>
    <w:rsid w:val="002B55C6"/>
    <w:rsid w:val="002B570F"/>
    <w:rsid w:val="002B6243"/>
    <w:rsid w:val="002B6534"/>
    <w:rsid w:val="002B6554"/>
    <w:rsid w:val="002B7240"/>
    <w:rsid w:val="002B73AC"/>
    <w:rsid w:val="002B75AA"/>
    <w:rsid w:val="002B7BB9"/>
    <w:rsid w:val="002C0132"/>
    <w:rsid w:val="002C0628"/>
    <w:rsid w:val="002C07D2"/>
    <w:rsid w:val="002C07E5"/>
    <w:rsid w:val="002C0A85"/>
    <w:rsid w:val="002C11A2"/>
    <w:rsid w:val="002C11E2"/>
    <w:rsid w:val="002C1986"/>
    <w:rsid w:val="002C221E"/>
    <w:rsid w:val="002C2AFB"/>
    <w:rsid w:val="002C2F55"/>
    <w:rsid w:val="002C38B4"/>
    <w:rsid w:val="002C3BE0"/>
    <w:rsid w:val="002C3C4A"/>
    <w:rsid w:val="002C3FE2"/>
    <w:rsid w:val="002C432F"/>
    <w:rsid w:val="002C45B4"/>
    <w:rsid w:val="002C4699"/>
    <w:rsid w:val="002C4993"/>
    <w:rsid w:val="002C50CB"/>
    <w:rsid w:val="002C5276"/>
    <w:rsid w:val="002C53B6"/>
    <w:rsid w:val="002C579B"/>
    <w:rsid w:val="002C60BB"/>
    <w:rsid w:val="002C654D"/>
    <w:rsid w:val="002C67BE"/>
    <w:rsid w:val="002C7098"/>
    <w:rsid w:val="002C715A"/>
    <w:rsid w:val="002C73BC"/>
    <w:rsid w:val="002C7ED9"/>
    <w:rsid w:val="002D0180"/>
    <w:rsid w:val="002D0205"/>
    <w:rsid w:val="002D02EB"/>
    <w:rsid w:val="002D0B62"/>
    <w:rsid w:val="002D0CC5"/>
    <w:rsid w:val="002D0EAC"/>
    <w:rsid w:val="002D1071"/>
    <w:rsid w:val="002D10FC"/>
    <w:rsid w:val="002D1F54"/>
    <w:rsid w:val="002D20E7"/>
    <w:rsid w:val="002D2D91"/>
    <w:rsid w:val="002D3025"/>
    <w:rsid w:val="002D3315"/>
    <w:rsid w:val="002D3B5E"/>
    <w:rsid w:val="002D3FA1"/>
    <w:rsid w:val="002D409C"/>
    <w:rsid w:val="002D452A"/>
    <w:rsid w:val="002D481F"/>
    <w:rsid w:val="002D4A4A"/>
    <w:rsid w:val="002D4F48"/>
    <w:rsid w:val="002D525E"/>
    <w:rsid w:val="002D5B8E"/>
    <w:rsid w:val="002D5DD6"/>
    <w:rsid w:val="002D6200"/>
    <w:rsid w:val="002D6207"/>
    <w:rsid w:val="002D63E8"/>
    <w:rsid w:val="002D64B0"/>
    <w:rsid w:val="002D68C3"/>
    <w:rsid w:val="002D7135"/>
    <w:rsid w:val="002E0353"/>
    <w:rsid w:val="002E05DF"/>
    <w:rsid w:val="002E08AF"/>
    <w:rsid w:val="002E0E02"/>
    <w:rsid w:val="002E113E"/>
    <w:rsid w:val="002E17E8"/>
    <w:rsid w:val="002E1C30"/>
    <w:rsid w:val="002E1FFB"/>
    <w:rsid w:val="002E25A5"/>
    <w:rsid w:val="002E33F7"/>
    <w:rsid w:val="002E3410"/>
    <w:rsid w:val="002E3DC0"/>
    <w:rsid w:val="002E3DC8"/>
    <w:rsid w:val="002E3DCC"/>
    <w:rsid w:val="002E4B00"/>
    <w:rsid w:val="002E4D45"/>
    <w:rsid w:val="002E51F3"/>
    <w:rsid w:val="002E52EE"/>
    <w:rsid w:val="002E5C43"/>
    <w:rsid w:val="002E6A24"/>
    <w:rsid w:val="002E6C8F"/>
    <w:rsid w:val="002E7522"/>
    <w:rsid w:val="002F009F"/>
    <w:rsid w:val="002F021B"/>
    <w:rsid w:val="002F08BF"/>
    <w:rsid w:val="002F08FD"/>
    <w:rsid w:val="002F0B12"/>
    <w:rsid w:val="002F1182"/>
    <w:rsid w:val="002F24F8"/>
    <w:rsid w:val="002F283E"/>
    <w:rsid w:val="002F297F"/>
    <w:rsid w:val="002F2A1B"/>
    <w:rsid w:val="002F2BB0"/>
    <w:rsid w:val="002F2E96"/>
    <w:rsid w:val="002F3018"/>
    <w:rsid w:val="002F38E8"/>
    <w:rsid w:val="002F3AC8"/>
    <w:rsid w:val="002F44A3"/>
    <w:rsid w:val="002F4AA1"/>
    <w:rsid w:val="002F5868"/>
    <w:rsid w:val="002F5AFE"/>
    <w:rsid w:val="002F5B3F"/>
    <w:rsid w:val="002F7B26"/>
    <w:rsid w:val="002F7D42"/>
    <w:rsid w:val="003001CF"/>
    <w:rsid w:val="00300221"/>
    <w:rsid w:val="003007AC"/>
    <w:rsid w:val="0030088B"/>
    <w:rsid w:val="00300C5E"/>
    <w:rsid w:val="003012B9"/>
    <w:rsid w:val="00301AAA"/>
    <w:rsid w:val="00301CA6"/>
    <w:rsid w:val="00301D1B"/>
    <w:rsid w:val="0030200E"/>
    <w:rsid w:val="003020EC"/>
    <w:rsid w:val="00302263"/>
    <w:rsid w:val="0030315C"/>
    <w:rsid w:val="00303465"/>
    <w:rsid w:val="0030421F"/>
    <w:rsid w:val="003042C7"/>
    <w:rsid w:val="00304376"/>
    <w:rsid w:val="00304BDD"/>
    <w:rsid w:val="00304C55"/>
    <w:rsid w:val="00305102"/>
    <w:rsid w:val="003064E3"/>
    <w:rsid w:val="00306729"/>
    <w:rsid w:val="0030762F"/>
    <w:rsid w:val="003101F0"/>
    <w:rsid w:val="00310925"/>
    <w:rsid w:val="00310CA4"/>
    <w:rsid w:val="00311085"/>
    <w:rsid w:val="00311198"/>
    <w:rsid w:val="00311BC7"/>
    <w:rsid w:val="00311EC9"/>
    <w:rsid w:val="003121D1"/>
    <w:rsid w:val="00312D23"/>
    <w:rsid w:val="003130DF"/>
    <w:rsid w:val="00313BB1"/>
    <w:rsid w:val="00313E57"/>
    <w:rsid w:val="00314248"/>
    <w:rsid w:val="00314544"/>
    <w:rsid w:val="00314903"/>
    <w:rsid w:val="003149A1"/>
    <w:rsid w:val="003151D1"/>
    <w:rsid w:val="00315463"/>
    <w:rsid w:val="003157E9"/>
    <w:rsid w:val="0031582A"/>
    <w:rsid w:val="00315EA9"/>
    <w:rsid w:val="003165A0"/>
    <w:rsid w:val="00316AEA"/>
    <w:rsid w:val="00316F8D"/>
    <w:rsid w:val="00316FA8"/>
    <w:rsid w:val="00317BDB"/>
    <w:rsid w:val="00320281"/>
    <w:rsid w:val="003203FD"/>
    <w:rsid w:val="00320559"/>
    <w:rsid w:val="00320C40"/>
    <w:rsid w:val="00321C2E"/>
    <w:rsid w:val="00322151"/>
    <w:rsid w:val="00322447"/>
    <w:rsid w:val="00322513"/>
    <w:rsid w:val="00322D02"/>
    <w:rsid w:val="00323069"/>
    <w:rsid w:val="00323247"/>
    <w:rsid w:val="00323288"/>
    <w:rsid w:val="003232D0"/>
    <w:rsid w:val="003234D8"/>
    <w:rsid w:val="003235C6"/>
    <w:rsid w:val="00323BBA"/>
    <w:rsid w:val="00323C5E"/>
    <w:rsid w:val="00323E31"/>
    <w:rsid w:val="003243DD"/>
    <w:rsid w:val="00324FDC"/>
    <w:rsid w:val="00325183"/>
    <w:rsid w:val="003253C6"/>
    <w:rsid w:val="00325682"/>
    <w:rsid w:val="0032571E"/>
    <w:rsid w:val="003260A2"/>
    <w:rsid w:val="00326F06"/>
    <w:rsid w:val="00326F24"/>
    <w:rsid w:val="00326F82"/>
    <w:rsid w:val="00327119"/>
    <w:rsid w:val="0032782F"/>
    <w:rsid w:val="00327A05"/>
    <w:rsid w:val="00327D8B"/>
    <w:rsid w:val="00327EB8"/>
    <w:rsid w:val="003301E3"/>
    <w:rsid w:val="0033055A"/>
    <w:rsid w:val="00330B8F"/>
    <w:rsid w:val="00331324"/>
    <w:rsid w:val="00331397"/>
    <w:rsid w:val="003317B8"/>
    <w:rsid w:val="00331B3F"/>
    <w:rsid w:val="00331E8C"/>
    <w:rsid w:val="00331F06"/>
    <w:rsid w:val="0033366C"/>
    <w:rsid w:val="00333960"/>
    <w:rsid w:val="00333986"/>
    <w:rsid w:val="00333D72"/>
    <w:rsid w:val="00333EA3"/>
    <w:rsid w:val="003344E7"/>
    <w:rsid w:val="00334E6A"/>
    <w:rsid w:val="00335519"/>
    <w:rsid w:val="00335606"/>
    <w:rsid w:val="00335975"/>
    <w:rsid w:val="00337410"/>
    <w:rsid w:val="003379A0"/>
    <w:rsid w:val="00337A36"/>
    <w:rsid w:val="00337AFC"/>
    <w:rsid w:val="00337BA1"/>
    <w:rsid w:val="00337DEE"/>
    <w:rsid w:val="0034070E"/>
    <w:rsid w:val="00340E10"/>
    <w:rsid w:val="0034127F"/>
    <w:rsid w:val="00341811"/>
    <w:rsid w:val="00341943"/>
    <w:rsid w:val="00341C2D"/>
    <w:rsid w:val="00341E06"/>
    <w:rsid w:val="00341E1E"/>
    <w:rsid w:val="00341E9A"/>
    <w:rsid w:val="00342539"/>
    <w:rsid w:val="00342A9B"/>
    <w:rsid w:val="00342F4E"/>
    <w:rsid w:val="00343391"/>
    <w:rsid w:val="00343582"/>
    <w:rsid w:val="003438E0"/>
    <w:rsid w:val="00344039"/>
    <w:rsid w:val="0034423D"/>
    <w:rsid w:val="003442BA"/>
    <w:rsid w:val="0034443A"/>
    <w:rsid w:val="0034475F"/>
    <w:rsid w:val="00345428"/>
    <w:rsid w:val="00345FF1"/>
    <w:rsid w:val="0034761D"/>
    <w:rsid w:val="003476DE"/>
    <w:rsid w:val="00347DC8"/>
    <w:rsid w:val="00347F5E"/>
    <w:rsid w:val="003501E4"/>
    <w:rsid w:val="00350300"/>
    <w:rsid w:val="00351597"/>
    <w:rsid w:val="00351731"/>
    <w:rsid w:val="00351B1B"/>
    <w:rsid w:val="0035227D"/>
    <w:rsid w:val="00352EAC"/>
    <w:rsid w:val="00353076"/>
    <w:rsid w:val="00353130"/>
    <w:rsid w:val="003539DF"/>
    <w:rsid w:val="00353A78"/>
    <w:rsid w:val="00353EF6"/>
    <w:rsid w:val="003541B7"/>
    <w:rsid w:val="003546AA"/>
    <w:rsid w:val="00354A00"/>
    <w:rsid w:val="003550E1"/>
    <w:rsid w:val="003553D6"/>
    <w:rsid w:val="003557D9"/>
    <w:rsid w:val="00355CD9"/>
    <w:rsid w:val="003564D2"/>
    <w:rsid w:val="0035665B"/>
    <w:rsid w:val="00356ACF"/>
    <w:rsid w:val="00356C7D"/>
    <w:rsid w:val="0035746F"/>
    <w:rsid w:val="0035750E"/>
    <w:rsid w:val="00357B0F"/>
    <w:rsid w:val="00357DB9"/>
    <w:rsid w:val="0036002B"/>
    <w:rsid w:val="003600C5"/>
    <w:rsid w:val="003602C7"/>
    <w:rsid w:val="00360447"/>
    <w:rsid w:val="00360C1C"/>
    <w:rsid w:val="00360EA9"/>
    <w:rsid w:val="00360F6A"/>
    <w:rsid w:val="00361064"/>
    <w:rsid w:val="003613AC"/>
    <w:rsid w:val="00361ADC"/>
    <w:rsid w:val="00361FB5"/>
    <w:rsid w:val="00361FFD"/>
    <w:rsid w:val="00362242"/>
    <w:rsid w:val="00362A00"/>
    <w:rsid w:val="00362D81"/>
    <w:rsid w:val="003630A7"/>
    <w:rsid w:val="00363200"/>
    <w:rsid w:val="00363244"/>
    <w:rsid w:val="00363A1C"/>
    <w:rsid w:val="00364233"/>
    <w:rsid w:val="003643D5"/>
    <w:rsid w:val="00365698"/>
    <w:rsid w:val="0036593B"/>
    <w:rsid w:val="003659DC"/>
    <w:rsid w:val="003661C6"/>
    <w:rsid w:val="0036668B"/>
    <w:rsid w:val="00366AB5"/>
    <w:rsid w:val="00366EB2"/>
    <w:rsid w:val="003673DF"/>
    <w:rsid w:val="00370484"/>
    <w:rsid w:val="003706DC"/>
    <w:rsid w:val="0037095C"/>
    <w:rsid w:val="00370E05"/>
    <w:rsid w:val="0037127D"/>
    <w:rsid w:val="0037140E"/>
    <w:rsid w:val="003714BE"/>
    <w:rsid w:val="00371751"/>
    <w:rsid w:val="00371783"/>
    <w:rsid w:val="00371842"/>
    <w:rsid w:val="00371989"/>
    <w:rsid w:val="00371C8C"/>
    <w:rsid w:val="0037237A"/>
    <w:rsid w:val="00372477"/>
    <w:rsid w:val="00372626"/>
    <w:rsid w:val="00372AB2"/>
    <w:rsid w:val="00372B25"/>
    <w:rsid w:val="0037304D"/>
    <w:rsid w:val="00373106"/>
    <w:rsid w:val="00373276"/>
    <w:rsid w:val="00373299"/>
    <w:rsid w:val="00373344"/>
    <w:rsid w:val="003738DE"/>
    <w:rsid w:val="00373C28"/>
    <w:rsid w:val="00373D23"/>
    <w:rsid w:val="0037435E"/>
    <w:rsid w:val="003744FD"/>
    <w:rsid w:val="00374582"/>
    <w:rsid w:val="003746CF"/>
    <w:rsid w:val="0037479E"/>
    <w:rsid w:val="003748F4"/>
    <w:rsid w:val="00374F9B"/>
    <w:rsid w:val="003750F9"/>
    <w:rsid w:val="003751FB"/>
    <w:rsid w:val="003757F1"/>
    <w:rsid w:val="00375A65"/>
    <w:rsid w:val="00375DB3"/>
    <w:rsid w:val="003760BE"/>
    <w:rsid w:val="00376114"/>
    <w:rsid w:val="0037648F"/>
    <w:rsid w:val="00376749"/>
    <w:rsid w:val="0037689E"/>
    <w:rsid w:val="00377313"/>
    <w:rsid w:val="0037774F"/>
    <w:rsid w:val="00377B50"/>
    <w:rsid w:val="00377C7F"/>
    <w:rsid w:val="003803AF"/>
    <w:rsid w:val="0038070E"/>
    <w:rsid w:val="00380C03"/>
    <w:rsid w:val="00380D56"/>
    <w:rsid w:val="00380F94"/>
    <w:rsid w:val="0038117C"/>
    <w:rsid w:val="00381DD5"/>
    <w:rsid w:val="003825FA"/>
    <w:rsid w:val="003826C7"/>
    <w:rsid w:val="003829AA"/>
    <w:rsid w:val="00382D1C"/>
    <w:rsid w:val="00382E14"/>
    <w:rsid w:val="003831D4"/>
    <w:rsid w:val="0038339D"/>
    <w:rsid w:val="003833F7"/>
    <w:rsid w:val="00383B88"/>
    <w:rsid w:val="003844A8"/>
    <w:rsid w:val="00384E11"/>
    <w:rsid w:val="003863EB"/>
    <w:rsid w:val="003866A3"/>
    <w:rsid w:val="00386BF8"/>
    <w:rsid w:val="00386C2C"/>
    <w:rsid w:val="00386E9B"/>
    <w:rsid w:val="003874AD"/>
    <w:rsid w:val="003875BA"/>
    <w:rsid w:val="0038769E"/>
    <w:rsid w:val="00390752"/>
    <w:rsid w:val="00391025"/>
    <w:rsid w:val="0039108A"/>
    <w:rsid w:val="0039116A"/>
    <w:rsid w:val="0039163B"/>
    <w:rsid w:val="00392787"/>
    <w:rsid w:val="00392DD1"/>
    <w:rsid w:val="0039319D"/>
    <w:rsid w:val="003944EE"/>
    <w:rsid w:val="00395020"/>
    <w:rsid w:val="0039542C"/>
    <w:rsid w:val="003958B2"/>
    <w:rsid w:val="003958B5"/>
    <w:rsid w:val="00396901"/>
    <w:rsid w:val="00396E9A"/>
    <w:rsid w:val="003970CC"/>
    <w:rsid w:val="003972C0"/>
    <w:rsid w:val="003975DD"/>
    <w:rsid w:val="003979B7"/>
    <w:rsid w:val="00397B79"/>
    <w:rsid w:val="00397D25"/>
    <w:rsid w:val="00397FB8"/>
    <w:rsid w:val="003A0934"/>
    <w:rsid w:val="003A0C76"/>
    <w:rsid w:val="003A0FE9"/>
    <w:rsid w:val="003A1139"/>
    <w:rsid w:val="003A11F4"/>
    <w:rsid w:val="003A152C"/>
    <w:rsid w:val="003A1949"/>
    <w:rsid w:val="003A221F"/>
    <w:rsid w:val="003A2516"/>
    <w:rsid w:val="003A28B5"/>
    <w:rsid w:val="003A30B5"/>
    <w:rsid w:val="003A3155"/>
    <w:rsid w:val="003A346A"/>
    <w:rsid w:val="003A3B92"/>
    <w:rsid w:val="003A3E14"/>
    <w:rsid w:val="003A4184"/>
    <w:rsid w:val="003A4F7F"/>
    <w:rsid w:val="003A5204"/>
    <w:rsid w:val="003A522C"/>
    <w:rsid w:val="003A5552"/>
    <w:rsid w:val="003A6261"/>
    <w:rsid w:val="003A6431"/>
    <w:rsid w:val="003A6833"/>
    <w:rsid w:val="003A68E4"/>
    <w:rsid w:val="003A6911"/>
    <w:rsid w:val="003A69CC"/>
    <w:rsid w:val="003A6C75"/>
    <w:rsid w:val="003A73BA"/>
    <w:rsid w:val="003A7435"/>
    <w:rsid w:val="003A7A8A"/>
    <w:rsid w:val="003B0234"/>
    <w:rsid w:val="003B0BB2"/>
    <w:rsid w:val="003B21E7"/>
    <w:rsid w:val="003B2A87"/>
    <w:rsid w:val="003B3BE7"/>
    <w:rsid w:val="003B3E78"/>
    <w:rsid w:val="003B4383"/>
    <w:rsid w:val="003B4B91"/>
    <w:rsid w:val="003B4FEA"/>
    <w:rsid w:val="003B54AA"/>
    <w:rsid w:val="003B5EDB"/>
    <w:rsid w:val="003B5F67"/>
    <w:rsid w:val="003B6497"/>
    <w:rsid w:val="003B68D6"/>
    <w:rsid w:val="003C01FF"/>
    <w:rsid w:val="003C10D3"/>
    <w:rsid w:val="003C1904"/>
    <w:rsid w:val="003C24C9"/>
    <w:rsid w:val="003C2B17"/>
    <w:rsid w:val="003C2E03"/>
    <w:rsid w:val="003C365F"/>
    <w:rsid w:val="003C37D6"/>
    <w:rsid w:val="003C3D30"/>
    <w:rsid w:val="003C4229"/>
    <w:rsid w:val="003C493A"/>
    <w:rsid w:val="003C4AD0"/>
    <w:rsid w:val="003C4CC4"/>
    <w:rsid w:val="003C4E5C"/>
    <w:rsid w:val="003C55A5"/>
    <w:rsid w:val="003C5BA4"/>
    <w:rsid w:val="003C6083"/>
    <w:rsid w:val="003C66F5"/>
    <w:rsid w:val="003C69BE"/>
    <w:rsid w:val="003C78CE"/>
    <w:rsid w:val="003C7DCA"/>
    <w:rsid w:val="003D0093"/>
    <w:rsid w:val="003D018E"/>
    <w:rsid w:val="003D0291"/>
    <w:rsid w:val="003D0416"/>
    <w:rsid w:val="003D082C"/>
    <w:rsid w:val="003D0A6C"/>
    <w:rsid w:val="003D13C0"/>
    <w:rsid w:val="003D1E3A"/>
    <w:rsid w:val="003D259A"/>
    <w:rsid w:val="003D27E5"/>
    <w:rsid w:val="003D2A52"/>
    <w:rsid w:val="003D2B0E"/>
    <w:rsid w:val="003D2D78"/>
    <w:rsid w:val="003D320F"/>
    <w:rsid w:val="003D38BD"/>
    <w:rsid w:val="003D3EAA"/>
    <w:rsid w:val="003D3F00"/>
    <w:rsid w:val="003D4075"/>
    <w:rsid w:val="003D445F"/>
    <w:rsid w:val="003D463F"/>
    <w:rsid w:val="003D486E"/>
    <w:rsid w:val="003D503F"/>
    <w:rsid w:val="003D5B44"/>
    <w:rsid w:val="003D5D83"/>
    <w:rsid w:val="003D61F5"/>
    <w:rsid w:val="003D73C3"/>
    <w:rsid w:val="003D74CC"/>
    <w:rsid w:val="003D7C0F"/>
    <w:rsid w:val="003D7EBF"/>
    <w:rsid w:val="003E045A"/>
    <w:rsid w:val="003E1AA1"/>
    <w:rsid w:val="003E1CD4"/>
    <w:rsid w:val="003E1E43"/>
    <w:rsid w:val="003E2674"/>
    <w:rsid w:val="003E2EE8"/>
    <w:rsid w:val="003E3C37"/>
    <w:rsid w:val="003E3CBD"/>
    <w:rsid w:val="003E4578"/>
    <w:rsid w:val="003E49DD"/>
    <w:rsid w:val="003E4A01"/>
    <w:rsid w:val="003E4A6B"/>
    <w:rsid w:val="003E55DF"/>
    <w:rsid w:val="003E57DB"/>
    <w:rsid w:val="003E5CDC"/>
    <w:rsid w:val="003E640B"/>
    <w:rsid w:val="003E6692"/>
    <w:rsid w:val="003E6D4F"/>
    <w:rsid w:val="003E7B0E"/>
    <w:rsid w:val="003E7C15"/>
    <w:rsid w:val="003F09F9"/>
    <w:rsid w:val="003F11B8"/>
    <w:rsid w:val="003F1BEF"/>
    <w:rsid w:val="003F22B1"/>
    <w:rsid w:val="003F26E4"/>
    <w:rsid w:val="003F2E38"/>
    <w:rsid w:val="003F3430"/>
    <w:rsid w:val="003F3B73"/>
    <w:rsid w:val="003F4136"/>
    <w:rsid w:val="003F4353"/>
    <w:rsid w:val="003F4A7D"/>
    <w:rsid w:val="003F57B4"/>
    <w:rsid w:val="003F5818"/>
    <w:rsid w:val="003F5819"/>
    <w:rsid w:val="003F661A"/>
    <w:rsid w:val="003F6C57"/>
    <w:rsid w:val="003F7C2A"/>
    <w:rsid w:val="003F7CB8"/>
    <w:rsid w:val="00400116"/>
    <w:rsid w:val="004002F1"/>
    <w:rsid w:val="00400553"/>
    <w:rsid w:val="00400E7C"/>
    <w:rsid w:val="0040144F"/>
    <w:rsid w:val="004015A5"/>
    <w:rsid w:val="00402638"/>
    <w:rsid w:val="00402A54"/>
    <w:rsid w:val="00402B0F"/>
    <w:rsid w:val="0040313E"/>
    <w:rsid w:val="00404735"/>
    <w:rsid w:val="00404BDC"/>
    <w:rsid w:val="00404DC2"/>
    <w:rsid w:val="0040565F"/>
    <w:rsid w:val="00405673"/>
    <w:rsid w:val="00405910"/>
    <w:rsid w:val="00405A93"/>
    <w:rsid w:val="00406243"/>
    <w:rsid w:val="004063E0"/>
    <w:rsid w:val="00406FC6"/>
    <w:rsid w:val="00407AF0"/>
    <w:rsid w:val="00410465"/>
    <w:rsid w:val="00410A5C"/>
    <w:rsid w:val="00411E59"/>
    <w:rsid w:val="00411EAD"/>
    <w:rsid w:val="004122C1"/>
    <w:rsid w:val="00412948"/>
    <w:rsid w:val="00412B68"/>
    <w:rsid w:val="00412C4B"/>
    <w:rsid w:val="00412D99"/>
    <w:rsid w:val="00413097"/>
    <w:rsid w:val="00413D10"/>
    <w:rsid w:val="00413F0E"/>
    <w:rsid w:val="00414145"/>
    <w:rsid w:val="00414328"/>
    <w:rsid w:val="00414594"/>
    <w:rsid w:val="00414D47"/>
    <w:rsid w:val="004156B1"/>
    <w:rsid w:val="00415E3F"/>
    <w:rsid w:val="00415F0D"/>
    <w:rsid w:val="004168D0"/>
    <w:rsid w:val="00417703"/>
    <w:rsid w:val="00417B5B"/>
    <w:rsid w:val="0042018A"/>
    <w:rsid w:val="0042081E"/>
    <w:rsid w:val="00420FBA"/>
    <w:rsid w:val="00421831"/>
    <w:rsid w:val="00421900"/>
    <w:rsid w:val="00421B52"/>
    <w:rsid w:val="004220C4"/>
    <w:rsid w:val="00422180"/>
    <w:rsid w:val="004228EF"/>
    <w:rsid w:val="00422E15"/>
    <w:rsid w:val="00422E87"/>
    <w:rsid w:val="004230DB"/>
    <w:rsid w:val="004233A5"/>
    <w:rsid w:val="00423CAC"/>
    <w:rsid w:val="00424265"/>
    <w:rsid w:val="004243E4"/>
    <w:rsid w:val="00424C27"/>
    <w:rsid w:val="0042512F"/>
    <w:rsid w:val="004256E8"/>
    <w:rsid w:val="00425A76"/>
    <w:rsid w:val="00425ABC"/>
    <w:rsid w:val="00425C31"/>
    <w:rsid w:val="00426035"/>
    <w:rsid w:val="004260C0"/>
    <w:rsid w:val="0042617D"/>
    <w:rsid w:val="004265F2"/>
    <w:rsid w:val="00427489"/>
    <w:rsid w:val="00427B1C"/>
    <w:rsid w:val="00427DE5"/>
    <w:rsid w:val="00430334"/>
    <w:rsid w:val="00430AC0"/>
    <w:rsid w:val="00430F8C"/>
    <w:rsid w:val="00431260"/>
    <w:rsid w:val="004316C8"/>
    <w:rsid w:val="004324FA"/>
    <w:rsid w:val="00432F8D"/>
    <w:rsid w:val="0043322F"/>
    <w:rsid w:val="00434302"/>
    <w:rsid w:val="004343C7"/>
    <w:rsid w:val="00434B36"/>
    <w:rsid w:val="00434BE0"/>
    <w:rsid w:val="0043530D"/>
    <w:rsid w:val="00435A89"/>
    <w:rsid w:val="0043632F"/>
    <w:rsid w:val="00436678"/>
    <w:rsid w:val="00436DD7"/>
    <w:rsid w:val="00437D0A"/>
    <w:rsid w:val="00437D8F"/>
    <w:rsid w:val="004409EC"/>
    <w:rsid w:val="00441017"/>
    <w:rsid w:val="004412A9"/>
    <w:rsid w:val="004415AF"/>
    <w:rsid w:val="004423C4"/>
    <w:rsid w:val="004428C1"/>
    <w:rsid w:val="0044316F"/>
    <w:rsid w:val="004432E1"/>
    <w:rsid w:val="004434AD"/>
    <w:rsid w:val="00443527"/>
    <w:rsid w:val="0044365D"/>
    <w:rsid w:val="004438F1"/>
    <w:rsid w:val="00443D10"/>
    <w:rsid w:val="00444493"/>
    <w:rsid w:val="0044476F"/>
    <w:rsid w:val="00444B5E"/>
    <w:rsid w:val="00444E2A"/>
    <w:rsid w:val="00444F96"/>
    <w:rsid w:val="004450B6"/>
    <w:rsid w:val="0044547F"/>
    <w:rsid w:val="004457DA"/>
    <w:rsid w:val="00446005"/>
    <w:rsid w:val="004462FC"/>
    <w:rsid w:val="00446B39"/>
    <w:rsid w:val="004471E9"/>
    <w:rsid w:val="00447378"/>
    <w:rsid w:val="00447731"/>
    <w:rsid w:val="00447A59"/>
    <w:rsid w:val="00447C26"/>
    <w:rsid w:val="00450505"/>
    <w:rsid w:val="004506B5"/>
    <w:rsid w:val="00450851"/>
    <w:rsid w:val="00450944"/>
    <w:rsid w:val="00450A9C"/>
    <w:rsid w:val="00450D7A"/>
    <w:rsid w:val="00450E44"/>
    <w:rsid w:val="00451439"/>
    <w:rsid w:val="00451831"/>
    <w:rsid w:val="00452048"/>
    <w:rsid w:val="00452E44"/>
    <w:rsid w:val="00452E75"/>
    <w:rsid w:val="00453178"/>
    <w:rsid w:val="004531A8"/>
    <w:rsid w:val="00453291"/>
    <w:rsid w:val="00453881"/>
    <w:rsid w:val="00454540"/>
    <w:rsid w:val="00454982"/>
    <w:rsid w:val="00455546"/>
    <w:rsid w:val="00455672"/>
    <w:rsid w:val="004556DD"/>
    <w:rsid w:val="00455762"/>
    <w:rsid w:val="004557E2"/>
    <w:rsid w:val="004560A4"/>
    <w:rsid w:val="00456FBC"/>
    <w:rsid w:val="004573DC"/>
    <w:rsid w:val="0045744F"/>
    <w:rsid w:val="004574B5"/>
    <w:rsid w:val="00457863"/>
    <w:rsid w:val="004579CB"/>
    <w:rsid w:val="00457BEA"/>
    <w:rsid w:val="00457D2A"/>
    <w:rsid w:val="00457D8F"/>
    <w:rsid w:val="004601F9"/>
    <w:rsid w:val="004607AA"/>
    <w:rsid w:val="00460959"/>
    <w:rsid w:val="00460EFB"/>
    <w:rsid w:val="004616CF"/>
    <w:rsid w:val="004619ED"/>
    <w:rsid w:val="00461BFB"/>
    <w:rsid w:val="004625ED"/>
    <w:rsid w:val="0046267B"/>
    <w:rsid w:val="004628ED"/>
    <w:rsid w:val="00462B2D"/>
    <w:rsid w:val="0046302E"/>
    <w:rsid w:val="00463220"/>
    <w:rsid w:val="00463474"/>
    <w:rsid w:val="00463B1F"/>
    <w:rsid w:val="00465957"/>
    <w:rsid w:val="0046610B"/>
    <w:rsid w:val="0046694F"/>
    <w:rsid w:val="00466CAE"/>
    <w:rsid w:val="0046714D"/>
    <w:rsid w:val="004677E6"/>
    <w:rsid w:val="004702AD"/>
    <w:rsid w:val="00470509"/>
    <w:rsid w:val="00470901"/>
    <w:rsid w:val="00470B01"/>
    <w:rsid w:val="00470E5C"/>
    <w:rsid w:val="00471159"/>
    <w:rsid w:val="00472094"/>
    <w:rsid w:val="0047217F"/>
    <w:rsid w:val="004730C2"/>
    <w:rsid w:val="0047397F"/>
    <w:rsid w:val="00473DDF"/>
    <w:rsid w:val="0047450B"/>
    <w:rsid w:val="00474843"/>
    <w:rsid w:val="00474C6D"/>
    <w:rsid w:val="00475910"/>
    <w:rsid w:val="004763CF"/>
    <w:rsid w:val="004772DD"/>
    <w:rsid w:val="0047759C"/>
    <w:rsid w:val="0047777F"/>
    <w:rsid w:val="004778A9"/>
    <w:rsid w:val="00477BD6"/>
    <w:rsid w:val="004804E1"/>
    <w:rsid w:val="0048088E"/>
    <w:rsid w:val="00481091"/>
    <w:rsid w:val="0048167D"/>
    <w:rsid w:val="004821B2"/>
    <w:rsid w:val="00482391"/>
    <w:rsid w:val="004823B1"/>
    <w:rsid w:val="0048255E"/>
    <w:rsid w:val="00482671"/>
    <w:rsid w:val="00483242"/>
    <w:rsid w:val="00483283"/>
    <w:rsid w:val="00483588"/>
    <w:rsid w:val="00483D77"/>
    <w:rsid w:val="004840AB"/>
    <w:rsid w:val="0048425F"/>
    <w:rsid w:val="00484400"/>
    <w:rsid w:val="00484858"/>
    <w:rsid w:val="00484B3B"/>
    <w:rsid w:val="004859E9"/>
    <w:rsid w:val="004862CF"/>
    <w:rsid w:val="00486591"/>
    <w:rsid w:val="0048689F"/>
    <w:rsid w:val="00486BA5"/>
    <w:rsid w:val="00487885"/>
    <w:rsid w:val="00487A64"/>
    <w:rsid w:val="00487E24"/>
    <w:rsid w:val="0049011C"/>
    <w:rsid w:val="00490AC8"/>
    <w:rsid w:val="00490B3F"/>
    <w:rsid w:val="00490D71"/>
    <w:rsid w:val="004914ED"/>
    <w:rsid w:val="00491838"/>
    <w:rsid w:val="00491BD8"/>
    <w:rsid w:val="00492458"/>
    <w:rsid w:val="0049361D"/>
    <w:rsid w:val="00493BB1"/>
    <w:rsid w:val="0049400C"/>
    <w:rsid w:val="004946E8"/>
    <w:rsid w:val="004948A1"/>
    <w:rsid w:val="00494A06"/>
    <w:rsid w:val="00494B56"/>
    <w:rsid w:val="00494C18"/>
    <w:rsid w:val="00494E49"/>
    <w:rsid w:val="00495263"/>
    <w:rsid w:val="0049544B"/>
    <w:rsid w:val="004954E4"/>
    <w:rsid w:val="00495FEA"/>
    <w:rsid w:val="004962D9"/>
    <w:rsid w:val="0049678D"/>
    <w:rsid w:val="00496B38"/>
    <w:rsid w:val="00496BD3"/>
    <w:rsid w:val="00497007"/>
    <w:rsid w:val="00497585"/>
    <w:rsid w:val="004978FF"/>
    <w:rsid w:val="004979D3"/>
    <w:rsid w:val="00497D5B"/>
    <w:rsid w:val="004A123D"/>
    <w:rsid w:val="004A1C2B"/>
    <w:rsid w:val="004A1D5A"/>
    <w:rsid w:val="004A219D"/>
    <w:rsid w:val="004A25BF"/>
    <w:rsid w:val="004A2898"/>
    <w:rsid w:val="004A28C1"/>
    <w:rsid w:val="004A30FE"/>
    <w:rsid w:val="004A36F2"/>
    <w:rsid w:val="004A39A4"/>
    <w:rsid w:val="004A3DAF"/>
    <w:rsid w:val="004A428A"/>
    <w:rsid w:val="004A464E"/>
    <w:rsid w:val="004A4F7D"/>
    <w:rsid w:val="004A5F38"/>
    <w:rsid w:val="004A6130"/>
    <w:rsid w:val="004A6990"/>
    <w:rsid w:val="004A6D58"/>
    <w:rsid w:val="004A6E9E"/>
    <w:rsid w:val="004A7800"/>
    <w:rsid w:val="004A7ADF"/>
    <w:rsid w:val="004A7B12"/>
    <w:rsid w:val="004A7F84"/>
    <w:rsid w:val="004B0A8B"/>
    <w:rsid w:val="004B0A92"/>
    <w:rsid w:val="004B231A"/>
    <w:rsid w:val="004B25C7"/>
    <w:rsid w:val="004B4066"/>
    <w:rsid w:val="004B4170"/>
    <w:rsid w:val="004B4570"/>
    <w:rsid w:val="004B48DF"/>
    <w:rsid w:val="004B523E"/>
    <w:rsid w:val="004B57E9"/>
    <w:rsid w:val="004B644B"/>
    <w:rsid w:val="004B6F63"/>
    <w:rsid w:val="004B7263"/>
    <w:rsid w:val="004B7B83"/>
    <w:rsid w:val="004B7BB8"/>
    <w:rsid w:val="004B7E23"/>
    <w:rsid w:val="004C011E"/>
    <w:rsid w:val="004C085D"/>
    <w:rsid w:val="004C0EF7"/>
    <w:rsid w:val="004C0F21"/>
    <w:rsid w:val="004C116F"/>
    <w:rsid w:val="004C1398"/>
    <w:rsid w:val="004C142D"/>
    <w:rsid w:val="004C1471"/>
    <w:rsid w:val="004C16F5"/>
    <w:rsid w:val="004C1988"/>
    <w:rsid w:val="004C20EB"/>
    <w:rsid w:val="004C257E"/>
    <w:rsid w:val="004C2C55"/>
    <w:rsid w:val="004C2E66"/>
    <w:rsid w:val="004C30D4"/>
    <w:rsid w:val="004C316F"/>
    <w:rsid w:val="004C3A33"/>
    <w:rsid w:val="004C412C"/>
    <w:rsid w:val="004C44D7"/>
    <w:rsid w:val="004C461B"/>
    <w:rsid w:val="004C51CE"/>
    <w:rsid w:val="004C5A37"/>
    <w:rsid w:val="004C5DF6"/>
    <w:rsid w:val="004C6842"/>
    <w:rsid w:val="004C6E80"/>
    <w:rsid w:val="004C7327"/>
    <w:rsid w:val="004C7347"/>
    <w:rsid w:val="004C7A42"/>
    <w:rsid w:val="004C7BCF"/>
    <w:rsid w:val="004C7D8C"/>
    <w:rsid w:val="004D00A3"/>
    <w:rsid w:val="004D045D"/>
    <w:rsid w:val="004D0642"/>
    <w:rsid w:val="004D0FCF"/>
    <w:rsid w:val="004D1065"/>
    <w:rsid w:val="004D1625"/>
    <w:rsid w:val="004D16DD"/>
    <w:rsid w:val="004D1788"/>
    <w:rsid w:val="004D1AFE"/>
    <w:rsid w:val="004D1FE5"/>
    <w:rsid w:val="004D2230"/>
    <w:rsid w:val="004D237B"/>
    <w:rsid w:val="004D2829"/>
    <w:rsid w:val="004D2F99"/>
    <w:rsid w:val="004D2FE3"/>
    <w:rsid w:val="004D31D5"/>
    <w:rsid w:val="004D3413"/>
    <w:rsid w:val="004D3DAE"/>
    <w:rsid w:val="004D4074"/>
    <w:rsid w:val="004D4923"/>
    <w:rsid w:val="004D5A8E"/>
    <w:rsid w:val="004D5BDE"/>
    <w:rsid w:val="004D62FE"/>
    <w:rsid w:val="004D6C8A"/>
    <w:rsid w:val="004D7590"/>
    <w:rsid w:val="004D77BD"/>
    <w:rsid w:val="004D7AA5"/>
    <w:rsid w:val="004D7C85"/>
    <w:rsid w:val="004E02BA"/>
    <w:rsid w:val="004E0B4E"/>
    <w:rsid w:val="004E14B0"/>
    <w:rsid w:val="004E1540"/>
    <w:rsid w:val="004E18CC"/>
    <w:rsid w:val="004E2724"/>
    <w:rsid w:val="004E39C4"/>
    <w:rsid w:val="004E40F1"/>
    <w:rsid w:val="004E498A"/>
    <w:rsid w:val="004E4A48"/>
    <w:rsid w:val="004E4AF2"/>
    <w:rsid w:val="004E4B7E"/>
    <w:rsid w:val="004E5047"/>
    <w:rsid w:val="004E573C"/>
    <w:rsid w:val="004E59E3"/>
    <w:rsid w:val="004E5B48"/>
    <w:rsid w:val="004E5D1E"/>
    <w:rsid w:val="004E6006"/>
    <w:rsid w:val="004E648B"/>
    <w:rsid w:val="004E6670"/>
    <w:rsid w:val="004E67AF"/>
    <w:rsid w:val="004E6CFA"/>
    <w:rsid w:val="004E7512"/>
    <w:rsid w:val="004E78A5"/>
    <w:rsid w:val="004E79A4"/>
    <w:rsid w:val="004E79B8"/>
    <w:rsid w:val="004E7A50"/>
    <w:rsid w:val="004E7C6C"/>
    <w:rsid w:val="004F03E0"/>
    <w:rsid w:val="004F0C53"/>
    <w:rsid w:val="004F0D91"/>
    <w:rsid w:val="004F0DA6"/>
    <w:rsid w:val="004F1067"/>
    <w:rsid w:val="004F123E"/>
    <w:rsid w:val="004F128C"/>
    <w:rsid w:val="004F1418"/>
    <w:rsid w:val="004F16BE"/>
    <w:rsid w:val="004F172C"/>
    <w:rsid w:val="004F208B"/>
    <w:rsid w:val="004F2959"/>
    <w:rsid w:val="004F2E38"/>
    <w:rsid w:val="004F3678"/>
    <w:rsid w:val="004F3BF1"/>
    <w:rsid w:val="004F4784"/>
    <w:rsid w:val="004F49D2"/>
    <w:rsid w:val="004F4EB3"/>
    <w:rsid w:val="004F521A"/>
    <w:rsid w:val="004F5236"/>
    <w:rsid w:val="004F53C2"/>
    <w:rsid w:val="004F5727"/>
    <w:rsid w:val="004F5E70"/>
    <w:rsid w:val="004F5FE4"/>
    <w:rsid w:val="004F6268"/>
    <w:rsid w:val="004F6967"/>
    <w:rsid w:val="004F6DE7"/>
    <w:rsid w:val="004F6FFC"/>
    <w:rsid w:val="004F7313"/>
    <w:rsid w:val="004F78EB"/>
    <w:rsid w:val="004F7AE5"/>
    <w:rsid w:val="004F7B5C"/>
    <w:rsid w:val="004F7D51"/>
    <w:rsid w:val="004F7F70"/>
    <w:rsid w:val="005000B9"/>
    <w:rsid w:val="00500BCB"/>
    <w:rsid w:val="00501213"/>
    <w:rsid w:val="00501598"/>
    <w:rsid w:val="00501A7F"/>
    <w:rsid w:val="00501B06"/>
    <w:rsid w:val="005021DF"/>
    <w:rsid w:val="005021E6"/>
    <w:rsid w:val="005027D1"/>
    <w:rsid w:val="00502C4C"/>
    <w:rsid w:val="00502CB0"/>
    <w:rsid w:val="00503533"/>
    <w:rsid w:val="00503C9F"/>
    <w:rsid w:val="00504A9D"/>
    <w:rsid w:val="00505A60"/>
    <w:rsid w:val="00505BF6"/>
    <w:rsid w:val="00505F49"/>
    <w:rsid w:val="00506363"/>
    <w:rsid w:val="00506EBD"/>
    <w:rsid w:val="00507B64"/>
    <w:rsid w:val="00507C64"/>
    <w:rsid w:val="0051029B"/>
    <w:rsid w:val="0051072F"/>
    <w:rsid w:val="0051081A"/>
    <w:rsid w:val="005116F7"/>
    <w:rsid w:val="005118BA"/>
    <w:rsid w:val="00511A4A"/>
    <w:rsid w:val="00512328"/>
    <w:rsid w:val="00512750"/>
    <w:rsid w:val="00513218"/>
    <w:rsid w:val="00513276"/>
    <w:rsid w:val="00513522"/>
    <w:rsid w:val="00513C8D"/>
    <w:rsid w:val="00513EE2"/>
    <w:rsid w:val="0051493E"/>
    <w:rsid w:val="00514E32"/>
    <w:rsid w:val="00515B52"/>
    <w:rsid w:val="00515F48"/>
    <w:rsid w:val="005161F1"/>
    <w:rsid w:val="0051630F"/>
    <w:rsid w:val="0051637F"/>
    <w:rsid w:val="005165C4"/>
    <w:rsid w:val="00516616"/>
    <w:rsid w:val="00516E4A"/>
    <w:rsid w:val="0051703C"/>
    <w:rsid w:val="005173E0"/>
    <w:rsid w:val="005202EE"/>
    <w:rsid w:val="0052073E"/>
    <w:rsid w:val="0052188E"/>
    <w:rsid w:val="00521C57"/>
    <w:rsid w:val="00521FB1"/>
    <w:rsid w:val="00522970"/>
    <w:rsid w:val="00522ECB"/>
    <w:rsid w:val="0052312B"/>
    <w:rsid w:val="00523652"/>
    <w:rsid w:val="0052414E"/>
    <w:rsid w:val="00524289"/>
    <w:rsid w:val="005246B7"/>
    <w:rsid w:val="00524811"/>
    <w:rsid w:val="00525076"/>
    <w:rsid w:val="005252CD"/>
    <w:rsid w:val="00525384"/>
    <w:rsid w:val="0052546B"/>
    <w:rsid w:val="005259CD"/>
    <w:rsid w:val="00525EE0"/>
    <w:rsid w:val="005268EC"/>
    <w:rsid w:val="00526D3C"/>
    <w:rsid w:val="00527782"/>
    <w:rsid w:val="005278B6"/>
    <w:rsid w:val="005279BA"/>
    <w:rsid w:val="00527A7B"/>
    <w:rsid w:val="00527BF5"/>
    <w:rsid w:val="00527CA1"/>
    <w:rsid w:val="00527E9D"/>
    <w:rsid w:val="005305CA"/>
    <w:rsid w:val="00530740"/>
    <w:rsid w:val="00531792"/>
    <w:rsid w:val="00531AD0"/>
    <w:rsid w:val="0053211E"/>
    <w:rsid w:val="005323CA"/>
    <w:rsid w:val="00532D25"/>
    <w:rsid w:val="00532DD8"/>
    <w:rsid w:val="00532EE8"/>
    <w:rsid w:val="005333B7"/>
    <w:rsid w:val="005334E8"/>
    <w:rsid w:val="0053352E"/>
    <w:rsid w:val="00533CE8"/>
    <w:rsid w:val="00533D00"/>
    <w:rsid w:val="005341A7"/>
    <w:rsid w:val="00536ABB"/>
    <w:rsid w:val="00537156"/>
    <w:rsid w:val="00537418"/>
    <w:rsid w:val="005374A2"/>
    <w:rsid w:val="0054020D"/>
    <w:rsid w:val="00540271"/>
    <w:rsid w:val="005404D7"/>
    <w:rsid w:val="00540509"/>
    <w:rsid w:val="00541265"/>
    <w:rsid w:val="0054144B"/>
    <w:rsid w:val="00541766"/>
    <w:rsid w:val="0054177D"/>
    <w:rsid w:val="00541D43"/>
    <w:rsid w:val="00542685"/>
    <w:rsid w:val="00542972"/>
    <w:rsid w:val="00542C8A"/>
    <w:rsid w:val="0054319E"/>
    <w:rsid w:val="00543408"/>
    <w:rsid w:val="005435BB"/>
    <w:rsid w:val="00543796"/>
    <w:rsid w:val="00543D95"/>
    <w:rsid w:val="00543E24"/>
    <w:rsid w:val="005443BA"/>
    <w:rsid w:val="005446EF"/>
    <w:rsid w:val="005451AD"/>
    <w:rsid w:val="0054531D"/>
    <w:rsid w:val="005456D4"/>
    <w:rsid w:val="005458A7"/>
    <w:rsid w:val="00545940"/>
    <w:rsid w:val="005459A8"/>
    <w:rsid w:val="00545BCA"/>
    <w:rsid w:val="00545BEF"/>
    <w:rsid w:val="00545EF4"/>
    <w:rsid w:val="00546084"/>
    <w:rsid w:val="0054631E"/>
    <w:rsid w:val="00546469"/>
    <w:rsid w:val="005467CF"/>
    <w:rsid w:val="00546911"/>
    <w:rsid w:val="0054710B"/>
    <w:rsid w:val="0054734E"/>
    <w:rsid w:val="0055057D"/>
    <w:rsid w:val="00550BF1"/>
    <w:rsid w:val="00550F7A"/>
    <w:rsid w:val="005514CF"/>
    <w:rsid w:val="005519F0"/>
    <w:rsid w:val="005521DE"/>
    <w:rsid w:val="00552569"/>
    <w:rsid w:val="005525C6"/>
    <w:rsid w:val="00552B22"/>
    <w:rsid w:val="00552D6F"/>
    <w:rsid w:val="005532AC"/>
    <w:rsid w:val="00553BB8"/>
    <w:rsid w:val="00554069"/>
    <w:rsid w:val="00554216"/>
    <w:rsid w:val="0055436A"/>
    <w:rsid w:val="00554E01"/>
    <w:rsid w:val="00554F6C"/>
    <w:rsid w:val="00555163"/>
    <w:rsid w:val="00555638"/>
    <w:rsid w:val="00555695"/>
    <w:rsid w:val="0055578D"/>
    <w:rsid w:val="0055625A"/>
    <w:rsid w:val="0055629A"/>
    <w:rsid w:val="00556A73"/>
    <w:rsid w:val="00557327"/>
    <w:rsid w:val="00557553"/>
    <w:rsid w:val="005577D0"/>
    <w:rsid w:val="00557B40"/>
    <w:rsid w:val="00557BB1"/>
    <w:rsid w:val="00560403"/>
    <w:rsid w:val="00561198"/>
    <w:rsid w:val="005612DC"/>
    <w:rsid w:val="00561596"/>
    <w:rsid w:val="00561657"/>
    <w:rsid w:val="005618E5"/>
    <w:rsid w:val="00561F30"/>
    <w:rsid w:val="00561FBE"/>
    <w:rsid w:val="00562508"/>
    <w:rsid w:val="0056267F"/>
    <w:rsid w:val="005629F7"/>
    <w:rsid w:val="00563217"/>
    <w:rsid w:val="0056362A"/>
    <w:rsid w:val="0056445A"/>
    <w:rsid w:val="005646FE"/>
    <w:rsid w:val="00565597"/>
    <w:rsid w:val="00565BF0"/>
    <w:rsid w:val="00565DFD"/>
    <w:rsid w:val="005662B1"/>
    <w:rsid w:val="005665D7"/>
    <w:rsid w:val="00566982"/>
    <w:rsid w:val="00566997"/>
    <w:rsid w:val="00567D47"/>
    <w:rsid w:val="00567ECE"/>
    <w:rsid w:val="005708DE"/>
    <w:rsid w:val="00570BCC"/>
    <w:rsid w:val="005718AC"/>
    <w:rsid w:val="005719E4"/>
    <w:rsid w:val="00571A92"/>
    <w:rsid w:val="00571B8C"/>
    <w:rsid w:val="005723EE"/>
    <w:rsid w:val="00572536"/>
    <w:rsid w:val="00572B63"/>
    <w:rsid w:val="00572BA3"/>
    <w:rsid w:val="00573369"/>
    <w:rsid w:val="00573647"/>
    <w:rsid w:val="00573731"/>
    <w:rsid w:val="0057417E"/>
    <w:rsid w:val="00574855"/>
    <w:rsid w:val="00574D70"/>
    <w:rsid w:val="00575003"/>
    <w:rsid w:val="005757B6"/>
    <w:rsid w:val="00575D6F"/>
    <w:rsid w:val="00575F12"/>
    <w:rsid w:val="005761DD"/>
    <w:rsid w:val="00576487"/>
    <w:rsid w:val="0057664A"/>
    <w:rsid w:val="005767E7"/>
    <w:rsid w:val="005769EC"/>
    <w:rsid w:val="00576EF6"/>
    <w:rsid w:val="00576F0E"/>
    <w:rsid w:val="00577053"/>
    <w:rsid w:val="00577425"/>
    <w:rsid w:val="00580319"/>
    <w:rsid w:val="00580D6A"/>
    <w:rsid w:val="00580E98"/>
    <w:rsid w:val="00582064"/>
    <w:rsid w:val="00582448"/>
    <w:rsid w:val="0058269D"/>
    <w:rsid w:val="00582E33"/>
    <w:rsid w:val="00583224"/>
    <w:rsid w:val="0058353C"/>
    <w:rsid w:val="0058385F"/>
    <w:rsid w:val="0058420A"/>
    <w:rsid w:val="00584293"/>
    <w:rsid w:val="005845DD"/>
    <w:rsid w:val="00584A26"/>
    <w:rsid w:val="00584DE2"/>
    <w:rsid w:val="005858F8"/>
    <w:rsid w:val="00585D28"/>
    <w:rsid w:val="00586333"/>
    <w:rsid w:val="00586374"/>
    <w:rsid w:val="0058657B"/>
    <w:rsid w:val="00586667"/>
    <w:rsid w:val="00586886"/>
    <w:rsid w:val="00586C87"/>
    <w:rsid w:val="00586E73"/>
    <w:rsid w:val="005870EF"/>
    <w:rsid w:val="00587CDC"/>
    <w:rsid w:val="0059019F"/>
    <w:rsid w:val="00590463"/>
    <w:rsid w:val="005906DF"/>
    <w:rsid w:val="00590AE4"/>
    <w:rsid w:val="0059140E"/>
    <w:rsid w:val="005916FB"/>
    <w:rsid w:val="00591C5B"/>
    <w:rsid w:val="00592172"/>
    <w:rsid w:val="0059258D"/>
    <w:rsid w:val="00592955"/>
    <w:rsid w:val="00592C78"/>
    <w:rsid w:val="005935FC"/>
    <w:rsid w:val="005936C8"/>
    <w:rsid w:val="00593968"/>
    <w:rsid w:val="00593978"/>
    <w:rsid w:val="00593B00"/>
    <w:rsid w:val="0059471B"/>
    <w:rsid w:val="0059478F"/>
    <w:rsid w:val="0059498A"/>
    <w:rsid w:val="00594A38"/>
    <w:rsid w:val="005954DD"/>
    <w:rsid w:val="00596451"/>
    <w:rsid w:val="005966F2"/>
    <w:rsid w:val="005977A4"/>
    <w:rsid w:val="0059780C"/>
    <w:rsid w:val="00597ACC"/>
    <w:rsid w:val="005A0350"/>
    <w:rsid w:val="005A0C1E"/>
    <w:rsid w:val="005A0C84"/>
    <w:rsid w:val="005A10A7"/>
    <w:rsid w:val="005A10EB"/>
    <w:rsid w:val="005A17AF"/>
    <w:rsid w:val="005A1A07"/>
    <w:rsid w:val="005A22AA"/>
    <w:rsid w:val="005A264C"/>
    <w:rsid w:val="005A2855"/>
    <w:rsid w:val="005A29DC"/>
    <w:rsid w:val="005A2B87"/>
    <w:rsid w:val="005A3171"/>
    <w:rsid w:val="005A357C"/>
    <w:rsid w:val="005A3828"/>
    <w:rsid w:val="005A395E"/>
    <w:rsid w:val="005A3E01"/>
    <w:rsid w:val="005A465A"/>
    <w:rsid w:val="005A4BE9"/>
    <w:rsid w:val="005A5257"/>
    <w:rsid w:val="005A57D2"/>
    <w:rsid w:val="005A5A03"/>
    <w:rsid w:val="005A6060"/>
    <w:rsid w:val="005A6B4E"/>
    <w:rsid w:val="005A6F3F"/>
    <w:rsid w:val="005A6FC7"/>
    <w:rsid w:val="005A7393"/>
    <w:rsid w:val="005A7711"/>
    <w:rsid w:val="005B01EB"/>
    <w:rsid w:val="005B03AC"/>
    <w:rsid w:val="005B0A1E"/>
    <w:rsid w:val="005B0AA3"/>
    <w:rsid w:val="005B0D1B"/>
    <w:rsid w:val="005B1C88"/>
    <w:rsid w:val="005B2321"/>
    <w:rsid w:val="005B283C"/>
    <w:rsid w:val="005B30BD"/>
    <w:rsid w:val="005B3806"/>
    <w:rsid w:val="005B3B02"/>
    <w:rsid w:val="005B3C58"/>
    <w:rsid w:val="005B3FF7"/>
    <w:rsid w:val="005B42E7"/>
    <w:rsid w:val="005B43DE"/>
    <w:rsid w:val="005B47D1"/>
    <w:rsid w:val="005B52C3"/>
    <w:rsid w:val="005B5749"/>
    <w:rsid w:val="005B5786"/>
    <w:rsid w:val="005B5848"/>
    <w:rsid w:val="005B5AED"/>
    <w:rsid w:val="005B5CA0"/>
    <w:rsid w:val="005B5E62"/>
    <w:rsid w:val="005B5EE0"/>
    <w:rsid w:val="005B5FEA"/>
    <w:rsid w:val="005B6F5F"/>
    <w:rsid w:val="005B799C"/>
    <w:rsid w:val="005B7B5B"/>
    <w:rsid w:val="005C052A"/>
    <w:rsid w:val="005C069F"/>
    <w:rsid w:val="005C09DB"/>
    <w:rsid w:val="005C114F"/>
    <w:rsid w:val="005C17DA"/>
    <w:rsid w:val="005C18B3"/>
    <w:rsid w:val="005C1D5B"/>
    <w:rsid w:val="005C26FA"/>
    <w:rsid w:val="005C2952"/>
    <w:rsid w:val="005C36D0"/>
    <w:rsid w:val="005C3F06"/>
    <w:rsid w:val="005C3FBC"/>
    <w:rsid w:val="005C4174"/>
    <w:rsid w:val="005C4378"/>
    <w:rsid w:val="005C44D7"/>
    <w:rsid w:val="005C4713"/>
    <w:rsid w:val="005C4CB1"/>
    <w:rsid w:val="005C4DC1"/>
    <w:rsid w:val="005C53C7"/>
    <w:rsid w:val="005C5425"/>
    <w:rsid w:val="005C5BCF"/>
    <w:rsid w:val="005C654C"/>
    <w:rsid w:val="005C6CCC"/>
    <w:rsid w:val="005C6E6E"/>
    <w:rsid w:val="005C6F0F"/>
    <w:rsid w:val="005C7827"/>
    <w:rsid w:val="005C7D35"/>
    <w:rsid w:val="005D004F"/>
    <w:rsid w:val="005D0387"/>
    <w:rsid w:val="005D0449"/>
    <w:rsid w:val="005D0537"/>
    <w:rsid w:val="005D09E5"/>
    <w:rsid w:val="005D0DBE"/>
    <w:rsid w:val="005D1092"/>
    <w:rsid w:val="005D1861"/>
    <w:rsid w:val="005D1BC7"/>
    <w:rsid w:val="005D23AE"/>
    <w:rsid w:val="005D397D"/>
    <w:rsid w:val="005D39C8"/>
    <w:rsid w:val="005D3C0C"/>
    <w:rsid w:val="005D3C49"/>
    <w:rsid w:val="005D4584"/>
    <w:rsid w:val="005D46BC"/>
    <w:rsid w:val="005D477D"/>
    <w:rsid w:val="005D50C7"/>
    <w:rsid w:val="005D542D"/>
    <w:rsid w:val="005D579A"/>
    <w:rsid w:val="005D5B56"/>
    <w:rsid w:val="005D5E62"/>
    <w:rsid w:val="005D64C4"/>
    <w:rsid w:val="005D6A84"/>
    <w:rsid w:val="005D6D85"/>
    <w:rsid w:val="005D6E64"/>
    <w:rsid w:val="005D7375"/>
    <w:rsid w:val="005D769C"/>
    <w:rsid w:val="005D7B60"/>
    <w:rsid w:val="005D7BC9"/>
    <w:rsid w:val="005E0010"/>
    <w:rsid w:val="005E0307"/>
    <w:rsid w:val="005E051C"/>
    <w:rsid w:val="005E06F7"/>
    <w:rsid w:val="005E0ABE"/>
    <w:rsid w:val="005E11C7"/>
    <w:rsid w:val="005E11F7"/>
    <w:rsid w:val="005E15DB"/>
    <w:rsid w:val="005E1752"/>
    <w:rsid w:val="005E1910"/>
    <w:rsid w:val="005E1DF9"/>
    <w:rsid w:val="005E2068"/>
    <w:rsid w:val="005E2E38"/>
    <w:rsid w:val="005E30AD"/>
    <w:rsid w:val="005E3459"/>
    <w:rsid w:val="005E3951"/>
    <w:rsid w:val="005E4276"/>
    <w:rsid w:val="005E42E1"/>
    <w:rsid w:val="005E50D6"/>
    <w:rsid w:val="005E59DD"/>
    <w:rsid w:val="005E74ED"/>
    <w:rsid w:val="005E764B"/>
    <w:rsid w:val="005E783C"/>
    <w:rsid w:val="005E78C6"/>
    <w:rsid w:val="005E7CCD"/>
    <w:rsid w:val="005F0789"/>
    <w:rsid w:val="005F0912"/>
    <w:rsid w:val="005F1550"/>
    <w:rsid w:val="005F1EC9"/>
    <w:rsid w:val="005F2115"/>
    <w:rsid w:val="005F2C23"/>
    <w:rsid w:val="005F2F7D"/>
    <w:rsid w:val="005F30DB"/>
    <w:rsid w:val="005F343A"/>
    <w:rsid w:val="005F37A8"/>
    <w:rsid w:val="005F37D1"/>
    <w:rsid w:val="005F3BBA"/>
    <w:rsid w:val="005F41E2"/>
    <w:rsid w:val="005F4493"/>
    <w:rsid w:val="005F49A3"/>
    <w:rsid w:val="005F4C13"/>
    <w:rsid w:val="005F56E4"/>
    <w:rsid w:val="005F57A0"/>
    <w:rsid w:val="005F58A2"/>
    <w:rsid w:val="005F604B"/>
    <w:rsid w:val="005F6B5F"/>
    <w:rsid w:val="005F6B6F"/>
    <w:rsid w:val="005F7FB4"/>
    <w:rsid w:val="006009E4"/>
    <w:rsid w:val="00600EDA"/>
    <w:rsid w:val="006010A9"/>
    <w:rsid w:val="006014AA"/>
    <w:rsid w:val="006015AB"/>
    <w:rsid w:val="006017B9"/>
    <w:rsid w:val="00601BF3"/>
    <w:rsid w:val="00601C4F"/>
    <w:rsid w:val="00601D8F"/>
    <w:rsid w:val="0060202D"/>
    <w:rsid w:val="006020FF"/>
    <w:rsid w:val="00602634"/>
    <w:rsid w:val="006026B6"/>
    <w:rsid w:val="00602AB9"/>
    <w:rsid w:val="00602C02"/>
    <w:rsid w:val="00602F0F"/>
    <w:rsid w:val="00603236"/>
    <w:rsid w:val="0060365A"/>
    <w:rsid w:val="0060401D"/>
    <w:rsid w:val="0060427D"/>
    <w:rsid w:val="00604454"/>
    <w:rsid w:val="00604531"/>
    <w:rsid w:val="00604BF2"/>
    <w:rsid w:val="00604F96"/>
    <w:rsid w:val="00605015"/>
    <w:rsid w:val="0060520B"/>
    <w:rsid w:val="0060669B"/>
    <w:rsid w:val="0060696F"/>
    <w:rsid w:val="00606B34"/>
    <w:rsid w:val="00606DEB"/>
    <w:rsid w:val="006070A8"/>
    <w:rsid w:val="006074EA"/>
    <w:rsid w:val="00607CE9"/>
    <w:rsid w:val="006101BC"/>
    <w:rsid w:val="006110A4"/>
    <w:rsid w:val="006110DE"/>
    <w:rsid w:val="00611777"/>
    <w:rsid w:val="00611A50"/>
    <w:rsid w:val="00611C53"/>
    <w:rsid w:val="00611F76"/>
    <w:rsid w:val="00612A6B"/>
    <w:rsid w:val="00612FB2"/>
    <w:rsid w:val="00613AE5"/>
    <w:rsid w:val="006144A9"/>
    <w:rsid w:val="00614749"/>
    <w:rsid w:val="00614A16"/>
    <w:rsid w:val="00614C7E"/>
    <w:rsid w:val="00614D57"/>
    <w:rsid w:val="00614E61"/>
    <w:rsid w:val="00615395"/>
    <w:rsid w:val="006156D4"/>
    <w:rsid w:val="00615B65"/>
    <w:rsid w:val="00615F49"/>
    <w:rsid w:val="0061610F"/>
    <w:rsid w:val="00616152"/>
    <w:rsid w:val="006163C6"/>
    <w:rsid w:val="00616530"/>
    <w:rsid w:val="00616DAF"/>
    <w:rsid w:val="00616FF3"/>
    <w:rsid w:val="0061725F"/>
    <w:rsid w:val="00617921"/>
    <w:rsid w:val="006208A0"/>
    <w:rsid w:val="00620E64"/>
    <w:rsid w:val="00621040"/>
    <w:rsid w:val="00621636"/>
    <w:rsid w:val="00621C62"/>
    <w:rsid w:val="00621C70"/>
    <w:rsid w:val="00621C77"/>
    <w:rsid w:val="00621F24"/>
    <w:rsid w:val="00622194"/>
    <w:rsid w:val="00622278"/>
    <w:rsid w:val="006223BB"/>
    <w:rsid w:val="00622BF3"/>
    <w:rsid w:val="00622D13"/>
    <w:rsid w:val="00622D51"/>
    <w:rsid w:val="006231FA"/>
    <w:rsid w:val="00623368"/>
    <w:rsid w:val="00623918"/>
    <w:rsid w:val="00623C15"/>
    <w:rsid w:val="00623D36"/>
    <w:rsid w:val="00623E3D"/>
    <w:rsid w:val="00624015"/>
    <w:rsid w:val="006245E7"/>
    <w:rsid w:val="006249EC"/>
    <w:rsid w:val="00624A26"/>
    <w:rsid w:val="00624E1C"/>
    <w:rsid w:val="006256C7"/>
    <w:rsid w:val="00625989"/>
    <w:rsid w:val="00625CE7"/>
    <w:rsid w:val="00626765"/>
    <w:rsid w:val="0062745D"/>
    <w:rsid w:val="006277E0"/>
    <w:rsid w:val="0062780B"/>
    <w:rsid w:val="006278F6"/>
    <w:rsid w:val="006302C5"/>
    <w:rsid w:val="00630731"/>
    <w:rsid w:val="00630CCA"/>
    <w:rsid w:val="00631918"/>
    <w:rsid w:val="00631B45"/>
    <w:rsid w:val="00632E38"/>
    <w:rsid w:val="00633658"/>
    <w:rsid w:val="006337D2"/>
    <w:rsid w:val="00633F25"/>
    <w:rsid w:val="00634333"/>
    <w:rsid w:val="00634624"/>
    <w:rsid w:val="00634887"/>
    <w:rsid w:val="006349CF"/>
    <w:rsid w:val="00634E5A"/>
    <w:rsid w:val="00635DD7"/>
    <w:rsid w:val="00636109"/>
    <w:rsid w:val="0063641F"/>
    <w:rsid w:val="0063648C"/>
    <w:rsid w:val="00636755"/>
    <w:rsid w:val="00636BD2"/>
    <w:rsid w:val="00636C82"/>
    <w:rsid w:val="00637098"/>
    <w:rsid w:val="00637556"/>
    <w:rsid w:val="006376B8"/>
    <w:rsid w:val="00637BDA"/>
    <w:rsid w:val="00637F8A"/>
    <w:rsid w:val="0064017E"/>
    <w:rsid w:val="00640B55"/>
    <w:rsid w:val="00640D42"/>
    <w:rsid w:val="00641348"/>
    <w:rsid w:val="0064142A"/>
    <w:rsid w:val="00641B9C"/>
    <w:rsid w:val="00641B9E"/>
    <w:rsid w:val="00641E8B"/>
    <w:rsid w:val="006420BC"/>
    <w:rsid w:val="006421EB"/>
    <w:rsid w:val="00642C61"/>
    <w:rsid w:val="00643790"/>
    <w:rsid w:val="00643D0A"/>
    <w:rsid w:val="0064428A"/>
    <w:rsid w:val="00644C54"/>
    <w:rsid w:val="006450DC"/>
    <w:rsid w:val="006451A0"/>
    <w:rsid w:val="006452CE"/>
    <w:rsid w:val="00645369"/>
    <w:rsid w:val="0064546A"/>
    <w:rsid w:val="0064557E"/>
    <w:rsid w:val="0064592D"/>
    <w:rsid w:val="0064647C"/>
    <w:rsid w:val="00646E5A"/>
    <w:rsid w:val="00646FD5"/>
    <w:rsid w:val="00647092"/>
    <w:rsid w:val="00647487"/>
    <w:rsid w:val="00647EF8"/>
    <w:rsid w:val="00647EFF"/>
    <w:rsid w:val="006502DD"/>
    <w:rsid w:val="00650667"/>
    <w:rsid w:val="00650DD4"/>
    <w:rsid w:val="00650E05"/>
    <w:rsid w:val="0065146F"/>
    <w:rsid w:val="006514FB"/>
    <w:rsid w:val="006519AF"/>
    <w:rsid w:val="0065202A"/>
    <w:rsid w:val="0065225F"/>
    <w:rsid w:val="006530A2"/>
    <w:rsid w:val="00653130"/>
    <w:rsid w:val="006534B4"/>
    <w:rsid w:val="00653A41"/>
    <w:rsid w:val="00653B8C"/>
    <w:rsid w:val="006543C8"/>
    <w:rsid w:val="006548F0"/>
    <w:rsid w:val="00654F5F"/>
    <w:rsid w:val="00655597"/>
    <w:rsid w:val="006559BE"/>
    <w:rsid w:val="00655ACA"/>
    <w:rsid w:val="00655D14"/>
    <w:rsid w:val="00656120"/>
    <w:rsid w:val="006561CD"/>
    <w:rsid w:val="00656454"/>
    <w:rsid w:val="00657323"/>
    <w:rsid w:val="00657495"/>
    <w:rsid w:val="006576ED"/>
    <w:rsid w:val="00657C0E"/>
    <w:rsid w:val="006616BB"/>
    <w:rsid w:val="00661B2B"/>
    <w:rsid w:val="00661CA6"/>
    <w:rsid w:val="00662C46"/>
    <w:rsid w:val="00662D43"/>
    <w:rsid w:val="0066319F"/>
    <w:rsid w:val="00663880"/>
    <w:rsid w:val="00663A89"/>
    <w:rsid w:val="00664E2C"/>
    <w:rsid w:val="0066502A"/>
    <w:rsid w:val="0066511E"/>
    <w:rsid w:val="0066535C"/>
    <w:rsid w:val="00665518"/>
    <w:rsid w:val="00666296"/>
    <w:rsid w:val="0066673B"/>
    <w:rsid w:val="0066733D"/>
    <w:rsid w:val="00667424"/>
    <w:rsid w:val="006675E8"/>
    <w:rsid w:val="00670CCC"/>
    <w:rsid w:val="00671685"/>
    <w:rsid w:val="006719EE"/>
    <w:rsid w:val="00672328"/>
    <w:rsid w:val="0067290E"/>
    <w:rsid w:val="00672FD2"/>
    <w:rsid w:val="006734DB"/>
    <w:rsid w:val="00673556"/>
    <w:rsid w:val="00673CC0"/>
    <w:rsid w:val="006744ED"/>
    <w:rsid w:val="006745E7"/>
    <w:rsid w:val="00674E19"/>
    <w:rsid w:val="006750C2"/>
    <w:rsid w:val="00675214"/>
    <w:rsid w:val="00675B88"/>
    <w:rsid w:val="006767D0"/>
    <w:rsid w:val="00676FE3"/>
    <w:rsid w:val="0067779F"/>
    <w:rsid w:val="0068093B"/>
    <w:rsid w:val="00680DE6"/>
    <w:rsid w:val="00680F11"/>
    <w:rsid w:val="00681960"/>
    <w:rsid w:val="006821C4"/>
    <w:rsid w:val="0068251C"/>
    <w:rsid w:val="006833B1"/>
    <w:rsid w:val="00683D73"/>
    <w:rsid w:val="0068420F"/>
    <w:rsid w:val="00684775"/>
    <w:rsid w:val="00684816"/>
    <w:rsid w:val="00684A24"/>
    <w:rsid w:val="0068521C"/>
    <w:rsid w:val="006858C4"/>
    <w:rsid w:val="00685A3D"/>
    <w:rsid w:val="00686150"/>
    <w:rsid w:val="00686534"/>
    <w:rsid w:val="006872D6"/>
    <w:rsid w:val="0068754C"/>
    <w:rsid w:val="006879A7"/>
    <w:rsid w:val="00690292"/>
    <w:rsid w:val="0069080E"/>
    <w:rsid w:val="00690C6B"/>
    <w:rsid w:val="006917C1"/>
    <w:rsid w:val="00691B07"/>
    <w:rsid w:val="006921F7"/>
    <w:rsid w:val="00692421"/>
    <w:rsid w:val="00693698"/>
    <w:rsid w:val="00693D9C"/>
    <w:rsid w:val="00694538"/>
    <w:rsid w:val="006945CC"/>
    <w:rsid w:val="006947C3"/>
    <w:rsid w:val="006954D9"/>
    <w:rsid w:val="006957D7"/>
    <w:rsid w:val="00695AD0"/>
    <w:rsid w:val="00695DC6"/>
    <w:rsid w:val="00696455"/>
    <w:rsid w:val="006969FB"/>
    <w:rsid w:val="00697251"/>
    <w:rsid w:val="0069746A"/>
    <w:rsid w:val="00697711"/>
    <w:rsid w:val="006A02D8"/>
    <w:rsid w:val="006A0734"/>
    <w:rsid w:val="006A07DB"/>
    <w:rsid w:val="006A0B7C"/>
    <w:rsid w:val="006A0F38"/>
    <w:rsid w:val="006A12A7"/>
    <w:rsid w:val="006A1D6E"/>
    <w:rsid w:val="006A1F9D"/>
    <w:rsid w:val="006A233D"/>
    <w:rsid w:val="006A27BD"/>
    <w:rsid w:val="006A2A93"/>
    <w:rsid w:val="006A2B75"/>
    <w:rsid w:val="006A2DA9"/>
    <w:rsid w:val="006A3DC1"/>
    <w:rsid w:val="006A4129"/>
    <w:rsid w:val="006A4723"/>
    <w:rsid w:val="006A53D1"/>
    <w:rsid w:val="006A5CE0"/>
    <w:rsid w:val="006A5D5D"/>
    <w:rsid w:val="006A62E3"/>
    <w:rsid w:val="006A64C8"/>
    <w:rsid w:val="006A6655"/>
    <w:rsid w:val="006A69B5"/>
    <w:rsid w:val="006A6C6D"/>
    <w:rsid w:val="006A6F18"/>
    <w:rsid w:val="006A6F94"/>
    <w:rsid w:val="006A7A96"/>
    <w:rsid w:val="006B0B69"/>
    <w:rsid w:val="006B0EE0"/>
    <w:rsid w:val="006B1A64"/>
    <w:rsid w:val="006B250B"/>
    <w:rsid w:val="006B281F"/>
    <w:rsid w:val="006B292F"/>
    <w:rsid w:val="006B3BC3"/>
    <w:rsid w:val="006B3FB1"/>
    <w:rsid w:val="006B47CD"/>
    <w:rsid w:val="006B4E43"/>
    <w:rsid w:val="006B5808"/>
    <w:rsid w:val="006B5DEB"/>
    <w:rsid w:val="006B606C"/>
    <w:rsid w:val="006B63BE"/>
    <w:rsid w:val="006B679F"/>
    <w:rsid w:val="006B711A"/>
    <w:rsid w:val="006B7222"/>
    <w:rsid w:val="006C00A0"/>
    <w:rsid w:val="006C0392"/>
    <w:rsid w:val="006C0CAB"/>
    <w:rsid w:val="006C0DC9"/>
    <w:rsid w:val="006C10A8"/>
    <w:rsid w:val="006C1778"/>
    <w:rsid w:val="006C1801"/>
    <w:rsid w:val="006C180E"/>
    <w:rsid w:val="006C1E70"/>
    <w:rsid w:val="006C21B8"/>
    <w:rsid w:val="006C267E"/>
    <w:rsid w:val="006C2802"/>
    <w:rsid w:val="006C3188"/>
    <w:rsid w:val="006C3253"/>
    <w:rsid w:val="006C3678"/>
    <w:rsid w:val="006C36F2"/>
    <w:rsid w:val="006C3B3D"/>
    <w:rsid w:val="006C4918"/>
    <w:rsid w:val="006C4A39"/>
    <w:rsid w:val="006C4D0C"/>
    <w:rsid w:val="006C500B"/>
    <w:rsid w:val="006C5607"/>
    <w:rsid w:val="006C5A40"/>
    <w:rsid w:val="006C62CE"/>
    <w:rsid w:val="006C63AF"/>
    <w:rsid w:val="006C64AF"/>
    <w:rsid w:val="006C64B5"/>
    <w:rsid w:val="006C6A35"/>
    <w:rsid w:val="006C6D94"/>
    <w:rsid w:val="006C71A4"/>
    <w:rsid w:val="006C75CD"/>
    <w:rsid w:val="006D0519"/>
    <w:rsid w:val="006D0CE6"/>
    <w:rsid w:val="006D1BBB"/>
    <w:rsid w:val="006D1D3D"/>
    <w:rsid w:val="006D2014"/>
    <w:rsid w:val="006D2500"/>
    <w:rsid w:val="006D2A8F"/>
    <w:rsid w:val="006D2C93"/>
    <w:rsid w:val="006D2D3E"/>
    <w:rsid w:val="006D2D4D"/>
    <w:rsid w:val="006D31D2"/>
    <w:rsid w:val="006D3F45"/>
    <w:rsid w:val="006D3F5F"/>
    <w:rsid w:val="006D44BB"/>
    <w:rsid w:val="006D4A85"/>
    <w:rsid w:val="006D4B9F"/>
    <w:rsid w:val="006D518C"/>
    <w:rsid w:val="006D5371"/>
    <w:rsid w:val="006D56EB"/>
    <w:rsid w:val="006D5743"/>
    <w:rsid w:val="006D5858"/>
    <w:rsid w:val="006D589C"/>
    <w:rsid w:val="006D63DB"/>
    <w:rsid w:val="006D6671"/>
    <w:rsid w:val="006D6834"/>
    <w:rsid w:val="006D6A27"/>
    <w:rsid w:val="006D71AC"/>
    <w:rsid w:val="006D7648"/>
    <w:rsid w:val="006E00CE"/>
    <w:rsid w:val="006E0583"/>
    <w:rsid w:val="006E0F58"/>
    <w:rsid w:val="006E10CD"/>
    <w:rsid w:val="006E13B8"/>
    <w:rsid w:val="006E1879"/>
    <w:rsid w:val="006E2F7F"/>
    <w:rsid w:val="006E3169"/>
    <w:rsid w:val="006E3896"/>
    <w:rsid w:val="006E3CE0"/>
    <w:rsid w:val="006E3E6F"/>
    <w:rsid w:val="006E3FF8"/>
    <w:rsid w:val="006E4433"/>
    <w:rsid w:val="006E46A6"/>
    <w:rsid w:val="006E46DF"/>
    <w:rsid w:val="006E470C"/>
    <w:rsid w:val="006E50A7"/>
    <w:rsid w:val="006E5462"/>
    <w:rsid w:val="006E55C9"/>
    <w:rsid w:val="006E586B"/>
    <w:rsid w:val="006E5896"/>
    <w:rsid w:val="006E58A3"/>
    <w:rsid w:val="006E5C84"/>
    <w:rsid w:val="006E684A"/>
    <w:rsid w:val="006E6867"/>
    <w:rsid w:val="006E69F7"/>
    <w:rsid w:val="006E6B41"/>
    <w:rsid w:val="006F008A"/>
    <w:rsid w:val="006F05F6"/>
    <w:rsid w:val="006F0889"/>
    <w:rsid w:val="006F1566"/>
    <w:rsid w:val="006F1AD3"/>
    <w:rsid w:val="006F1B17"/>
    <w:rsid w:val="006F1B84"/>
    <w:rsid w:val="006F1DCD"/>
    <w:rsid w:val="006F231A"/>
    <w:rsid w:val="006F2370"/>
    <w:rsid w:val="006F306A"/>
    <w:rsid w:val="006F3075"/>
    <w:rsid w:val="006F32A6"/>
    <w:rsid w:val="006F3569"/>
    <w:rsid w:val="006F3B6D"/>
    <w:rsid w:val="006F3C6D"/>
    <w:rsid w:val="006F3C86"/>
    <w:rsid w:val="006F401B"/>
    <w:rsid w:val="006F4681"/>
    <w:rsid w:val="006F46A8"/>
    <w:rsid w:val="006F4BFB"/>
    <w:rsid w:val="006F4EB5"/>
    <w:rsid w:val="006F4EBA"/>
    <w:rsid w:val="006F53AB"/>
    <w:rsid w:val="006F542C"/>
    <w:rsid w:val="006F5576"/>
    <w:rsid w:val="006F57FC"/>
    <w:rsid w:val="006F5CCD"/>
    <w:rsid w:val="006F5D21"/>
    <w:rsid w:val="006F5F50"/>
    <w:rsid w:val="006F63E9"/>
    <w:rsid w:val="006F6B41"/>
    <w:rsid w:val="00700027"/>
    <w:rsid w:val="0070031F"/>
    <w:rsid w:val="00700416"/>
    <w:rsid w:val="0070072B"/>
    <w:rsid w:val="00700F10"/>
    <w:rsid w:val="00700F53"/>
    <w:rsid w:val="00700FFD"/>
    <w:rsid w:val="00701A27"/>
    <w:rsid w:val="00701A51"/>
    <w:rsid w:val="00701C6D"/>
    <w:rsid w:val="0070203B"/>
    <w:rsid w:val="0070318B"/>
    <w:rsid w:val="007034D3"/>
    <w:rsid w:val="007036B8"/>
    <w:rsid w:val="007037C8"/>
    <w:rsid w:val="00703843"/>
    <w:rsid w:val="007038CA"/>
    <w:rsid w:val="00703E07"/>
    <w:rsid w:val="007044D4"/>
    <w:rsid w:val="007046B8"/>
    <w:rsid w:val="0070479D"/>
    <w:rsid w:val="00704954"/>
    <w:rsid w:val="00704CF2"/>
    <w:rsid w:val="00705A5E"/>
    <w:rsid w:val="00705FA4"/>
    <w:rsid w:val="00706C7B"/>
    <w:rsid w:val="00707AE8"/>
    <w:rsid w:val="007101C3"/>
    <w:rsid w:val="00710C11"/>
    <w:rsid w:val="007110A9"/>
    <w:rsid w:val="007113D4"/>
    <w:rsid w:val="00711D2B"/>
    <w:rsid w:val="007121E3"/>
    <w:rsid w:val="007125EE"/>
    <w:rsid w:val="00712A6D"/>
    <w:rsid w:val="00712A80"/>
    <w:rsid w:val="00712FE0"/>
    <w:rsid w:val="00713DB2"/>
    <w:rsid w:val="00713E7C"/>
    <w:rsid w:val="00713ED4"/>
    <w:rsid w:val="00713F54"/>
    <w:rsid w:val="007144B3"/>
    <w:rsid w:val="007148B4"/>
    <w:rsid w:val="00714A30"/>
    <w:rsid w:val="00714CB3"/>
    <w:rsid w:val="00714F9E"/>
    <w:rsid w:val="00715C52"/>
    <w:rsid w:val="00716042"/>
    <w:rsid w:val="0071606F"/>
    <w:rsid w:val="007166EB"/>
    <w:rsid w:val="007167C3"/>
    <w:rsid w:val="00716CDE"/>
    <w:rsid w:val="00716D9E"/>
    <w:rsid w:val="00717580"/>
    <w:rsid w:val="00717D09"/>
    <w:rsid w:val="007205E3"/>
    <w:rsid w:val="00720B9E"/>
    <w:rsid w:val="0072127C"/>
    <w:rsid w:val="00722125"/>
    <w:rsid w:val="00722230"/>
    <w:rsid w:val="0072314E"/>
    <w:rsid w:val="00723C27"/>
    <w:rsid w:val="00723DAF"/>
    <w:rsid w:val="007243DA"/>
    <w:rsid w:val="00724F4D"/>
    <w:rsid w:val="0072515D"/>
    <w:rsid w:val="00725B18"/>
    <w:rsid w:val="00725F24"/>
    <w:rsid w:val="00726332"/>
    <w:rsid w:val="00726691"/>
    <w:rsid w:val="00726CF5"/>
    <w:rsid w:val="007274B9"/>
    <w:rsid w:val="007274E2"/>
    <w:rsid w:val="00727A6C"/>
    <w:rsid w:val="00727DF2"/>
    <w:rsid w:val="007301A6"/>
    <w:rsid w:val="00730294"/>
    <w:rsid w:val="00730365"/>
    <w:rsid w:val="00730746"/>
    <w:rsid w:val="00730A52"/>
    <w:rsid w:val="00730D7D"/>
    <w:rsid w:val="00730F7C"/>
    <w:rsid w:val="007315A5"/>
    <w:rsid w:val="0073208D"/>
    <w:rsid w:val="007320AD"/>
    <w:rsid w:val="00732DA0"/>
    <w:rsid w:val="007331F5"/>
    <w:rsid w:val="007332E9"/>
    <w:rsid w:val="0073374F"/>
    <w:rsid w:val="00734093"/>
    <w:rsid w:val="0073431A"/>
    <w:rsid w:val="00734BBB"/>
    <w:rsid w:val="00734ED8"/>
    <w:rsid w:val="00734EE3"/>
    <w:rsid w:val="007352BE"/>
    <w:rsid w:val="0073554A"/>
    <w:rsid w:val="00735BA8"/>
    <w:rsid w:val="00735BC4"/>
    <w:rsid w:val="00735D7D"/>
    <w:rsid w:val="00736B05"/>
    <w:rsid w:val="00736E9A"/>
    <w:rsid w:val="00736FBD"/>
    <w:rsid w:val="0073770F"/>
    <w:rsid w:val="00737BBE"/>
    <w:rsid w:val="00740F7D"/>
    <w:rsid w:val="00741326"/>
    <w:rsid w:val="00741369"/>
    <w:rsid w:val="00741B71"/>
    <w:rsid w:val="00741B80"/>
    <w:rsid w:val="00742324"/>
    <w:rsid w:val="00743227"/>
    <w:rsid w:val="007438D9"/>
    <w:rsid w:val="00743DAA"/>
    <w:rsid w:val="00744093"/>
    <w:rsid w:val="00745A4F"/>
    <w:rsid w:val="00745EE8"/>
    <w:rsid w:val="00745FEC"/>
    <w:rsid w:val="0074694F"/>
    <w:rsid w:val="007469CA"/>
    <w:rsid w:val="00746CA4"/>
    <w:rsid w:val="00746E91"/>
    <w:rsid w:val="00746ECC"/>
    <w:rsid w:val="00746FD2"/>
    <w:rsid w:val="007476A3"/>
    <w:rsid w:val="0074785B"/>
    <w:rsid w:val="00747905"/>
    <w:rsid w:val="00747935"/>
    <w:rsid w:val="00750002"/>
    <w:rsid w:val="0075010A"/>
    <w:rsid w:val="00750A7F"/>
    <w:rsid w:val="00750B54"/>
    <w:rsid w:val="00750B63"/>
    <w:rsid w:val="00751611"/>
    <w:rsid w:val="00751996"/>
    <w:rsid w:val="00751CE0"/>
    <w:rsid w:val="00751D4C"/>
    <w:rsid w:val="00752347"/>
    <w:rsid w:val="00752650"/>
    <w:rsid w:val="00752872"/>
    <w:rsid w:val="007529B6"/>
    <w:rsid w:val="00752C24"/>
    <w:rsid w:val="00753B68"/>
    <w:rsid w:val="00754C53"/>
    <w:rsid w:val="00754E3D"/>
    <w:rsid w:val="007557B6"/>
    <w:rsid w:val="007559A3"/>
    <w:rsid w:val="0075600F"/>
    <w:rsid w:val="007563A9"/>
    <w:rsid w:val="007572AF"/>
    <w:rsid w:val="00757B73"/>
    <w:rsid w:val="0076014A"/>
    <w:rsid w:val="00760485"/>
    <w:rsid w:val="007608C3"/>
    <w:rsid w:val="00760A83"/>
    <w:rsid w:val="00760FAE"/>
    <w:rsid w:val="00761088"/>
    <w:rsid w:val="00761A9D"/>
    <w:rsid w:val="00761C1D"/>
    <w:rsid w:val="0076241E"/>
    <w:rsid w:val="00762E46"/>
    <w:rsid w:val="00763425"/>
    <w:rsid w:val="0076365D"/>
    <w:rsid w:val="00763B2D"/>
    <w:rsid w:val="00763E1B"/>
    <w:rsid w:val="00764AE8"/>
    <w:rsid w:val="007650C0"/>
    <w:rsid w:val="007654BD"/>
    <w:rsid w:val="0076551D"/>
    <w:rsid w:val="007655D2"/>
    <w:rsid w:val="00765605"/>
    <w:rsid w:val="00765668"/>
    <w:rsid w:val="00765A51"/>
    <w:rsid w:val="00765EAE"/>
    <w:rsid w:val="00766074"/>
    <w:rsid w:val="00766169"/>
    <w:rsid w:val="00766357"/>
    <w:rsid w:val="00767972"/>
    <w:rsid w:val="00767A2D"/>
    <w:rsid w:val="00767AA7"/>
    <w:rsid w:val="00767B3C"/>
    <w:rsid w:val="00767CCC"/>
    <w:rsid w:val="0077013D"/>
    <w:rsid w:val="0077017C"/>
    <w:rsid w:val="007705D9"/>
    <w:rsid w:val="00770CE3"/>
    <w:rsid w:val="00770FA2"/>
    <w:rsid w:val="007711CD"/>
    <w:rsid w:val="007720B8"/>
    <w:rsid w:val="00772A8D"/>
    <w:rsid w:val="007744B6"/>
    <w:rsid w:val="007746D3"/>
    <w:rsid w:val="00774FA3"/>
    <w:rsid w:val="00775447"/>
    <w:rsid w:val="007756F5"/>
    <w:rsid w:val="00775B2F"/>
    <w:rsid w:val="00775EA2"/>
    <w:rsid w:val="007772C6"/>
    <w:rsid w:val="00777475"/>
    <w:rsid w:val="007774D4"/>
    <w:rsid w:val="00777634"/>
    <w:rsid w:val="007779C7"/>
    <w:rsid w:val="00777E0D"/>
    <w:rsid w:val="0078094B"/>
    <w:rsid w:val="00780D5C"/>
    <w:rsid w:val="00781001"/>
    <w:rsid w:val="007817F2"/>
    <w:rsid w:val="007818F6"/>
    <w:rsid w:val="00781BE4"/>
    <w:rsid w:val="00781C36"/>
    <w:rsid w:val="00781C3A"/>
    <w:rsid w:val="00782030"/>
    <w:rsid w:val="00782155"/>
    <w:rsid w:val="007833D1"/>
    <w:rsid w:val="007835B6"/>
    <w:rsid w:val="0078366C"/>
    <w:rsid w:val="0078370B"/>
    <w:rsid w:val="007839F6"/>
    <w:rsid w:val="00783BBD"/>
    <w:rsid w:val="00783D8F"/>
    <w:rsid w:val="00785459"/>
    <w:rsid w:val="007857D1"/>
    <w:rsid w:val="00785A99"/>
    <w:rsid w:val="00785AC7"/>
    <w:rsid w:val="00785D02"/>
    <w:rsid w:val="00786061"/>
    <w:rsid w:val="00786879"/>
    <w:rsid w:val="00787172"/>
    <w:rsid w:val="007876F8"/>
    <w:rsid w:val="00790056"/>
    <w:rsid w:val="00790334"/>
    <w:rsid w:val="007903C7"/>
    <w:rsid w:val="00790A2E"/>
    <w:rsid w:val="00790B56"/>
    <w:rsid w:val="00790C4A"/>
    <w:rsid w:val="007910BB"/>
    <w:rsid w:val="00791CF5"/>
    <w:rsid w:val="007926FF"/>
    <w:rsid w:val="00793AF3"/>
    <w:rsid w:val="00793BE2"/>
    <w:rsid w:val="00793BF1"/>
    <w:rsid w:val="00794003"/>
    <w:rsid w:val="007944FA"/>
    <w:rsid w:val="007945DA"/>
    <w:rsid w:val="00794656"/>
    <w:rsid w:val="007946EF"/>
    <w:rsid w:val="007949A0"/>
    <w:rsid w:val="007952FF"/>
    <w:rsid w:val="0079543E"/>
    <w:rsid w:val="007956DB"/>
    <w:rsid w:val="00795E14"/>
    <w:rsid w:val="0079615C"/>
    <w:rsid w:val="00796706"/>
    <w:rsid w:val="00796FF2"/>
    <w:rsid w:val="007A0753"/>
    <w:rsid w:val="007A0EA8"/>
    <w:rsid w:val="007A0FFD"/>
    <w:rsid w:val="007A1320"/>
    <w:rsid w:val="007A1A37"/>
    <w:rsid w:val="007A1BCE"/>
    <w:rsid w:val="007A1D19"/>
    <w:rsid w:val="007A1F82"/>
    <w:rsid w:val="007A213A"/>
    <w:rsid w:val="007A23BE"/>
    <w:rsid w:val="007A2C5A"/>
    <w:rsid w:val="007A3812"/>
    <w:rsid w:val="007A3C9C"/>
    <w:rsid w:val="007A404B"/>
    <w:rsid w:val="007A431C"/>
    <w:rsid w:val="007A4B8B"/>
    <w:rsid w:val="007A4EFA"/>
    <w:rsid w:val="007A5714"/>
    <w:rsid w:val="007A5BB9"/>
    <w:rsid w:val="007A6272"/>
    <w:rsid w:val="007A66E2"/>
    <w:rsid w:val="007A6AF8"/>
    <w:rsid w:val="007A76D6"/>
    <w:rsid w:val="007B0287"/>
    <w:rsid w:val="007B0380"/>
    <w:rsid w:val="007B04A2"/>
    <w:rsid w:val="007B0962"/>
    <w:rsid w:val="007B0A0A"/>
    <w:rsid w:val="007B0BD7"/>
    <w:rsid w:val="007B0EA9"/>
    <w:rsid w:val="007B154A"/>
    <w:rsid w:val="007B15CD"/>
    <w:rsid w:val="007B1C0B"/>
    <w:rsid w:val="007B1CD9"/>
    <w:rsid w:val="007B2529"/>
    <w:rsid w:val="007B2744"/>
    <w:rsid w:val="007B28AC"/>
    <w:rsid w:val="007B2B08"/>
    <w:rsid w:val="007B2B6A"/>
    <w:rsid w:val="007B2D9C"/>
    <w:rsid w:val="007B3729"/>
    <w:rsid w:val="007B376A"/>
    <w:rsid w:val="007B3DE3"/>
    <w:rsid w:val="007B42DB"/>
    <w:rsid w:val="007B503F"/>
    <w:rsid w:val="007B5BE3"/>
    <w:rsid w:val="007B5D7D"/>
    <w:rsid w:val="007B62AB"/>
    <w:rsid w:val="007B642A"/>
    <w:rsid w:val="007B68B1"/>
    <w:rsid w:val="007B6C1D"/>
    <w:rsid w:val="007C0555"/>
    <w:rsid w:val="007C0BA7"/>
    <w:rsid w:val="007C0DFC"/>
    <w:rsid w:val="007C1A08"/>
    <w:rsid w:val="007C1B7E"/>
    <w:rsid w:val="007C1D1C"/>
    <w:rsid w:val="007C2BF1"/>
    <w:rsid w:val="007C2EEC"/>
    <w:rsid w:val="007C37AD"/>
    <w:rsid w:val="007C46F0"/>
    <w:rsid w:val="007C49BC"/>
    <w:rsid w:val="007C4C78"/>
    <w:rsid w:val="007C529D"/>
    <w:rsid w:val="007C5560"/>
    <w:rsid w:val="007C58B1"/>
    <w:rsid w:val="007C5A97"/>
    <w:rsid w:val="007C5A99"/>
    <w:rsid w:val="007C5D37"/>
    <w:rsid w:val="007C5F82"/>
    <w:rsid w:val="007C61C9"/>
    <w:rsid w:val="007C6468"/>
    <w:rsid w:val="007C68A2"/>
    <w:rsid w:val="007C6904"/>
    <w:rsid w:val="007C6D0F"/>
    <w:rsid w:val="007C75AF"/>
    <w:rsid w:val="007C7D35"/>
    <w:rsid w:val="007D0220"/>
    <w:rsid w:val="007D03DD"/>
    <w:rsid w:val="007D0BA7"/>
    <w:rsid w:val="007D1A0A"/>
    <w:rsid w:val="007D1E35"/>
    <w:rsid w:val="007D229A"/>
    <w:rsid w:val="007D25AE"/>
    <w:rsid w:val="007D2A1C"/>
    <w:rsid w:val="007D2F2D"/>
    <w:rsid w:val="007D398D"/>
    <w:rsid w:val="007D3B16"/>
    <w:rsid w:val="007D3C7D"/>
    <w:rsid w:val="007D3D3A"/>
    <w:rsid w:val="007D42DE"/>
    <w:rsid w:val="007D4666"/>
    <w:rsid w:val="007D4677"/>
    <w:rsid w:val="007D46CD"/>
    <w:rsid w:val="007D4EAB"/>
    <w:rsid w:val="007D51A1"/>
    <w:rsid w:val="007D634E"/>
    <w:rsid w:val="007D67B0"/>
    <w:rsid w:val="007D7021"/>
    <w:rsid w:val="007D7BFE"/>
    <w:rsid w:val="007D7EBA"/>
    <w:rsid w:val="007E044C"/>
    <w:rsid w:val="007E06E6"/>
    <w:rsid w:val="007E0853"/>
    <w:rsid w:val="007E08E0"/>
    <w:rsid w:val="007E0B4B"/>
    <w:rsid w:val="007E118B"/>
    <w:rsid w:val="007E11B1"/>
    <w:rsid w:val="007E1F3D"/>
    <w:rsid w:val="007E3A62"/>
    <w:rsid w:val="007E3ADB"/>
    <w:rsid w:val="007E40F0"/>
    <w:rsid w:val="007E4279"/>
    <w:rsid w:val="007E428B"/>
    <w:rsid w:val="007E430A"/>
    <w:rsid w:val="007E4586"/>
    <w:rsid w:val="007E46FC"/>
    <w:rsid w:val="007E4A1C"/>
    <w:rsid w:val="007E4E53"/>
    <w:rsid w:val="007E55ED"/>
    <w:rsid w:val="007E5645"/>
    <w:rsid w:val="007E5B62"/>
    <w:rsid w:val="007E5EF1"/>
    <w:rsid w:val="007E5F98"/>
    <w:rsid w:val="007E60D5"/>
    <w:rsid w:val="007E6B50"/>
    <w:rsid w:val="007E6E9B"/>
    <w:rsid w:val="007E75E7"/>
    <w:rsid w:val="007E7648"/>
    <w:rsid w:val="007E76CF"/>
    <w:rsid w:val="007F0261"/>
    <w:rsid w:val="007F0749"/>
    <w:rsid w:val="007F07DC"/>
    <w:rsid w:val="007F07E5"/>
    <w:rsid w:val="007F09F8"/>
    <w:rsid w:val="007F0ED3"/>
    <w:rsid w:val="007F1B01"/>
    <w:rsid w:val="007F247B"/>
    <w:rsid w:val="007F2722"/>
    <w:rsid w:val="007F273D"/>
    <w:rsid w:val="007F2748"/>
    <w:rsid w:val="007F2BF5"/>
    <w:rsid w:val="007F2C59"/>
    <w:rsid w:val="007F304E"/>
    <w:rsid w:val="007F308B"/>
    <w:rsid w:val="007F31AB"/>
    <w:rsid w:val="007F3420"/>
    <w:rsid w:val="007F36BE"/>
    <w:rsid w:val="007F37E3"/>
    <w:rsid w:val="007F3918"/>
    <w:rsid w:val="007F39A1"/>
    <w:rsid w:val="007F4961"/>
    <w:rsid w:val="007F4E35"/>
    <w:rsid w:val="007F5143"/>
    <w:rsid w:val="007F5295"/>
    <w:rsid w:val="007F532B"/>
    <w:rsid w:val="007F5B7B"/>
    <w:rsid w:val="007F611B"/>
    <w:rsid w:val="007F62B0"/>
    <w:rsid w:val="007F632C"/>
    <w:rsid w:val="007F6D58"/>
    <w:rsid w:val="007F6D95"/>
    <w:rsid w:val="007F72EF"/>
    <w:rsid w:val="007F786E"/>
    <w:rsid w:val="007F7A64"/>
    <w:rsid w:val="007F7B39"/>
    <w:rsid w:val="007F7C48"/>
    <w:rsid w:val="008002DF"/>
    <w:rsid w:val="008008DD"/>
    <w:rsid w:val="008017BE"/>
    <w:rsid w:val="00801EB2"/>
    <w:rsid w:val="008024CA"/>
    <w:rsid w:val="00802792"/>
    <w:rsid w:val="00802952"/>
    <w:rsid w:val="00802B84"/>
    <w:rsid w:val="008030A4"/>
    <w:rsid w:val="0080312A"/>
    <w:rsid w:val="00803928"/>
    <w:rsid w:val="00803A46"/>
    <w:rsid w:val="008040F1"/>
    <w:rsid w:val="00804162"/>
    <w:rsid w:val="008042DD"/>
    <w:rsid w:val="00804E4E"/>
    <w:rsid w:val="00804F15"/>
    <w:rsid w:val="00805076"/>
    <w:rsid w:val="008050D1"/>
    <w:rsid w:val="0080568C"/>
    <w:rsid w:val="008058AF"/>
    <w:rsid w:val="00805C02"/>
    <w:rsid w:val="00806144"/>
    <w:rsid w:val="00806304"/>
    <w:rsid w:val="00806834"/>
    <w:rsid w:val="008070AD"/>
    <w:rsid w:val="00807920"/>
    <w:rsid w:val="00810069"/>
    <w:rsid w:val="008101F8"/>
    <w:rsid w:val="008102D4"/>
    <w:rsid w:val="008104C5"/>
    <w:rsid w:val="008105E8"/>
    <w:rsid w:val="008107BA"/>
    <w:rsid w:val="00810CBF"/>
    <w:rsid w:val="0081108A"/>
    <w:rsid w:val="008111D5"/>
    <w:rsid w:val="00811313"/>
    <w:rsid w:val="008113A3"/>
    <w:rsid w:val="0081147D"/>
    <w:rsid w:val="00812267"/>
    <w:rsid w:val="00812E0A"/>
    <w:rsid w:val="008134C3"/>
    <w:rsid w:val="00814315"/>
    <w:rsid w:val="008144B4"/>
    <w:rsid w:val="008147BE"/>
    <w:rsid w:val="00815034"/>
    <w:rsid w:val="0081567E"/>
    <w:rsid w:val="00815694"/>
    <w:rsid w:val="00815A33"/>
    <w:rsid w:val="00815FED"/>
    <w:rsid w:val="00816037"/>
    <w:rsid w:val="0081638F"/>
    <w:rsid w:val="00816893"/>
    <w:rsid w:val="008169FE"/>
    <w:rsid w:val="00816CA6"/>
    <w:rsid w:val="00816D29"/>
    <w:rsid w:val="00817218"/>
    <w:rsid w:val="0081726E"/>
    <w:rsid w:val="008176D3"/>
    <w:rsid w:val="0082019A"/>
    <w:rsid w:val="00820218"/>
    <w:rsid w:val="008211AD"/>
    <w:rsid w:val="00821323"/>
    <w:rsid w:val="008216AD"/>
    <w:rsid w:val="00821892"/>
    <w:rsid w:val="00821C24"/>
    <w:rsid w:val="00821D27"/>
    <w:rsid w:val="00822212"/>
    <w:rsid w:val="00822994"/>
    <w:rsid w:val="00822E47"/>
    <w:rsid w:val="008231EC"/>
    <w:rsid w:val="00823856"/>
    <w:rsid w:val="0082397F"/>
    <w:rsid w:val="00823A24"/>
    <w:rsid w:val="00823BC1"/>
    <w:rsid w:val="00823E1D"/>
    <w:rsid w:val="00823E37"/>
    <w:rsid w:val="00823F6C"/>
    <w:rsid w:val="00824938"/>
    <w:rsid w:val="00824A1A"/>
    <w:rsid w:val="00824CAC"/>
    <w:rsid w:val="00825499"/>
    <w:rsid w:val="008257A1"/>
    <w:rsid w:val="008257A8"/>
    <w:rsid w:val="0082643C"/>
    <w:rsid w:val="00826784"/>
    <w:rsid w:val="00826F67"/>
    <w:rsid w:val="00826F9C"/>
    <w:rsid w:val="00827BA5"/>
    <w:rsid w:val="00830413"/>
    <w:rsid w:val="008306FF"/>
    <w:rsid w:val="0083071F"/>
    <w:rsid w:val="00830847"/>
    <w:rsid w:val="00830913"/>
    <w:rsid w:val="008312C1"/>
    <w:rsid w:val="00831332"/>
    <w:rsid w:val="0083134E"/>
    <w:rsid w:val="0083157D"/>
    <w:rsid w:val="00831D5C"/>
    <w:rsid w:val="00832489"/>
    <w:rsid w:val="0083270F"/>
    <w:rsid w:val="00832AFB"/>
    <w:rsid w:val="00832BAE"/>
    <w:rsid w:val="00832F44"/>
    <w:rsid w:val="0083336A"/>
    <w:rsid w:val="00833C89"/>
    <w:rsid w:val="0083474E"/>
    <w:rsid w:val="00834B2F"/>
    <w:rsid w:val="00834E6A"/>
    <w:rsid w:val="00835DA9"/>
    <w:rsid w:val="00836037"/>
    <w:rsid w:val="00836A56"/>
    <w:rsid w:val="00836DE6"/>
    <w:rsid w:val="00836F38"/>
    <w:rsid w:val="0083737D"/>
    <w:rsid w:val="008376CA"/>
    <w:rsid w:val="00837CC5"/>
    <w:rsid w:val="00840533"/>
    <w:rsid w:val="00841290"/>
    <w:rsid w:val="008412E5"/>
    <w:rsid w:val="008419C9"/>
    <w:rsid w:val="00841ACD"/>
    <w:rsid w:val="00841BD4"/>
    <w:rsid w:val="00841D96"/>
    <w:rsid w:val="00841DAA"/>
    <w:rsid w:val="008420C8"/>
    <w:rsid w:val="008425BB"/>
    <w:rsid w:val="008425E5"/>
    <w:rsid w:val="008428CF"/>
    <w:rsid w:val="008429E1"/>
    <w:rsid w:val="00842E63"/>
    <w:rsid w:val="0084304E"/>
    <w:rsid w:val="008431E5"/>
    <w:rsid w:val="00843612"/>
    <w:rsid w:val="00843646"/>
    <w:rsid w:val="00844714"/>
    <w:rsid w:val="00844BA4"/>
    <w:rsid w:val="00844BAF"/>
    <w:rsid w:val="00844E9A"/>
    <w:rsid w:val="00844F9B"/>
    <w:rsid w:val="008451B0"/>
    <w:rsid w:val="008455B9"/>
    <w:rsid w:val="00845DF8"/>
    <w:rsid w:val="008461F2"/>
    <w:rsid w:val="00846394"/>
    <w:rsid w:val="00846773"/>
    <w:rsid w:val="008469D4"/>
    <w:rsid w:val="00846AC0"/>
    <w:rsid w:val="00850130"/>
    <w:rsid w:val="008508A6"/>
    <w:rsid w:val="008508D9"/>
    <w:rsid w:val="008509E8"/>
    <w:rsid w:val="00850A6D"/>
    <w:rsid w:val="00850B62"/>
    <w:rsid w:val="00850D19"/>
    <w:rsid w:val="00850F9B"/>
    <w:rsid w:val="008513B9"/>
    <w:rsid w:val="00851405"/>
    <w:rsid w:val="00851760"/>
    <w:rsid w:val="00852792"/>
    <w:rsid w:val="00852DA8"/>
    <w:rsid w:val="00852EAB"/>
    <w:rsid w:val="00854120"/>
    <w:rsid w:val="0085445D"/>
    <w:rsid w:val="008544EB"/>
    <w:rsid w:val="00854F4F"/>
    <w:rsid w:val="00855A1A"/>
    <w:rsid w:val="00855FD7"/>
    <w:rsid w:val="0085652F"/>
    <w:rsid w:val="00856E91"/>
    <w:rsid w:val="0085702B"/>
    <w:rsid w:val="0085718A"/>
    <w:rsid w:val="008577F9"/>
    <w:rsid w:val="00857C41"/>
    <w:rsid w:val="00861844"/>
    <w:rsid w:val="00861A78"/>
    <w:rsid w:val="00861E41"/>
    <w:rsid w:val="0086203E"/>
    <w:rsid w:val="008622AD"/>
    <w:rsid w:val="00862302"/>
    <w:rsid w:val="0086285C"/>
    <w:rsid w:val="008629C2"/>
    <w:rsid w:val="00862AB5"/>
    <w:rsid w:val="00862D3E"/>
    <w:rsid w:val="00862EB0"/>
    <w:rsid w:val="00862EBE"/>
    <w:rsid w:val="00862FEE"/>
    <w:rsid w:val="008631D9"/>
    <w:rsid w:val="00863BC2"/>
    <w:rsid w:val="00863D2E"/>
    <w:rsid w:val="00865480"/>
    <w:rsid w:val="00866486"/>
    <w:rsid w:val="00866490"/>
    <w:rsid w:val="00866B7B"/>
    <w:rsid w:val="00866FE6"/>
    <w:rsid w:val="008670A1"/>
    <w:rsid w:val="00867147"/>
    <w:rsid w:val="00867202"/>
    <w:rsid w:val="00867DB0"/>
    <w:rsid w:val="00867EC3"/>
    <w:rsid w:val="008701EE"/>
    <w:rsid w:val="00870511"/>
    <w:rsid w:val="00870A23"/>
    <w:rsid w:val="00870ABD"/>
    <w:rsid w:val="00870C8C"/>
    <w:rsid w:val="0087146D"/>
    <w:rsid w:val="0087191A"/>
    <w:rsid w:val="00871A75"/>
    <w:rsid w:val="00871B52"/>
    <w:rsid w:val="00871D66"/>
    <w:rsid w:val="0087248E"/>
    <w:rsid w:val="0087329E"/>
    <w:rsid w:val="008739BE"/>
    <w:rsid w:val="00873BF6"/>
    <w:rsid w:val="0087498B"/>
    <w:rsid w:val="008755EE"/>
    <w:rsid w:val="008758CD"/>
    <w:rsid w:val="008759F5"/>
    <w:rsid w:val="008762F5"/>
    <w:rsid w:val="008765CC"/>
    <w:rsid w:val="00876D7E"/>
    <w:rsid w:val="00876F97"/>
    <w:rsid w:val="0087729C"/>
    <w:rsid w:val="008772D5"/>
    <w:rsid w:val="0087793F"/>
    <w:rsid w:val="00877E8C"/>
    <w:rsid w:val="008800A9"/>
    <w:rsid w:val="00880CE9"/>
    <w:rsid w:val="00881A0A"/>
    <w:rsid w:val="00882788"/>
    <w:rsid w:val="00882BC6"/>
    <w:rsid w:val="00882F8A"/>
    <w:rsid w:val="00883011"/>
    <w:rsid w:val="0088304F"/>
    <w:rsid w:val="0088350C"/>
    <w:rsid w:val="0088354E"/>
    <w:rsid w:val="00883C23"/>
    <w:rsid w:val="00884792"/>
    <w:rsid w:val="00884952"/>
    <w:rsid w:val="00884C5B"/>
    <w:rsid w:val="00884CD9"/>
    <w:rsid w:val="00885E7E"/>
    <w:rsid w:val="00886012"/>
    <w:rsid w:val="00886368"/>
    <w:rsid w:val="00886DB5"/>
    <w:rsid w:val="00886F5E"/>
    <w:rsid w:val="00886F75"/>
    <w:rsid w:val="0088772A"/>
    <w:rsid w:val="00890301"/>
    <w:rsid w:val="0089063D"/>
    <w:rsid w:val="008919AB"/>
    <w:rsid w:val="00891FC3"/>
    <w:rsid w:val="008921F4"/>
    <w:rsid w:val="0089230E"/>
    <w:rsid w:val="00892317"/>
    <w:rsid w:val="00892621"/>
    <w:rsid w:val="008929F8"/>
    <w:rsid w:val="00892B29"/>
    <w:rsid w:val="00892E3A"/>
    <w:rsid w:val="00893B6B"/>
    <w:rsid w:val="00893BAB"/>
    <w:rsid w:val="00894068"/>
    <w:rsid w:val="00894211"/>
    <w:rsid w:val="008943D8"/>
    <w:rsid w:val="008943DD"/>
    <w:rsid w:val="0089463A"/>
    <w:rsid w:val="00895B26"/>
    <w:rsid w:val="00896CBA"/>
    <w:rsid w:val="00896D07"/>
    <w:rsid w:val="00896F03"/>
    <w:rsid w:val="008A01E7"/>
    <w:rsid w:val="008A0500"/>
    <w:rsid w:val="008A0D65"/>
    <w:rsid w:val="008A0FF9"/>
    <w:rsid w:val="008A1443"/>
    <w:rsid w:val="008A15AE"/>
    <w:rsid w:val="008A2563"/>
    <w:rsid w:val="008A2895"/>
    <w:rsid w:val="008A29E6"/>
    <w:rsid w:val="008A39A3"/>
    <w:rsid w:val="008A3EA9"/>
    <w:rsid w:val="008A433E"/>
    <w:rsid w:val="008A4685"/>
    <w:rsid w:val="008A4996"/>
    <w:rsid w:val="008A4BC0"/>
    <w:rsid w:val="008A58FF"/>
    <w:rsid w:val="008A5963"/>
    <w:rsid w:val="008A59B6"/>
    <w:rsid w:val="008A61AE"/>
    <w:rsid w:val="008A6ADD"/>
    <w:rsid w:val="008A6EA0"/>
    <w:rsid w:val="008A7149"/>
    <w:rsid w:val="008A7529"/>
    <w:rsid w:val="008A75B8"/>
    <w:rsid w:val="008A7A44"/>
    <w:rsid w:val="008A7BA1"/>
    <w:rsid w:val="008B0178"/>
    <w:rsid w:val="008B0CA1"/>
    <w:rsid w:val="008B0FEA"/>
    <w:rsid w:val="008B1A4C"/>
    <w:rsid w:val="008B279A"/>
    <w:rsid w:val="008B2A72"/>
    <w:rsid w:val="008B2AE9"/>
    <w:rsid w:val="008B2DD1"/>
    <w:rsid w:val="008B3261"/>
    <w:rsid w:val="008B34DD"/>
    <w:rsid w:val="008B37BD"/>
    <w:rsid w:val="008B3949"/>
    <w:rsid w:val="008B3A6E"/>
    <w:rsid w:val="008B3E39"/>
    <w:rsid w:val="008B41D1"/>
    <w:rsid w:val="008B472A"/>
    <w:rsid w:val="008B4AB3"/>
    <w:rsid w:val="008B4C97"/>
    <w:rsid w:val="008B4F1D"/>
    <w:rsid w:val="008B568C"/>
    <w:rsid w:val="008B68A2"/>
    <w:rsid w:val="008B7A1A"/>
    <w:rsid w:val="008B7B7B"/>
    <w:rsid w:val="008B7CD5"/>
    <w:rsid w:val="008C0709"/>
    <w:rsid w:val="008C0779"/>
    <w:rsid w:val="008C0C1E"/>
    <w:rsid w:val="008C0E3E"/>
    <w:rsid w:val="008C1827"/>
    <w:rsid w:val="008C2A2C"/>
    <w:rsid w:val="008C2B30"/>
    <w:rsid w:val="008C44B4"/>
    <w:rsid w:val="008C55E3"/>
    <w:rsid w:val="008C55F0"/>
    <w:rsid w:val="008C5AD7"/>
    <w:rsid w:val="008C5C5C"/>
    <w:rsid w:val="008C5D32"/>
    <w:rsid w:val="008C5E80"/>
    <w:rsid w:val="008C62F6"/>
    <w:rsid w:val="008C667D"/>
    <w:rsid w:val="008C67EC"/>
    <w:rsid w:val="008C6AF4"/>
    <w:rsid w:val="008C6C19"/>
    <w:rsid w:val="008C6F7F"/>
    <w:rsid w:val="008C724C"/>
    <w:rsid w:val="008C7496"/>
    <w:rsid w:val="008C7BA1"/>
    <w:rsid w:val="008C7EF7"/>
    <w:rsid w:val="008D0356"/>
    <w:rsid w:val="008D04EB"/>
    <w:rsid w:val="008D0B38"/>
    <w:rsid w:val="008D0BBC"/>
    <w:rsid w:val="008D0D08"/>
    <w:rsid w:val="008D18BB"/>
    <w:rsid w:val="008D194D"/>
    <w:rsid w:val="008D1CEA"/>
    <w:rsid w:val="008D2068"/>
    <w:rsid w:val="008D2708"/>
    <w:rsid w:val="008D2AFF"/>
    <w:rsid w:val="008D2BCC"/>
    <w:rsid w:val="008D2C5A"/>
    <w:rsid w:val="008D34A7"/>
    <w:rsid w:val="008D3A58"/>
    <w:rsid w:val="008D428E"/>
    <w:rsid w:val="008D44AA"/>
    <w:rsid w:val="008D456F"/>
    <w:rsid w:val="008D4A96"/>
    <w:rsid w:val="008D4B66"/>
    <w:rsid w:val="008D4E25"/>
    <w:rsid w:val="008D522B"/>
    <w:rsid w:val="008D54D6"/>
    <w:rsid w:val="008D583C"/>
    <w:rsid w:val="008D5933"/>
    <w:rsid w:val="008D5C03"/>
    <w:rsid w:val="008D5DE3"/>
    <w:rsid w:val="008D67DA"/>
    <w:rsid w:val="008D6DE1"/>
    <w:rsid w:val="008D6E0E"/>
    <w:rsid w:val="008D79AF"/>
    <w:rsid w:val="008E0015"/>
    <w:rsid w:val="008E0249"/>
    <w:rsid w:val="008E081F"/>
    <w:rsid w:val="008E0ECB"/>
    <w:rsid w:val="008E1511"/>
    <w:rsid w:val="008E1D14"/>
    <w:rsid w:val="008E20BB"/>
    <w:rsid w:val="008E2320"/>
    <w:rsid w:val="008E2515"/>
    <w:rsid w:val="008E2CAB"/>
    <w:rsid w:val="008E3568"/>
    <w:rsid w:val="008E36A9"/>
    <w:rsid w:val="008E3882"/>
    <w:rsid w:val="008E3B54"/>
    <w:rsid w:val="008E3CB1"/>
    <w:rsid w:val="008E41A2"/>
    <w:rsid w:val="008E4704"/>
    <w:rsid w:val="008E4AE2"/>
    <w:rsid w:val="008E4DEB"/>
    <w:rsid w:val="008E540D"/>
    <w:rsid w:val="008E61DB"/>
    <w:rsid w:val="008E665C"/>
    <w:rsid w:val="008E6A21"/>
    <w:rsid w:val="008E7197"/>
    <w:rsid w:val="008E7807"/>
    <w:rsid w:val="008F0A34"/>
    <w:rsid w:val="008F0FFD"/>
    <w:rsid w:val="008F1685"/>
    <w:rsid w:val="008F1790"/>
    <w:rsid w:val="008F22A7"/>
    <w:rsid w:val="008F2931"/>
    <w:rsid w:val="008F2E67"/>
    <w:rsid w:val="008F31C8"/>
    <w:rsid w:val="008F3969"/>
    <w:rsid w:val="008F40E3"/>
    <w:rsid w:val="008F4CFC"/>
    <w:rsid w:val="008F5366"/>
    <w:rsid w:val="008F543F"/>
    <w:rsid w:val="008F54E7"/>
    <w:rsid w:val="008F65F5"/>
    <w:rsid w:val="008F66EB"/>
    <w:rsid w:val="008F6E67"/>
    <w:rsid w:val="008F746B"/>
    <w:rsid w:val="008F7C70"/>
    <w:rsid w:val="008F7CB1"/>
    <w:rsid w:val="00900B93"/>
    <w:rsid w:val="00902223"/>
    <w:rsid w:val="00902489"/>
    <w:rsid w:val="0090285F"/>
    <w:rsid w:val="00902EF7"/>
    <w:rsid w:val="009033B7"/>
    <w:rsid w:val="009035C7"/>
    <w:rsid w:val="00903863"/>
    <w:rsid w:val="009043E9"/>
    <w:rsid w:val="00904458"/>
    <w:rsid w:val="00904715"/>
    <w:rsid w:val="0090490E"/>
    <w:rsid w:val="00904B37"/>
    <w:rsid w:val="00904F53"/>
    <w:rsid w:val="00905953"/>
    <w:rsid w:val="00905B62"/>
    <w:rsid w:val="0090612F"/>
    <w:rsid w:val="00906A63"/>
    <w:rsid w:val="009073C9"/>
    <w:rsid w:val="00907465"/>
    <w:rsid w:val="00907B43"/>
    <w:rsid w:val="00907DE3"/>
    <w:rsid w:val="00910AFD"/>
    <w:rsid w:val="0091232D"/>
    <w:rsid w:val="00912B8C"/>
    <w:rsid w:val="00912E42"/>
    <w:rsid w:val="00912F67"/>
    <w:rsid w:val="0091306E"/>
    <w:rsid w:val="00913136"/>
    <w:rsid w:val="009138A6"/>
    <w:rsid w:val="009139E7"/>
    <w:rsid w:val="00913A93"/>
    <w:rsid w:val="009147D2"/>
    <w:rsid w:val="009154B1"/>
    <w:rsid w:val="00915609"/>
    <w:rsid w:val="00915857"/>
    <w:rsid w:val="00915961"/>
    <w:rsid w:val="00915F0F"/>
    <w:rsid w:val="00916253"/>
    <w:rsid w:val="0091635C"/>
    <w:rsid w:val="00917270"/>
    <w:rsid w:val="009175F6"/>
    <w:rsid w:val="00920664"/>
    <w:rsid w:val="00920970"/>
    <w:rsid w:val="00920B52"/>
    <w:rsid w:val="00921002"/>
    <w:rsid w:val="00921775"/>
    <w:rsid w:val="00921838"/>
    <w:rsid w:val="00921AAC"/>
    <w:rsid w:val="00922588"/>
    <w:rsid w:val="0092265D"/>
    <w:rsid w:val="00922D2F"/>
    <w:rsid w:val="009230C4"/>
    <w:rsid w:val="00923EDC"/>
    <w:rsid w:val="0092404F"/>
    <w:rsid w:val="00924BBE"/>
    <w:rsid w:val="00925748"/>
    <w:rsid w:val="0092595D"/>
    <w:rsid w:val="0092606F"/>
    <w:rsid w:val="00926DA2"/>
    <w:rsid w:val="00927169"/>
    <w:rsid w:val="00930193"/>
    <w:rsid w:val="00930703"/>
    <w:rsid w:val="00930CE0"/>
    <w:rsid w:val="009310B1"/>
    <w:rsid w:val="00931C4F"/>
    <w:rsid w:val="00931CC2"/>
    <w:rsid w:val="00931F62"/>
    <w:rsid w:val="0093319F"/>
    <w:rsid w:val="0093324B"/>
    <w:rsid w:val="0093340D"/>
    <w:rsid w:val="009335AF"/>
    <w:rsid w:val="00934273"/>
    <w:rsid w:val="0093460C"/>
    <w:rsid w:val="00934709"/>
    <w:rsid w:val="009347BB"/>
    <w:rsid w:val="009348FD"/>
    <w:rsid w:val="0093534A"/>
    <w:rsid w:val="009353AF"/>
    <w:rsid w:val="009354C4"/>
    <w:rsid w:val="0093588C"/>
    <w:rsid w:val="00935C3B"/>
    <w:rsid w:val="0093622E"/>
    <w:rsid w:val="00936687"/>
    <w:rsid w:val="009368CA"/>
    <w:rsid w:val="00936E82"/>
    <w:rsid w:val="00936FBF"/>
    <w:rsid w:val="0093709A"/>
    <w:rsid w:val="0093714B"/>
    <w:rsid w:val="00937890"/>
    <w:rsid w:val="00937D5B"/>
    <w:rsid w:val="00937F24"/>
    <w:rsid w:val="0094037B"/>
    <w:rsid w:val="00940948"/>
    <w:rsid w:val="00940ACC"/>
    <w:rsid w:val="009417D2"/>
    <w:rsid w:val="00941831"/>
    <w:rsid w:val="00941FFD"/>
    <w:rsid w:val="0094213B"/>
    <w:rsid w:val="0094219F"/>
    <w:rsid w:val="009422FA"/>
    <w:rsid w:val="009426C3"/>
    <w:rsid w:val="00942F74"/>
    <w:rsid w:val="00943159"/>
    <w:rsid w:val="0094335C"/>
    <w:rsid w:val="009436D8"/>
    <w:rsid w:val="009436FB"/>
    <w:rsid w:val="00943B3B"/>
    <w:rsid w:val="00943CB2"/>
    <w:rsid w:val="009440BC"/>
    <w:rsid w:val="00944246"/>
    <w:rsid w:val="009443DF"/>
    <w:rsid w:val="009444E0"/>
    <w:rsid w:val="00944AAE"/>
    <w:rsid w:val="00944CB0"/>
    <w:rsid w:val="00945031"/>
    <w:rsid w:val="00945117"/>
    <w:rsid w:val="00945681"/>
    <w:rsid w:val="00945714"/>
    <w:rsid w:val="00945CB3"/>
    <w:rsid w:val="00945F78"/>
    <w:rsid w:val="0094608C"/>
    <w:rsid w:val="00947A26"/>
    <w:rsid w:val="00947FD1"/>
    <w:rsid w:val="00950186"/>
    <w:rsid w:val="00950AD9"/>
    <w:rsid w:val="00950CA4"/>
    <w:rsid w:val="00950D9A"/>
    <w:rsid w:val="00950E31"/>
    <w:rsid w:val="00950EE0"/>
    <w:rsid w:val="00951199"/>
    <w:rsid w:val="009512DB"/>
    <w:rsid w:val="0095165C"/>
    <w:rsid w:val="009516E7"/>
    <w:rsid w:val="0095178F"/>
    <w:rsid w:val="00951824"/>
    <w:rsid w:val="00951A85"/>
    <w:rsid w:val="00952F5C"/>
    <w:rsid w:val="00953279"/>
    <w:rsid w:val="00953C00"/>
    <w:rsid w:val="00953D21"/>
    <w:rsid w:val="009544CC"/>
    <w:rsid w:val="00954A63"/>
    <w:rsid w:val="00954D2C"/>
    <w:rsid w:val="00954D87"/>
    <w:rsid w:val="009555A8"/>
    <w:rsid w:val="00955900"/>
    <w:rsid w:val="00955939"/>
    <w:rsid w:val="00955941"/>
    <w:rsid w:val="0095595E"/>
    <w:rsid w:val="00955E60"/>
    <w:rsid w:val="00956201"/>
    <w:rsid w:val="009568E7"/>
    <w:rsid w:val="00956963"/>
    <w:rsid w:val="00956EC8"/>
    <w:rsid w:val="00957E09"/>
    <w:rsid w:val="009602A5"/>
    <w:rsid w:val="009604DC"/>
    <w:rsid w:val="00960A81"/>
    <w:rsid w:val="00960AB7"/>
    <w:rsid w:val="00960AB8"/>
    <w:rsid w:val="00960C64"/>
    <w:rsid w:val="00960F1B"/>
    <w:rsid w:val="009612D1"/>
    <w:rsid w:val="00961668"/>
    <w:rsid w:val="00961E3A"/>
    <w:rsid w:val="009626D0"/>
    <w:rsid w:val="00962CA3"/>
    <w:rsid w:val="00962DB8"/>
    <w:rsid w:val="00963678"/>
    <w:rsid w:val="00963ECF"/>
    <w:rsid w:val="00964492"/>
    <w:rsid w:val="00964866"/>
    <w:rsid w:val="0096491C"/>
    <w:rsid w:val="00964B9E"/>
    <w:rsid w:val="0096555B"/>
    <w:rsid w:val="00965589"/>
    <w:rsid w:val="00965BC0"/>
    <w:rsid w:val="00965E98"/>
    <w:rsid w:val="00966020"/>
    <w:rsid w:val="00966908"/>
    <w:rsid w:val="00966AD2"/>
    <w:rsid w:val="00966E10"/>
    <w:rsid w:val="00966FA7"/>
    <w:rsid w:val="009675DD"/>
    <w:rsid w:val="00967C02"/>
    <w:rsid w:val="00967DD3"/>
    <w:rsid w:val="0097017F"/>
    <w:rsid w:val="00971272"/>
    <w:rsid w:val="009718DD"/>
    <w:rsid w:val="00971E0C"/>
    <w:rsid w:val="00971E8D"/>
    <w:rsid w:val="0097218D"/>
    <w:rsid w:val="0097292F"/>
    <w:rsid w:val="00972BCB"/>
    <w:rsid w:val="00972D14"/>
    <w:rsid w:val="009736BD"/>
    <w:rsid w:val="00973A58"/>
    <w:rsid w:val="00973EF7"/>
    <w:rsid w:val="009740E9"/>
    <w:rsid w:val="0097419D"/>
    <w:rsid w:val="00974BC6"/>
    <w:rsid w:val="00974C66"/>
    <w:rsid w:val="00974D4D"/>
    <w:rsid w:val="009756CF"/>
    <w:rsid w:val="009757EC"/>
    <w:rsid w:val="0097593E"/>
    <w:rsid w:val="00975A3C"/>
    <w:rsid w:val="00975DC3"/>
    <w:rsid w:val="00976463"/>
    <w:rsid w:val="00976524"/>
    <w:rsid w:val="00976959"/>
    <w:rsid w:val="00976C0C"/>
    <w:rsid w:val="0098022D"/>
    <w:rsid w:val="00980248"/>
    <w:rsid w:val="009811A0"/>
    <w:rsid w:val="00982130"/>
    <w:rsid w:val="00982553"/>
    <w:rsid w:val="00982A42"/>
    <w:rsid w:val="00982CC5"/>
    <w:rsid w:val="00982E0E"/>
    <w:rsid w:val="009835A4"/>
    <w:rsid w:val="009835D9"/>
    <w:rsid w:val="00983DE4"/>
    <w:rsid w:val="0098420F"/>
    <w:rsid w:val="0098479A"/>
    <w:rsid w:val="009854EE"/>
    <w:rsid w:val="00985D72"/>
    <w:rsid w:val="009866B5"/>
    <w:rsid w:val="009867BB"/>
    <w:rsid w:val="0098699C"/>
    <w:rsid w:val="00986C0F"/>
    <w:rsid w:val="0098779F"/>
    <w:rsid w:val="00987B6E"/>
    <w:rsid w:val="00990220"/>
    <w:rsid w:val="00990360"/>
    <w:rsid w:val="0099054B"/>
    <w:rsid w:val="0099058F"/>
    <w:rsid w:val="009908AF"/>
    <w:rsid w:val="00990945"/>
    <w:rsid w:val="00991404"/>
    <w:rsid w:val="0099146D"/>
    <w:rsid w:val="0099157A"/>
    <w:rsid w:val="00991666"/>
    <w:rsid w:val="00991AD9"/>
    <w:rsid w:val="00991E3E"/>
    <w:rsid w:val="009922F8"/>
    <w:rsid w:val="00992F5A"/>
    <w:rsid w:val="00993216"/>
    <w:rsid w:val="00993624"/>
    <w:rsid w:val="00993B58"/>
    <w:rsid w:val="00994269"/>
    <w:rsid w:val="00994690"/>
    <w:rsid w:val="00994B6A"/>
    <w:rsid w:val="00994EA0"/>
    <w:rsid w:val="0099534B"/>
    <w:rsid w:val="00995378"/>
    <w:rsid w:val="00995E3B"/>
    <w:rsid w:val="00995F11"/>
    <w:rsid w:val="00995F96"/>
    <w:rsid w:val="00995FF9"/>
    <w:rsid w:val="009961AD"/>
    <w:rsid w:val="00996403"/>
    <w:rsid w:val="00996539"/>
    <w:rsid w:val="009967A1"/>
    <w:rsid w:val="00997B46"/>
    <w:rsid w:val="00997EFB"/>
    <w:rsid w:val="009A0723"/>
    <w:rsid w:val="009A0FD9"/>
    <w:rsid w:val="009A1061"/>
    <w:rsid w:val="009A10AF"/>
    <w:rsid w:val="009A1315"/>
    <w:rsid w:val="009A1415"/>
    <w:rsid w:val="009A16F8"/>
    <w:rsid w:val="009A1A11"/>
    <w:rsid w:val="009A1AAE"/>
    <w:rsid w:val="009A1F3E"/>
    <w:rsid w:val="009A2222"/>
    <w:rsid w:val="009A2394"/>
    <w:rsid w:val="009A270E"/>
    <w:rsid w:val="009A31CE"/>
    <w:rsid w:val="009A322E"/>
    <w:rsid w:val="009A3AFE"/>
    <w:rsid w:val="009A3DFE"/>
    <w:rsid w:val="009A52EA"/>
    <w:rsid w:val="009A53C9"/>
    <w:rsid w:val="009A54D0"/>
    <w:rsid w:val="009A5D52"/>
    <w:rsid w:val="009A6A03"/>
    <w:rsid w:val="009A6D55"/>
    <w:rsid w:val="009A715B"/>
    <w:rsid w:val="009A7250"/>
    <w:rsid w:val="009A73BD"/>
    <w:rsid w:val="009B0285"/>
    <w:rsid w:val="009B0671"/>
    <w:rsid w:val="009B0723"/>
    <w:rsid w:val="009B0F82"/>
    <w:rsid w:val="009B120A"/>
    <w:rsid w:val="009B12EF"/>
    <w:rsid w:val="009B1751"/>
    <w:rsid w:val="009B1B15"/>
    <w:rsid w:val="009B1B53"/>
    <w:rsid w:val="009B2070"/>
    <w:rsid w:val="009B2DEB"/>
    <w:rsid w:val="009B3603"/>
    <w:rsid w:val="009B360C"/>
    <w:rsid w:val="009B3716"/>
    <w:rsid w:val="009B38DD"/>
    <w:rsid w:val="009B3ECD"/>
    <w:rsid w:val="009B3F9C"/>
    <w:rsid w:val="009B3FB2"/>
    <w:rsid w:val="009B445A"/>
    <w:rsid w:val="009B456E"/>
    <w:rsid w:val="009B4A9C"/>
    <w:rsid w:val="009B4F04"/>
    <w:rsid w:val="009B532A"/>
    <w:rsid w:val="009B541E"/>
    <w:rsid w:val="009B56BF"/>
    <w:rsid w:val="009B6C34"/>
    <w:rsid w:val="009B6FD0"/>
    <w:rsid w:val="009B72ED"/>
    <w:rsid w:val="009C037B"/>
    <w:rsid w:val="009C041D"/>
    <w:rsid w:val="009C1418"/>
    <w:rsid w:val="009C1B99"/>
    <w:rsid w:val="009C1CFA"/>
    <w:rsid w:val="009C20CA"/>
    <w:rsid w:val="009C2B95"/>
    <w:rsid w:val="009C2BDC"/>
    <w:rsid w:val="009C2D12"/>
    <w:rsid w:val="009C2E20"/>
    <w:rsid w:val="009C38F6"/>
    <w:rsid w:val="009C3A85"/>
    <w:rsid w:val="009C45BD"/>
    <w:rsid w:val="009C4C0A"/>
    <w:rsid w:val="009C547E"/>
    <w:rsid w:val="009C5528"/>
    <w:rsid w:val="009C58E2"/>
    <w:rsid w:val="009C5A3B"/>
    <w:rsid w:val="009C5B87"/>
    <w:rsid w:val="009C6309"/>
    <w:rsid w:val="009C64F6"/>
    <w:rsid w:val="009C6C00"/>
    <w:rsid w:val="009C7042"/>
    <w:rsid w:val="009C739C"/>
    <w:rsid w:val="009C73D5"/>
    <w:rsid w:val="009C785F"/>
    <w:rsid w:val="009C7FB6"/>
    <w:rsid w:val="009D0258"/>
    <w:rsid w:val="009D02A5"/>
    <w:rsid w:val="009D0389"/>
    <w:rsid w:val="009D0A53"/>
    <w:rsid w:val="009D0B9F"/>
    <w:rsid w:val="009D12D9"/>
    <w:rsid w:val="009D1432"/>
    <w:rsid w:val="009D162F"/>
    <w:rsid w:val="009D174D"/>
    <w:rsid w:val="009D1CA7"/>
    <w:rsid w:val="009D1F4B"/>
    <w:rsid w:val="009D2511"/>
    <w:rsid w:val="009D2B5B"/>
    <w:rsid w:val="009D30FD"/>
    <w:rsid w:val="009D32C4"/>
    <w:rsid w:val="009D3520"/>
    <w:rsid w:val="009D3617"/>
    <w:rsid w:val="009D3830"/>
    <w:rsid w:val="009D3957"/>
    <w:rsid w:val="009D3A2F"/>
    <w:rsid w:val="009D42BC"/>
    <w:rsid w:val="009D4750"/>
    <w:rsid w:val="009D5F22"/>
    <w:rsid w:val="009D6325"/>
    <w:rsid w:val="009D6524"/>
    <w:rsid w:val="009D6C0C"/>
    <w:rsid w:val="009D7056"/>
    <w:rsid w:val="009D7232"/>
    <w:rsid w:val="009D7387"/>
    <w:rsid w:val="009D7514"/>
    <w:rsid w:val="009D7989"/>
    <w:rsid w:val="009D7DE3"/>
    <w:rsid w:val="009D7F05"/>
    <w:rsid w:val="009E0034"/>
    <w:rsid w:val="009E0703"/>
    <w:rsid w:val="009E099C"/>
    <w:rsid w:val="009E1071"/>
    <w:rsid w:val="009E1CA0"/>
    <w:rsid w:val="009E1DF6"/>
    <w:rsid w:val="009E2103"/>
    <w:rsid w:val="009E2134"/>
    <w:rsid w:val="009E2539"/>
    <w:rsid w:val="009E2B44"/>
    <w:rsid w:val="009E2CD4"/>
    <w:rsid w:val="009E2F5E"/>
    <w:rsid w:val="009E317C"/>
    <w:rsid w:val="009E3481"/>
    <w:rsid w:val="009E3570"/>
    <w:rsid w:val="009E3954"/>
    <w:rsid w:val="009E4011"/>
    <w:rsid w:val="009E4321"/>
    <w:rsid w:val="009E4B4C"/>
    <w:rsid w:val="009E4E31"/>
    <w:rsid w:val="009E4F79"/>
    <w:rsid w:val="009E5A00"/>
    <w:rsid w:val="009E63BB"/>
    <w:rsid w:val="009E6484"/>
    <w:rsid w:val="009E664F"/>
    <w:rsid w:val="009E667B"/>
    <w:rsid w:val="009E6695"/>
    <w:rsid w:val="009E6727"/>
    <w:rsid w:val="009E6F1F"/>
    <w:rsid w:val="009E706F"/>
    <w:rsid w:val="009E7102"/>
    <w:rsid w:val="009E7793"/>
    <w:rsid w:val="009E78AF"/>
    <w:rsid w:val="009E7CAA"/>
    <w:rsid w:val="009F0402"/>
    <w:rsid w:val="009F052A"/>
    <w:rsid w:val="009F0BB2"/>
    <w:rsid w:val="009F136F"/>
    <w:rsid w:val="009F13A0"/>
    <w:rsid w:val="009F1D02"/>
    <w:rsid w:val="009F2843"/>
    <w:rsid w:val="009F28EB"/>
    <w:rsid w:val="009F2DE6"/>
    <w:rsid w:val="009F39D8"/>
    <w:rsid w:val="009F45D0"/>
    <w:rsid w:val="009F4B50"/>
    <w:rsid w:val="009F536C"/>
    <w:rsid w:val="009F5451"/>
    <w:rsid w:val="009F5ADD"/>
    <w:rsid w:val="009F5C1C"/>
    <w:rsid w:val="009F64B4"/>
    <w:rsid w:val="009F6B2A"/>
    <w:rsid w:val="009F796E"/>
    <w:rsid w:val="009F7D73"/>
    <w:rsid w:val="00A00958"/>
    <w:rsid w:val="00A009DF"/>
    <w:rsid w:val="00A00B54"/>
    <w:rsid w:val="00A00E49"/>
    <w:rsid w:val="00A013DC"/>
    <w:rsid w:val="00A01467"/>
    <w:rsid w:val="00A01B6B"/>
    <w:rsid w:val="00A0240A"/>
    <w:rsid w:val="00A0259C"/>
    <w:rsid w:val="00A02DBE"/>
    <w:rsid w:val="00A02EAE"/>
    <w:rsid w:val="00A0308D"/>
    <w:rsid w:val="00A03194"/>
    <w:rsid w:val="00A033E9"/>
    <w:rsid w:val="00A036A2"/>
    <w:rsid w:val="00A03716"/>
    <w:rsid w:val="00A0464C"/>
    <w:rsid w:val="00A0479A"/>
    <w:rsid w:val="00A04D94"/>
    <w:rsid w:val="00A051B8"/>
    <w:rsid w:val="00A051BE"/>
    <w:rsid w:val="00A05C59"/>
    <w:rsid w:val="00A05E36"/>
    <w:rsid w:val="00A05E71"/>
    <w:rsid w:val="00A05EB5"/>
    <w:rsid w:val="00A06327"/>
    <w:rsid w:val="00A0689A"/>
    <w:rsid w:val="00A06E5A"/>
    <w:rsid w:val="00A07854"/>
    <w:rsid w:val="00A07C7E"/>
    <w:rsid w:val="00A07CC2"/>
    <w:rsid w:val="00A105A8"/>
    <w:rsid w:val="00A107CC"/>
    <w:rsid w:val="00A10EDA"/>
    <w:rsid w:val="00A1105E"/>
    <w:rsid w:val="00A11580"/>
    <w:rsid w:val="00A11DF0"/>
    <w:rsid w:val="00A124EA"/>
    <w:rsid w:val="00A12565"/>
    <w:rsid w:val="00A12C32"/>
    <w:rsid w:val="00A13585"/>
    <w:rsid w:val="00A13822"/>
    <w:rsid w:val="00A13957"/>
    <w:rsid w:val="00A13990"/>
    <w:rsid w:val="00A13DEA"/>
    <w:rsid w:val="00A13E03"/>
    <w:rsid w:val="00A14200"/>
    <w:rsid w:val="00A14206"/>
    <w:rsid w:val="00A1446A"/>
    <w:rsid w:val="00A15D9F"/>
    <w:rsid w:val="00A15E9A"/>
    <w:rsid w:val="00A160EE"/>
    <w:rsid w:val="00A16605"/>
    <w:rsid w:val="00A16BD5"/>
    <w:rsid w:val="00A170ED"/>
    <w:rsid w:val="00A177A1"/>
    <w:rsid w:val="00A17803"/>
    <w:rsid w:val="00A17DA7"/>
    <w:rsid w:val="00A2080C"/>
    <w:rsid w:val="00A20C9D"/>
    <w:rsid w:val="00A20E84"/>
    <w:rsid w:val="00A21E80"/>
    <w:rsid w:val="00A2276C"/>
    <w:rsid w:val="00A22C4F"/>
    <w:rsid w:val="00A22D84"/>
    <w:rsid w:val="00A22DCB"/>
    <w:rsid w:val="00A23888"/>
    <w:rsid w:val="00A23FCE"/>
    <w:rsid w:val="00A2413E"/>
    <w:rsid w:val="00A24E3D"/>
    <w:rsid w:val="00A251C5"/>
    <w:rsid w:val="00A25233"/>
    <w:rsid w:val="00A2525C"/>
    <w:rsid w:val="00A25504"/>
    <w:rsid w:val="00A25CD0"/>
    <w:rsid w:val="00A25EA0"/>
    <w:rsid w:val="00A262C9"/>
    <w:rsid w:val="00A264D9"/>
    <w:rsid w:val="00A26D5A"/>
    <w:rsid w:val="00A2711E"/>
    <w:rsid w:val="00A272E8"/>
    <w:rsid w:val="00A27910"/>
    <w:rsid w:val="00A2798C"/>
    <w:rsid w:val="00A27F45"/>
    <w:rsid w:val="00A27FD8"/>
    <w:rsid w:val="00A30230"/>
    <w:rsid w:val="00A30C99"/>
    <w:rsid w:val="00A312C1"/>
    <w:rsid w:val="00A313C7"/>
    <w:rsid w:val="00A316C4"/>
    <w:rsid w:val="00A318F9"/>
    <w:rsid w:val="00A31A23"/>
    <w:rsid w:val="00A31D76"/>
    <w:rsid w:val="00A31EBE"/>
    <w:rsid w:val="00A32898"/>
    <w:rsid w:val="00A32C3D"/>
    <w:rsid w:val="00A32DC6"/>
    <w:rsid w:val="00A335F9"/>
    <w:rsid w:val="00A336EF"/>
    <w:rsid w:val="00A341BF"/>
    <w:rsid w:val="00A3423E"/>
    <w:rsid w:val="00A34844"/>
    <w:rsid w:val="00A349AF"/>
    <w:rsid w:val="00A34F59"/>
    <w:rsid w:val="00A34FAA"/>
    <w:rsid w:val="00A354D5"/>
    <w:rsid w:val="00A359A0"/>
    <w:rsid w:val="00A35D01"/>
    <w:rsid w:val="00A35F33"/>
    <w:rsid w:val="00A36067"/>
    <w:rsid w:val="00A36CBA"/>
    <w:rsid w:val="00A36CBD"/>
    <w:rsid w:val="00A3768A"/>
    <w:rsid w:val="00A376E7"/>
    <w:rsid w:val="00A40240"/>
    <w:rsid w:val="00A4069B"/>
    <w:rsid w:val="00A408D8"/>
    <w:rsid w:val="00A408E4"/>
    <w:rsid w:val="00A40976"/>
    <w:rsid w:val="00A40A18"/>
    <w:rsid w:val="00A40B5B"/>
    <w:rsid w:val="00A40FAD"/>
    <w:rsid w:val="00A412E6"/>
    <w:rsid w:val="00A418D0"/>
    <w:rsid w:val="00A418E8"/>
    <w:rsid w:val="00A4198A"/>
    <w:rsid w:val="00A42695"/>
    <w:rsid w:val="00A43262"/>
    <w:rsid w:val="00A43951"/>
    <w:rsid w:val="00A43E86"/>
    <w:rsid w:val="00A444C6"/>
    <w:rsid w:val="00A44D5D"/>
    <w:rsid w:val="00A4500F"/>
    <w:rsid w:val="00A4693F"/>
    <w:rsid w:val="00A46A7F"/>
    <w:rsid w:val="00A471D0"/>
    <w:rsid w:val="00A471E0"/>
    <w:rsid w:val="00A474CC"/>
    <w:rsid w:val="00A475D5"/>
    <w:rsid w:val="00A47828"/>
    <w:rsid w:val="00A47979"/>
    <w:rsid w:val="00A50352"/>
    <w:rsid w:val="00A51B42"/>
    <w:rsid w:val="00A52213"/>
    <w:rsid w:val="00A52BF7"/>
    <w:rsid w:val="00A52E4E"/>
    <w:rsid w:val="00A53661"/>
    <w:rsid w:val="00A53D2A"/>
    <w:rsid w:val="00A545A3"/>
    <w:rsid w:val="00A54921"/>
    <w:rsid w:val="00A54A69"/>
    <w:rsid w:val="00A54DC2"/>
    <w:rsid w:val="00A55149"/>
    <w:rsid w:val="00A55424"/>
    <w:rsid w:val="00A55A3D"/>
    <w:rsid w:val="00A55FF3"/>
    <w:rsid w:val="00A563FD"/>
    <w:rsid w:val="00A563FF"/>
    <w:rsid w:val="00A57A72"/>
    <w:rsid w:val="00A6001A"/>
    <w:rsid w:val="00A60394"/>
    <w:rsid w:val="00A61042"/>
    <w:rsid w:val="00A6137A"/>
    <w:rsid w:val="00A613B2"/>
    <w:rsid w:val="00A619AC"/>
    <w:rsid w:val="00A61AD2"/>
    <w:rsid w:val="00A624D1"/>
    <w:rsid w:val="00A62563"/>
    <w:rsid w:val="00A62AF9"/>
    <w:rsid w:val="00A63CA7"/>
    <w:rsid w:val="00A643FA"/>
    <w:rsid w:val="00A64AB4"/>
    <w:rsid w:val="00A65286"/>
    <w:rsid w:val="00A65510"/>
    <w:rsid w:val="00A66372"/>
    <w:rsid w:val="00A6655D"/>
    <w:rsid w:val="00A665F9"/>
    <w:rsid w:val="00A66871"/>
    <w:rsid w:val="00A6708A"/>
    <w:rsid w:val="00A6711C"/>
    <w:rsid w:val="00A67525"/>
    <w:rsid w:val="00A67A30"/>
    <w:rsid w:val="00A67B4E"/>
    <w:rsid w:val="00A67BCD"/>
    <w:rsid w:val="00A67C65"/>
    <w:rsid w:val="00A70043"/>
    <w:rsid w:val="00A7020B"/>
    <w:rsid w:val="00A70558"/>
    <w:rsid w:val="00A7080D"/>
    <w:rsid w:val="00A70865"/>
    <w:rsid w:val="00A7177E"/>
    <w:rsid w:val="00A727A9"/>
    <w:rsid w:val="00A73716"/>
    <w:rsid w:val="00A739BB"/>
    <w:rsid w:val="00A73D31"/>
    <w:rsid w:val="00A742FF"/>
    <w:rsid w:val="00A74FAD"/>
    <w:rsid w:val="00A752EF"/>
    <w:rsid w:val="00A755A3"/>
    <w:rsid w:val="00A759B6"/>
    <w:rsid w:val="00A768CA"/>
    <w:rsid w:val="00A769DD"/>
    <w:rsid w:val="00A76C55"/>
    <w:rsid w:val="00A770B1"/>
    <w:rsid w:val="00A7723C"/>
    <w:rsid w:val="00A77C78"/>
    <w:rsid w:val="00A80DCF"/>
    <w:rsid w:val="00A81F3F"/>
    <w:rsid w:val="00A82427"/>
    <w:rsid w:val="00A82785"/>
    <w:rsid w:val="00A82882"/>
    <w:rsid w:val="00A83197"/>
    <w:rsid w:val="00A83C46"/>
    <w:rsid w:val="00A840B2"/>
    <w:rsid w:val="00A84283"/>
    <w:rsid w:val="00A847BF"/>
    <w:rsid w:val="00A848A8"/>
    <w:rsid w:val="00A84AF6"/>
    <w:rsid w:val="00A84B93"/>
    <w:rsid w:val="00A84D19"/>
    <w:rsid w:val="00A8517D"/>
    <w:rsid w:val="00A8532E"/>
    <w:rsid w:val="00A85418"/>
    <w:rsid w:val="00A85486"/>
    <w:rsid w:val="00A86071"/>
    <w:rsid w:val="00A862CD"/>
    <w:rsid w:val="00A86314"/>
    <w:rsid w:val="00A8661F"/>
    <w:rsid w:val="00A86A65"/>
    <w:rsid w:val="00A86BA7"/>
    <w:rsid w:val="00A872F1"/>
    <w:rsid w:val="00A87788"/>
    <w:rsid w:val="00A8793D"/>
    <w:rsid w:val="00A87FD3"/>
    <w:rsid w:val="00A904DB"/>
    <w:rsid w:val="00A90E97"/>
    <w:rsid w:val="00A91871"/>
    <w:rsid w:val="00A92A87"/>
    <w:rsid w:val="00A92EA7"/>
    <w:rsid w:val="00A94BAD"/>
    <w:rsid w:val="00A95A73"/>
    <w:rsid w:val="00A9621E"/>
    <w:rsid w:val="00A97681"/>
    <w:rsid w:val="00A9773E"/>
    <w:rsid w:val="00A9783E"/>
    <w:rsid w:val="00AA09EE"/>
    <w:rsid w:val="00AA0B4B"/>
    <w:rsid w:val="00AA0E8E"/>
    <w:rsid w:val="00AA1AB1"/>
    <w:rsid w:val="00AA1B38"/>
    <w:rsid w:val="00AA236E"/>
    <w:rsid w:val="00AA2476"/>
    <w:rsid w:val="00AA2586"/>
    <w:rsid w:val="00AA276F"/>
    <w:rsid w:val="00AA2DC8"/>
    <w:rsid w:val="00AA2F75"/>
    <w:rsid w:val="00AA2F9B"/>
    <w:rsid w:val="00AA383C"/>
    <w:rsid w:val="00AA38BA"/>
    <w:rsid w:val="00AA3A48"/>
    <w:rsid w:val="00AA3E37"/>
    <w:rsid w:val="00AA462A"/>
    <w:rsid w:val="00AA4772"/>
    <w:rsid w:val="00AA47EB"/>
    <w:rsid w:val="00AA4A32"/>
    <w:rsid w:val="00AA4D8C"/>
    <w:rsid w:val="00AA542E"/>
    <w:rsid w:val="00AA5984"/>
    <w:rsid w:val="00AA6081"/>
    <w:rsid w:val="00AA60E5"/>
    <w:rsid w:val="00AA6A47"/>
    <w:rsid w:val="00AA7118"/>
    <w:rsid w:val="00AA734B"/>
    <w:rsid w:val="00AA7573"/>
    <w:rsid w:val="00AA7574"/>
    <w:rsid w:val="00AA7863"/>
    <w:rsid w:val="00AA7AA2"/>
    <w:rsid w:val="00AA7B11"/>
    <w:rsid w:val="00AA7D23"/>
    <w:rsid w:val="00AA7D55"/>
    <w:rsid w:val="00AB053C"/>
    <w:rsid w:val="00AB0E5A"/>
    <w:rsid w:val="00AB18EA"/>
    <w:rsid w:val="00AB1BA7"/>
    <w:rsid w:val="00AB2E95"/>
    <w:rsid w:val="00AB2F15"/>
    <w:rsid w:val="00AB33AC"/>
    <w:rsid w:val="00AB3D2D"/>
    <w:rsid w:val="00AB437E"/>
    <w:rsid w:val="00AB4729"/>
    <w:rsid w:val="00AB47EF"/>
    <w:rsid w:val="00AB4966"/>
    <w:rsid w:val="00AB49DF"/>
    <w:rsid w:val="00AB4EDA"/>
    <w:rsid w:val="00AB604B"/>
    <w:rsid w:val="00AB6275"/>
    <w:rsid w:val="00AB6678"/>
    <w:rsid w:val="00AB6D2B"/>
    <w:rsid w:val="00AB6DB9"/>
    <w:rsid w:val="00AB6F29"/>
    <w:rsid w:val="00AB70F0"/>
    <w:rsid w:val="00AB71D6"/>
    <w:rsid w:val="00AB7515"/>
    <w:rsid w:val="00AB76D0"/>
    <w:rsid w:val="00AB7A2B"/>
    <w:rsid w:val="00AB7AC7"/>
    <w:rsid w:val="00AC0923"/>
    <w:rsid w:val="00AC0AF3"/>
    <w:rsid w:val="00AC0BC7"/>
    <w:rsid w:val="00AC0C5A"/>
    <w:rsid w:val="00AC0EAC"/>
    <w:rsid w:val="00AC1106"/>
    <w:rsid w:val="00AC16C2"/>
    <w:rsid w:val="00AC19CC"/>
    <w:rsid w:val="00AC1D5F"/>
    <w:rsid w:val="00AC1F93"/>
    <w:rsid w:val="00AC20A7"/>
    <w:rsid w:val="00AC222F"/>
    <w:rsid w:val="00AC22C3"/>
    <w:rsid w:val="00AC3555"/>
    <w:rsid w:val="00AC389F"/>
    <w:rsid w:val="00AC3B74"/>
    <w:rsid w:val="00AC42A0"/>
    <w:rsid w:val="00AC438F"/>
    <w:rsid w:val="00AC46EB"/>
    <w:rsid w:val="00AC4855"/>
    <w:rsid w:val="00AC4E2F"/>
    <w:rsid w:val="00AC4EB0"/>
    <w:rsid w:val="00AC50F9"/>
    <w:rsid w:val="00AC54F9"/>
    <w:rsid w:val="00AC5862"/>
    <w:rsid w:val="00AC5FF7"/>
    <w:rsid w:val="00AC68E5"/>
    <w:rsid w:val="00AC6B8C"/>
    <w:rsid w:val="00AC72EA"/>
    <w:rsid w:val="00AC73DF"/>
    <w:rsid w:val="00AC749A"/>
    <w:rsid w:val="00AD02D8"/>
    <w:rsid w:val="00AD1347"/>
    <w:rsid w:val="00AD15E9"/>
    <w:rsid w:val="00AD1621"/>
    <w:rsid w:val="00AD174C"/>
    <w:rsid w:val="00AD1BD0"/>
    <w:rsid w:val="00AD1DE7"/>
    <w:rsid w:val="00AD217E"/>
    <w:rsid w:val="00AD2965"/>
    <w:rsid w:val="00AD2A72"/>
    <w:rsid w:val="00AD2E7F"/>
    <w:rsid w:val="00AD3934"/>
    <w:rsid w:val="00AD4195"/>
    <w:rsid w:val="00AD4493"/>
    <w:rsid w:val="00AD4A27"/>
    <w:rsid w:val="00AD4A81"/>
    <w:rsid w:val="00AD4B34"/>
    <w:rsid w:val="00AD4D53"/>
    <w:rsid w:val="00AD4EFE"/>
    <w:rsid w:val="00AD519D"/>
    <w:rsid w:val="00AD5287"/>
    <w:rsid w:val="00AD544C"/>
    <w:rsid w:val="00AD5542"/>
    <w:rsid w:val="00AD563C"/>
    <w:rsid w:val="00AD5651"/>
    <w:rsid w:val="00AD6231"/>
    <w:rsid w:val="00AD62DD"/>
    <w:rsid w:val="00AD6A0E"/>
    <w:rsid w:val="00AD6CA1"/>
    <w:rsid w:val="00AD6ED3"/>
    <w:rsid w:val="00AD71AE"/>
    <w:rsid w:val="00AD7289"/>
    <w:rsid w:val="00AD74A8"/>
    <w:rsid w:val="00AD7A07"/>
    <w:rsid w:val="00AD7C8F"/>
    <w:rsid w:val="00AE00A2"/>
    <w:rsid w:val="00AE071E"/>
    <w:rsid w:val="00AE077C"/>
    <w:rsid w:val="00AE101B"/>
    <w:rsid w:val="00AE1A61"/>
    <w:rsid w:val="00AE20DC"/>
    <w:rsid w:val="00AE26AA"/>
    <w:rsid w:val="00AE28D5"/>
    <w:rsid w:val="00AE30B9"/>
    <w:rsid w:val="00AE3117"/>
    <w:rsid w:val="00AE329C"/>
    <w:rsid w:val="00AE33BD"/>
    <w:rsid w:val="00AE3520"/>
    <w:rsid w:val="00AE3555"/>
    <w:rsid w:val="00AE3653"/>
    <w:rsid w:val="00AE382F"/>
    <w:rsid w:val="00AE40DB"/>
    <w:rsid w:val="00AE433F"/>
    <w:rsid w:val="00AE4592"/>
    <w:rsid w:val="00AE4C15"/>
    <w:rsid w:val="00AE4DC1"/>
    <w:rsid w:val="00AE5109"/>
    <w:rsid w:val="00AE56FD"/>
    <w:rsid w:val="00AE5981"/>
    <w:rsid w:val="00AE5994"/>
    <w:rsid w:val="00AE5B45"/>
    <w:rsid w:val="00AE6A13"/>
    <w:rsid w:val="00AE7978"/>
    <w:rsid w:val="00AE7C27"/>
    <w:rsid w:val="00AE7FD3"/>
    <w:rsid w:val="00AF01F6"/>
    <w:rsid w:val="00AF07F7"/>
    <w:rsid w:val="00AF1133"/>
    <w:rsid w:val="00AF15E8"/>
    <w:rsid w:val="00AF1859"/>
    <w:rsid w:val="00AF1ADA"/>
    <w:rsid w:val="00AF25AB"/>
    <w:rsid w:val="00AF2D58"/>
    <w:rsid w:val="00AF30F0"/>
    <w:rsid w:val="00AF36C1"/>
    <w:rsid w:val="00AF3958"/>
    <w:rsid w:val="00AF3DFC"/>
    <w:rsid w:val="00AF3FD3"/>
    <w:rsid w:val="00AF462E"/>
    <w:rsid w:val="00AF4E07"/>
    <w:rsid w:val="00AF541E"/>
    <w:rsid w:val="00AF5499"/>
    <w:rsid w:val="00AF5B14"/>
    <w:rsid w:val="00AF5B17"/>
    <w:rsid w:val="00AF61E4"/>
    <w:rsid w:val="00AF636D"/>
    <w:rsid w:val="00AF69FB"/>
    <w:rsid w:val="00AF6E39"/>
    <w:rsid w:val="00AF7128"/>
    <w:rsid w:val="00AF7D59"/>
    <w:rsid w:val="00B0073F"/>
    <w:rsid w:val="00B00A0D"/>
    <w:rsid w:val="00B01C5C"/>
    <w:rsid w:val="00B02425"/>
    <w:rsid w:val="00B03024"/>
    <w:rsid w:val="00B0316A"/>
    <w:rsid w:val="00B0372D"/>
    <w:rsid w:val="00B0387A"/>
    <w:rsid w:val="00B03E72"/>
    <w:rsid w:val="00B04008"/>
    <w:rsid w:val="00B044A8"/>
    <w:rsid w:val="00B04A0F"/>
    <w:rsid w:val="00B04DA8"/>
    <w:rsid w:val="00B05274"/>
    <w:rsid w:val="00B052EA"/>
    <w:rsid w:val="00B0533D"/>
    <w:rsid w:val="00B069E8"/>
    <w:rsid w:val="00B06E85"/>
    <w:rsid w:val="00B0702C"/>
    <w:rsid w:val="00B072E0"/>
    <w:rsid w:val="00B07908"/>
    <w:rsid w:val="00B10012"/>
    <w:rsid w:val="00B100CE"/>
    <w:rsid w:val="00B1037B"/>
    <w:rsid w:val="00B108BC"/>
    <w:rsid w:val="00B10E45"/>
    <w:rsid w:val="00B10FAE"/>
    <w:rsid w:val="00B1140D"/>
    <w:rsid w:val="00B115D3"/>
    <w:rsid w:val="00B11DC6"/>
    <w:rsid w:val="00B12018"/>
    <w:rsid w:val="00B1273F"/>
    <w:rsid w:val="00B12740"/>
    <w:rsid w:val="00B127AE"/>
    <w:rsid w:val="00B13015"/>
    <w:rsid w:val="00B135B1"/>
    <w:rsid w:val="00B137E3"/>
    <w:rsid w:val="00B139B2"/>
    <w:rsid w:val="00B13DA1"/>
    <w:rsid w:val="00B13FC1"/>
    <w:rsid w:val="00B1403F"/>
    <w:rsid w:val="00B1413D"/>
    <w:rsid w:val="00B149E4"/>
    <w:rsid w:val="00B14EEF"/>
    <w:rsid w:val="00B15641"/>
    <w:rsid w:val="00B1567F"/>
    <w:rsid w:val="00B1623A"/>
    <w:rsid w:val="00B16824"/>
    <w:rsid w:val="00B17020"/>
    <w:rsid w:val="00B17588"/>
    <w:rsid w:val="00B176EE"/>
    <w:rsid w:val="00B177CE"/>
    <w:rsid w:val="00B17A04"/>
    <w:rsid w:val="00B202FD"/>
    <w:rsid w:val="00B2052D"/>
    <w:rsid w:val="00B20696"/>
    <w:rsid w:val="00B206DD"/>
    <w:rsid w:val="00B20D27"/>
    <w:rsid w:val="00B20D73"/>
    <w:rsid w:val="00B21279"/>
    <w:rsid w:val="00B2132C"/>
    <w:rsid w:val="00B213AE"/>
    <w:rsid w:val="00B22026"/>
    <w:rsid w:val="00B22076"/>
    <w:rsid w:val="00B220F3"/>
    <w:rsid w:val="00B22361"/>
    <w:rsid w:val="00B229A5"/>
    <w:rsid w:val="00B23574"/>
    <w:rsid w:val="00B238F0"/>
    <w:rsid w:val="00B23B99"/>
    <w:rsid w:val="00B23D5E"/>
    <w:rsid w:val="00B24311"/>
    <w:rsid w:val="00B247C5"/>
    <w:rsid w:val="00B24986"/>
    <w:rsid w:val="00B2542F"/>
    <w:rsid w:val="00B26025"/>
    <w:rsid w:val="00B2645E"/>
    <w:rsid w:val="00B264B1"/>
    <w:rsid w:val="00B26A9C"/>
    <w:rsid w:val="00B26E96"/>
    <w:rsid w:val="00B27187"/>
    <w:rsid w:val="00B27634"/>
    <w:rsid w:val="00B276FC"/>
    <w:rsid w:val="00B27711"/>
    <w:rsid w:val="00B27945"/>
    <w:rsid w:val="00B27BB7"/>
    <w:rsid w:val="00B27E04"/>
    <w:rsid w:val="00B3089F"/>
    <w:rsid w:val="00B30D95"/>
    <w:rsid w:val="00B3164D"/>
    <w:rsid w:val="00B316BE"/>
    <w:rsid w:val="00B321DD"/>
    <w:rsid w:val="00B3278E"/>
    <w:rsid w:val="00B3348D"/>
    <w:rsid w:val="00B337DC"/>
    <w:rsid w:val="00B338AA"/>
    <w:rsid w:val="00B33A8D"/>
    <w:rsid w:val="00B33C0F"/>
    <w:rsid w:val="00B33DEE"/>
    <w:rsid w:val="00B33E82"/>
    <w:rsid w:val="00B3407F"/>
    <w:rsid w:val="00B3486C"/>
    <w:rsid w:val="00B349CC"/>
    <w:rsid w:val="00B34C22"/>
    <w:rsid w:val="00B3560E"/>
    <w:rsid w:val="00B3596A"/>
    <w:rsid w:val="00B35CC3"/>
    <w:rsid w:val="00B36038"/>
    <w:rsid w:val="00B362F1"/>
    <w:rsid w:val="00B36465"/>
    <w:rsid w:val="00B37B3B"/>
    <w:rsid w:val="00B37C99"/>
    <w:rsid w:val="00B40028"/>
    <w:rsid w:val="00B40B9E"/>
    <w:rsid w:val="00B4121F"/>
    <w:rsid w:val="00B417EB"/>
    <w:rsid w:val="00B41BA7"/>
    <w:rsid w:val="00B42B01"/>
    <w:rsid w:val="00B42E91"/>
    <w:rsid w:val="00B43218"/>
    <w:rsid w:val="00B43410"/>
    <w:rsid w:val="00B43648"/>
    <w:rsid w:val="00B4389F"/>
    <w:rsid w:val="00B43998"/>
    <w:rsid w:val="00B44A0B"/>
    <w:rsid w:val="00B44B39"/>
    <w:rsid w:val="00B44B98"/>
    <w:rsid w:val="00B458B3"/>
    <w:rsid w:val="00B4597B"/>
    <w:rsid w:val="00B45A2F"/>
    <w:rsid w:val="00B45DD3"/>
    <w:rsid w:val="00B46104"/>
    <w:rsid w:val="00B46941"/>
    <w:rsid w:val="00B46B80"/>
    <w:rsid w:val="00B46FED"/>
    <w:rsid w:val="00B470D4"/>
    <w:rsid w:val="00B4726F"/>
    <w:rsid w:val="00B4759D"/>
    <w:rsid w:val="00B478E9"/>
    <w:rsid w:val="00B47AC4"/>
    <w:rsid w:val="00B505A7"/>
    <w:rsid w:val="00B51482"/>
    <w:rsid w:val="00B5176E"/>
    <w:rsid w:val="00B518CF"/>
    <w:rsid w:val="00B51B53"/>
    <w:rsid w:val="00B51F24"/>
    <w:rsid w:val="00B523C6"/>
    <w:rsid w:val="00B524CC"/>
    <w:rsid w:val="00B525D1"/>
    <w:rsid w:val="00B52D98"/>
    <w:rsid w:val="00B53390"/>
    <w:rsid w:val="00B53438"/>
    <w:rsid w:val="00B536D1"/>
    <w:rsid w:val="00B53792"/>
    <w:rsid w:val="00B54013"/>
    <w:rsid w:val="00B542D5"/>
    <w:rsid w:val="00B55190"/>
    <w:rsid w:val="00B565F9"/>
    <w:rsid w:val="00B56687"/>
    <w:rsid w:val="00B56963"/>
    <w:rsid w:val="00B56A86"/>
    <w:rsid w:val="00B56FBA"/>
    <w:rsid w:val="00B57372"/>
    <w:rsid w:val="00B57905"/>
    <w:rsid w:val="00B57AC5"/>
    <w:rsid w:val="00B6050F"/>
    <w:rsid w:val="00B6054A"/>
    <w:rsid w:val="00B60BF7"/>
    <w:rsid w:val="00B61222"/>
    <w:rsid w:val="00B61C73"/>
    <w:rsid w:val="00B61CAA"/>
    <w:rsid w:val="00B62597"/>
    <w:rsid w:val="00B633E1"/>
    <w:rsid w:val="00B63742"/>
    <w:rsid w:val="00B645E4"/>
    <w:rsid w:val="00B648BE"/>
    <w:rsid w:val="00B64960"/>
    <w:rsid w:val="00B651B4"/>
    <w:rsid w:val="00B652AA"/>
    <w:rsid w:val="00B6534C"/>
    <w:rsid w:val="00B6536B"/>
    <w:rsid w:val="00B65833"/>
    <w:rsid w:val="00B65888"/>
    <w:rsid w:val="00B6607F"/>
    <w:rsid w:val="00B66506"/>
    <w:rsid w:val="00B66611"/>
    <w:rsid w:val="00B66A09"/>
    <w:rsid w:val="00B66C75"/>
    <w:rsid w:val="00B670F5"/>
    <w:rsid w:val="00B67967"/>
    <w:rsid w:val="00B72942"/>
    <w:rsid w:val="00B7298E"/>
    <w:rsid w:val="00B72CD8"/>
    <w:rsid w:val="00B72EF4"/>
    <w:rsid w:val="00B732F6"/>
    <w:rsid w:val="00B734B0"/>
    <w:rsid w:val="00B73614"/>
    <w:rsid w:val="00B7462D"/>
    <w:rsid w:val="00B752F3"/>
    <w:rsid w:val="00B758A9"/>
    <w:rsid w:val="00B75C84"/>
    <w:rsid w:val="00B75E11"/>
    <w:rsid w:val="00B764B7"/>
    <w:rsid w:val="00B76685"/>
    <w:rsid w:val="00B769D1"/>
    <w:rsid w:val="00B76D1A"/>
    <w:rsid w:val="00B76E91"/>
    <w:rsid w:val="00B7794F"/>
    <w:rsid w:val="00B804FE"/>
    <w:rsid w:val="00B8100F"/>
    <w:rsid w:val="00B8101A"/>
    <w:rsid w:val="00B81154"/>
    <w:rsid w:val="00B8227A"/>
    <w:rsid w:val="00B825AC"/>
    <w:rsid w:val="00B82637"/>
    <w:rsid w:val="00B827D4"/>
    <w:rsid w:val="00B82991"/>
    <w:rsid w:val="00B82D50"/>
    <w:rsid w:val="00B82E6F"/>
    <w:rsid w:val="00B83296"/>
    <w:rsid w:val="00B83497"/>
    <w:rsid w:val="00B8375A"/>
    <w:rsid w:val="00B84387"/>
    <w:rsid w:val="00B84CDF"/>
    <w:rsid w:val="00B84D16"/>
    <w:rsid w:val="00B84F9B"/>
    <w:rsid w:val="00B85556"/>
    <w:rsid w:val="00B85819"/>
    <w:rsid w:val="00B85AFD"/>
    <w:rsid w:val="00B85B1D"/>
    <w:rsid w:val="00B85DC6"/>
    <w:rsid w:val="00B8613C"/>
    <w:rsid w:val="00B8695B"/>
    <w:rsid w:val="00B86A72"/>
    <w:rsid w:val="00B86ADA"/>
    <w:rsid w:val="00B86AE2"/>
    <w:rsid w:val="00B86D4D"/>
    <w:rsid w:val="00B875E9"/>
    <w:rsid w:val="00B87610"/>
    <w:rsid w:val="00B877D6"/>
    <w:rsid w:val="00B87AE2"/>
    <w:rsid w:val="00B87B66"/>
    <w:rsid w:val="00B87D0E"/>
    <w:rsid w:val="00B87E68"/>
    <w:rsid w:val="00B902B8"/>
    <w:rsid w:val="00B9062A"/>
    <w:rsid w:val="00B910D4"/>
    <w:rsid w:val="00B92213"/>
    <w:rsid w:val="00B923D4"/>
    <w:rsid w:val="00B9274B"/>
    <w:rsid w:val="00B93381"/>
    <w:rsid w:val="00B933BA"/>
    <w:rsid w:val="00B9372F"/>
    <w:rsid w:val="00B93769"/>
    <w:rsid w:val="00B93F40"/>
    <w:rsid w:val="00B9449F"/>
    <w:rsid w:val="00B94AFE"/>
    <w:rsid w:val="00B955A8"/>
    <w:rsid w:val="00B9593F"/>
    <w:rsid w:val="00B9604B"/>
    <w:rsid w:val="00B961ED"/>
    <w:rsid w:val="00B9642E"/>
    <w:rsid w:val="00B96C1C"/>
    <w:rsid w:val="00B97034"/>
    <w:rsid w:val="00B9704F"/>
    <w:rsid w:val="00B97128"/>
    <w:rsid w:val="00B97419"/>
    <w:rsid w:val="00BA0063"/>
    <w:rsid w:val="00BA01EB"/>
    <w:rsid w:val="00BA0F9D"/>
    <w:rsid w:val="00BA1CF3"/>
    <w:rsid w:val="00BA1D92"/>
    <w:rsid w:val="00BA291E"/>
    <w:rsid w:val="00BA2D8D"/>
    <w:rsid w:val="00BA2EB7"/>
    <w:rsid w:val="00BA3393"/>
    <w:rsid w:val="00BA390D"/>
    <w:rsid w:val="00BA3AD6"/>
    <w:rsid w:val="00BA413E"/>
    <w:rsid w:val="00BA4570"/>
    <w:rsid w:val="00BA4F98"/>
    <w:rsid w:val="00BA6143"/>
    <w:rsid w:val="00BA6213"/>
    <w:rsid w:val="00BA6771"/>
    <w:rsid w:val="00BA67D7"/>
    <w:rsid w:val="00BA69DB"/>
    <w:rsid w:val="00BA69F7"/>
    <w:rsid w:val="00BA6F97"/>
    <w:rsid w:val="00BB04DF"/>
    <w:rsid w:val="00BB0B34"/>
    <w:rsid w:val="00BB15A4"/>
    <w:rsid w:val="00BB1763"/>
    <w:rsid w:val="00BB1D9F"/>
    <w:rsid w:val="00BB23F7"/>
    <w:rsid w:val="00BB2690"/>
    <w:rsid w:val="00BB2872"/>
    <w:rsid w:val="00BB2875"/>
    <w:rsid w:val="00BB3C02"/>
    <w:rsid w:val="00BB4106"/>
    <w:rsid w:val="00BB4423"/>
    <w:rsid w:val="00BB45F9"/>
    <w:rsid w:val="00BB4667"/>
    <w:rsid w:val="00BB5646"/>
    <w:rsid w:val="00BB5AA2"/>
    <w:rsid w:val="00BB5EC2"/>
    <w:rsid w:val="00BB6629"/>
    <w:rsid w:val="00BB6CDC"/>
    <w:rsid w:val="00BB6FCD"/>
    <w:rsid w:val="00BB7365"/>
    <w:rsid w:val="00BB73CF"/>
    <w:rsid w:val="00BB7B4F"/>
    <w:rsid w:val="00BC001F"/>
    <w:rsid w:val="00BC0675"/>
    <w:rsid w:val="00BC081A"/>
    <w:rsid w:val="00BC08D7"/>
    <w:rsid w:val="00BC09E6"/>
    <w:rsid w:val="00BC1A7C"/>
    <w:rsid w:val="00BC1F7D"/>
    <w:rsid w:val="00BC22DE"/>
    <w:rsid w:val="00BC3934"/>
    <w:rsid w:val="00BC3FCF"/>
    <w:rsid w:val="00BC4117"/>
    <w:rsid w:val="00BC4CD4"/>
    <w:rsid w:val="00BC53D2"/>
    <w:rsid w:val="00BC5849"/>
    <w:rsid w:val="00BC5AE3"/>
    <w:rsid w:val="00BC6562"/>
    <w:rsid w:val="00BC6A32"/>
    <w:rsid w:val="00BC715A"/>
    <w:rsid w:val="00BC7DD7"/>
    <w:rsid w:val="00BD031D"/>
    <w:rsid w:val="00BD06A2"/>
    <w:rsid w:val="00BD0D6D"/>
    <w:rsid w:val="00BD11FD"/>
    <w:rsid w:val="00BD14B3"/>
    <w:rsid w:val="00BD1BEB"/>
    <w:rsid w:val="00BD1DF0"/>
    <w:rsid w:val="00BD1F13"/>
    <w:rsid w:val="00BD1FC9"/>
    <w:rsid w:val="00BD269B"/>
    <w:rsid w:val="00BD29BC"/>
    <w:rsid w:val="00BD3CA0"/>
    <w:rsid w:val="00BD3F21"/>
    <w:rsid w:val="00BD4621"/>
    <w:rsid w:val="00BD5643"/>
    <w:rsid w:val="00BD568B"/>
    <w:rsid w:val="00BD57A2"/>
    <w:rsid w:val="00BD5D6D"/>
    <w:rsid w:val="00BD5D80"/>
    <w:rsid w:val="00BD5E91"/>
    <w:rsid w:val="00BD6384"/>
    <w:rsid w:val="00BD63B5"/>
    <w:rsid w:val="00BD6837"/>
    <w:rsid w:val="00BD7AA5"/>
    <w:rsid w:val="00BD7D76"/>
    <w:rsid w:val="00BD7DBA"/>
    <w:rsid w:val="00BD7E29"/>
    <w:rsid w:val="00BD7F51"/>
    <w:rsid w:val="00BE02FD"/>
    <w:rsid w:val="00BE15B9"/>
    <w:rsid w:val="00BE1773"/>
    <w:rsid w:val="00BE1AD7"/>
    <w:rsid w:val="00BE1D08"/>
    <w:rsid w:val="00BE20FC"/>
    <w:rsid w:val="00BE21D5"/>
    <w:rsid w:val="00BE2369"/>
    <w:rsid w:val="00BE23A8"/>
    <w:rsid w:val="00BE271C"/>
    <w:rsid w:val="00BE29A0"/>
    <w:rsid w:val="00BE2B41"/>
    <w:rsid w:val="00BE2BBB"/>
    <w:rsid w:val="00BE4253"/>
    <w:rsid w:val="00BE457E"/>
    <w:rsid w:val="00BE4D18"/>
    <w:rsid w:val="00BE5144"/>
    <w:rsid w:val="00BE52D5"/>
    <w:rsid w:val="00BE542D"/>
    <w:rsid w:val="00BE55D1"/>
    <w:rsid w:val="00BE59A0"/>
    <w:rsid w:val="00BE5B73"/>
    <w:rsid w:val="00BE6988"/>
    <w:rsid w:val="00BE6DE5"/>
    <w:rsid w:val="00BE7A0A"/>
    <w:rsid w:val="00BE7DDD"/>
    <w:rsid w:val="00BF00DC"/>
    <w:rsid w:val="00BF0DBD"/>
    <w:rsid w:val="00BF0E19"/>
    <w:rsid w:val="00BF179E"/>
    <w:rsid w:val="00BF1DED"/>
    <w:rsid w:val="00BF1EF9"/>
    <w:rsid w:val="00BF2CBF"/>
    <w:rsid w:val="00BF350B"/>
    <w:rsid w:val="00BF3B4B"/>
    <w:rsid w:val="00BF3DEB"/>
    <w:rsid w:val="00BF454A"/>
    <w:rsid w:val="00BF5947"/>
    <w:rsid w:val="00BF61B2"/>
    <w:rsid w:val="00BF6652"/>
    <w:rsid w:val="00BF66C5"/>
    <w:rsid w:val="00BF6884"/>
    <w:rsid w:val="00BF7689"/>
    <w:rsid w:val="00BF7FEC"/>
    <w:rsid w:val="00C00030"/>
    <w:rsid w:val="00C00156"/>
    <w:rsid w:val="00C00B1C"/>
    <w:rsid w:val="00C015AB"/>
    <w:rsid w:val="00C02201"/>
    <w:rsid w:val="00C023C7"/>
    <w:rsid w:val="00C02913"/>
    <w:rsid w:val="00C02AEA"/>
    <w:rsid w:val="00C02EA5"/>
    <w:rsid w:val="00C02F5A"/>
    <w:rsid w:val="00C03024"/>
    <w:rsid w:val="00C03060"/>
    <w:rsid w:val="00C031BB"/>
    <w:rsid w:val="00C03242"/>
    <w:rsid w:val="00C042E5"/>
    <w:rsid w:val="00C0437D"/>
    <w:rsid w:val="00C04612"/>
    <w:rsid w:val="00C04875"/>
    <w:rsid w:val="00C05477"/>
    <w:rsid w:val="00C05BE4"/>
    <w:rsid w:val="00C05C53"/>
    <w:rsid w:val="00C05E81"/>
    <w:rsid w:val="00C06EA2"/>
    <w:rsid w:val="00C06F05"/>
    <w:rsid w:val="00C073C3"/>
    <w:rsid w:val="00C07622"/>
    <w:rsid w:val="00C11639"/>
    <w:rsid w:val="00C11B09"/>
    <w:rsid w:val="00C11D54"/>
    <w:rsid w:val="00C12064"/>
    <w:rsid w:val="00C12BBA"/>
    <w:rsid w:val="00C130D8"/>
    <w:rsid w:val="00C1341B"/>
    <w:rsid w:val="00C13945"/>
    <w:rsid w:val="00C15267"/>
    <w:rsid w:val="00C15C55"/>
    <w:rsid w:val="00C16407"/>
    <w:rsid w:val="00C16B98"/>
    <w:rsid w:val="00C17057"/>
    <w:rsid w:val="00C17A2A"/>
    <w:rsid w:val="00C17C6A"/>
    <w:rsid w:val="00C20A92"/>
    <w:rsid w:val="00C20B47"/>
    <w:rsid w:val="00C2112F"/>
    <w:rsid w:val="00C211A4"/>
    <w:rsid w:val="00C21307"/>
    <w:rsid w:val="00C21423"/>
    <w:rsid w:val="00C214C8"/>
    <w:rsid w:val="00C217DE"/>
    <w:rsid w:val="00C21958"/>
    <w:rsid w:val="00C21B1D"/>
    <w:rsid w:val="00C22058"/>
    <w:rsid w:val="00C220A0"/>
    <w:rsid w:val="00C22EBC"/>
    <w:rsid w:val="00C22F26"/>
    <w:rsid w:val="00C2411D"/>
    <w:rsid w:val="00C2458A"/>
    <w:rsid w:val="00C24D4C"/>
    <w:rsid w:val="00C24E6C"/>
    <w:rsid w:val="00C24F11"/>
    <w:rsid w:val="00C25160"/>
    <w:rsid w:val="00C251B4"/>
    <w:rsid w:val="00C25409"/>
    <w:rsid w:val="00C25954"/>
    <w:rsid w:val="00C2606D"/>
    <w:rsid w:val="00C269AE"/>
    <w:rsid w:val="00C27091"/>
    <w:rsid w:val="00C27105"/>
    <w:rsid w:val="00C277D9"/>
    <w:rsid w:val="00C27CF0"/>
    <w:rsid w:val="00C30665"/>
    <w:rsid w:val="00C31010"/>
    <w:rsid w:val="00C311EC"/>
    <w:rsid w:val="00C31AA9"/>
    <w:rsid w:val="00C31E42"/>
    <w:rsid w:val="00C3228C"/>
    <w:rsid w:val="00C33651"/>
    <w:rsid w:val="00C3395B"/>
    <w:rsid w:val="00C33C4B"/>
    <w:rsid w:val="00C34213"/>
    <w:rsid w:val="00C3423F"/>
    <w:rsid w:val="00C34893"/>
    <w:rsid w:val="00C34F3C"/>
    <w:rsid w:val="00C34FFD"/>
    <w:rsid w:val="00C353E3"/>
    <w:rsid w:val="00C3550C"/>
    <w:rsid w:val="00C366C7"/>
    <w:rsid w:val="00C36A99"/>
    <w:rsid w:val="00C36AD6"/>
    <w:rsid w:val="00C36E7F"/>
    <w:rsid w:val="00C37646"/>
    <w:rsid w:val="00C376D7"/>
    <w:rsid w:val="00C37F83"/>
    <w:rsid w:val="00C4026B"/>
    <w:rsid w:val="00C4056F"/>
    <w:rsid w:val="00C405F2"/>
    <w:rsid w:val="00C4096E"/>
    <w:rsid w:val="00C413E1"/>
    <w:rsid w:val="00C41B89"/>
    <w:rsid w:val="00C43554"/>
    <w:rsid w:val="00C43B36"/>
    <w:rsid w:val="00C44A33"/>
    <w:rsid w:val="00C44C40"/>
    <w:rsid w:val="00C456F3"/>
    <w:rsid w:val="00C45736"/>
    <w:rsid w:val="00C45A82"/>
    <w:rsid w:val="00C45D2F"/>
    <w:rsid w:val="00C45D9F"/>
    <w:rsid w:val="00C46EDD"/>
    <w:rsid w:val="00C47368"/>
    <w:rsid w:val="00C47FC9"/>
    <w:rsid w:val="00C50160"/>
    <w:rsid w:val="00C5072F"/>
    <w:rsid w:val="00C5176E"/>
    <w:rsid w:val="00C51E1B"/>
    <w:rsid w:val="00C51FD3"/>
    <w:rsid w:val="00C52266"/>
    <w:rsid w:val="00C5241A"/>
    <w:rsid w:val="00C527E7"/>
    <w:rsid w:val="00C52B5A"/>
    <w:rsid w:val="00C52B7B"/>
    <w:rsid w:val="00C52C04"/>
    <w:rsid w:val="00C52CEF"/>
    <w:rsid w:val="00C52D64"/>
    <w:rsid w:val="00C52DC1"/>
    <w:rsid w:val="00C532F3"/>
    <w:rsid w:val="00C5331E"/>
    <w:rsid w:val="00C53EEB"/>
    <w:rsid w:val="00C543F6"/>
    <w:rsid w:val="00C54408"/>
    <w:rsid w:val="00C5444D"/>
    <w:rsid w:val="00C549FF"/>
    <w:rsid w:val="00C55717"/>
    <w:rsid w:val="00C560C2"/>
    <w:rsid w:val="00C56C70"/>
    <w:rsid w:val="00C56E00"/>
    <w:rsid w:val="00C56E81"/>
    <w:rsid w:val="00C5753D"/>
    <w:rsid w:val="00C57887"/>
    <w:rsid w:val="00C57F64"/>
    <w:rsid w:val="00C60985"/>
    <w:rsid w:val="00C60C40"/>
    <w:rsid w:val="00C6118D"/>
    <w:rsid w:val="00C625E2"/>
    <w:rsid w:val="00C627ED"/>
    <w:rsid w:val="00C6399F"/>
    <w:rsid w:val="00C64104"/>
    <w:rsid w:val="00C64744"/>
    <w:rsid w:val="00C64D65"/>
    <w:rsid w:val="00C64DEE"/>
    <w:rsid w:val="00C653F1"/>
    <w:rsid w:val="00C65799"/>
    <w:rsid w:val="00C6591F"/>
    <w:rsid w:val="00C65936"/>
    <w:rsid w:val="00C65DC3"/>
    <w:rsid w:val="00C65EFA"/>
    <w:rsid w:val="00C664EF"/>
    <w:rsid w:val="00C673DF"/>
    <w:rsid w:val="00C67446"/>
    <w:rsid w:val="00C677DE"/>
    <w:rsid w:val="00C67B81"/>
    <w:rsid w:val="00C67CCC"/>
    <w:rsid w:val="00C67D56"/>
    <w:rsid w:val="00C70566"/>
    <w:rsid w:val="00C706C7"/>
    <w:rsid w:val="00C70AB7"/>
    <w:rsid w:val="00C7160D"/>
    <w:rsid w:val="00C71A31"/>
    <w:rsid w:val="00C722B3"/>
    <w:rsid w:val="00C72443"/>
    <w:rsid w:val="00C72949"/>
    <w:rsid w:val="00C7296E"/>
    <w:rsid w:val="00C73369"/>
    <w:rsid w:val="00C735D2"/>
    <w:rsid w:val="00C73646"/>
    <w:rsid w:val="00C74541"/>
    <w:rsid w:val="00C746D7"/>
    <w:rsid w:val="00C752F5"/>
    <w:rsid w:val="00C754C8"/>
    <w:rsid w:val="00C7609D"/>
    <w:rsid w:val="00C7695D"/>
    <w:rsid w:val="00C76F12"/>
    <w:rsid w:val="00C770A4"/>
    <w:rsid w:val="00C771E8"/>
    <w:rsid w:val="00C77674"/>
    <w:rsid w:val="00C803E2"/>
    <w:rsid w:val="00C80E64"/>
    <w:rsid w:val="00C80EC2"/>
    <w:rsid w:val="00C80F99"/>
    <w:rsid w:val="00C812E9"/>
    <w:rsid w:val="00C81CA2"/>
    <w:rsid w:val="00C820DC"/>
    <w:rsid w:val="00C828AA"/>
    <w:rsid w:val="00C82D90"/>
    <w:rsid w:val="00C83409"/>
    <w:rsid w:val="00C835A5"/>
    <w:rsid w:val="00C83803"/>
    <w:rsid w:val="00C8386C"/>
    <w:rsid w:val="00C83BD6"/>
    <w:rsid w:val="00C83E14"/>
    <w:rsid w:val="00C840D1"/>
    <w:rsid w:val="00C84567"/>
    <w:rsid w:val="00C8488B"/>
    <w:rsid w:val="00C84EB8"/>
    <w:rsid w:val="00C856A0"/>
    <w:rsid w:val="00C85989"/>
    <w:rsid w:val="00C85F48"/>
    <w:rsid w:val="00C86533"/>
    <w:rsid w:val="00C865C1"/>
    <w:rsid w:val="00C8675F"/>
    <w:rsid w:val="00C867B4"/>
    <w:rsid w:val="00C86956"/>
    <w:rsid w:val="00C86B58"/>
    <w:rsid w:val="00C86F46"/>
    <w:rsid w:val="00C87218"/>
    <w:rsid w:val="00C87E95"/>
    <w:rsid w:val="00C906CC"/>
    <w:rsid w:val="00C90773"/>
    <w:rsid w:val="00C90A4E"/>
    <w:rsid w:val="00C9124D"/>
    <w:rsid w:val="00C91ECB"/>
    <w:rsid w:val="00C91F04"/>
    <w:rsid w:val="00C91F0B"/>
    <w:rsid w:val="00C92372"/>
    <w:rsid w:val="00C92617"/>
    <w:rsid w:val="00C929C1"/>
    <w:rsid w:val="00C9302A"/>
    <w:rsid w:val="00C93698"/>
    <w:rsid w:val="00C94AE1"/>
    <w:rsid w:val="00C94B9D"/>
    <w:rsid w:val="00C94D68"/>
    <w:rsid w:val="00C94E25"/>
    <w:rsid w:val="00C95911"/>
    <w:rsid w:val="00C95B10"/>
    <w:rsid w:val="00C95C01"/>
    <w:rsid w:val="00C96CD6"/>
    <w:rsid w:val="00C96E16"/>
    <w:rsid w:val="00C9799E"/>
    <w:rsid w:val="00CA037B"/>
    <w:rsid w:val="00CA121B"/>
    <w:rsid w:val="00CA1596"/>
    <w:rsid w:val="00CA1CB1"/>
    <w:rsid w:val="00CA2257"/>
    <w:rsid w:val="00CA243C"/>
    <w:rsid w:val="00CA2654"/>
    <w:rsid w:val="00CA2EB8"/>
    <w:rsid w:val="00CA308F"/>
    <w:rsid w:val="00CA34C1"/>
    <w:rsid w:val="00CA356F"/>
    <w:rsid w:val="00CA3670"/>
    <w:rsid w:val="00CA39D2"/>
    <w:rsid w:val="00CA3EC4"/>
    <w:rsid w:val="00CA4822"/>
    <w:rsid w:val="00CA4D58"/>
    <w:rsid w:val="00CA5138"/>
    <w:rsid w:val="00CA52B4"/>
    <w:rsid w:val="00CA5487"/>
    <w:rsid w:val="00CA54EC"/>
    <w:rsid w:val="00CA5AE9"/>
    <w:rsid w:val="00CA67CE"/>
    <w:rsid w:val="00CA67EF"/>
    <w:rsid w:val="00CA681D"/>
    <w:rsid w:val="00CA6932"/>
    <w:rsid w:val="00CA78D6"/>
    <w:rsid w:val="00CA7D93"/>
    <w:rsid w:val="00CB03B1"/>
    <w:rsid w:val="00CB0D0C"/>
    <w:rsid w:val="00CB110D"/>
    <w:rsid w:val="00CB121C"/>
    <w:rsid w:val="00CB167B"/>
    <w:rsid w:val="00CB181F"/>
    <w:rsid w:val="00CB2757"/>
    <w:rsid w:val="00CB2813"/>
    <w:rsid w:val="00CB295D"/>
    <w:rsid w:val="00CB2B53"/>
    <w:rsid w:val="00CB2BF3"/>
    <w:rsid w:val="00CB2CD5"/>
    <w:rsid w:val="00CB2E22"/>
    <w:rsid w:val="00CB2E39"/>
    <w:rsid w:val="00CB2F41"/>
    <w:rsid w:val="00CB35CC"/>
    <w:rsid w:val="00CB363F"/>
    <w:rsid w:val="00CB3F97"/>
    <w:rsid w:val="00CB41A6"/>
    <w:rsid w:val="00CB4992"/>
    <w:rsid w:val="00CB51F6"/>
    <w:rsid w:val="00CB566F"/>
    <w:rsid w:val="00CB5856"/>
    <w:rsid w:val="00CB5BA0"/>
    <w:rsid w:val="00CB5C72"/>
    <w:rsid w:val="00CB660B"/>
    <w:rsid w:val="00CB6CDB"/>
    <w:rsid w:val="00CB6DE9"/>
    <w:rsid w:val="00CB7467"/>
    <w:rsid w:val="00CB74E9"/>
    <w:rsid w:val="00CB7CF4"/>
    <w:rsid w:val="00CC001F"/>
    <w:rsid w:val="00CC0340"/>
    <w:rsid w:val="00CC037C"/>
    <w:rsid w:val="00CC06D1"/>
    <w:rsid w:val="00CC06EE"/>
    <w:rsid w:val="00CC09B4"/>
    <w:rsid w:val="00CC0B29"/>
    <w:rsid w:val="00CC0BE7"/>
    <w:rsid w:val="00CC0E8F"/>
    <w:rsid w:val="00CC175B"/>
    <w:rsid w:val="00CC192A"/>
    <w:rsid w:val="00CC19CF"/>
    <w:rsid w:val="00CC1D04"/>
    <w:rsid w:val="00CC218E"/>
    <w:rsid w:val="00CC2F33"/>
    <w:rsid w:val="00CC3149"/>
    <w:rsid w:val="00CC333F"/>
    <w:rsid w:val="00CC3345"/>
    <w:rsid w:val="00CC3A85"/>
    <w:rsid w:val="00CC3D21"/>
    <w:rsid w:val="00CC4515"/>
    <w:rsid w:val="00CC46D2"/>
    <w:rsid w:val="00CC47FC"/>
    <w:rsid w:val="00CC4B50"/>
    <w:rsid w:val="00CC4F3B"/>
    <w:rsid w:val="00CC61AF"/>
    <w:rsid w:val="00CC6369"/>
    <w:rsid w:val="00CC63A0"/>
    <w:rsid w:val="00CC74EB"/>
    <w:rsid w:val="00CC78E1"/>
    <w:rsid w:val="00CC7B93"/>
    <w:rsid w:val="00CC7E24"/>
    <w:rsid w:val="00CD067D"/>
    <w:rsid w:val="00CD0836"/>
    <w:rsid w:val="00CD09C2"/>
    <w:rsid w:val="00CD0FA0"/>
    <w:rsid w:val="00CD1082"/>
    <w:rsid w:val="00CD1735"/>
    <w:rsid w:val="00CD1D58"/>
    <w:rsid w:val="00CD1DE8"/>
    <w:rsid w:val="00CD2877"/>
    <w:rsid w:val="00CD2A40"/>
    <w:rsid w:val="00CD3552"/>
    <w:rsid w:val="00CD3C7B"/>
    <w:rsid w:val="00CD3F41"/>
    <w:rsid w:val="00CD4429"/>
    <w:rsid w:val="00CD48A7"/>
    <w:rsid w:val="00CD4F92"/>
    <w:rsid w:val="00CD5379"/>
    <w:rsid w:val="00CD5481"/>
    <w:rsid w:val="00CD5505"/>
    <w:rsid w:val="00CD5DAD"/>
    <w:rsid w:val="00CD6999"/>
    <w:rsid w:val="00CD70C2"/>
    <w:rsid w:val="00CD7BFA"/>
    <w:rsid w:val="00CD7DA2"/>
    <w:rsid w:val="00CD7DD8"/>
    <w:rsid w:val="00CD7DFE"/>
    <w:rsid w:val="00CE0403"/>
    <w:rsid w:val="00CE046E"/>
    <w:rsid w:val="00CE04C5"/>
    <w:rsid w:val="00CE25BA"/>
    <w:rsid w:val="00CE2810"/>
    <w:rsid w:val="00CE34E7"/>
    <w:rsid w:val="00CE3D67"/>
    <w:rsid w:val="00CE3EC7"/>
    <w:rsid w:val="00CE43C1"/>
    <w:rsid w:val="00CE48B5"/>
    <w:rsid w:val="00CE514E"/>
    <w:rsid w:val="00CE5258"/>
    <w:rsid w:val="00CE5706"/>
    <w:rsid w:val="00CE586F"/>
    <w:rsid w:val="00CE5B88"/>
    <w:rsid w:val="00CE5D19"/>
    <w:rsid w:val="00CE5FA4"/>
    <w:rsid w:val="00CE645C"/>
    <w:rsid w:val="00CE6A81"/>
    <w:rsid w:val="00CE6B93"/>
    <w:rsid w:val="00CE6F37"/>
    <w:rsid w:val="00CE7B26"/>
    <w:rsid w:val="00CF0DCC"/>
    <w:rsid w:val="00CF14A0"/>
    <w:rsid w:val="00CF1CDF"/>
    <w:rsid w:val="00CF1D8A"/>
    <w:rsid w:val="00CF23F3"/>
    <w:rsid w:val="00CF26D6"/>
    <w:rsid w:val="00CF27DD"/>
    <w:rsid w:val="00CF2C12"/>
    <w:rsid w:val="00CF2C56"/>
    <w:rsid w:val="00CF385C"/>
    <w:rsid w:val="00CF3CAA"/>
    <w:rsid w:val="00CF3EBC"/>
    <w:rsid w:val="00CF474F"/>
    <w:rsid w:val="00CF4DA3"/>
    <w:rsid w:val="00CF5A60"/>
    <w:rsid w:val="00CF5D5C"/>
    <w:rsid w:val="00CF5E5B"/>
    <w:rsid w:val="00CF617E"/>
    <w:rsid w:val="00CF6939"/>
    <w:rsid w:val="00CF6AB3"/>
    <w:rsid w:val="00CF6BEB"/>
    <w:rsid w:val="00CF71C4"/>
    <w:rsid w:val="00CF728A"/>
    <w:rsid w:val="00CF73EA"/>
    <w:rsid w:val="00D000B4"/>
    <w:rsid w:val="00D0049F"/>
    <w:rsid w:val="00D004BA"/>
    <w:rsid w:val="00D00F1B"/>
    <w:rsid w:val="00D01672"/>
    <w:rsid w:val="00D0186F"/>
    <w:rsid w:val="00D01B47"/>
    <w:rsid w:val="00D02392"/>
    <w:rsid w:val="00D02C6C"/>
    <w:rsid w:val="00D02D92"/>
    <w:rsid w:val="00D032F4"/>
    <w:rsid w:val="00D032FE"/>
    <w:rsid w:val="00D03614"/>
    <w:rsid w:val="00D03867"/>
    <w:rsid w:val="00D03B9C"/>
    <w:rsid w:val="00D044D7"/>
    <w:rsid w:val="00D058AE"/>
    <w:rsid w:val="00D05CB1"/>
    <w:rsid w:val="00D0604E"/>
    <w:rsid w:val="00D0609F"/>
    <w:rsid w:val="00D0616D"/>
    <w:rsid w:val="00D065BC"/>
    <w:rsid w:val="00D0714A"/>
    <w:rsid w:val="00D07683"/>
    <w:rsid w:val="00D07B21"/>
    <w:rsid w:val="00D07BA9"/>
    <w:rsid w:val="00D07D84"/>
    <w:rsid w:val="00D1006D"/>
    <w:rsid w:val="00D10193"/>
    <w:rsid w:val="00D10457"/>
    <w:rsid w:val="00D10B56"/>
    <w:rsid w:val="00D110CF"/>
    <w:rsid w:val="00D11210"/>
    <w:rsid w:val="00D112C6"/>
    <w:rsid w:val="00D11708"/>
    <w:rsid w:val="00D1180E"/>
    <w:rsid w:val="00D11869"/>
    <w:rsid w:val="00D1186A"/>
    <w:rsid w:val="00D11AEB"/>
    <w:rsid w:val="00D11F50"/>
    <w:rsid w:val="00D11FA5"/>
    <w:rsid w:val="00D123E8"/>
    <w:rsid w:val="00D12A5A"/>
    <w:rsid w:val="00D13788"/>
    <w:rsid w:val="00D13D0D"/>
    <w:rsid w:val="00D13E15"/>
    <w:rsid w:val="00D1476A"/>
    <w:rsid w:val="00D148FE"/>
    <w:rsid w:val="00D14C87"/>
    <w:rsid w:val="00D14F77"/>
    <w:rsid w:val="00D15062"/>
    <w:rsid w:val="00D15964"/>
    <w:rsid w:val="00D15AB3"/>
    <w:rsid w:val="00D16063"/>
    <w:rsid w:val="00D161C7"/>
    <w:rsid w:val="00D16565"/>
    <w:rsid w:val="00D173C2"/>
    <w:rsid w:val="00D17EA8"/>
    <w:rsid w:val="00D17EB5"/>
    <w:rsid w:val="00D20101"/>
    <w:rsid w:val="00D201C3"/>
    <w:rsid w:val="00D20296"/>
    <w:rsid w:val="00D20DD0"/>
    <w:rsid w:val="00D21716"/>
    <w:rsid w:val="00D21A17"/>
    <w:rsid w:val="00D21AD0"/>
    <w:rsid w:val="00D22348"/>
    <w:rsid w:val="00D232CE"/>
    <w:rsid w:val="00D23325"/>
    <w:rsid w:val="00D234A6"/>
    <w:rsid w:val="00D234DD"/>
    <w:rsid w:val="00D238F2"/>
    <w:rsid w:val="00D239A4"/>
    <w:rsid w:val="00D23E0F"/>
    <w:rsid w:val="00D24B70"/>
    <w:rsid w:val="00D24D0F"/>
    <w:rsid w:val="00D25446"/>
    <w:rsid w:val="00D254C9"/>
    <w:rsid w:val="00D25AAD"/>
    <w:rsid w:val="00D26224"/>
    <w:rsid w:val="00D267B6"/>
    <w:rsid w:val="00D26A46"/>
    <w:rsid w:val="00D26B8D"/>
    <w:rsid w:val="00D26CFB"/>
    <w:rsid w:val="00D271B6"/>
    <w:rsid w:val="00D27B20"/>
    <w:rsid w:val="00D30826"/>
    <w:rsid w:val="00D30A18"/>
    <w:rsid w:val="00D31396"/>
    <w:rsid w:val="00D31EC4"/>
    <w:rsid w:val="00D328DE"/>
    <w:rsid w:val="00D32F54"/>
    <w:rsid w:val="00D337FE"/>
    <w:rsid w:val="00D339B3"/>
    <w:rsid w:val="00D33E4C"/>
    <w:rsid w:val="00D343F5"/>
    <w:rsid w:val="00D34845"/>
    <w:rsid w:val="00D34BE1"/>
    <w:rsid w:val="00D352C4"/>
    <w:rsid w:val="00D35510"/>
    <w:rsid w:val="00D35A75"/>
    <w:rsid w:val="00D35C62"/>
    <w:rsid w:val="00D35C78"/>
    <w:rsid w:val="00D360E9"/>
    <w:rsid w:val="00D365A1"/>
    <w:rsid w:val="00D365FC"/>
    <w:rsid w:val="00D3693E"/>
    <w:rsid w:val="00D37E44"/>
    <w:rsid w:val="00D40184"/>
    <w:rsid w:val="00D4020D"/>
    <w:rsid w:val="00D40292"/>
    <w:rsid w:val="00D40492"/>
    <w:rsid w:val="00D4075F"/>
    <w:rsid w:val="00D409C1"/>
    <w:rsid w:val="00D40F17"/>
    <w:rsid w:val="00D41204"/>
    <w:rsid w:val="00D412E3"/>
    <w:rsid w:val="00D41A86"/>
    <w:rsid w:val="00D41DC9"/>
    <w:rsid w:val="00D422A1"/>
    <w:rsid w:val="00D429A9"/>
    <w:rsid w:val="00D42EC4"/>
    <w:rsid w:val="00D4346E"/>
    <w:rsid w:val="00D435B4"/>
    <w:rsid w:val="00D43708"/>
    <w:rsid w:val="00D43D19"/>
    <w:rsid w:val="00D441D6"/>
    <w:rsid w:val="00D44326"/>
    <w:rsid w:val="00D44719"/>
    <w:rsid w:val="00D44B76"/>
    <w:rsid w:val="00D44CB3"/>
    <w:rsid w:val="00D452BE"/>
    <w:rsid w:val="00D4581C"/>
    <w:rsid w:val="00D45B57"/>
    <w:rsid w:val="00D45F49"/>
    <w:rsid w:val="00D45FF9"/>
    <w:rsid w:val="00D46054"/>
    <w:rsid w:val="00D46164"/>
    <w:rsid w:val="00D462FD"/>
    <w:rsid w:val="00D47B35"/>
    <w:rsid w:val="00D47D1B"/>
    <w:rsid w:val="00D47D46"/>
    <w:rsid w:val="00D50C03"/>
    <w:rsid w:val="00D5172B"/>
    <w:rsid w:val="00D5197F"/>
    <w:rsid w:val="00D51AD1"/>
    <w:rsid w:val="00D51FEB"/>
    <w:rsid w:val="00D5212F"/>
    <w:rsid w:val="00D524F7"/>
    <w:rsid w:val="00D53264"/>
    <w:rsid w:val="00D532DA"/>
    <w:rsid w:val="00D5356E"/>
    <w:rsid w:val="00D54B92"/>
    <w:rsid w:val="00D5571B"/>
    <w:rsid w:val="00D55907"/>
    <w:rsid w:val="00D55994"/>
    <w:rsid w:val="00D55FAD"/>
    <w:rsid w:val="00D56D05"/>
    <w:rsid w:val="00D56E80"/>
    <w:rsid w:val="00D571E1"/>
    <w:rsid w:val="00D57638"/>
    <w:rsid w:val="00D57C9A"/>
    <w:rsid w:val="00D57D22"/>
    <w:rsid w:val="00D6008D"/>
    <w:rsid w:val="00D6068C"/>
    <w:rsid w:val="00D6079A"/>
    <w:rsid w:val="00D60CB1"/>
    <w:rsid w:val="00D60F7E"/>
    <w:rsid w:val="00D61571"/>
    <w:rsid w:val="00D61A70"/>
    <w:rsid w:val="00D62348"/>
    <w:rsid w:val="00D63131"/>
    <w:rsid w:val="00D63207"/>
    <w:rsid w:val="00D63C15"/>
    <w:rsid w:val="00D63E4A"/>
    <w:rsid w:val="00D64A3F"/>
    <w:rsid w:val="00D650B0"/>
    <w:rsid w:val="00D65941"/>
    <w:rsid w:val="00D65AA8"/>
    <w:rsid w:val="00D65B94"/>
    <w:rsid w:val="00D66383"/>
    <w:rsid w:val="00D66735"/>
    <w:rsid w:val="00D667AE"/>
    <w:rsid w:val="00D66FE8"/>
    <w:rsid w:val="00D67193"/>
    <w:rsid w:val="00D701E6"/>
    <w:rsid w:val="00D70246"/>
    <w:rsid w:val="00D7044E"/>
    <w:rsid w:val="00D707D4"/>
    <w:rsid w:val="00D70967"/>
    <w:rsid w:val="00D70E0B"/>
    <w:rsid w:val="00D71649"/>
    <w:rsid w:val="00D718BA"/>
    <w:rsid w:val="00D71AC7"/>
    <w:rsid w:val="00D71F87"/>
    <w:rsid w:val="00D72B51"/>
    <w:rsid w:val="00D733DB"/>
    <w:rsid w:val="00D734CD"/>
    <w:rsid w:val="00D7370F"/>
    <w:rsid w:val="00D7374F"/>
    <w:rsid w:val="00D7377F"/>
    <w:rsid w:val="00D73B7C"/>
    <w:rsid w:val="00D74077"/>
    <w:rsid w:val="00D74CF5"/>
    <w:rsid w:val="00D751C3"/>
    <w:rsid w:val="00D751F5"/>
    <w:rsid w:val="00D75D3E"/>
    <w:rsid w:val="00D75F3C"/>
    <w:rsid w:val="00D76019"/>
    <w:rsid w:val="00D76844"/>
    <w:rsid w:val="00D76A57"/>
    <w:rsid w:val="00D77092"/>
    <w:rsid w:val="00D77707"/>
    <w:rsid w:val="00D77AAE"/>
    <w:rsid w:val="00D77C9E"/>
    <w:rsid w:val="00D801E1"/>
    <w:rsid w:val="00D80355"/>
    <w:rsid w:val="00D806CD"/>
    <w:rsid w:val="00D81BFF"/>
    <w:rsid w:val="00D81F6E"/>
    <w:rsid w:val="00D8217E"/>
    <w:rsid w:val="00D822E7"/>
    <w:rsid w:val="00D8255D"/>
    <w:rsid w:val="00D8283E"/>
    <w:rsid w:val="00D82C97"/>
    <w:rsid w:val="00D83530"/>
    <w:rsid w:val="00D84A58"/>
    <w:rsid w:val="00D85C67"/>
    <w:rsid w:val="00D8623A"/>
    <w:rsid w:val="00D865B4"/>
    <w:rsid w:val="00D86ED6"/>
    <w:rsid w:val="00D8713E"/>
    <w:rsid w:val="00D87F61"/>
    <w:rsid w:val="00D90302"/>
    <w:rsid w:val="00D91EFA"/>
    <w:rsid w:val="00D920A8"/>
    <w:rsid w:val="00D924C4"/>
    <w:rsid w:val="00D929CA"/>
    <w:rsid w:val="00D93285"/>
    <w:rsid w:val="00D93325"/>
    <w:rsid w:val="00D93B15"/>
    <w:rsid w:val="00D93D6F"/>
    <w:rsid w:val="00D940D5"/>
    <w:rsid w:val="00D94770"/>
    <w:rsid w:val="00D9488A"/>
    <w:rsid w:val="00D94A81"/>
    <w:rsid w:val="00D94C18"/>
    <w:rsid w:val="00D9502A"/>
    <w:rsid w:val="00D9504F"/>
    <w:rsid w:val="00D951DA"/>
    <w:rsid w:val="00D951DE"/>
    <w:rsid w:val="00D9532F"/>
    <w:rsid w:val="00D954AD"/>
    <w:rsid w:val="00D95BB9"/>
    <w:rsid w:val="00D95F20"/>
    <w:rsid w:val="00D96719"/>
    <w:rsid w:val="00D96BC3"/>
    <w:rsid w:val="00D96D86"/>
    <w:rsid w:val="00D96DE6"/>
    <w:rsid w:val="00D97408"/>
    <w:rsid w:val="00D97581"/>
    <w:rsid w:val="00D977B3"/>
    <w:rsid w:val="00D97E54"/>
    <w:rsid w:val="00D97ECF"/>
    <w:rsid w:val="00DA04C0"/>
    <w:rsid w:val="00DA07B8"/>
    <w:rsid w:val="00DA0F56"/>
    <w:rsid w:val="00DA155F"/>
    <w:rsid w:val="00DA19FA"/>
    <w:rsid w:val="00DA25FC"/>
    <w:rsid w:val="00DA279B"/>
    <w:rsid w:val="00DA27C9"/>
    <w:rsid w:val="00DA290E"/>
    <w:rsid w:val="00DA2919"/>
    <w:rsid w:val="00DA35F5"/>
    <w:rsid w:val="00DA365E"/>
    <w:rsid w:val="00DA3F9E"/>
    <w:rsid w:val="00DA46B6"/>
    <w:rsid w:val="00DA4DB1"/>
    <w:rsid w:val="00DA5509"/>
    <w:rsid w:val="00DA57EF"/>
    <w:rsid w:val="00DA62CA"/>
    <w:rsid w:val="00DA6424"/>
    <w:rsid w:val="00DA6E36"/>
    <w:rsid w:val="00DA75CA"/>
    <w:rsid w:val="00DA7B42"/>
    <w:rsid w:val="00DA7E2B"/>
    <w:rsid w:val="00DA7EE0"/>
    <w:rsid w:val="00DB0059"/>
    <w:rsid w:val="00DB070B"/>
    <w:rsid w:val="00DB0729"/>
    <w:rsid w:val="00DB07FE"/>
    <w:rsid w:val="00DB1098"/>
    <w:rsid w:val="00DB12C4"/>
    <w:rsid w:val="00DB1556"/>
    <w:rsid w:val="00DB19DC"/>
    <w:rsid w:val="00DB1A6A"/>
    <w:rsid w:val="00DB1E3F"/>
    <w:rsid w:val="00DB21E9"/>
    <w:rsid w:val="00DB242F"/>
    <w:rsid w:val="00DB2A98"/>
    <w:rsid w:val="00DB304D"/>
    <w:rsid w:val="00DB3513"/>
    <w:rsid w:val="00DB3DDE"/>
    <w:rsid w:val="00DB41D8"/>
    <w:rsid w:val="00DB42F6"/>
    <w:rsid w:val="00DB4353"/>
    <w:rsid w:val="00DB4CB8"/>
    <w:rsid w:val="00DB507B"/>
    <w:rsid w:val="00DB5586"/>
    <w:rsid w:val="00DB5D26"/>
    <w:rsid w:val="00DB60EB"/>
    <w:rsid w:val="00DB6610"/>
    <w:rsid w:val="00DB6A43"/>
    <w:rsid w:val="00DB6B20"/>
    <w:rsid w:val="00DB7081"/>
    <w:rsid w:val="00DB719E"/>
    <w:rsid w:val="00DB74BA"/>
    <w:rsid w:val="00DB7560"/>
    <w:rsid w:val="00DB7A15"/>
    <w:rsid w:val="00DB7B0E"/>
    <w:rsid w:val="00DC0007"/>
    <w:rsid w:val="00DC01C5"/>
    <w:rsid w:val="00DC098C"/>
    <w:rsid w:val="00DC13B1"/>
    <w:rsid w:val="00DC1547"/>
    <w:rsid w:val="00DC17A1"/>
    <w:rsid w:val="00DC1805"/>
    <w:rsid w:val="00DC29A6"/>
    <w:rsid w:val="00DC2C8C"/>
    <w:rsid w:val="00DC2F39"/>
    <w:rsid w:val="00DC33BF"/>
    <w:rsid w:val="00DC397C"/>
    <w:rsid w:val="00DC4B10"/>
    <w:rsid w:val="00DC4D2D"/>
    <w:rsid w:val="00DC4D5D"/>
    <w:rsid w:val="00DC5A36"/>
    <w:rsid w:val="00DC5BE6"/>
    <w:rsid w:val="00DC5CFE"/>
    <w:rsid w:val="00DC636E"/>
    <w:rsid w:val="00DC6A10"/>
    <w:rsid w:val="00DC6F5E"/>
    <w:rsid w:val="00DC7789"/>
    <w:rsid w:val="00DC7A24"/>
    <w:rsid w:val="00DD0537"/>
    <w:rsid w:val="00DD06F7"/>
    <w:rsid w:val="00DD0BF0"/>
    <w:rsid w:val="00DD17C9"/>
    <w:rsid w:val="00DD2278"/>
    <w:rsid w:val="00DD240C"/>
    <w:rsid w:val="00DD249C"/>
    <w:rsid w:val="00DD25A5"/>
    <w:rsid w:val="00DD25ED"/>
    <w:rsid w:val="00DD297F"/>
    <w:rsid w:val="00DD2B04"/>
    <w:rsid w:val="00DD3367"/>
    <w:rsid w:val="00DD37DF"/>
    <w:rsid w:val="00DD3929"/>
    <w:rsid w:val="00DD39E5"/>
    <w:rsid w:val="00DD41FB"/>
    <w:rsid w:val="00DD43B0"/>
    <w:rsid w:val="00DD46A4"/>
    <w:rsid w:val="00DD4C68"/>
    <w:rsid w:val="00DD4F65"/>
    <w:rsid w:val="00DD5347"/>
    <w:rsid w:val="00DD5684"/>
    <w:rsid w:val="00DD58E7"/>
    <w:rsid w:val="00DD5B44"/>
    <w:rsid w:val="00DD60DD"/>
    <w:rsid w:val="00DD62D5"/>
    <w:rsid w:val="00DD65BA"/>
    <w:rsid w:val="00DD6709"/>
    <w:rsid w:val="00DD6B6D"/>
    <w:rsid w:val="00DD70CE"/>
    <w:rsid w:val="00DD7A2A"/>
    <w:rsid w:val="00DE0637"/>
    <w:rsid w:val="00DE0E7B"/>
    <w:rsid w:val="00DE1424"/>
    <w:rsid w:val="00DE1496"/>
    <w:rsid w:val="00DE1583"/>
    <w:rsid w:val="00DE185E"/>
    <w:rsid w:val="00DE19DE"/>
    <w:rsid w:val="00DE1CDF"/>
    <w:rsid w:val="00DE2509"/>
    <w:rsid w:val="00DE2580"/>
    <w:rsid w:val="00DE2633"/>
    <w:rsid w:val="00DE2695"/>
    <w:rsid w:val="00DE2945"/>
    <w:rsid w:val="00DE2CB5"/>
    <w:rsid w:val="00DE2D46"/>
    <w:rsid w:val="00DE335A"/>
    <w:rsid w:val="00DE3624"/>
    <w:rsid w:val="00DE40AF"/>
    <w:rsid w:val="00DE40D7"/>
    <w:rsid w:val="00DE44A9"/>
    <w:rsid w:val="00DE4FEF"/>
    <w:rsid w:val="00DE51D5"/>
    <w:rsid w:val="00DE56AB"/>
    <w:rsid w:val="00DE57F5"/>
    <w:rsid w:val="00DE5850"/>
    <w:rsid w:val="00DE5A85"/>
    <w:rsid w:val="00DE5E86"/>
    <w:rsid w:val="00DE663F"/>
    <w:rsid w:val="00DE68C1"/>
    <w:rsid w:val="00DE7042"/>
    <w:rsid w:val="00DE7229"/>
    <w:rsid w:val="00DE75C1"/>
    <w:rsid w:val="00DE7667"/>
    <w:rsid w:val="00DE77CF"/>
    <w:rsid w:val="00DE7C79"/>
    <w:rsid w:val="00DE7FD3"/>
    <w:rsid w:val="00DF0399"/>
    <w:rsid w:val="00DF0619"/>
    <w:rsid w:val="00DF12B2"/>
    <w:rsid w:val="00DF14A9"/>
    <w:rsid w:val="00DF14C1"/>
    <w:rsid w:val="00DF14EC"/>
    <w:rsid w:val="00DF1886"/>
    <w:rsid w:val="00DF1900"/>
    <w:rsid w:val="00DF1CC3"/>
    <w:rsid w:val="00DF21DA"/>
    <w:rsid w:val="00DF257A"/>
    <w:rsid w:val="00DF263C"/>
    <w:rsid w:val="00DF2909"/>
    <w:rsid w:val="00DF296F"/>
    <w:rsid w:val="00DF319D"/>
    <w:rsid w:val="00DF35E8"/>
    <w:rsid w:val="00DF3634"/>
    <w:rsid w:val="00DF3AB1"/>
    <w:rsid w:val="00DF5AD2"/>
    <w:rsid w:val="00DF5B46"/>
    <w:rsid w:val="00DF5DDE"/>
    <w:rsid w:val="00DF5FCE"/>
    <w:rsid w:val="00DF6465"/>
    <w:rsid w:val="00DF6509"/>
    <w:rsid w:val="00DF6DC9"/>
    <w:rsid w:val="00DF6FDF"/>
    <w:rsid w:val="00DF70BC"/>
    <w:rsid w:val="00DF713E"/>
    <w:rsid w:val="00DF72F9"/>
    <w:rsid w:val="00DF7335"/>
    <w:rsid w:val="00DF7E21"/>
    <w:rsid w:val="00DF7EE1"/>
    <w:rsid w:val="00E002BD"/>
    <w:rsid w:val="00E0078D"/>
    <w:rsid w:val="00E00853"/>
    <w:rsid w:val="00E0098F"/>
    <w:rsid w:val="00E00E03"/>
    <w:rsid w:val="00E010D2"/>
    <w:rsid w:val="00E012BD"/>
    <w:rsid w:val="00E01CC8"/>
    <w:rsid w:val="00E01DA5"/>
    <w:rsid w:val="00E02326"/>
    <w:rsid w:val="00E0242A"/>
    <w:rsid w:val="00E025A6"/>
    <w:rsid w:val="00E02844"/>
    <w:rsid w:val="00E029EE"/>
    <w:rsid w:val="00E02DC8"/>
    <w:rsid w:val="00E030FC"/>
    <w:rsid w:val="00E03280"/>
    <w:rsid w:val="00E0357C"/>
    <w:rsid w:val="00E036BE"/>
    <w:rsid w:val="00E03FB8"/>
    <w:rsid w:val="00E04459"/>
    <w:rsid w:val="00E05352"/>
    <w:rsid w:val="00E05AE1"/>
    <w:rsid w:val="00E05D7D"/>
    <w:rsid w:val="00E05D88"/>
    <w:rsid w:val="00E062C8"/>
    <w:rsid w:val="00E0632A"/>
    <w:rsid w:val="00E064F5"/>
    <w:rsid w:val="00E066DF"/>
    <w:rsid w:val="00E06912"/>
    <w:rsid w:val="00E06CAA"/>
    <w:rsid w:val="00E0707F"/>
    <w:rsid w:val="00E07293"/>
    <w:rsid w:val="00E072D2"/>
    <w:rsid w:val="00E074C8"/>
    <w:rsid w:val="00E0752D"/>
    <w:rsid w:val="00E07DF5"/>
    <w:rsid w:val="00E10247"/>
    <w:rsid w:val="00E10334"/>
    <w:rsid w:val="00E11112"/>
    <w:rsid w:val="00E1118F"/>
    <w:rsid w:val="00E111E6"/>
    <w:rsid w:val="00E1172E"/>
    <w:rsid w:val="00E11874"/>
    <w:rsid w:val="00E122FA"/>
    <w:rsid w:val="00E12CCA"/>
    <w:rsid w:val="00E12DAA"/>
    <w:rsid w:val="00E12E53"/>
    <w:rsid w:val="00E138D3"/>
    <w:rsid w:val="00E13E47"/>
    <w:rsid w:val="00E145BD"/>
    <w:rsid w:val="00E14CDA"/>
    <w:rsid w:val="00E14E12"/>
    <w:rsid w:val="00E151FB"/>
    <w:rsid w:val="00E15492"/>
    <w:rsid w:val="00E15945"/>
    <w:rsid w:val="00E15B3F"/>
    <w:rsid w:val="00E1649D"/>
    <w:rsid w:val="00E16819"/>
    <w:rsid w:val="00E16D57"/>
    <w:rsid w:val="00E16F61"/>
    <w:rsid w:val="00E170EE"/>
    <w:rsid w:val="00E17273"/>
    <w:rsid w:val="00E17599"/>
    <w:rsid w:val="00E17786"/>
    <w:rsid w:val="00E17A27"/>
    <w:rsid w:val="00E17F47"/>
    <w:rsid w:val="00E205DD"/>
    <w:rsid w:val="00E213AC"/>
    <w:rsid w:val="00E2146F"/>
    <w:rsid w:val="00E215EB"/>
    <w:rsid w:val="00E21A41"/>
    <w:rsid w:val="00E21C43"/>
    <w:rsid w:val="00E220AC"/>
    <w:rsid w:val="00E2313D"/>
    <w:rsid w:val="00E239E0"/>
    <w:rsid w:val="00E2410E"/>
    <w:rsid w:val="00E24312"/>
    <w:rsid w:val="00E24DBC"/>
    <w:rsid w:val="00E24F5C"/>
    <w:rsid w:val="00E25270"/>
    <w:rsid w:val="00E25409"/>
    <w:rsid w:val="00E257C3"/>
    <w:rsid w:val="00E258FE"/>
    <w:rsid w:val="00E26646"/>
    <w:rsid w:val="00E266E5"/>
    <w:rsid w:val="00E26AEE"/>
    <w:rsid w:val="00E26BBF"/>
    <w:rsid w:val="00E26CCA"/>
    <w:rsid w:val="00E26CF5"/>
    <w:rsid w:val="00E27119"/>
    <w:rsid w:val="00E3004F"/>
    <w:rsid w:val="00E303D9"/>
    <w:rsid w:val="00E3073E"/>
    <w:rsid w:val="00E30866"/>
    <w:rsid w:val="00E30A14"/>
    <w:rsid w:val="00E30EFC"/>
    <w:rsid w:val="00E313A3"/>
    <w:rsid w:val="00E315D7"/>
    <w:rsid w:val="00E31673"/>
    <w:rsid w:val="00E31A8E"/>
    <w:rsid w:val="00E31F61"/>
    <w:rsid w:val="00E320E9"/>
    <w:rsid w:val="00E32531"/>
    <w:rsid w:val="00E328E1"/>
    <w:rsid w:val="00E328EB"/>
    <w:rsid w:val="00E32A2D"/>
    <w:rsid w:val="00E32F97"/>
    <w:rsid w:val="00E3317A"/>
    <w:rsid w:val="00E33EA6"/>
    <w:rsid w:val="00E341A0"/>
    <w:rsid w:val="00E34B4E"/>
    <w:rsid w:val="00E353F4"/>
    <w:rsid w:val="00E35525"/>
    <w:rsid w:val="00E3562C"/>
    <w:rsid w:val="00E35CE7"/>
    <w:rsid w:val="00E366A8"/>
    <w:rsid w:val="00E36CD4"/>
    <w:rsid w:val="00E40E83"/>
    <w:rsid w:val="00E40FAA"/>
    <w:rsid w:val="00E4186B"/>
    <w:rsid w:val="00E418FB"/>
    <w:rsid w:val="00E41B06"/>
    <w:rsid w:val="00E41F03"/>
    <w:rsid w:val="00E420F3"/>
    <w:rsid w:val="00E42FE7"/>
    <w:rsid w:val="00E42FF2"/>
    <w:rsid w:val="00E43BB6"/>
    <w:rsid w:val="00E44368"/>
    <w:rsid w:val="00E446B3"/>
    <w:rsid w:val="00E44EBB"/>
    <w:rsid w:val="00E44F61"/>
    <w:rsid w:val="00E45157"/>
    <w:rsid w:val="00E470D8"/>
    <w:rsid w:val="00E501F6"/>
    <w:rsid w:val="00E502FB"/>
    <w:rsid w:val="00E505CB"/>
    <w:rsid w:val="00E5084A"/>
    <w:rsid w:val="00E50B05"/>
    <w:rsid w:val="00E51273"/>
    <w:rsid w:val="00E514FA"/>
    <w:rsid w:val="00E52538"/>
    <w:rsid w:val="00E5273E"/>
    <w:rsid w:val="00E52740"/>
    <w:rsid w:val="00E53DC4"/>
    <w:rsid w:val="00E53EEB"/>
    <w:rsid w:val="00E5513C"/>
    <w:rsid w:val="00E5529D"/>
    <w:rsid w:val="00E556D8"/>
    <w:rsid w:val="00E55705"/>
    <w:rsid w:val="00E55823"/>
    <w:rsid w:val="00E563A4"/>
    <w:rsid w:val="00E568C6"/>
    <w:rsid w:val="00E56B02"/>
    <w:rsid w:val="00E56C95"/>
    <w:rsid w:val="00E572DC"/>
    <w:rsid w:val="00E578B8"/>
    <w:rsid w:val="00E578FD"/>
    <w:rsid w:val="00E57E39"/>
    <w:rsid w:val="00E57FD0"/>
    <w:rsid w:val="00E60245"/>
    <w:rsid w:val="00E608E3"/>
    <w:rsid w:val="00E60B13"/>
    <w:rsid w:val="00E60CCC"/>
    <w:rsid w:val="00E60E9B"/>
    <w:rsid w:val="00E61010"/>
    <w:rsid w:val="00E617A5"/>
    <w:rsid w:val="00E61900"/>
    <w:rsid w:val="00E61F61"/>
    <w:rsid w:val="00E62362"/>
    <w:rsid w:val="00E62E45"/>
    <w:rsid w:val="00E62FFA"/>
    <w:rsid w:val="00E63354"/>
    <w:rsid w:val="00E634EC"/>
    <w:rsid w:val="00E637CE"/>
    <w:rsid w:val="00E63F03"/>
    <w:rsid w:val="00E64329"/>
    <w:rsid w:val="00E646FC"/>
    <w:rsid w:val="00E6520F"/>
    <w:rsid w:val="00E66330"/>
    <w:rsid w:val="00E6659F"/>
    <w:rsid w:val="00E66769"/>
    <w:rsid w:val="00E70134"/>
    <w:rsid w:val="00E705CC"/>
    <w:rsid w:val="00E70751"/>
    <w:rsid w:val="00E70D52"/>
    <w:rsid w:val="00E714F3"/>
    <w:rsid w:val="00E716A2"/>
    <w:rsid w:val="00E72AA6"/>
    <w:rsid w:val="00E72BB6"/>
    <w:rsid w:val="00E7313C"/>
    <w:rsid w:val="00E7327C"/>
    <w:rsid w:val="00E738A8"/>
    <w:rsid w:val="00E73CD8"/>
    <w:rsid w:val="00E74520"/>
    <w:rsid w:val="00E74891"/>
    <w:rsid w:val="00E74C38"/>
    <w:rsid w:val="00E74D0C"/>
    <w:rsid w:val="00E75011"/>
    <w:rsid w:val="00E75726"/>
    <w:rsid w:val="00E75756"/>
    <w:rsid w:val="00E75E6D"/>
    <w:rsid w:val="00E760A7"/>
    <w:rsid w:val="00E763AE"/>
    <w:rsid w:val="00E767AA"/>
    <w:rsid w:val="00E76A37"/>
    <w:rsid w:val="00E76E07"/>
    <w:rsid w:val="00E76E8E"/>
    <w:rsid w:val="00E76FEA"/>
    <w:rsid w:val="00E77E02"/>
    <w:rsid w:val="00E80B37"/>
    <w:rsid w:val="00E81115"/>
    <w:rsid w:val="00E81356"/>
    <w:rsid w:val="00E813A1"/>
    <w:rsid w:val="00E814A3"/>
    <w:rsid w:val="00E81EAF"/>
    <w:rsid w:val="00E828D2"/>
    <w:rsid w:val="00E83226"/>
    <w:rsid w:val="00E83818"/>
    <w:rsid w:val="00E83B54"/>
    <w:rsid w:val="00E8410E"/>
    <w:rsid w:val="00E8496D"/>
    <w:rsid w:val="00E84B13"/>
    <w:rsid w:val="00E84F08"/>
    <w:rsid w:val="00E8532F"/>
    <w:rsid w:val="00E85430"/>
    <w:rsid w:val="00E85E0B"/>
    <w:rsid w:val="00E85F9C"/>
    <w:rsid w:val="00E866AD"/>
    <w:rsid w:val="00E868E0"/>
    <w:rsid w:val="00E87081"/>
    <w:rsid w:val="00E876D9"/>
    <w:rsid w:val="00E903F4"/>
    <w:rsid w:val="00E904D1"/>
    <w:rsid w:val="00E9081A"/>
    <w:rsid w:val="00E90B60"/>
    <w:rsid w:val="00E9159B"/>
    <w:rsid w:val="00E91D7D"/>
    <w:rsid w:val="00E91FE5"/>
    <w:rsid w:val="00E927ED"/>
    <w:rsid w:val="00E93384"/>
    <w:rsid w:val="00E935E5"/>
    <w:rsid w:val="00E93731"/>
    <w:rsid w:val="00E93866"/>
    <w:rsid w:val="00E939B7"/>
    <w:rsid w:val="00E93D57"/>
    <w:rsid w:val="00E94730"/>
    <w:rsid w:val="00E94780"/>
    <w:rsid w:val="00E948E2"/>
    <w:rsid w:val="00E94B26"/>
    <w:rsid w:val="00E94F8B"/>
    <w:rsid w:val="00E95700"/>
    <w:rsid w:val="00E9573A"/>
    <w:rsid w:val="00E96377"/>
    <w:rsid w:val="00E96638"/>
    <w:rsid w:val="00E9689E"/>
    <w:rsid w:val="00E96A64"/>
    <w:rsid w:val="00E974E6"/>
    <w:rsid w:val="00E97BA1"/>
    <w:rsid w:val="00EA135B"/>
    <w:rsid w:val="00EA1A6E"/>
    <w:rsid w:val="00EA1A99"/>
    <w:rsid w:val="00EA1AC4"/>
    <w:rsid w:val="00EA2017"/>
    <w:rsid w:val="00EA22C7"/>
    <w:rsid w:val="00EA262F"/>
    <w:rsid w:val="00EA291A"/>
    <w:rsid w:val="00EA2B68"/>
    <w:rsid w:val="00EA2E18"/>
    <w:rsid w:val="00EA2FD1"/>
    <w:rsid w:val="00EA34C1"/>
    <w:rsid w:val="00EA35A1"/>
    <w:rsid w:val="00EA38CA"/>
    <w:rsid w:val="00EA3F03"/>
    <w:rsid w:val="00EA40F6"/>
    <w:rsid w:val="00EA48A0"/>
    <w:rsid w:val="00EA5299"/>
    <w:rsid w:val="00EA53E1"/>
    <w:rsid w:val="00EA54BD"/>
    <w:rsid w:val="00EA5650"/>
    <w:rsid w:val="00EA5755"/>
    <w:rsid w:val="00EA581B"/>
    <w:rsid w:val="00EA58FF"/>
    <w:rsid w:val="00EA590C"/>
    <w:rsid w:val="00EA5A35"/>
    <w:rsid w:val="00EA5B9A"/>
    <w:rsid w:val="00EA5D87"/>
    <w:rsid w:val="00EA6DD0"/>
    <w:rsid w:val="00EA6E69"/>
    <w:rsid w:val="00EA708E"/>
    <w:rsid w:val="00EA7136"/>
    <w:rsid w:val="00EA7275"/>
    <w:rsid w:val="00EA7750"/>
    <w:rsid w:val="00EA7B14"/>
    <w:rsid w:val="00EB0981"/>
    <w:rsid w:val="00EB1654"/>
    <w:rsid w:val="00EB1B01"/>
    <w:rsid w:val="00EB1B85"/>
    <w:rsid w:val="00EB1C6D"/>
    <w:rsid w:val="00EB1D41"/>
    <w:rsid w:val="00EB1E15"/>
    <w:rsid w:val="00EB2226"/>
    <w:rsid w:val="00EB244C"/>
    <w:rsid w:val="00EB2BB6"/>
    <w:rsid w:val="00EB307F"/>
    <w:rsid w:val="00EB30C4"/>
    <w:rsid w:val="00EB30D0"/>
    <w:rsid w:val="00EB3CCD"/>
    <w:rsid w:val="00EB3D29"/>
    <w:rsid w:val="00EB43F0"/>
    <w:rsid w:val="00EB4590"/>
    <w:rsid w:val="00EB4EC0"/>
    <w:rsid w:val="00EB5D6A"/>
    <w:rsid w:val="00EB6854"/>
    <w:rsid w:val="00EB6EC5"/>
    <w:rsid w:val="00EB7887"/>
    <w:rsid w:val="00EB78EB"/>
    <w:rsid w:val="00EC00E4"/>
    <w:rsid w:val="00EC0542"/>
    <w:rsid w:val="00EC0BCC"/>
    <w:rsid w:val="00EC11FC"/>
    <w:rsid w:val="00EC170A"/>
    <w:rsid w:val="00EC1E75"/>
    <w:rsid w:val="00EC1F8B"/>
    <w:rsid w:val="00EC202E"/>
    <w:rsid w:val="00EC2A99"/>
    <w:rsid w:val="00EC3C05"/>
    <w:rsid w:val="00EC3F9E"/>
    <w:rsid w:val="00EC4826"/>
    <w:rsid w:val="00EC4C13"/>
    <w:rsid w:val="00EC54E0"/>
    <w:rsid w:val="00EC599E"/>
    <w:rsid w:val="00EC5ABC"/>
    <w:rsid w:val="00EC6CE8"/>
    <w:rsid w:val="00EC6D7E"/>
    <w:rsid w:val="00EC70F2"/>
    <w:rsid w:val="00EC71D3"/>
    <w:rsid w:val="00EC7579"/>
    <w:rsid w:val="00EC78B0"/>
    <w:rsid w:val="00EC79AD"/>
    <w:rsid w:val="00EC79E5"/>
    <w:rsid w:val="00EC7C9C"/>
    <w:rsid w:val="00EC7FB2"/>
    <w:rsid w:val="00ED0236"/>
    <w:rsid w:val="00ED066A"/>
    <w:rsid w:val="00ED0D39"/>
    <w:rsid w:val="00ED1B1B"/>
    <w:rsid w:val="00ED1C44"/>
    <w:rsid w:val="00ED1F0A"/>
    <w:rsid w:val="00ED1FBC"/>
    <w:rsid w:val="00ED2354"/>
    <w:rsid w:val="00ED36B6"/>
    <w:rsid w:val="00ED3B62"/>
    <w:rsid w:val="00ED40A1"/>
    <w:rsid w:val="00ED5557"/>
    <w:rsid w:val="00ED5DAF"/>
    <w:rsid w:val="00ED5EF0"/>
    <w:rsid w:val="00ED5FDD"/>
    <w:rsid w:val="00ED6418"/>
    <w:rsid w:val="00ED6C55"/>
    <w:rsid w:val="00ED7418"/>
    <w:rsid w:val="00ED7B11"/>
    <w:rsid w:val="00EE0DE9"/>
    <w:rsid w:val="00EE1B03"/>
    <w:rsid w:val="00EE21D1"/>
    <w:rsid w:val="00EE24CF"/>
    <w:rsid w:val="00EE2514"/>
    <w:rsid w:val="00EE2635"/>
    <w:rsid w:val="00EE2668"/>
    <w:rsid w:val="00EE276F"/>
    <w:rsid w:val="00EE2C3E"/>
    <w:rsid w:val="00EE306F"/>
    <w:rsid w:val="00EE3A1E"/>
    <w:rsid w:val="00EE49F5"/>
    <w:rsid w:val="00EE538F"/>
    <w:rsid w:val="00EE60E5"/>
    <w:rsid w:val="00EE70F5"/>
    <w:rsid w:val="00EE7309"/>
    <w:rsid w:val="00EE73DE"/>
    <w:rsid w:val="00EE7A02"/>
    <w:rsid w:val="00EF02E3"/>
    <w:rsid w:val="00EF16BA"/>
    <w:rsid w:val="00EF16BF"/>
    <w:rsid w:val="00EF186C"/>
    <w:rsid w:val="00EF1C6C"/>
    <w:rsid w:val="00EF2D49"/>
    <w:rsid w:val="00EF2E64"/>
    <w:rsid w:val="00EF381D"/>
    <w:rsid w:val="00EF3B61"/>
    <w:rsid w:val="00EF4BEE"/>
    <w:rsid w:val="00EF531C"/>
    <w:rsid w:val="00EF5704"/>
    <w:rsid w:val="00EF645C"/>
    <w:rsid w:val="00EF671A"/>
    <w:rsid w:val="00EF6F97"/>
    <w:rsid w:val="00EF74C5"/>
    <w:rsid w:val="00EF76AD"/>
    <w:rsid w:val="00EF785A"/>
    <w:rsid w:val="00EF7879"/>
    <w:rsid w:val="00EF799D"/>
    <w:rsid w:val="00F00506"/>
    <w:rsid w:val="00F00634"/>
    <w:rsid w:val="00F00E1A"/>
    <w:rsid w:val="00F01274"/>
    <w:rsid w:val="00F0135F"/>
    <w:rsid w:val="00F01442"/>
    <w:rsid w:val="00F0152E"/>
    <w:rsid w:val="00F01645"/>
    <w:rsid w:val="00F01C98"/>
    <w:rsid w:val="00F020D2"/>
    <w:rsid w:val="00F02437"/>
    <w:rsid w:val="00F0252F"/>
    <w:rsid w:val="00F02C3A"/>
    <w:rsid w:val="00F02EC2"/>
    <w:rsid w:val="00F03127"/>
    <w:rsid w:val="00F03764"/>
    <w:rsid w:val="00F039A5"/>
    <w:rsid w:val="00F039C5"/>
    <w:rsid w:val="00F03B30"/>
    <w:rsid w:val="00F046F7"/>
    <w:rsid w:val="00F04910"/>
    <w:rsid w:val="00F049F8"/>
    <w:rsid w:val="00F05A88"/>
    <w:rsid w:val="00F05A98"/>
    <w:rsid w:val="00F0665C"/>
    <w:rsid w:val="00F068E9"/>
    <w:rsid w:val="00F06F14"/>
    <w:rsid w:val="00F06FB1"/>
    <w:rsid w:val="00F07191"/>
    <w:rsid w:val="00F07773"/>
    <w:rsid w:val="00F10206"/>
    <w:rsid w:val="00F10377"/>
    <w:rsid w:val="00F10B7E"/>
    <w:rsid w:val="00F112A9"/>
    <w:rsid w:val="00F113F1"/>
    <w:rsid w:val="00F11792"/>
    <w:rsid w:val="00F1180A"/>
    <w:rsid w:val="00F13BA3"/>
    <w:rsid w:val="00F14176"/>
    <w:rsid w:val="00F14C4C"/>
    <w:rsid w:val="00F14E78"/>
    <w:rsid w:val="00F152E3"/>
    <w:rsid w:val="00F15AF6"/>
    <w:rsid w:val="00F16A29"/>
    <w:rsid w:val="00F16D6E"/>
    <w:rsid w:val="00F16F90"/>
    <w:rsid w:val="00F171DB"/>
    <w:rsid w:val="00F1745E"/>
    <w:rsid w:val="00F17C9D"/>
    <w:rsid w:val="00F17F1D"/>
    <w:rsid w:val="00F2026E"/>
    <w:rsid w:val="00F2098B"/>
    <w:rsid w:val="00F2159C"/>
    <w:rsid w:val="00F21A2A"/>
    <w:rsid w:val="00F2214A"/>
    <w:rsid w:val="00F22483"/>
    <w:rsid w:val="00F22691"/>
    <w:rsid w:val="00F22847"/>
    <w:rsid w:val="00F22A59"/>
    <w:rsid w:val="00F23055"/>
    <w:rsid w:val="00F23063"/>
    <w:rsid w:val="00F23159"/>
    <w:rsid w:val="00F233F9"/>
    <w:rsid w:val="00F2354A"/>
    <w:rsid w:val="00F23C4C"/>
    <w:rsid w:val="00F24064"/>
    <w:rsid w:val="00F2435F"/>
    <w:rsid w:val="00F2445A"/>
    <w:rsid w:val="00F2475F"/>
    <w:rsid w:val="00F247E7"/>
    <w:rsid w:val="00F250A7"/>
    <w:rsid w:val="00F25463"/>
    <w:rsid w:val="00F259CF"/>
    <w:rsid w:val="00F25BE4"/>
    <w:rsid w:val="00F263F0"/>
    <w:rsid w:val="00F2656A"/>
    <w:rsid w:val="00F2766C"/>
    <w:rsid w:val="00F27B84"/>
    <w:rsid w:val="00F27F3F"/>
    <w:rsid w:val="00F302F9"/>
    <w:rsid w:val="00F3030E"/>
    <w:rsid w:val="00F305D3"/>
    <w:rsid w:val="00F30635"/>
    <w:rsid w:val="00F30664"/>
    <w:rsid w:val="00F30821"/>
    <w:rsid w:val="00F30BC3"/>
    <w:rsid w:val="00F30E05"/>
    <w:rsid w:val="00F3172C"/>
    <w:rsid w:val="00F324C8"/>
    <w:rsid w:val="00F32647"/>
    <w:rsid w:val="00F3328C"/>
    <w:rsid w:val="00F3339A"/>
    <w:rsid w:val="00F334CE"/>
    <w:rsid w:val="00F337AB"/>
    <w:rsid w:val="00F33D51"/>
    <w:rsid w:val="00F343E1"/>
    <w:rsid w:val="00F34AF7"/>
    <w:rsid w:val="00F35040"/>
    <w:rsid w:val="00F350FE"/>
    <w:rsid w:val="00F354C4"/>
    <w:rsid w:val="00F35546"/>
    <w:rsid w:val="00F357D0"/>
    <w:rsid w:val="00F3590C"/>
    <w:rsid w:val="00F3593A"/>
    <w:rsid w:val="00F35B24"/>
    <w:rsid w:val="00F35DB2"/>
    <w:rsid w:val="00F36144"/>
    <w:rsid w:val="00F3624C"/>
    <w:rsid w:val="00F365BD"/>
    <w:rsid w:val="00F36C1B"/>
    <w:rsid w:val="00F37282"/>
    <w:rsid w:val="00F37F40"/>
    <w:rsid w:val="00F4030C"/>
    <w:rsid w:val="00F40A53"/>
    <w:rsid w:val="00F40FB0"/>
    <w:rsid w:val="00F41185"/>
    <w:rsid w:val="00F418FF"/>
    <w:rsid w:val="00F41ADC"/>
    <w:rsid w:val="00F42267"/>
    <w:rsid w:val="00F4234C"/>
    <w:rsid w:val="00F42624"/>
    <w:rsid w:val="00F4283B"/>
    <w:rsid w:val="00F42A66"/>
    <w:rsid w:val="00F42C57"/>
    <w:rsid w:val="00F42D38"/>
    <w:rsid w:val="00F43E5E"/>
    <w:rsid w:val="00F442DF"/>
    <w:rsid w:val="00F44B23"/>
    <w:rsid w:val="00F44C53"/>
    <w:rsid w:val="00F45554"/>
    <w:rsid w:val="00F45769"/>
    <w:rsid w:val="00F47019"/>
    <w:rsid w:val="00F47938"/>
    <w:rsid w:val="00F47F10"/>
    <w:rsid w:val="00F47FFC"/>
    <w:rsid w:val="00F50656"/>
    <w:rsid w:val="00F507F5"/>
    <w:rsid w:val="00F51084"/>
    <w:rsid w:val="00F51710"/>
    <w:rsid w:val="00F5197E"/>
    <w:rsid w:val="00F5239D"/>
    <w:rsid w:val="00F523B7"/>
    <w:rsid w:val="00F52918"/>
    <w:rsid w:val="00F536B8"/>
    <w:rsid w:val="00F5407B"/>
    <w:rsid w:val="00F54432"/>
    <w:rsid w:val="00F54441"/>
    <w:rsid w:val="00F54A23"/>
    <w:rsid w:val="00F55B2B"/>
    <w:rsid w:val="00F56970"/>
    <w:rsid w:val="00F56973"/>
    <w:rsid w:val="00F5702C"/>
    <w:rsid w:val="00F6098A"/>
    <w:rsid w:val="00F60CFB"/>
    <w:rsid w:val="00F61216"/>
    <w:rsid w:val="00F6141E"/>
    <w:rsid w:val="00F61804"/>
    <w:rsid w:val="00F620DE"/>
    <w:rsid w:val="00F62191"/>
    <w:rsid w:val="00F62EBD"/>
    <w:rsid w:val="00F62F37"/>
    <w:rsid w:val="00F6316F"/>
    <w:rsid w:val="00F63364"/>
    <w:rsid w:val="00F64538"/>
    <w:rsid w:val="00F645C1"/>
    <w:rsid w:val="00F64BEF"/>
    <w:rsid w:val="00F64CEB"/>
    <w:rsid w:val="00F64DD4"/>
    <w:rsid w:val="00F64E22"/>
    <w:rsid w:val="00F64E88"/>
    <w:rsid w:val="00F6622C"/>
    <w:rsid w:val="00F66336"/>
    <w:rsid w:val="00F668F7"/>
    <w:rsid w:val="00F66B49"/>
    <w:rsid w:val="00F66B5D"/>
    <w:rsid w:val="00F66C69"/>
    <w:rsid w:val="00F66CFD"/>
    <w:rsid w:val="00F66FB9"/>
    <w:rsid w:val="00F67094"/>
    <w:rsid w:val="00F67EFC"/>
    <w:rsid w:val="00F67F99"/>
    <w:rsid w:val="00F7092D"/>
    <w:rsid w:val="00F70A45"/>
    <w:rsid w:val="00F70BDC"/>
    <w:rsid w:val="00F70EE1"/>
    <w:rsid w:val="00F70EEA"/>
    <w:rsid w:val="00F71B70"/>
    <w:rsid w:val="00F72161"/>
    <w:rsid w:val="00F722B1"/>
    <w:rsid w:val="00F72543"/>
    <w:rsid w:val="00F72A27"/>
    <w:rsid w:val="00F72FC3"/>
    <w:rsid w:val="00F73622"/>
    <w:rsid w:val="00F75860"/>
    <w:rsid w:val="00F7606C"/>
    <w:rsid w:val="00F7651F"/>
    <w:rsid w:val="00F77115"/>
    <w:rsid w:val="00F775CD"/>
    <w:rsid w:val="00F77623"/>
    <w:rsid w:val="00F77738"/>
    <w:rsid w:val="00F779C7"/>
    <w:rsid w:val="00F77FCB"/>
    <w:rsid w:val="00F8004A"/>
    <w:rsid w:val="00F805F8"/>
    <w:rsid w:val="00F80CAA"/>
    <w:rsid w:val="00F81FA2"/>
    <w:rsid w:val="00F82232"/>
    <w:rsid w:val="00F823B6"/>
    <w:rsid w:val="00F839E5"/>
    <w:rsid w:val="00F83B8C"/>
    <w:rsid w:val="00F846FB"/>
    <w:rsid w:val="00F84A00"/>
    <w:rsid w:val="00F84FE1"/>
    <w:rsid w:val="00F85183"/>
    <w:rsid w:val="00F85532"/>
    <w:rsid w:val="00F85796"/>
    <w:rsid w:val="00F85F3E"/>
    <w:rsid w:val="00F86662"/>
    <w:rsid w:val="00F86686"/>
    <w:rsid w:val="00F872B8"/>
    <w:rsid w:val="00F874F4"/>
    <w:rsid w:val="00F87686"/>
    <w:rsid w:val="00F87ABE"/>
    <w:rsid w:val="00F87CEB"/>
    <w:rsid w:val="00F87E7F"/>
    <w:rsid w:val="00F904D6"/>
    <w:rsid w:val="00F907DD"/>
    <w:rsid w:val="00F90C46"/>
    <w:rsid w:val="00F90C88"/>
    <w:rsid w:val="00F90F30"/>
    <w:rsid w:val="00F92C75"/>
    <w:rsid w:val="00F93498"/>
    <w:rsid w:val="00F9369F"/>
    <w:rsid w:val="00F937F1"/>
    <w:rsid w:val="00F93FC3"/>
    <w:rsid w:val="00F94044"/>
    <w:rsid w:val="00F94426"/>
    <w:rsid w:val="00F945E2"/>
    <w:rsid w:val="00F94E4D"/>
    <w:rsid w:val="00F9519A"/>
    <w:rsid w:val="00F956A4"/>
    <w:rsid w:val="00F95D6F"/>
    <w:rsid w:val="00F95F76"/>
    <w:rsid w:val="00F9696E"/>
    <w:rsid w:val="00F9764E"/>
    <w:rsid w:val="00F978C5"/>
    <w:rsid w:val="00F97D4D"/>
    <w:rsid w:val="00FA042E"/>
    <w:rsid w:val="00FA05D6"/>
    <w:rsid w:val="00FA06BE"/>
    <w:rsid w:val="00FA078C"/>
    <w:rsid w:val="00FA0846"/>
    <w:rsid w:val="00FA08D3"/>
    <w:rsid w:val="00FA0A12"/>
    <w:rsid w:val="00FA0F91"/>
    <w:rsid w:val="00FA1382"/>
    <w:rsid w:val="00FA1BE9"/>
    <w:rsid w:val="00FA1C82"/>
    <w:rsid w:val="00FA24CD"/>
    <w:rsid w:val="00FA2584"/>
    <w:rsid w:val="00FA296E"/>
    <w:rsid w:val="00FA2EA6"/>
    <w:rsid w:val="00FA34EF"/>
    <w:rsid w:val="00FA38B1"/>
    <w:rsid w:val="00FA45BB"/>
    <w:rsid w:val="00FA55A4"/>
    <w:rsid w:val="00FA5E5F"/>
    <w:rsid w:val="00FA6BB2"/>
    <w:rsid w:val="00FA73A5"/>
    <w:rsid w:val="00FA7807"/>
    <w:rsid w:val="00FA7CA7"/>
    <w:rsid w:val="00FA7E25"/>
    <w:rsid w:val="00FB06EC"/>
    <w:rsid w:val="00FB10CD"/>
    <w:rsid w:val="00FB1367"/>
    <w:rsid w:val="00FB18EA"/>
    <w:rsid w:val="00FB1C88"/>
    <w:rsid w:val="00FB1CDE"/>
    <w:rsid w:val="00FB1F1D"/>
    <w:rsid w:val="00FB254F"/>
    <w:rsid w:val="00FB3234"/>
    <w:rsid w:val="00FB3246"/>
    <w:rsid w:val="00FB33E5"/>
    <w:rsid w:val="00FB44D7"/>
    <w:rsid w:val="00FB49C8"/>
    <w:rsid w:val="00FB4C1B"/>
    <w:rsid w:val="00FB4D18"/>
    <w:rsid w:val="00FB4DBF"/>
    <w:rsid w:val="00FB500D"/>
    <w:rsid w:val="00FB59B7"/>
    <w:rsid w:val="00FB5EC7"/>
    <w:rsid w:val="00FB6333"/>
    <w:rsid w:val="00FB6E4B"/>
    <w:rsid w:val="00FB6F29"/>
    <w:rsid w:val="00FB7084"/>
    <w:rsid w:val="00FB7BCD"/>
    <w:rsid w:val="00FB7EA5"/>
    <w:rsid w:val="00FB7F88"/>
    <w:rsid w:val="00FC030B"/>
    <w:rsid w:val="00FC0477"/>
    <w:rsid w:val="00FC0741"/>
    <w:rsid w:val="00FC18EF"/>
    <w:rsid w:val="00FC1A0C"/>
    <w:rsid w:val="00FC1E3F"/>
    <w:rsid w:val="00FC1EB5"/>
    <w:rsid w:val="00FC2432"/>
    <w:rsid w:val="00FC31DB"/>
    <w:rsid w:val="00FC332B"/>
    <w:rsid w:val="00FC35FB"/>
    <w:rsid w:val="00FC3881"/>
    <w:rsid w:val="00FC3C5E"/>
    <w:rsid w:val="00FC3E53"/>
    <w:rsid w:val="00FC3E7F"/>
    <w:rsid w:val="00FC4716"/>
    <w:rsid w:val="00FC60FB"/>
    <w:rsid w:val="00FC66F7"/>
    <w:rsid w:val="00FC70C9"/>
    <w:rsid w:val="00FC7739"/>
    <w:rsid w:val="00FC788E"/>
    <w:rsid w:val="00FC7AA0"/>
    <w:rsid w:val="00FC7E88"/>
    <w:rsid w:val="00FD0E15"/>
    <w:rsid w:val="00FD139B"/>
    <w:rsid w:val="00FD1B18"/>
    <w:rsid w:val="00FD1B58"/>
    <w:rsid w:val="00FD20F6"/>
    <w:rsid w:val="00FD2326"/>
    <w:rsid w:val="00FD2578"/>
    <w:rsid w:val="00FD2AA3"/>
    <w:rsid w:val="00FD2B16"/>
    <w:rsid w:val="00FD32F7"/>
    <w:rsid w:val="00FD333B"/>
    <w:rsid w:val="00FD34DA"/>
    <w:rsid w:val="00FD3ECA"/>
    <w:rsid w:val="00FD409E"/>
    <w:rsid w:val="00FD4221"/>
    <w:rsid w:val="00FD42C1"/>
    <w:rsid w:val="00FD4334"/>
    <w:rsid w:val="00FD4AF0"/>
    <w:rsid w:val="00FD52FF"/>
    <w:rsid w:val="00FD5FE3"/>
    <w:rsid w:val="00FD6A5C"/>
    <w:rsid w:val="00FD7455"/>
    <w:rsid w:val="00FD7786"/>
    <w:rsid w:val="00FD7965"/>
    <w:rsid w:val="00FE0032"/>
    <w:rsid w:val="00FE0B9F"/>
    <w:rsid w:val="00FE1537"/>
    <w:rsid w:val="00FE1AAF"/>
    <w:rsid w:val="00FE1CBC"/>
    <w:rsid w:val="00FE2F9E"/>
    <w:rsid w:val="00FE3B93"/>
    <w:rsid w:val="00FE3EF7"/>
    <w:rsid w:val="00FE4441"/>
    <w:rsid w:val="00FE48C6"/>
    <w:rsid w:val="00FE4B88"/>
    <w:rsid w:val="00FE52F2"/>
    <w:rsid w:val="00FE5804"/>
    <w:rsid w:val="00FE5A37"/>
    <w:rsid w:val="00FE5AFD"/>
    <w:rsid w:val="00FE5C6D"/>
    <w:rsid w:val="00FE5D79"/>
    <w:rsid w:val="00FE5FA7"/>
    <w:rsid w:val="00FE62EF"/>
    <w:rsid w:val="00FE6571"/>
    <w:rsid w:val="00FE6D0C"/>
    <w:rsid w:val="00FE6F6F"/>
    <w:rsid w:val="00FE6FE7"/>
    <w:rsid w:val="00FE7B07"/>
    <w:rsid w:val="00FF02FB"/>
    <w:rsid w:val="00FF07A2"/>
    <w:rsid w:val="00FF0C50"/>
    <w:rsid w:val="00FF0E15"/>
    <w:rsid w:val="00FF1A6A"/>
    <w:rsid w:val="00FF1B59"/>
    <w:rsid w:val="00FF1DAC"/>
    <w:rsid w:val="00FF2773"/>
    <w:rsid w:val="00FF28E3"/>
    <w:rsid w:val="00FF4AC0"/>
    <w:rsid w:val="00FF4E01"/>
    <w:rsid w:val="00FF5133"/>
    <w:rsid w:val="00FF59B1"/>
    <w:rsid w:val="00FF5BF7"/>
    <w:rsid w:val="00FF5D8D"/>
    <w:rsid w:val="00FF630B"/>
    <w:rsid w:val="00FF6499"/>
    <w:rsid w:val="00F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0715"/>
  <w15:docId w15:val="{5E73AD9D-B258-46BC-85DB-C572BDA0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55"/>
  </w:style>
  <w:style w:type="paragraph" w:styleId="Heading1">
    <w:name w:val="heading 1"/>
    <w:basedOn w:val="Normal"/>
    <w:next w:val="Normal"/>
    <w:link w:val="Heading1Char"/>
    <w:uiPriority w:val="9"/>
    <w:qFormat/>
    <w:rsid w:val="003253C6"/>
    <w:pPr>
      <w:keepNext/>
      <w:keepLines/>
      <w:spacing w:before="480" w:after="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after="0"/>
      <w:outlineLvl w:val="1"/>
    </w:pPr>
    <w:rPr>
      <w:rFonts w:asciiTheme="majorHAnsi" w:eastAsiaTheme="majorEastAsia" w:hAnsiTheme="majorHAnsi" w:cstheme="majorBidi"/>
      <w:b/>
      <w:bCs/>
      <w:color w:val="6076B4" w:themeColor="accent1"/>
      <w:sz w:val="26"/>
      <w:szCs w:val="26"/>
    </w:rPr>
  </w:style>
  <w:style w:type="paragraph" w:styleId="Heading4">
    <w:name w:val="heading 4"/>
    <w:basedOn w:val="Normal"/>
    <w:next w:val="Normal"/>
    <w:link w:val="Heading4Char"/>
    <w:uiPriority w:val="9"/>
    <w:semiHidden/>
    <w:unhideWhenUsed/>
    <w:qFormat/>
    <w:rsid w:val="0021275E"/>
    <w:pPr>
      <w:keepNext/>
      <w:keepLines/>
      <w:spacing w:before="40" w:after="0"/>
      <w:outlineLvl w:val="3"/>
    </w:pPr>
    <w:rPr>
      <w:rFonts w:asciiTheme="majorHAnsi" w:eastAsiaTheme="majorEastAsia" w:hAnsiTheme="majorHAnsi" w:cstheme="majorBidi"/>
      <w:i/>
      <w:iCs/>
      <w:color w:val="4255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pPr>
      <w:spacing w:after="0" w:line="240" w:lineRule="auto"/>
    </w:pPr>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pPr>
      <w:spacing w:after="0" w:line="240" w:lineRule="auto"/>
    </w:pPr>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line="240" w:lineRule="auto"/>
    </w:pPr>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CB2E39"/>
    <w:pPr>
      <w:tabs>
        <w:tab w:val="left" w:pos="180"/>
        <w:tab w:val="right" w:leader="dot" w:pos="10070"/>
      </w:tabs>
      <w:spacing w:after="100"/>
    </w:pPr>
    <w:rPr>
      <w:rFonts w:ascii="Garamond" w:eastAsia="Times New Roman" w:hAnsi="Garamond" w:cs="Times New Roman"/>
      <w:noProof/>
    </w:rPr>
  </w:style>
  <w:style w:type="paragraph" w:styleId="TOC2">
    <w:name w:val="toc 2"/>
    <w:basedOn w:val="Normal"/>
    <w:next w:val="Normal"/>
    <w:autoRedefine/>
    <w:uiPriority w:val="39"/>
    <w:unhideWhenUsed/>
    <w:rsid w:val="008943D8"/>
    <w:pPr>
      <w:tabs>
        <w:tab w:val="right" w:leader="dot" w:pos="10070"/>
      </w:tabs>
      <w:spacing w:after="100"/>
    </w:pPr>
  </w:style>
  <w:style w:type="paragraph" w:styleId="NormalWeb">
    <w:name w:val="Normal (Web)"/>
    <w:basedOn w:val="Normal"/>
    <w:uiPriority w:val="99"/>
    <w:unhideWhenUsed/>
    <w:rsid w:val="00040884"/>
    <w:pPr>
      <w:spacing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2C3BE0"/>
    <w:pPr>
      <w:spacing w:line="240" w:lineRule="auto"/>
    </w:pPr>
    <w:rPr>
      <w:b/>
      <w:bCs/>
      <w:color w:val="6076B4" w:themeColor="accent1"/>
      <w:sz w:val="18"/>
      <w:szCs w:val="18"/>
    </w:rPr>
  </w:style>
  <w:style w:type="character" w:customStyle="1" w:styleId="UnresolvedMention2">
    <w:name w:val="Unresolved Mention2"/>
    <w:basedOn w:val="DefaultParagraphFont"/>
    <w:uiPriority w:val="99"/>
    <w:semiHidden/>
    <w:unhideWhenUsed/>
    <w:rsid w:val="00804E4E"/>
    <w:rPr>
      <w:color w:val="605E5C"/>
      <w:shd w:val="clear" w:color="auto" w:fill="E1DFDD"/>
    </w:rPr>
  </w:style>
  <w:style w:type="character" w:customStyle="1" w:styleId="UnresolvedMention3">
    <w:name w:val="Unresolved Mention3"/>
    <w:basedOn w:val="DefaultParagraphFont"/>
    <w:uiPriority w:val="99"/>
    <w:semiHidden/>
    <w:unhideWhenUsed/>
    <w:rsid w:val="008F543F"/>
    <w:rPr>
      <w:color w:val="605E5C"/>
      <w:shd w:val="clear" w:color="auto" w:fill="E1DFDD"/>
    </w:rPr>
  </w:style>
  <w:style w:type="character" w:customStyle="1" w:styleId="UnresolvedMention4">
    <w:name w:val="Unresolved Mention4"/>
    <w:basedOn w:val="DefaultParagraphFont"/>
    <w:uiPriority w:val="99"/>
    <w:semiHidden/>
    <w:unhideWhenUsed/>
    <w:rsid w:val="000C6B59"/>
    <w:rPr>
      <w:color w:val="605E5C"/>
      <w:shd w:val="clear" w:color="auto" w:fill="E1DFDD"/>
    </w:rPr>
  </w:style>
  <w:style w:type="character" w:customStyle="1" w:styleId="UnresolvedMention5">
    <w:name w:val="Unresolved Mention5"/>
    <w:basedOn w:val="DefaultParagraphFont"/>
    <w:uiPriority w:val="99"/>
    <w:semiHidden/>
    <w:unhideWhenUsed/>
    <w:rsid w:val="006A0734"/>
    <w:rPr>
      <w:color w:val="605E5C"/>
      <w:shd w:val="clear" w:color="auto" w:fill="E1DFDD"/>
    </w:rPr>
  </w:style>
  <w:style w:type="paragraph" w:styleId="HTMLPreformatted">
    <w:name w:val="HTML Preformatted"/>
    <w:basedOn w:val="Normal"/>
    <w:link w:val="HTMLPreformattedChar"/>
    <w:uiPriority w:val="99"/>
    <w:unhideWhenUsed/>
    <w:rsid w:val="00F64BE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64BEF"/>
    <w:rPr>
      <w:rFonts w:ascii="Consolas" w:hAnsi="Consolas" w:cs="Consolas"/>
      <w:sz w:val="20"/>
      <w:szCs w:val="20"/>
    </w:rPr>
  </w:style>
  <w:style w:type="character" w:customStyle="1" w:styleId="UnresolvedMention6">
    <w:name w:val="Unresolved Mention6"/>
    <w:basedOn w:val="DefaultParagraphFont"/>
    <w:uiPriority w:val="99"/>
    <w:semiHidden/>
    <w:unhideWhenUsed/>
    <w:rsid w:val="001C1271"/>
    <w:rPr>
      <w:color w:val="605E5C"/>
      <w:shd w:val="clear" w:color="auto" w:fill="E1DFDD"/>
    </w:rPr>
  </w:style>
  <w:style w:type="character" w:customStyle="1" w:styleId="UnresolvedMention7">
    <w:name w:val="Unresolved Mention7"/>
    <w:basedOn w:val="DefaultParagraphFont"/>
    <w:uiPriority w:val="99"/>
    <w:semiHidden/>
    <w:unhideWhenUsed/>
    <w:rsid w:val="000B6844"/>
    <w:rPr>
      <w:color w:val="605E5C"/>
      <w:shd w:val="clear" w:color="auto" w:fill="E1DFDD"/>
    </w:rPr>
  </w:style>
  <w:style w:type="character" w:styleId="Strong">
    <w:name w:val="Strong"/>
    <w:basedOn w:val="DefaultParagraphFont"/>
    <w:uiPriority w:val="22"/>
    <w:qFormat/>
    <w:rsid w:val="00152075"/>
    <w:rPr>
      <w:b/>
      <w:bCs/>
    </w:rPr>
  </w:style>
  <w:style w:type="character" w:customStyle="1" w:styleId="Heading4Char">
    <w:name w:val="Heading 4 Char"/>
    <w:basedOn w:val="DefaultParagraphFont"/>
    <w:link w:val="Heading4"/>
    <w:uiPriority w:val="9"/>
    <w:semiHidden/>
    <w:rsid w:val="0021275E"/>
    <w:rPr>
      <w:rFonts w:asciiTheme="majorHAnsi" w:eastAsiaTheme="majorEastAsia" w:hAnsiTheme="majorHAnsi" w:cstheme="majorBidi"/>
      <w:i/>
      <w:iCs/>
      <w:color w:val="42558C" w:themeColor="accent1" w:themeShade="BF"/>
    </w:rPr>
  </w:style>
  <w:style w:type="character" w:customStyle="1" w:styleId="apple-tab-span">
    <w:name w:val="apple-tab-span"/>
    <w:basedOn w:val="DefaultParagraphFont"/>
    <w:rsid w:val="00826F67"/>
  </w:style>
  <w:style w:type="paragraph" w:styleId="PlainText">
    <w:name w:val="Plain Text"/>
    <w:basedOn w:val="Normal"/>
    <w:link w:val="PlainTextChar"/>
    <w:uiPriority w:val="99"/>
    <w:unhideWhenUsed/>
    <w:rsid w:val="003D503F"/>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D503F"/>
    <w:rPr>
      <w:rFonts w:ascii="Calibri" w:hAnsi="Calibri" w:cs="Calibri"/>
    </w:rPr>
  </w:style>
  <w:style w:type="character" w:styleId="UnresolvedMention">
    <w:name w:val="Unresolved Mention"/>
    <w:basedOn w:val="DefaultParagraphFont"/>
    <w:uiPriority w:val="99"/>
    <w:semiHidden/>
    <w:unhideWhenUsed/>
    <w:rsid w:val="006B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99492372">
      <w:bodyDiv w:val="1"/>
      <w:marLeft w:val="0"/>
      <w:marRight w:val="0"/>
      <w:marTop w:val="0"/>
      <w:marBottom w:val="0"/>
      <w:divBdr>
        <w:top w:val="none" w:sz="0" w:space="0" w:color="auto"/>
        <w:left w:val="none" w:sz="0" w:space="0" w:color="auto"/>
        <w:bottom w:val="none" w:sz="0" w:space="0" w:color="auto"/>
        <w:right w:val="none" w:sz="0" w:space="0" w:color="auto"/>
      </w:divBdr>
    </w:div>
    <w:div w:id="115608499">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55477862">
      <w:bodyDiv w:val="1"/>
      <w:marLeft w:val="0"/>
      <w:marRight w:val="0"/>
      <w:marTop w:val="0"/>
      <w:marBottom w:val="0"/>
      <w:divBdr>
        <w:top w:val="none" w:sz="0" w:space="0" w:color="auto"/>
        <w:left w:val="none" w:sz="0" w:space="0" w:color="auto"/>
        <w:bottom w:val="none" w:sz="0" w:space="0" w:color="auto"/>
        <w:right w:val="none" w:sz="0" w:space="0" w:color="auto"/>
      </w:divBdr>
    </w:div>
    <w:div w:id="267202186">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318004419">
      <w:bodyDiv w:val="1"/>
      <w:marLeft w:val="0"/>
      <w:marRight w:val="0"/>
      <w:marTop w:val="0"/>
      <w:marBottom w:val="0"/>
      <w:divBdr>
        <w:top w:val="none" w:sz="0" w:space="0" w:color="auto"/>
        <w:left w:val="none" w:sz="0" w:space="0" w:color="auto"/>
        <w:bottom w:val="none" w:sz="0" w:space="0" w:color="auto"/>
        <w:right w:val="none" w:sz="0" w:space="0" w:color="auto"/>
      </w:divBdr>
    </w:div>
    <w:div w:id="332227037">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2453055">
      <w:bodyDiv w:val="1"/>
      <w:marLeft w:val="0"/>
      <w:marRight w:val="0"/>
      <w:marTop w:val="0"/>
      <w:marBottom w:val="0"/>
      <w:divBdr>
        <w:top w:val="none" w:sz="0" w:space="0" w:color="auto"/>
        <w:left w:val="none" w:sz="0" w:space="0" w:color="auto"/>
        <w:bottom w:val="none" w:sz="0" w:space="0" w:color="auto"/>
        <w:right w:val="none" w:sz="0" w:space="0" w:color="auto"/>
      </w:divBdr>
    </w:div>
    <w:div w:id="493028912">
      <w:bodyDiv w:val="1"/>
      <w:marLeft w:val="0"/>
      <w:marRight w:val="0"/>
      <w:marTop w:val="0"/>
      <w:marBottom w:val="0"/>
      <w:divBdr>
        <w:top w:val="none" w:sz="0" w:space="0" w:color="auto"/>
        <w:left w:val="none" w:sz="0" w:space="0" w:color="auto"/>
        <w:bottom w:val="none" w:sz="0" w:space="0" w:color="auto"/>
        <w:right w:val="none" w:sz="0" w:space="0" w:color="auto"/>
      </w:divBdr>
    </w:div>
    <w:div w:id="494994953">
      <w:bodyDiv w:val="1"/>
      <w:marLeft w:val="0"/>
      <w:marRight w:val="0"/>
      <w:marTop w:val="0"/>
      <w:marBottom w:val="0"/>
      <w:divBdr>
        <w:top w:val="none" w:sz="0" w:space="0" w:color="auto"/>
        <w:left w:val="none" w:sz="0" w:space="0" w:color="auto"/>
        <w:bottom w:val="none" w:sz="0" w:space="0" w:color="auto"/>
        <w:right w:val="none" w:sz="0" w:space="0" w:color="auto"/>
      </w:divBdr>
    </w:div>
    <w:div w:id="513763664">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59430702">
      <w:bodyDiv w:val="1"/>
      <w:marLeft w:val="0"/>
      <w:marRight w:val="0"/>
      <w:marTop w:val="0"/>
      <w:marBottom w:val="0"/>
      <w:divBdr>
        <w:top w:val="none" w:sz="0" w:space="0" w:color="auto"/>
        <w:left w:val="none" w:sz="0" w:space="0" w:color="auto"/>
        <w:bottom w:val="none" w:sz="0" w:space="0" w:color="auto"/>
        <w:right w:val="none" w:sz="0" w:space="0" w:color="auto"/>
      </w:divBdr>
    </w:div>
    <w:div w:id="701171529">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8433495">
      <w:bodyDiv w:val="1"/>
      <w:marLeft w:val="0"/>
      <w:marRight w:val="0"/>
      <w:marTop w:val="0"/>
      <w:marBottom w:val="0"/>
      <w:divBdr>
        <w:top w:val="none" w:sz="0" w:space="0" w:color="auto"/>
        <w:left w:val="none" w:sz="0" w:space="0" w:color="auto"/>
        <w:bottom w:val="none" w:sz="0" w:space="0" w:color="auto"/>
        <w:right w:val="none" w:sz="0" w:space="0" w:color="auto"/>
      </w:divBdr>
    </w:div>
    <w:div w:id="787427843">
      <w:bodyDiv w:val="1"/>
      <w:marLeft w:val="0"/>
      <w:marRight w:val="0"/>
      <w:marTop w:val="0"/>
      <w:marBottom w:val="0"/>
      <w:divBdr>
        <w:top w:val="none" w:sz="0" w:space="0" w:color="auto"/>
        <w:left w:val="none" w:sz="0" w:space="0" w:color="auto"/>
        <w:bottom w:val="none" w:sz="0" w:space="0" w:color="auto"/>
        <w:right w:val="none" w:sz="0" w:space="0" w:color="auto"/>
      </w:divBdr>
    </w:div>
    <w:div w:id="802961255">
      <w:bodyDiv w:val="1"/>
      <w:marLeft w:val="0"/>
      <w:marRight w:val="0"/>
      <w:marTop w:val="0"/>
      <w:marBottom w:val="0"/>
      <w:divBdr>
        <w:top w:val="none" w:sz="0" w:space="0" w:color="auto"/>
        <w:left w:val="none" w:sz="0" w:space="0" w:color="auto"/>
        <w:bottom w:val="none" w:sz="0" w:space="0" w:color="auto"/>
        <w:right w:val="none" w:sz="0" w:space="0" w:color="auto"/>
      </w:divBdr>
    </w:div>
    <w:div w:id="871653450">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9724939">
      <w:bodyDiv w:val="1"/>
      <w:marLeft w:val="0"/>
      <w:marRight w:val="0"/>
      <w:marTop w:val="0"/>
      <w:marBottom w:val="0"/>
      <w:divBdr>
        <w:top w:val="none" w:sz="0" w:space="0" w:color="auto"/>
        <w:left w:val="none" w:sz="0" w:space="0" w:color="auto"/>
        <w:bottom w:val="none" w:sz="0" w:space="0" w:color="auto"/>
        <w:right w:val="none" w:sz="0" w:space="0" w:color="auto"/>
      </w:divBdr>
    </w:div>
    <w:div w:id="896434057">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1063406556">
      <w:bodyDiv w:val="1"/>
      <w:marLeft w:val="0"/>
      <w:marRight w:val="0"/>
      <w:marTop w:val="0"/>
      <w:marBottom w:val="0"/>
      <w:divBdr>
        <w:top w:val="none" w:sz="0" w:space="0" w:color="auto"/>
        <w:left w:val="none" w:sz="0" w:space="0" w:color="auto"/>
        <w:bottom w:val="none" w:sz="0" w:space="0" w:color="auto"/>
        <w:right w:val="none" w:sz="0" w:space="0" w:color="auto"/>
      </w:divBdr>
    </w:div>
    <w:div w:id="1120416436">
      <w:bodyDiv w:val="1"/>
      <w:marLeft w:val="0"/>
      <w:marRight w:val="0"/>
      <w:marTop w:val="0"/>
      <w:marBottom w:val="0"/>
      <w:divBdr>
        <w:top w:val="none" w:sz="0" w:space="0" w:color="auto"/>
        <w:left w:val="none" w:sz="0" w:space="0" w:color="auto"/>
        <w:bottom w:val="none" w:sz="0" w:space="0" w:color="auto"/>
        <w:right w:val="none" w:sz="0" w:space="0" w:color="auto"/>
      </w:divBdr>
    </w:div>
    <w:div w:id="1173371492">
      <w:bodyDiv w:val="1"/>
      <w:marLeft w:val="0"/>
      <w:marRight w:val="0"/>
      <w:marTop w:val="0"/>
      <w:marBottom w:val="0"/>
      <w:divBdr>
        <w:top w:val="none" w:sz="0" w:space="0" w:color="auto"/>
        <w:left w:val="none" w:sz="0" w:space="0" w:color="auto"/>
        <w:bottom w:val="none" w:sz="0" w:space="0" w:color="auto"/>
        <w:right w:val="none" w:sz="0" w:space="0" w:color="auto"/>
      </w:divBdr>
    </w:div>
    <w:div w:id="1302883747">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50718005">
      <w:bodyDiv w:val="1"/>
      <w:marLeft w:val="0"/>
      <w:marRight w:val="0"/>
      <w:marTop w:val="0"/>
      <w:marBottom w:val="0"/>
      <w:divBdr>
        <w:top w:val="none" w:sz="0" w:space="0" w:color="auto"/>
        <w:left w:val="none" w:sz="0" w:space="0" w:color="auto"/>
        <w:bottom w:val="none" w:sz="0" w:space="0" w:color="auto"/>
        <w:right w:val="none" w:sz="0" w:space="0" w:color="auto"/>
      </w:divBdr>
    </w:div>
    <w:div w:id="1361591700">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3983">
      <w:bodyDiv w:val="1"/>
      <w:marLeft w:val="0"/>
      <w:marRight w:val="0"/>
      <w:marTop w:val="0"/>
      <w:marBottom w:val="0"/>
      <w:divBdr>
        <w:top w:val="none" w:sz="0" w:space="0" w:color="auto"/>
        <w:left w:val="none" w:sz="0" w:space="0" w:color="auto"/>
        <w:bottom w:val="none" w:sz="0" w:space="0" w:color="auto"/>
        <w:right w:val="none" w:sz="0" w:space="0" w:color="auto"/>
      </w:divBdr>
    </w:div>
    <w:div w:id="1450468307">
      <w:bodyDiv w:val="1"/>
      <w:marLeft w:val="0"/>
      <w:marRight w:val="0"/>
      <w:marTop w:val="0"/>
      <w:marBottom w:val="0"/>
      <w:divBdr>
        <w:top w:val="none" w:sz="0" w:space="0" w:color="auto"/>
        <w:left w:val="none" w:sz="0" w:space="0" w:color="auto"/>
        <w:bottom w:val="none" w:sz="0" w:space="0" w:color="auto"/>
        <w:right w:val="none" w:sz="0" w:space="0" w:color="auto"/>
      </w:divBdr>
    </w:div>
    <w:div w:id="1532764795">
      <w:bodyDiv w:val="1"/>
      <w:marLeft w:val="0"/>
      <w:marRight w:val="0"/>
      <w:marTop w:val="0"/>
      <w:marBottom w:val="0"/>
      <w:divBdr>
        <w:top w:val="none" w:sz="0" w:space="0" w:color="auto"/>
        <w:left w:val="none" w:sz="0" w:space="0" w:color="auto"/>
        <w:bottom w:val="none" w:sz="0" w:space="0" w:color="auto"/>
        <w:right w:val="none" w:sz="0" w:space="0" w:color="auto"/>
      </w:divBdr>
    </w:div>
    <w:div w:id="1552767650">
      <w:bodyDiv w:val="1"/>
      <w:marLeft w:val="0"/>
      <w:marRight w:val="0"/>
      <w:marTop w:val="0"/>
      <w:marBottom w:val="0"/>
      <w:divBdr>
        <w:top w:val="none" w:sz="0" w:space="0" w:color="auto"/>
        <w:left w:val="none" w:sz="0" w:space="0" w:color="auto"/>
        <w:bottom w:val="none" w:sz="0" w:space="0" w:color="auto"/>
        <w:right w:val="none" w:sz="0" w:space="0" w:color="auto"/>
      </w:divBdr>
    </w:div>
    <w:div w:id="1580557735">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1511">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7591495">
      <w:bodyDiv w:val="1"/>
      <w:marLeft w:val="0"/>
      <w:marRight w:val="0"/>
      <w:marTop w:val="0"/>
      <w:marBottom w:val="0"/>
      <w:divBdr>
        <w:top w:val="none" w:sz="0" w:space="0" w:color="auto"/>
        <w:left w:val="none" w:sz="0" w:space="0" w:color="auto"/>
        <w:bottom w:val="none" w:sz="0" w:space="0" w:color="auto"/>
        <w:right w:val="none" w:sz="0" w:space="0" w:color="auto"/>
      </w:divBdr>
      <w:divsChild>
        <w:div w:id="309947201">
          <w:marLeft w:val="0"/>
          <w:marRight w:val="0"/>
          <w:marTop w:val="0"/>
          <w:marBottom w:val="0"/>
          <w:divBdr>
            <w:top w:val="none" w:sz="0" w:space="0" w:color="auto"/>
            <w:left w:val="none" w:sz="0" w:space="0" w:color="auto"/>
            <w:bottom w:val="none" w:sz="0" w:space="0" w:color="auto"/>
            <w:right w:val="none" w:sz="0" w:space="0" w:color="auto"/>
          </w:divBdr>
        </w:div>
        <w:div w:id="1083063700">
          <w:marLeft w:val="0"/>
          <w:marRight w:val="0"/>
          <w:marTop w:val="0"/>
          <w:marBottom w:val="0"/>
          <w:divBdr>
            <w:top w:val="none" w:sz="0" w:space="0" w:color="auto"/>
            <w:left w:val="none" w:sz="0" w:space="0" w:color="auto"/>
            <w:bottom w:val="none" w:sz="0" w:space="0" w:color="auto"/>
            <w:right w:val="none" w:sz="0" w:space="0" w:color="auto"/>
          </w:divBdr>
        </w:div>
        <w:div w:id="1691299356">
          <w:marLeft w:val="0"/>
          <w:marRight w:val="0"/>
          <w:marTop w:val="0"/>
          <w:marBottom w:val="0"/>
          <w:divBdr>
            <w:top w:val="none" w:sz="0" w:space="0" w:color="auto"/>
            <w:left w:val="none" w:sz="0" w:space="0" w:color="auto"/>
            <w:bottom w:val="none" w:sz="0" w:space="0" w:color="auto"/>
            <w:right w:val="none" w:sz="0" w:space="0" w:color="auto"/>
          </w:divBdr>
        </w:div>
        <w:div w:id="2007895374">
          <w:marLeft w:val="0"/>
          <w:marRight w:val="0"/>
          <w:marTop w:val="0"/>
          <w:marBottom w:val="0"/>
          <w:divBdr>
            <w:top w:val="none" w:sz="0" w:space="0" w:color="auto"/>
            <w:left w:val="none" w:sz="0" w:space="0" w:color="auto"/>
            <w:bottom w:val="none" w:sz="0" w:space="0" w:color="auto"/>
            <w:right w:val="none" w:sz="0" w:space="0" w:color="auto"/>
          </w:divBdr>
        </w:div>
        <w:div w:id="1694917317">
          <w:marLeft w:val="0"/>
          <w:marRight w:val="0"/>
          <w:marTop w:val="0"/>
          <w:marBottom w:val="0"/>
          <w:divBdr>
            <w:top w:val="none" w:sz="0" w:space="0" w:color="auto"/>
            <w:left w:val="none" w:sz="0" w:space="0" w:color="auto"/>
            <w:bottom w:val="none" w:sz="0" w:space="0" w:color="auto"/>
            <w:right w:val="none" w:sz="0" w:space="0" w:color="auto"/>
          </w:divBdr>
        </w:div>
        <w:div w:id="948313931">
          <w:marLeft w:val="0"/>
          <w:marRight w:val="0"/>
          <w:marTop w:val="0"/>
          <w:marBottom w:val="0"/>
          <w:divBdr>
            <w:top w:val="none" w:sz="0" w:space="0" w:color="auto"/>
            <w:left w:val="none" w:sz="0" w:space="0" w:color="auto"/>
            <w:bottom w:val="none" w:sz="0" w:space="0" w:color="auto"/>
            <w:right w:val="none" w:sz="0" w:space="0" w:color="auto"/>
          </w:divBdr>
        </w:div>
        <w:div w:id="416943454">
          <w:marLeft w:val="0"/>
          <w:marRight w:val="0"/>
          <w:marTop w:val="0"/>
          <w:marBottom w:val="0"/>
          <w:divBdr>
            <w:top w:val="none" w:sz="0" w:space="0" w:color="auto"/>
            <w:left w:val="none" w:sz="0" w:space="0" w:color="auto"/>
            <w:bottom w:val="none" w:sz="0" w:space="0" w:color="auto"/>
            <w:right w:val="none" w:sz="0" w:space="0" w:color="auto"/>
          </w:divBdr>
        </w:div>
        <w:div w:id="1399205633">
          <w:marLeft w:val="0"/>
          <w:marRight w:val="0"/>
          <w:marTop w:val="0"/>
          <w:marBottom w:val="0"/>
          <w:divBdr>
            <w:top w:val="none" w:sz="0" w:space="0" w:color="auto"/>
            <w:left w:val="none" w:sz="0" w:space="0" w:color="auto"/>
            <w:bottom w:val="none" w:sz="0" w:space="0" w:color="auto"/>
            <w:right w:val="none" w:sz="0" w:space="0" w:color="auto"/>
          </w:divBdr>
        </w:div>
        <w:div w:id="1018776737">
          <w:marLeft w:val="0"/>
          <w:marRight w:val="0"/>
          <w:marTop w:val="0"/>
          <w:marBottom w:val="0"/>
          <w:divBdr>
            <w:top w:val="none" w:sz="0" w:space="0" w:color="auto"/>
            <w:left w:val="none" w:sz="0" w:space="0" w:color="auto"/>
            <w:bottom w:val="none" w:sz="0" w:space="0" w:color="auto"/>
            <w:right w:val="none" w:sz="0" w:space="0" w:color="auto"/>
          </w:divBdr>
        </w:div>
      </w:divsChild>
    </w:div>
    <w:div w:id="1741368734">
      <w:bodyDiv w:val="1"/>
      <w:marLeft w:val="0"/>
      <w:marRight w:val="0"/>
      <w:marTop w:val="0"/>
      <w:marBottom w:val="0"/>
      <w:divBdr>
        <w:top w:val="none" w:sz="0" w:space="0" w:color="auto"/>
        <w:left w:val="none" w:sz="0" w:space="0" w:color="auto"/>
        <w:bottom w:val="none" w:sz="0" w:space="0" w:color="auto"/>
        <w:right w:val="none" w:sz="0" w:space="0" w:color="auto"/>
      </w:divBdr>
    </w:div>
    <w:div w:id="1794129021">
      <w:bodyDiv w:val="1"/>
      <w:marLeft w:val="0"/>
      <w:marRight w:val="0"/>
      <w:marTop w:val="0"/>
      <w:marBottom w:val="0"/>
      <w:divBdr>
        <w:top w:val="none" w:sz="0" w:space="0" w:color="auto"/>
        <w:left w:val="none" w:sz="0" w:space="0" w:color="auto"/>
        <w:bottom w:val="none" w:sz="0" w:space="0" w:color="auto"/>
        <w:right w:val="none" w:sz="0" w:space="0" w:color="auto"/>
      </w:divBdr>
    </w:div>
    <w:div w:id="1846170443">
      <w:bodyDiv w:val="1"/>
      <w:marLeft w:val="0"/>
      <w:marRight w:val="0"/>
      <w:marTop w:val="0"/>
      <w:marBottom w:val="0"/>
      <w:divBdr>
        <w:top w:val="none" w:sz="0" w:space="0" w:color="auto"/>
        <w:left w:val="none" w:sz="0" w:space="0" w:color="auto"/>
        <w:bottom w:val="none" w:sz="0" w:space="0" w:color="auto"/>
        <w:right w:val="none" w:sz="0" w:space="0" w:color="auto"/>
      </w:divBdr>
    </w:div>
    <w:div w:id="1849637540">
      <w:bodyDiv w:val="1"/>
      <w:marLeft w:val="0"/>
      <w:marRight w:val="0"/>
      <w:marTop w:val="0"/>
      <w:marBottom w:val="0"/>
      <w:divBdr>
        <w:top w:val="none" w:sz="0" w:space="0" w:color="auto"/>
        <w:left w:val="none" w:sz="0" w:space="0" w:color="auto"/>
        <w:bottom w:val="none" w:sz="0" w:space="0" w:color="auto"/>
        <w:right w:val="none" w:sz="0" w:space="0" w:color="auto"/>
      </w:divBdr>
    </w:div>
    <w:div w:id="1861551285">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97492133">
      <w:bodyDiv w:val="1"/>
      <w:marLeft w:val="0"/>
      <w:marRight w:val="0"/>
      <w:marTop w:val="0"/>
      <w:marBottom w:val="0"/>
      <w:divBdr>
        <w:top w:val="none" w:sz="0" w:space="0" w:color="auto"/>
        <w:left w:val="none" w:sz="0" w:space="0" w:color="auto"/>
        <w:bottom w:val="none" w:sz="0" w:space="0" w:color="auto"/>
        <w:right w:val="none" w:sz="0" w:space="0" w:color="auto"/>
      </w:divBdr>
    </w:div>
    <w:div w:id="2027055256">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65912383">
      <w:bodyDiv w:val="1"/>
      <w:marLeft w:val="0"/>
      <w:marRight w:val="0"/>
      <w:marTop w:val="0"/>
      <w:marBottom w:val="0"/>
      <w:divBdr>
        <w:top w:val="none" w:sz="0" w:space="0" w:color="auto"/>
        <w:left w:val="none" w:sz="0" w:space="0" w:color="auto"/>
        <w:bottom w:val="none" w:sz="0" w:space="0" w:color="auto"/>
        <w:right w:val="none" w:sz="0" w:space="0" w:color="auto"/>
      </w:divBdr>
      <w:divsChild>
        <w:div w:id="1925409339">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0"/>
              <w:marRight w:val="0"/>
              <w:marTop w:val="0"/>
              <w:marBottom w:val="0"/>
              <w:divBdr>
                <w:top w:val="none" w:sz="0" w:space="0" w:color="auto"/>
                <w:left w:val="none" w:sz="0" w:space="0" w:color="auto"/>
                <w:bottom w:val="none" w:sz="0" w:space="0" w:color="auto"/>
                <w:right w:val="none" w:sz="0" w:space="0" w:color="auto"/>
              </w:divBdr>
              <w:divsChild>
                <w:div w:id="420299787">
                  <w:marLeft w:val="0"/>
                  <w:marRight w:val="0"/>
                  <w:marTop w:val="0"/>
                  <w:marBottom w:val="0"/>
                  <w:divBdr>
                    <w:top w:val="none" w:sz="0" w:space="0" w:color="auto"/>
                    <w:left w:val="none" w:sz="0" w:space="0" w:color="auto"/>
                    <w:bottom w:val="none" w:sz="0" w:space="0" w:color="auto"/>
                    <w:right w:val="none" w:sz="0" w:space="0" w:color="auto"/>
                  </w:divBdr>
                  <w:divsChild>
                    <w:div w:id="789395747">
                      <w:marLeft w:val="0"/>
                      <w:marRight w:val="0"/>
                      <w:marTop w:val="0"/>
                      <w:marBottom w:val="0"/>
                      <w:divBdr>
                        <w:top w:val="none" w:sz="0" w:space="0" w:color="auto"/>
                        <w:left w:val="none" w:sz="0" w:space="0" w:color="auto"/>
                        <w:bottom w:val="none" w:sz="0" w:space="0" w:color="auto"/>
                        <w:right w:val="none" w:sz="0" w:space="0" w:color="auto"/>
                      </w:divBdr>
                      <w:divsChild>
                        <w:div w:id="171996016">
                          <w:marLeft w:val="0"/>
                          <w:marRight w:val="0"/>
                          <w:marTop w:val="0"/>
                          <w:marBottom w:val="0"/>
                          <w:divBdr>
                            <w:top w:val="none" w:sz="0" w:space="0" w:color="auto"/>
                            <w:left w:val="none" w:sz="0" w:space="0" w:color="auto"/>
                            <w:bottom w:val="none" w:sz="0" w:space="0" w:color="auto"/>
                            <w:right w:val="none" w:sz="0" w:space="0" w:color="auto"/>
                          </w:divBdr>
                          <w:divsChild>
                            <w:div w:id="2054571180">
                              <w:marLeft w:val="0"/>
                              <w:marRight w:val="0"/>
                              <w:marTop w:val="0"/>
                              <w:marBottom w:val="0"/>
                              <w:divBdr>
                                <w:top w:val="none" w:sz="0" w:space="0" w:color="auto"/>
                                <w:left w:val="none" w:sz="0" w:space="0" w:color="auto"/>
                                <w:bottom w:val="none" w:sz="0" w:space="0" w:color="auto"/>
                                <w:right w:val="none" w:sz="0" w:space="0" w:color="auto"/>
                              </w:divBdr>
                              <w:divsChild>
                                <w:div w:id="1033924929">
                                  <w:marLeft w:val="0"/>
                                  <w:marRight w:val="0"/>
                                  <w:marTop w:val="0"/>
                                  <w:marBottom w:val="0"/>
                                  <w:divBdr>
                                    <w:top w:val="none" w:sz="0" w:space="0" w:color="auto"/>
                                    <w:left w:val="none" w:sz="0" w:space="0" w:color="auto"/>
                                    <w:bottom w:val="none" w:sz="0" w:space="0" w:color="auto"/>
                                    <w:right w:val="none" w:sz="0" w:space="0" w:color="auto"/>
                                  </w:divBdr>
                                  <w:divsChild>
                                    <w:div w:id="311523128">
                                      <w:marLeft w:val="0"/>
                                      <w:marRight w:val="0"/>
                                      <w:marTop w:val="0"/>
                                      <w:marBottom w:val="0"/>
                                      <w:divBdr>
                                        <w:top w:val="none" w:sz="0" w:space="0" w:color="auto"/>
                                        <w:left w:val="none" w:sz="0" w:space="0" w:color="auto"/>
                                        <w:bottom w:val="none" w:sz="0" w:space="0" w:color="auto"/>
                                        <w:right w:val="none" w:sz="0" w:space="0" w:color="auto"/>
                                      </w:divBdr>
                                      <w:divsChild>
                                        <w:div w:id="2058846077">
                                          <w:marLeft w:val="0"/>
                                          <w:marRight w:val="0"/>
                                          <w:marTop w:val="0"/>
                                          <w:marBottom w:val="0"/>
                                          <w:divBdr>
                                            <w:top w:val="none" w:sz="0" w:space="0" w:color="auto"/>
                                            <w:left w:val="none" w:sz="0" w:space="0" w:color="auto"/>
                                            <w:bottom w:val="none" w:sz="0" w:space="0" w:color="auto"/>
                                            <w:right w:val="none" w:sz="0" w:space="0" w:color="auto"/>
                                          </w:divBdr>
                                          <w:divsChild>
                                            <w:div w:id="1684670815">
                                              <w:marLeft w:val="0"/>
                                              <w:marRight w:val="0"/>
                                              <w:marTop w:val="0"/>
                                              <w:marBottom w:val="0"/>
                                              <w:divBdr>
                                                <w:top w:val="none" w:sz="0" w:space="0" w:color="auto"/>
                                                <w:left w:val="none" w:sz="0" w:space="0" w:color="auto"/>
                                                <w:bottom w:val="none" w:sz="0" w:space="0" w:color="auto"/>
                                                <w:right w:val="none" w:sz="0" w:space="0" w:color="auto"/>
                                              </w:divBdr>
                                              <w:divsChild>
                                                <w:div w:id="702755379">
                                                  <w:marLeft w:val="0"/>
                                                  <w:marRight w:val="0"/>
                                                  <w:marTop w:val="0"/>
                                                  <w:marBottom w:val="0"/>
                                                  <w:divBdr>
                                                    <w:top w:val="none" w:sz="0" w:space="0" w:color="auto"/>
                                                    <w:left w:val="none" w:sz="0" w:space="0" w:color="auto"/>
                                                    <w:bottom w:val="none" w:sz="0" w:space="0" w:color="auto"/>
                                                    <w:right w:val="none" w:sz="0" w:space="0" w:color="auto"/>
                                                  </w:divBdr>
                                                  <w:divsChild>
                                                    <w:div w:id="1784499422">
                                                      <w:marLeft w:val="0"/>
                                                      <w:marRight w:val="0"/>
                                                      <w:marTop w:val="0"/>
                                                      <w:marBottom w:val="0"/>
                                                      <w:divBdr>
                                                        <w:top w:val="none" w:sz="0" w:space="0" w:color="auto"/>
                                                        <w:left w:val="none" w:sz="0" w:space="0" w:color="auto"/>
                                                        <w:bottom w:val="none" w:sz="0" w:space="0" w:color="auto"/>
                                                        <w:right w:val="none" w:sz="0" w:space="0" w:color="auto"/>
                                                      </w:divBdr>
                                                    </w:div>
                                                    <w:div w:id="19350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ascassociation.org/advancingsurgicalcare/reducinghealthcarecosts/privatepayerdata/healthcarebluebookstudy" TargetMode="External"/><Relationship Id="rId18" Type="http://schemas.openxmlformats.org/officeDocument/2006/relationships/hyperlink" Target="https://www.ncbi.nlm.nih.gov/pmc/articles/PMC4600358/pdf/hesr0050-1491.pdf" TargetMode="External"/><Relationship Id="rId26" Type="http://schemas.openxmlformats.org/officeDocument/2006/relationships/hyperlink" Target="https://higherlogicdownload.s3.amazonaws.com/ASCACONNECT/fd1693e2-e4a8-43d3-816d-17ecfc7d55c1/UploadedImages/About%20Us/ASCs%20-%20A%20Positive%20Trend%20in%20Health%20Care.pdf" TargetMode="External"/><Relationship Id="rId39" Type="http://schemas.openxmlformats.org/officeDocument/2006/relationships/hyperlink" Target="https://www.aha.org/system/files/media/file/2019/04/kng-health-aha-analysis-of-hopd-vs-asc-report.pdf" TargetMode="External"/><Relationship Id="rId21" Type="http://schemas.openxmlformats.org/officeDocument/2006/relationships/hyperlink" Target="https://www.healthaffairs.org/doi/pdf/10.1377/hlthaff.2013.1281" TargetMode="External"/><Relationship Id="rId34" Type="http://schemas.openxmlformats.org/officeDocument/2006/relationships/hyperlink" Target="https://www.ascaconnect.org/HigherLogic/System/DownloadDocumentFile.ashx?DocumentFileKey=7b33b916-%20f3f1-42e5-a646-35cc2f38fe4d&amp;forceDialog=0" TargetMode="External"/><Relationship Id="rId42" Type="http://schemas.openxmlformats.org/officeDocument/2006/relationships/hyperlink" Target="https://www.ncbi.nlm.nih.gov/pmc/articles/PMC4703913/pdf/or-2015-4-6177.pdf" TargetMode="External"/><Relationship Id="rId7" Type="http://schemas.openxmlformats.org/officeDocument/2006/relationships/hyperlink" Target="https://pubmed.ncbi.nlm.nih.gov/27015600/" TargetMode="External"/><Relationship Id="rId2" Type="http://schemas.openxmlformats.org/officeDocument/2006/relationships/hyperlink" Target="https://www.sg2.com/health-care-intelligence-blog/2021/06/sg2-2021-impact-of-change-forecast/" TargetMode="External"/><Relationship Id="rId16" Type="http://schemas.openxmlformats.org/officeDocument/2006/relationships/hyperlink" Target="https://www.healthaffairs.org/doi/pdf/10.1377/hlthaff.2013.1281" TargetMode="External"/><Relationship Id="rId20" Type="http://schemas.openxmlformats.org/officeDocument/2006/relationships/hyperlink" Target="https://doi.org/10.1016/J.ARTH.2021.11.023" TargetMode="External"/><Relationship Id="rId29" Type="http://schemas.openxmlformats.org/officeDocument/2006/relationships/hyperlink" Target="https://www.beckersasc.com/asc-coding-billing-and-collections/shining-a-light-on-the-value-of-value-based-care-ascs-are-positioned-to-lead-the-way.html" TargetMode="External"/><Relationship Id="rId41" Type="http://schemas.openxmlformats.org/officeDocument/2006/relationships/hyperlink" Target="https://www.pyapc.com/wp-content/uploads/2019/04/0419_HFM_McMillan.pdf" TargetMode="External"/><Relationship Id="rId1" Type="http://schemas.openxmlformats.org/officeDocument/2006/relationships/hyperlink" Target="https://www.sg2.com/health-care-intelligence-blog/2021/06/sg2-2021-impact-of-change-forecast/" TargetMode="External"/><Relationship Id="rId6" Type="http://schemas.openxmlformats.org/officeDocument/2006/relationships/hyperlink" Target="https://www.sg2.com/health-care-intelligence-blog/2021/06/sg2-2021-impact-of-change-forecast/" TargetMode="External"/><Relationship Id="rId11" Type="http://schemas.openxmlformats.org/officeDocument/2006/relationships/hyperlink" Target="https://www.aaos.org/contentassets/1cd7f41417ec4dd4b5c4c48532183b96/1184-the-impact-of-obesity-on-bone-%20and-joint-health1.pdf" TargetMode="External"/><Relationship Id="rId24" Type="http://schemas.openxmlformats.org/officeDocument/2006/relationships/hyperlink" Target="https://www.aaos.org/uploadedFiles/1161%20Ambulatory%20Surgical%20Centers.pdf" TargetMode="External"/><Relationship Id="rId32" Type="http://schemas.openxmlformats.org/officeDocument/2006/relationships/hyperlink" Target="https://www.mass.gov/doc/community-engagement-guidelines-for-community-health-planning-pdf/download" TargetMode="External"/><Relationship Id="rId37" Type="http://schemas.openxmlformats.org/officeDocument/2006/relationships/hyperlink" Target="https://www.ascassociation.org/HigherLogic/System/DownloadDocumentFile.ashx?DocumentFileKey=7b33b916-" TargetMode="External"/><Relationship Id="rId40" Type="http://schemas.openxmlformats.org/officeDocument/2006/relationships/hyperlink" Target="http://www.medpac.gov/docs/default-source/reports/mar19_medpac_ch5_sec.pdf?sfvrsn=0" TargetMode="External"/><Relationship Id="rId5" Type="http://schemas.openxmlformats.org/officeDocument/2006/relationships/hyperlink" Target="https://www.sg2.com/health-care-intelligence-blog/2021/06/sg2-2021-impact-of-change-forecast/" TargetMode="External"/><Relationship Id="rId15" Type="http://schemas.openxmlformats.org/officeDocument/2006/relationships/hyperlink" Target="https://www.healthaffairs.org/doi/pdf/10.1377/hlthaff.2013.1281" TargetMode="External"/><Relationship Id="rId23" Type="http://schemas.openxmlformats.org/officeDocument/2006/relationships/hyperlink" Target="https://www.aaos.org/uploadedFiles/1161%20Ambulatory%20Surgical%20Centers.pdf" TargetMode="External"/><Relationship Id="rId28" Type="http://schemas.openxmlformats.org/officeDocument/2006/relationships/hyperlink" Target="https://www.countyhealthrankings.org/explore-health-rankings/measures-data-sources/county-health-rankings-model/health-factors/clinical-care/access-to-care" TargetMode="External"/><Relationship Id="rId36" Type="http://schemas.openxmlformats.org/officeDocument/2006/relationships/hyperlink" Target="https://www.beckersasc.com/asc-coding-billing-and-collections/cms-posts-payments-for-ascs-vs-hopds-medicare-pays-ascs-359-less-for-colonoscopy-1-092-less-for-knee-arthroscopy.html" TargetMode="External"/><Relationship Id="rId10" Type="http://schemas.openxmlformats.org/officeDocument/2006/relationships/hyperlink" Target="https://www.abstractsonline.com/Plan/ViewAbstract.aspx?mID=3358&amp;sKey=2ad4cafd-9e8b-42f3-8af1-c591b71fd9e6&amp;cKey=bd1c947a-e921-467a-b89b-1047fdb059c5&amp;mKey=4393d428-d755-4a34-8a63-26b1b7a349a1" TargetMode="External"/><Relationship Id="rId19" Type="http://schemas.openxmlformats.org/officeDocument/2006/relationships/hyperlink" Target="https://doi.org/10.1016/J.ARTH.2021.11.023" TargetMode="External"/><Relationship Id="rId31" Type="http://schemas.openxmlformats.org/officeDocument/2006/relationships/hyperlink" Target="https://www.ajmc.com/contributor/michael-abrams/2019/05/coming-to-terms-with-care-migration" TargetMode="External"/><Relationship Id="rId44" Type="http://schemas.openxmlformats.org/officeDocument/2006/relationships/hyperlink" Target="https://www.healthypeople.gov/2020/leading-health-indicators/2020-lhi-topics/Access-to-Health-Services" TargetMode="External"/><Relationship Id="rId4" Type="http://schemas.openxmlformats.org/officeDocument/2006/relationships/hyperlink" Target="https://www.sg2.com/health-care-intelligence-blog/2021/06/sg2-2021-impact-of-change-forecast/" TargetMode="External"/><Relationship Id="rId9" Type="http://schemas.openxmlformats.org/officeDocument/2006/relationships/hyperlink" Target="https://www.abstractsonline.com/Plan/ViewAbstract.aspx?mID=3358&amp;sKey=2ad4cafd-9e8b-42f3-8af1-c591b71fd9e6&amp;cKey=bd1c947a-e921-467a-b89b-1047fdb059c5&amp;mKey=4393d428-d755-4a34-8a63-26b1b7a349a1" TargetMode="External"/><Relationship Id="rId14" Type="http://schemas.openxmlformats.org/officeDocument/2006/relationships/hyperlink" Target="https://www.ascassociation.org/advancingsurgicalcare/reducinghealthcarecosts/privatepayerdata/healthcarebluebookstudy" TargetMode="External"/><Relationship Id="rId22" Type="http://schemas.openxmlformats.org/officeDocument/2006/relationships/hyperlink" Target="https://www.healthaffairs.org/doi/pdf/10.1377/hlthaff.2013.1281" TargetMode="External"/><Relationship Id="rId27" Type="http://schemas.openxmlformats.org/officeDocument/2006/relationships/hyperlink" Target="https://www.healthypeople.gov/2020/topics-objectives/topic/Access-to-Health-Services" TargetMode="External"/><Relationship Id="rId30" Type="http://schemas.openxmlformats.org/officeDocument/2006/relationships/hyperlink" Target="https://www.iaas-med.com/files/Journal/Volume25/AMB_SURG_25_1-UPPAL.pdf" TargetMode="External"/><Relationship Id="rId35" Type="http://schemas.openxmlformats.org/officeDocument/2006/relationships/hyperlink" Target="https://www.ascassociation.org/HigherLogic/System/DownloadDocumentFile.ashx?DocumentFileKey=829b1dd6-%200b5d-9686-e57c-3e2ed4ab42ca&amp;forceDialog=0" TargetMode="External"/><Relationship Id="rId43" Type="http://schemas.openxmlformats.org/officeDocument/2006/relationships/hyperlink" Target="https://www.healthaffairs.org/doi/pdf/10.1377/hlthaff.2013.1266" TargetMode="External"/><Relationship Id="rId8" Type="http://schemas.openxmlformats.org/officeDocument/2006/relationships/hyperlink" Target="https://pubmed.ncbi.nlm.nih.gov/27015600/" TargetMode="External"/><Relationship Id="rId3" Type="http://schemas.openxmlformats.org/officeDocument/2006/relationships/hyperlink" Target="https://www.sg2.com/health-care-intelligence-blog/2021/06/sg2-2021-impact-of-change-forecast/" TargetMode="External"/><Relationship Id="rId12" Type="http://schemas.openxmlformats.org/officeDocument/2006/relationships/hyperlink" Target="https://www.aaos.org/contentassets/1cd7f41417ec4dd4b5c4c48532183b96/1184-the-impact-of-obesity-on-bone-%20and-joint-health1.pdf" TargetMode="External"/><Relationship Id="rId17" Type="http://schemas.openxmlformats.org/officeDocument/2006/relationships/hyperlink" Target="https://www.ncbi.nlm.nih.gov/pmc/articles/PMC4600358/pdf/hesr0050-1491.pdf" TargetMode="External"/><Relationship Id="rId25" Type="http://schemas.openxmlformats.org/officeDocument/2006/relationships/hyperlink" Target="https://higherlogicdownload.s3.amazonaws.com/ASCACONNECT/fd1693e2-e4a8-43d3-816d-17ecfc7d55c1/UploadedImages/About%20Us/ASCs%20-%20A%20Positive%20Trend%20in%20Health%20Care.pdf" TargetMode="External"/><Relationship Id="rId33" Type="http://schemas.openxmlformats.org/officeDocument/2006/relationships/hyperlink" Target="https://www.mass.gov/files/documents/2018/12/31/jud-lib-105cmr100.pdf" TargetMode="External"/><Relationship Id="rId38" Type="http://schemas.openxmlformats.org/officeDocument/2006/relationships/hyperlink" Target="https://www.ascassociation.org/advancingsurgicalcare/reducinghealthcarecosts/costsavings/healthcarebluebookstud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bh.org" TargetMode="External"/><Relationship Id="rId1" Type="http://schemas.openxmlformats.org/officeDocument/2006/relationships/hyperlink" Target="https://www.mass.gov/doc/mass-healthy-aging-data-report-community-profiles-commissioned-by-tufts-health-plan-0/download"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F3600-5DC4-46F3-9946-246DF0CC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8047</Words>
  <Characters>45871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Conover, Lynn (DPH)</dc:creator>
  <cp:lastModifiedBy>Marks, Brett (DPH)</cp:lastModifiedBy>
  <cp:revision>26</cp:revision>
  <cp:lastPrinted>2020-12-15T19:03:00Z</cp:lastPrinted>
  <dcterms:created xsi:type="dcterms:W3CDTF">2022-10-04T16:09:00Z</dcterms:created>
  <dcterms:modified xsi:type="dcterms:W3CDTF">2022-10-05T12:31:00Z</dcterms:modified>
</cp:coreProperties>
</file>