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862" w:type="pct"/>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PAM Cubed, LLC&#10;Applicant Address  909 Sumner Street, Stoughton, MA 02072&#10;Filing Date November 19, 2021&#10;Type of DoN Application Transfer of Ownership&#10;Total Value $7,500,000.00&#10;Project Number PAM-21111018-TO&#10;Ten Taxpayer Groups (TTG) No&#10;Community Health Initiative (CHI)  Exempt from Factor 6&#10;Staff Recommendation Approval with Conditions&#10;Public Health Council February 9, 2022&#10;Project Summary and Regulatory Review&#10;PAM Cubed, LLC and its subsidiaries (“PAM”), the Applicant, proposes to become the owner of Curahealth Stoughton, LLC, a long-term acute care hospital (LTCH) located in Stoughton, Massachusetts (the Hospital). In an agreement between PAM and Nautic Partners VII-A, L.P. and its subsidiaries, which include the Applicant and the Hospital, (collectively, the “Seller”), PAM will acquire 100% of the equity in the Applicant. Thereafter, the Hospital will be an indirect subsidiary of PAM. PAM and its affiliated entities are part of a national network that owns and operates LTCHs throughout the United States (collectively, PAM Health). &#10;&#10;This Determination of Need (DoN) Application falls within the definition of Transfer of Ownership, which are reviewed under the DoN regulation 105 CMR 100.000. The Department must determine that need exists for a Proposed Project, on the basis of material in the record, where the Applicant makes a clear and convincing demonstration that the Proposed Project meets each applicable DoN Factor set forth within 105 CMR 100.210. A DoN Application for a Transfer of Ownership is subject to factors 1, 2, 3, and 4 of the DoN regulation. This staff report addresses each of the four factors set forth in the regulation.&#10;&#10;The Department did not receive any written comments on this application nor were any Ten Taxpayer Groups formed.&#10;"/>
      </w:tblPr>
      <w:tblGrid>
        <w:gridCol w:w="4139"/>
        <w:gridCol w:w="4953"/>
      </w:tblGrid>
      <w:tr w:rsidR="008C0709" w:rsidRPr="0016671D" w14:paraId="5E2173C9" w14:textId="77777777" w:rsidTr="3655DEAD">
        <w:trPr>
          <w:trHeight w:val="686"/>
          <w:tblHeader/>
        </w:trPr>
        <w:tc>
          <w:tcPr>
            <w:tcW w:w="5000" w:type="pct"/>
            <w:gridSpan w:val="2"/>
            <w:shd w:val="clear" w:color="auto" w:fill="D7F9FD"/>
            <w:vAlign w:val="center"/>
          </w:tcPr>
          <w:p w14:paraId="1B8C4D3E" w14:textId="48AF65AE" w:rsidR="008C0709" w:rsidRPr="0016671D" w:rsidRDefault="000A59C8" w:rsidP="00076C25">
            <w:pPr>
              <w:pStyle w:val="NoSpacing"/>
              <w:ind w:right="540"/>
              <w:contextualSpacing/>
              <w:jc w:val="center"/>
              <w:rPr>
                <w:b/>
              </w:rPr>
            </w:pPr>
            <w:r>
              <w:br w:type="page"/>
            </w:r>
            <w:r w:rsidR="00B02CF4">
              <w:rPr>
                <w:b/>
              </w:rPr>
              <w:t>S</w:t>
            </w:r>
            <w:r w:rsidR="008C0709" w:rsidRPr="0016671D">
              <w:rPr>
                <w:b/>
              </w:rPr>
              <w:t>TAFF REPORT TO THE PUBLIC HEALTH COUNCIL</w:t>
            </w:r>
          </w:p>
          <w:p w14:paraId="707BF2E0" w14:textId="77777777" w:rsidR="008C0709" w:rsidRPr="0016671D" w:rsidRDefault="008C0709" w:rsidP="00076C25">
            <w:pPr>
              <w:pStyle w:val="Header"/>
              <w:ind w:right="540"/>
              <w:contextualSpacing/>
              <w:jc w:val="center"/>
              <w:rPr>
                <w:rFonts w:cstheme="minorHAnsi"/>
                <w:b/>
                <w:sz w:val="24"/>
                <w:szCs w:val="24"/>
              </w:rPr>
            </w:pPr>
            <w:r w:rsidRPr="0016671D">
              <w:rPr>
                <w:rFonts w:cstheme="minorHAnsi"/>
                <w:b/>
                <w:sz w:val="24"/>
                <w:szCs w:val="24"/>
              </w:rPr>
              <w:t>FOR A DETERMINATION OF NEED</w:t>
            </w:r>
          </w:p>
        </w:tc>
      </w:tr>
      <w:tr w:rsidR="004313D9" w:rsidRPr="0016671D" w14:paraId="37A21A4B" w14:textId="77777777" w:rsidTr="3655DEAD">
        <w:trPr>
          <w:trHeight w:val="368"/>
        </w:trPr>
        <w:tc>
          <w:tcPr>
            <w:tcW w:w="2276" w:type="pct"/>
            <w:shd w:val="clear" w:color="auto" w:fill="auto"/>
            <w:vAlign w:val="center"/>
          </w:tcPr>
          <w:p w14:paraId="4463BBF6" w14:textId="2B902ED8" w:rsidR="004313D9" w:rsidRPr="0016671D" w:rsidRDefault="002014DB" w:rsidP="004313D9">
            <w:pPr>
              <w:ind w:right="540"/>
              <w:contextualSpacing/>
            </w:pPr>
            <w:r>
              <w:t>Applicant Name</w:t>
            </w:r>
          </w:p>
        </w:tc>
        <w:tc>
          <w:tcPr>
            <w:tcW w:w="2724" w:type="pct"/>
            <w:shd w:val="clear" w:color="auto" w:fill="auto"/>
            <w:vAlign w:val="center"/>
          </w:tcPr>
          <w:p w14:paraId="412EB352" w14:textId="65766A7C" w:rsidR="004313D9" w:rsidRPr="002738AD" w:rsidRDefault="00B8700C" w:rsidP="004313D9">
            <w:pPr>
              <w:ind w:right="540"/>
              <w:contextualSpacing/>
            </w:pPr>
            <w:r>
              <w:t>Southcoast Health System, Inc</w:t>
            </w:r>
            <w:r w:rsidR="00186479">
              <w:t>.</w:t>
            </w:r>
          </w:p>
        </w:tc>
      </w:tr>
      <w:tr w:rsidR="004313D9" w:rsidRPr="0016671D" w14:paraId="7D5C8C8A" w14:textId="77777777" w:rsidTr="3655DEAD">
        <w:trPr>
          <w:trHeight w:val="306"/>
        </w:trPr>
        <w:tc>
          <w:tcPr>
            <w:tcW w:w="2276" w:type="pct"/>
            <w:shd w:val="clear" w:color="auto" w:fill="auto"/>
            <w:vAlign w:val="center"/>
          </w:tcPr>
          <w:p w14:paraId="60D7905A" w14:textId="77777777" w:rsidR="004313D9" w:rsidRPr="0016671D" w:rsidRDefault="004313D9" w:rsidP="004313D9">
            <w:pPr>
              <w:ind w:right="540"/>
              <w:contextualSpacing/>
            </w:pPr>
            <w:r w:rsidRPr="0016671D">
              <w:t xml:space="preserve">Applicant Address </w:t>
            </w:r>
          </w:p>
        </w:tc>
        <w:tc>
          <w:tcPr>
            <w:tcW w:w="2724" w:type="pct"/>
            <w:shd w:val="clear" w:color="auto" w:fill="auto"/>
            <w:vAlign w:val="center"/>
          </w:tcPr>
          <w:p w14:paraId="7948187A" w14:textId="5D63B4E4" w:rsidR="004313D9" w:rsidRDefault="00B8700C" w:rsidP="00440274">
            <w:pPr>
              <w:ind w:right="-20"/>
              <w:contextualSpacing/>
              <w:rPr>
                <w:lang w:val="fr-FR"/>
              </w:rPr>
            </w:pPr>
            <w:r>
              <w:rPr>
                <w:lang w:val="fr-FR"/>
              </w:rPr>
              <w:t>101 Page St</w:t>
            </w:r>
            <w:r w:rsidR="00B83475">
              <w:rPr>
                <w:lang w:val="fr-FR"/>
              </w:rPr>
              <w:t>reet</w:t>
            </w:r>
          </w:p>
          <w:p w14:paraId="48C9B61F" w14:textId="7A4F5C99" w:rsidR="00B8700C" w:rsidRPr="002738AD" w:rsidRDefault="00B8700C" w:rsidP="00440274">
            <w:pPr>
              <w:ind w:right="-20"/>
              <w:contextualSpacing/>
              <w:rPr>
                <w:lang w:val="fr-FR"/>
              </w:rPr>
            </w:pPr>
            <w:r>
              <w:rPr>
                <w:lang w:val="fr-FR"/>
              </w:rPr>
              <w:t>New Bedford, MA 02740</w:t>
            </w:r>
          </w:p>
        </w:tc>
      </w:tr>
      <w:tr w:rsidR="004313D9" w:rsidRPr="0016671D" w14:paraId="7F48402A" w14:textId="77777777" w:rsidTr="3655DEAD">
        <w:trPr>
          <w:trHeight w:val="323"/>
        </w:trPr>
        <w:tc>
          <w:tcPr>
            <w:tcW w:w="2276" w:type="pct"/>
            <w:shd w:val="clear" w:color="auto" w:fill="auto"/>
            <w:vAlign w:val="center"/>
          </w:tcPr>
          <w:p w14:paraId="62887CB2" w14:textId="77777777" w:rsidR="004313D9" w:rsidRPr="0016671D" w:rsidRDefault="004313D9" w:rsidP="004313D9">
            <w:pPr>
              <w:ind w:right="540"/>
              <w:contextualSpacing/>
            </w:pPr>
            <w:r w:rsidRPr="0016671D">
              <w:t>Filing Date</w:t>
            </w:r>
          </w:p>
        </w:tc>
        <w:tc>
          <w:tcPr>
            <w:tcW w:w="2724" w:type="pct"/>
            <w:shd w:val="clear" w:color="auto" w:fill="auto"/>
            <w:vAlign w:val="center"/>
          </w:tcPr>
          <w:p w14:paraId="2924AE87" w14:textId="26FE0290" w:rsidR="004313D9" w:rsidRPr="002738AD" w:rsidRDefault="00691C3E" w:rsidP="004313D9">
            <w:pPr>
              <w:ind w:right="540"/>
              <w:contextualSpacing/>
            </w:pPr>
            <w:r w:rsidRPr="00591BAC">
              <w:t>Ma</w:t>
            </w:r>
            <w:r w:rsidR="00B8700C" w:rsidRPr="00591BAC">
              <w:t>y 2</w:t>
            </w:r>
            <w:r w:rsidR="00591BAC" w:rsidRPr="00591BAC">
              <w:t>8</w:t>
            </w:r>
            <w:r w:rsidRPr="00591BAC">
              <w:t>, 2024</w:t>
            </w:r>
          </w:p>
        </w:tc>
      </w:tr>
      <w:tr w:rsidR="004313D9" w:rsidRPr="0016671D" w14:paraId="45BF54E4" w14:textId="77777777" w:rsidTr="3655DEAD">
        <w:trPr>
          <w:trHeight w:val="300"/>
        </w:trPr>
        <w:tc>
          <w:tcPr>
            <w:tcW w:w="2276" w:type="pct"/>
            <w:shd w:val="clear" w:color="auto" w:fill="auto"/>
            <w:vAlign w:val="center"/>
          </w:tcPr>
          <w:p w14:paraId="11D28445" w14:textId="77777777" w:rsidR="004313D9" w:rsidRPr="0016671D" w:rsidRDefault="004313D9" w:rsidP="004313D9">
            <w:pPr>
              <w:ind w:right="540"/>
              <w:contextualSpacing/>
            </w:pPr>
            <w:r w:rsidRPr="0016671D">
              <w:t>Type of DoN Application</w:t>
            </w:r>
          </w:p>
        </w:tc>
        <w:tc>
          <w:tcPr>
            <w:tcW w:w="2724" w:type="pct"/>
            <w:shd w:val="clear" w:color="auto" w:fill="auto"/>
            <w:vAlign w:val="center"/>
          </w:tcPr>
          <w:p w14:paraId="54290C07" w14:textId="132A3296" w:rsidR="004313D9" w:rsidRPr="002738AD" w:rsidRDefault="00186479" w:rsidP="004313D9">
            <w:pPr>
              <w:ind w:right="540"/>
              <w:contextualSpacing/>
            </w:pPr>
            <w:r>
              <w:t>Transfer Of Ownership</w:t>
            </w:r>
          </w:p>
        </w:tc>
      </w:tr>
      <w:tr w:rsidR="004313D9" w:rsidRPr="0016671D" w14:paraId="1C2D799A" w14:textId="77777777" w:rsidTr="3655DEAD">
        <w:trPr>
          <w:trHeight w:val="300"/>
        </w:trPr>
        <w:tc>
          <w:tcPr>
            <w:tcW w:w="2276" w:type="pct"/>
            <w:shd w:val="clear" w:color="auto" w:fill="auto"/>
            <w:vAlign w:val="center"/>
          </w:tcPr>
          <w:p w14:paraId="58287B54" w14:textId="77777777" w:rsidR="004313D9" w:rsidRPr="0016671D" w:rsidRDefault="004313D9" w:rsidP="004313D9">
            <w:pPr>
              <w:ind w:right="540"/>
              <w:contextualSpacing/>
            </w:pPr>
            <w:r w:rsidRPr="0016671D">
              <w:t>Total Value</w:t>
            </w:r>
          </w:p>
        </w:tc>
        <w:tc>
          <w:tcPr>
            <w:tcW w:w="2724" w:type="pct"/>
            <w:shd w:val="clear" w:color="auto" w:fill="auto"/>
            <w:vAlign w:val="center"/>
          </w:tcPr>
          <w:p w14:paraId="241030D1" w14:textId="5302929C" w:rsidR="004313D9" w:rsidRPr="002738AD" w:rsidRDefault="00B8700C" w:rsidP="004313D9">
            <w:pPr>
              <w:ind w:right="540"/>
              <w:contextualSpacing/>
            </w:pPr>
            <w:r w:rsidRPr="00B8700C">
              <w:t>$5,300,000.</w:t>
            </w:r>
            <w:r w:rsidR="007E4830">
              <w:t>00</w:t>
            </w:r>
          </w:p>
        </w:tc>
      </w:tr>
      <w:tr w:rsidR="004313D9" w:rsidRPr="0016671D" w14:paraId="375F89F8" w14:textId="77777777" w:rsidTr="3655DEAD">
        <w:trPr>
          <w:trHeight w:val="300"/>
        </w:trPr>
        <w:tc>
          <w:tcPr>
            <w:tcW w:w="2276" w:type="pct"/>
            <w:shd w:val="clear" w:color="auto" w:fill="auto"/>
            <w:vAlign w:val="center"/>
          </w:tcPr>
          <w:p w14:paraId="179EBADA" w14:textId="77777777" w:rsidR="004313D9" w:rsidRPr="0016671D" w:rsidRDefault="004313D9" w:rsidP="004313D9">
            <w:pPr>
              <w:ind w:right="540"/>
              <w:contextualSpacing/>
            </w:pPr>
            <w:r w:rsidRPr="0016671D">
              <w:t>Project Number</w:t>
            </w:r>
          </w:p>
        </w:tc>
        <w:tc>
          <w:tcPr>
            <w:tcW w:w="2724" w:type="pct"/>
            <w:shd w:val="clear" w:color="auto" w:fill="auto"/>
            <w:vAlign w:val="center"/>
          </w:tcPr>
          <w:p w14:paraId="3F72EF9F" w14:textId="06CE497D" w:rsidR="004313D9" w:rsidRPr="002738AD" w:rsidRDefault="00B8700C" w:rsidP="004313D9">
            <w:pPr>
              <w:ind w:right="540"/>
              <w:contextualSpacing/>
            </w:pPr>
            <w:r w:rsidRPr="00B8700C">
              <w:t>#SHS-24050109-TO</w:t>
            </w:r>
          </w:p>
        </w:tc>
      </w:tr>
      <w:tr w:rsidR="004313D9" w:rsidRPr="0016671D" w14:paraId="5AB437F4" w14:textId="77777777" w:rsidTr="3655DEAD">
        <w:trPr>
          <w:trHeight w:val="300"/>
        </w:trPr>
        <w:tc>
          <w:tcPr>
            <w:tcW w:w="2276" w:type="pct"/>
            <w:shd w:val="clear" w:color="auto" w:fill="auto"/>
            <w:vAlign w:val="center"/>
          </w:tcPr>
          <w:p w14:paraId="673CB573" w14:textId="77777777" w:rsidR="004313D9" w:rsidRPr="0016671D" w:rsidRDefault="004313D9" w:rsidP="004313D9">
            <w:pPr>
              <w:ind w:right="540"/>
              <w:contextualSpacing/>
            </w:pPr>
            <w:r w:rsidRPr="0016671D">
              <w:t>Ten Taxpayer Groups (TTG)</w:t>
            </w:r>
          </w:p>
        </w:tc>
        <w:tc>
          <w:tcPr>
            <w:tcW w:w="2724" w:type="pct"/>
            <w:shd w:val="clear" w:color="auto" w:fill="auto"/>
            <w:vAlign w:val="center"/>
          </w:tcPr>
          <w:p w14:paraId="1F09EC20" w14:textId="3F0DCAE3" w:rsidR="004313D9" w:rsidRPr="002738AD" w:rsidRDefault="005A11EB" w:rsidP="004313D9">
            <w:pPr>
              <w:ind w:right="540"/>
              <w:contextualSpacing/>
            </w:pPr>
            <w:r>
              <w:t>NONE</w:t>
            </w:r>
          </w:p>
        </w:tc>
      </w:tr>
      <w:tr w:rsidR="004313D9" w:rsidRPr="0016671D" w14:paraId="4DC78A97" w14:textId="77777777" w:rsidTr="3655DEAD">
        <w:trPr>
          <w:trHeight w:val="300"/>
        </w:trPr>
        <w:tc>
          <w:tcPr>
            <w:tcW w:w="2276" w:type="pct"/>
            <w:shd w:val="clear" w:color="auto" w:fill="auto"/>
            <w:vAlign w:val="center"/>
          </w:tcPr>
          <w:p w14:paraId="4ED36B8C" w14:textId="77777777" w:rsidR="004313D9" w:rsidRPr="0016671D" w:rsidRDefault="004313D9" w:rsidP="004313D9">
            <w:pPr>
              <w:ind w:right="540"/>
              <w:contextualSpacing/>
            </w:pPr>
            <w:r w:rsidRPr="0016671D">
              <w:t>Community Health Initiative (CHI)</w:t>
            </w:r>
            <w:r w:rsidRPr="0016671D" w:rsidDel="00FB532E">
              <w:t xml:space="preserve"> </w:t>
            </w:r>
          </w:p>
        </w:tc>
        <w:tc>
          <w:tcPr>
            <w:tcW w:w="2724" w:type="pct"/>
            <w:shd w:val="clear" w:color="auto" w:fill="auto"/>
            <w:vAlign w:val="center"/>
          </w:tcPr>
          <w:p w14:paraId="1FD1C6E2" w14:textId="4E217E28" w:rsidR="004313D9" w:rsidRPr="002738AD" w:rsidRDefault="004C77A1" w:rsidP="004313D9">
            <w:pPr>
              <w:ind w:right="540"/>
              <w:contextualSpacing/>
            </w:pPr>
            <w:r>
              <w:t>Exempt from Factor 6</w:t>
            </w:r>
          </w:p>
        </w:tc>
      </w:tr>
      <w:tr w:rsidR="004313D9" w:rsidRPr="0016671D" w14:paraId="328C674C" w14:textId="77777777" w:rsidTr="3655DEAD">
        <w:trPr>
          <w:trHeight w:val="300"/>
        </w:trPr>
        <w:tc>
          <w:tcPr>
            <w:tcW w:w="2276" w:type="pct"/>
            <w:shd w:val="clear" w:color="auto" w:fill="auto"/>
            <w:vAlign w:val="center"/>
          </w:tcPr>
          <w:p w14:paraId="7B1CAF6C" w14:textId="77777777" w:rsidR="004313D9" w:rsidRPr="0016671D" w:rsidRDefault="004313D9" w:rsidP="004313D9">
            <w:pPr>
              <w:ind w:right="540"/>
              <w:contextualSpacing/>
            </w:pPr>
            <w:r w:rsidRPr="0016671D">
              <w:t>Staff Recommendation</w:t>
            </w:r>
          </w:p>
        </w:tc>
        <w:tc>
          <w:tcPr>
            <w:tcW w:w="2724" w:type="pct"/>
            <w:shd w:val="clear" w:color="auto" w:fill="auto"/>
            <w:vAlign w:val="center"/>
          </w:tcPr>
          <w:p w14:paraId="1682CA02" w14:textId="6A4CAFE8" w:rsidR="004313D9" w:rsidRPr="002738AD" w:rsidRDefault="00186479" w:rsidP="004313D9">
            <w:pPr>
              <w:ind w:right="540"/>
              <w:contextualSpacing/>
            </w:pPr>
            <w:r>
              <w:t>Approval</w:t>
            </w:r>
            <w:r w:rsidR="00691C3E">
              <w:t xml:space="preserve"> with Conditions</w:t>
            </w:r>
          </w:p>
        </w:tc>
      </w:tr>
      <w:tr w:rsidR="004313D9" w:rsidRPr="0016671D" w14:paraId="40C51467" w14:textId="77777777" w:rsidTr="3655DEAD">
        <w:trPr>
          <w:trHeight w:val="300"/>
        </w:trPr>
        <w:tc>
          <w:tcPr>
            <w:tcW w:w="2276" w:type="pct"/>
            <w:shd w:val="clear" w:color="auto" w:fill="auto"/>
            <w:vAlign w:val="center"/>
          </w:tcPr>
          <w:p w14:paraId="4F63ADC5" w14:textId="50D08DEE" w:rsidR="004313D9" w:rsidRPr="0016671D" w:rsidRDefault="00C40991" w:rsidP="004313D9">
            <w:pPr>
              <w:ind w:right="540"/>
              <w:contextualSpacing/>
            </w:pPr>
            <w:r w:rsidRPr="0016671D">
              <w:t>Public Health Council</w:t>
            </w:r>
          </w:p>
        </w:tc>
        <w:tc>
          <w:tcPr>
            <w:tcW w:w="2724" w:type="pct"/>
            <w:shd w:val="clear" w:color="auto" w:fill="auto"/>
            <w:vAlign w:val="center"/>
          </w:tcPr>
          <w:p w14:paraId="3E0E2C44" w14:textId="3786B15B" w:rsidR="004313D9" w:rsidRPr="002738AD" w:rsidRDefault="006B46D1" w:rsidP="004313D9">
            <w:pPr>
              <w:ind w:right="540"/>
              <w:contextualSpacing/>
            </w:pPr>
            <w:r>
              <w:t>September 11</w:t>
            </w:r>
            <w:r w:rsidR="00691C3E" w:rsidRPr="006B46D1">
              <w:t>, 2024</w:t>
            </w:r>
          </w:p>
        </w:tc>
      </w:tr>
      <w:tr w:rsidR="00D113E6" w:rsidRPr="0016671D" w14:paraId="5B8B03D1" w14:textId="77777777" w:rsidTr="3655DEAD">
        <w:trPr>
          <w:trHeight w:val="300"/>
        </w:trPr>
        <w:tc>
          <w:tcPr>
            <w:tcW w:w="5000" w:type="pct"/>
            <w:gridSpan w:val="2"/>
            <w:shd w:val="clear" w:color="auto" w:fill="auto"/>
            <w:vAlign w:val="center"/>
          </w:tcPr>
          <w:p w14:paraId="115595BA" w14:textId="77777777" w:rsidR="00D113E6" w:rsidRPr="0016671D" w:rsidRDefault="00D113E6" w:rsidP="00D113E6">
            <w:pPr>
              <w:spacing w:before="240" w:after="200"/>
              <w:ind w:left="108" w:right="70"/>
              <w:jc w:val="center"/>
              <w:rPr>
                <w:rFonts w:eastAsia="Calibri"/>
                <w:b/>
              </w:rPr>
            </w:pPr>
            <w:r w:rsidRPr="0016671D">
              <w:rPr>
                <w:rFonts w:eastAsia="Calibri"/>
                <w:b/>
                <w:u w:val="single"/>
              </w:rPr>
              <w:t>Project Summary and Regulatory Review</w:t>
            </w:r>
          </w:p>
          <w:p w14:paraId="49E38305" w14:textId="145E4F07" w:rsidR="007E4830" w:rsidRPr="007E4830" w:rsidRDefault="007E4830" w:rsidP="007E4830">
            <w:pPr>
              <w:ind w:left="108" w:right="70"/>
              <w:rPr>
                <w:rFonts w:eastAsia="Calibri"/>
              </w:rPr>
            </w:pPr>
            <w:r w:rsidRPr="007E4830">
              <w:rPr>
                <w:rFonts w:eastAsia="Calibri"/>
              </w:rPr>
              <w:t>Southcoast Health System, Inc. (“</w:t>
            </w:r>
            <w:r w:rsidR="00A7767F" w:rsidRPr="007E4830">
              <w:rPr>
                <w:rFonts w:eastAsia="Calibri"/>
              </w:rPr>
              <w:t>Applicant”</w:t>
            </w:r>
            <w:r w:rsidR="00A7767F">
              <w:rPr>
                <w:rFonts w:eastAsia="Calibri"/>
              </w:rPr>
              <w:t>, “Southcoast</w:t>
            </w:r>
            <w:r w:rsidR="00473ECA">
              <w:rPr>
                <w:rFonts w:eastAsia="Calibri"/>
              </w:rPr>
              <w:t>”,</w:t>
            </w:r>
            <w:r w:rsidR="00904A0A">
              <w:rPr>
                <w:rFonts w:eastAsia="Calibri"/>
              </w:rPr>
              <w:t xml:space="preserve"> “SHS”</w:t>
            </w:r>
            <w:r w:rsidRPr="007E4830">
              <w:rPr>
                <w:rFonts w:eastAsia="Calibri"/>
              </w:rPr>
              <w:t>), file</w:t>
            </w:r>
            <w:r>
              <w:rPr>
                <w:rFonts w:eastAsia="Calibri"/>
              </w:rPr>
              <w:t>d</w:t>
            </w:r>
            <w:r w:rsidRPr="007E4830">
              <w:rPr>
                <w:rFonts w:eastAsia="Calibri"/>
              </w:rPr>
              <w:t xml:space="preserve"> an application for a Notice of Determination of Need with respect to a Transfer of Ownership of </w:t>
            </w:r>
            <w:bookmarkStart w:id="0" w:name="_Hlk173242528"/>
            <w:r w:rsidRPr="007E4830">
              <w:rPr>
                <w:rFonts w:eastAsia="Calibri"/>
              </w:rPr>
              <w:t xml:space="preserve">Same Day </w:t>
            </w:r>
            <w:proofErr w:type="spellStart"/>
            <w:r w:rsidRPr="007E4830">
              <w:rPr>
                <w:rFonts w:eastAsia="Calibri"/>
              </w:rPr>
              <w:t>Surgicare</w:t>
            </w:r>
            <w:proofErr w:type="spellEnd"/>
            <w:r w:rsidRPr="007E4830">
              <w:rPr>
                <w:rFonts w:eastAsia="Calibri"/>
              </w:rPr>
              <w:t xml:space="preserve"> of New England, Inc. (“SDS”)</w:t>
            </w:r>
            <w:r w:rsidR="00A7767F">
              <w:rPr>
                <w:rFonts w:eastAsia="Calibri"/>
              </w:rPr>
              <w:t xml:space="preserve"> </w:t>
            </w:r>
            <w:bookmarkEnd w:id="0"/>
            <w:r w:rsidR="00473ECA">
              <w:rPr>
                <w:rFonts w:eastAsia="Calibri"/>
              </w:rPr>
              <w:t>a licensed Ambulatory Surgery Center (“ASC”)</w:t>
            </w:r>
            <w:r w:rsidRPr="007E4830">
              <w:rPr>
                <w:rFonts w:eastAsia="Calibri"/>
              </w:rPr>
              <w:t xml:space="preserve"> located</w:t>
            </w:r>
            <w:r>
              <w:rPr>
                <w:rFonts w:eastAsia="Calibri"/>
              </w:rPr>
              <w:t xml:space="preserve"> </w:t>
            </w:r>
            <w:r w:rsidRPr="007E4830">
              <w:rPr>
                <w:rFonts w:eastAsia="Calibri"/>
              </w:rPr>
              <w:t>at 272 Stanley Street, Fall River, Massachusetts 027720-6009. The Applicant’s subsidiary, Southcoast Health</w:t>
            </w:r>
            <w:r>
              <w:rPr>
                <w:rFonts w:eastAsia="Calibri"/>
              </w:rPr>
              <w:t xml:space="preserve"> </w:t>
            </w:r>
            <w:r w:rsidRPr="007E4830">
              <w:rPr>
                <w:rFonts w:eastAsia="Calibri"/>
              </w:rPr>
              <w:t>Surgical Holdings, LLC, intends to acquire a majority interest in the ownership of SDS by becoming the sole</w:t>
            </w:r>
            <w:r>
              <w:rPr>
                <w:rFonts w:eastAsia="Calibri"/>
              </w:rPr>
              <w:t xml:space="preserve"> </w:t>
            </w:r>
            <w:r w:rsidRPr="007E4830">
              <w:rPr>
                <w:rFonts w:eastAsia="Calibri"/>
              </w:rPr>
              <w:t xml:space="preserve">stockholder of SDS. (“Proposed Project”). </w:t>
            </w:r>
          </w:p>
          <w:p w14:paraId="10CDFED1" w14:textId="77777777" w:rsidR="00645329" w:rsidRPr="00186479" w:rsidRDefault="00645329" w:rsidP="00186479">
            <w:pPr>
              <w:ind w:left="108" w:right="70"/>
              <w:rPr>
                <w:rFonts w:eastAsia="Calibri"/>
              </w:rPr>
            </w:pPr>
          </w:p>
          <w:p w14:paraId="3DBC4FB2" w14:textId="77777777" w:rsidR="00D113E6" w:rsidRDefault="00186479" w:rsidP="00941A5E">
            <w:pPr>
              <w:ind w:left="108" w:right="70"/>
              <w:rPr>
                <w:rFonts w:eastAsia="Calibri"/>
              </w:rPr>
            </w:pPr>
            <w:r w:rsidRPr="00186479">
              <w:rPr>
                <w:rFonts w:eastAsia="Calibri"/>
              </w:rPr>
              <w:t xml:space="preserve">This Determination of Need (DoN) Application falls within the definition of Transfer of Ownership, which </w:t>
            </w:r>
            <w:r w:rsidR="003F5C09" w:rsidRPr="00186479">
              <w:rPr>
                <w:rFonts w:eastAsia="Calibri"/>
              </w:rPr>
              <w:t>is</w:t>
            </w:r>
            <w:r w:rsidRPr="00186479">
              <w:rPr>
                <w:rFonts w:eastAsia="Calibri"/>
              </w:rPr>
              <w:t xml:space="preserve"> reviewed under the DoN regulation 105 CMR 100.000. The Department must determine that need exists for a Proposed Project, on the basis of material in the record, where the Applicant makes a clear and convincing demonstration that the Proposed Project meets each DoN Factor set forth within 105 CMR 100.210. A DoN Application for a Transfer of Ownership is subject to factors 1, 2, 3, and 4 of the DoN regulation. This staff report addresses each of the four factors set forth in the regulation.</w:t>
            </w:r>
            <w:r w:rsidR="003B6D79">
              <w:rPr>
                <w:rFonts w:eastAsia="Calibri"/>
              </w:rPr>
              <w:t xml:space="preserve"> </w:t>
            </w:r>
          </w:p>
          <w:p w14:paraId="53897644" w14:textId="1C0667EE" w:rsidR="00941A5E" w:rsidRPr="00D113E6" w:rsidRDefault="00941A5E" w:rsidP="00941A5E">
            <w:pPr>
              <w:ind w:left="108" w:right="70"/>
              <w:rPr>
                <w:rFonts w:eastAsia="Calibri"/>
              </w:rPr>
            </w:pPr>
          </w:p>
        </w:tc>
      </w:tr>
    </w:tbl>
    <w:p w14:paraId="0E8E8B60" w14:textId="7590AA91" w:rsidR="00486F29" w:rsidRDefault="00486F29" w:rsidP="00FC26AB">
      <w:pPr>
        <w:pStyle w:val="Heading2"/>
      </w:pPr>
    </w:p>
    <w:p w14:paraId="49EC7263" w14:textId="77777777" w:rsidR="00486F29" w:rsidRDefault="00486F29">
      <w:pPr>
        <w:spacing w:after="200" w:line="276" w:lineRule="auto"/>
        <w:rPr>
          <w:rFonts w:asciiTheme="majorHAnsi" w:eastAsiaTheme="majorEastAsia" w:hAnsiTheme="majorHAnsi" w:cstheme="majorBidi"/>
          <w:b/>
          <w:bCs/>
          <w:color w:val="6076B4" w:themeColor="accent1"/>
          <w:sz w:val="26"/>
          <w:szCs w:val="26"/>
        </w:rPr>
      </w:pPr>
      <w:r>
        <w:br w:type="page"/>
      </w:r>
    </w:p>
    <w:p w14:paraId="3157A547" w14:textId="77777777" w:rsidR="00486F29" w:rsidRPr="00486F29" w:rsidRDefault="00486F29" w:rsidP="00486F29"/>
    <w:p w14:paraId="13429CFF" w14:textId="77777777" w:rsidR="003A6B26" w:rsidRDefault="003A6B26"/>
    <w:p w14:paraId="136DEA07" w14:textId="27C379EF" w:rsidR="00725F70" w:rsidRDefault="00A13015">
      <w:pPr>
        <w:pStyle w:val="TOC1"/>
        <w:rPr>
          <w:rFonts w:asciiTheme="minorHAnsi" w:eastAsiaTheme="minorEastAsia" w:hAnsiTheme="minorHAnsi" w:cstheme="minorBidi"/>
          <w:kern w:val="2"/>
          <w:szCs w:val="24"/>
          <w14:ligatures w14:val="standardContextual"/>
        </w:rPr>
      </w:pPr>
      <w:r>
        <w:rPr>
          <w:rFonts w:ascii="Garamond" w:hAnsi="Garamond"/>
          <w:sz w:val="22"/>
        </w:rPr>
        <w:fldChar w:fldCharType="begin"/>
      </w:r>
      <w:r>
        <w:rPr>
          <w:rFonts w:ascii="Garamond" w:hAnsi="Garamond"/>
          <w:sz w:val="22"/>
        </w:rPr>
        <w:instrText xml:space="preserve"> TOC \o "1-3" \h \z \u </w:instrText>
      </w:r>
      <w:r>
        <w:rPr>
          <w:rFonts w:ascii="Garamond" w:hAnsi="Garamond"/>
          <w:sz w:val="22"/>
        </w:rPr>
        <w:fldChar w:fldCharType="separate"/>
      </w:r>
      <w:hyperlink w:anchor="_Toc174010162" w:history="1">
        <w:r w:rsidR="00725F70" w:rsidRPr="008D503A">
          <w:rPr>
            <w:rStyle w:val="Hyperlink"/>
            <w:rFonts w:cstheme="minorHAnsi"/>
          </w:rPr>
          <w:t>Background and Application Overview</w:t>
        </w:r>
        <w:r w:rsidR="00725F70">
          <w:rPr>
            <w:webHidden/>
          </w:rPr>
          <w:tab/>
        </w:r>
        <w:r w:rsidR="00725F70">
          <w:rPr>
            <w:webHidden/>
          </w:rPr>
          <w:fldChar w:fldCharType="begin"/>
        </w:r>
        <w:r w:rsidR="00725F70">
          <w:rPr>
            <w:webHidden/>
          </w:rPr>
          <w:instrText xml:space="preserve"> PAGEREF _Toc174010162 \h </w:instrText>
        </w:r>
        <w:r w:rsidR="00725F70">
          <w:rPr>
            <w:webHidden/>
          </w:rPr>
        </w:r>
        <w:r w:rsidR="00725F70">
          <w:rPr>
            <w:webHidden/>
          </w:rPr>
          <w:fldChar w:fldCharType="separate"/>
        </w:r>
        <w:r w:rsidR="00725F70">
          <w:rPr>
            <w:webHidden/>
          </w:rPr>
          <w:t>3</w:t>
        </w:r>
        <w:r w:rsidR="00725F70">
          <w:rPr>
            <w:webHidden/>
          </w:rPr>
          <w:fldChar w:fldCharType="end"/>
        </w:r>
      </w:hyperlink>
    </w:p>
    <w:p w14:paraId="7AB7BE0B" w14:textId="4FC03F3D" w:rsidR="00725F70" w:rsidRDefault="00000000">
      <w:pPr>
        <w:pStyle w:val="TOC1"/>
        <w:rPr>
          <w:rFonts w:asciiTheme="minorHAnsi" w:eastAsiaTheme="minorEastAsia" w:hAnsiTheme="minorHAnsi" w:cstheme="minorBidi"/>
          <w:kern w:val="2"/>
          <w:szCs w:val="24"/>
          <w14:ligatures w14:val="standardContextual"/>
        </w:rPr>
      </w:pPr>
      <w:hyperlink w:anchor="_Toc174010163" w:history="1">
        <w:r w:rsidR="00725F70" w:rsidRPr="008D503A">
          <w:rPr>
            <w:rStyle w:val="Hyperlink"/>
          </w:rPr>
          <w:t>Patient Panel</w:t>
        </w:r>
        <w:r w:rsidR="00725F70">
          <w:rPr>
            <w:webHidden/>
          </w:rPr>
          <w:tab/>
        </w:r>
        <w:r w:rsidR="00725F70">
          <w:rPr>
            <w:webHidden/>
          </w:rPr>
          <w:fldChar w:fldCharType="begin"/>
        </w:r>
        <w:r w:rsidR="00725F70">
          <w:rPr>
            <w:webHidden/>
          </w:rPr>
          <w:instrText xml:space="preserve"> PAGEREF _Toc174010163 \h </w:instrText>
        </w:r>
        <w:r w:rsidR="00725F70">
          <w:rPr>
            <w:webHidden/>
          </w:rPr>
        </w:r>
        <w:r w:rsidR="00725F70">
          <w:rPr>
            <w:webHidden/>
          </w:rPr>
          <w:fldChar w:fldCharType="separate"/>
        </w:r>
        <w:r w:rsidR="00725F70">
          <w:rPr>
            <w:webHidden/>
          </w:rPr>
          <w:t>4</w:t>
        </w:r>
        <w:r w:rsidR="00725F70">
          <w:rPr>
            <w:webHidden/>
          </w:rPr>
          <w:fldChar w:fldCharType="end"/>
        </w:r>
      </w:hyperlink>
    </w:p>
    <w:p w14:paraId="7602B257" w14:textId="11018E43" w:rsidR="00725F70" w:rsidRDefault="00000000">
      <w:pPr>
        <w:pStyle w:val="TOC1"/>
        <w:rPr>
          <w:rFonts w:asciiTheme="minorHAnsi" w:eastAsiaTheme="minorEastAsia" w:hAnsiTheme="minorHAnsi" w:cstheme="minorBidi"/>
          <w:kern w:val="2"/>
          <w:szCs w:val="24"/>
          <w14:ligatures w14:val="standardContextual"/>
        </w:rPr>
      </w:pPr>
      <w:hyperlink w:anchor="_Toc174010164" w:history="1">
        <w:r w:rsidR="00725F70" w:rsidRPr="008D503A">
          <w:rPr>
            <w:rStyle w:val="Hyperlink"/>
            <w:rFonts w:eastAsia="Calibri" w:cstheme="minorHAnsi"/>
          </w:rPr>
          <w:t>Factor 1a: Patient Panel Need</w:t>
        </w:r>
        <w:r w:rsidR="00725F70">
          <w:rPr>
            <w:webHidden/>
          </w:rPr>
          <w:tab/>
        </w:r>
        <w:r w:rsidR="00725F70">
          <w:rPr>
            <w:webHidden/>
          </w:rPr>
          <w:fldChar w:fldCharType="begin"/>
        </w:r>
        <w:r w:rsidR="00725F70">
          <w:rPr>
            <w:webHidden/>
          </w:rPr>
          <w:instrText xml:space="preserve"> PAGEREF _Toc174010164 \h </w:instrText>
        </w:r>
        <w:r w:rsidR="00725F70">
          <w:rPr>
            <w:webHidden/>
          </w:rPr>
        </w:r>
        <w:r w:rsidR="00725F70">
          <w:rPr>
            <w:webHidden/>
          </w:rPr>
          <w:fldChar w:fldCharType="separate"/>
        </w:r>
        <w:r w:rsidR="00725F70">
          <w:rPr>
            <w:webHidden/>
          </w:rPr>
          <w:t>6</w:t>
        </w:r>
        <w:r w:rsidR="00725F70">
          <w:rPr>
            <w:webHidden/>
          </w:rPr>
          <w:fldChar w:fldCharType="end"/>
        </w:r>
      </w:hyperlink>
    </w:p>
    <w:p w14:paraId="6080A7AB" w14:textId="097EB5CD" w:rsidR="00725F70" w:rsidRDefault="00000000">
      <w:pPr>
        <w:pStyle w:val="TOC2"/>
        <w:rPr>
          <w:rFonts w:eastAsiaTheme="minorEastAsia" w:cstheme="minorBidi"/>
          <w:color w:val="auto"/>
          <w:kern w:val="2"/>
          <w14:ligatures w14:val="standardContextual"/>
        </w:rPr>
      </w:pPr>
      <w:hyperlink w:anchor="_Toc174010165" w:history="1">
        <w:r w:rsidR="00725F70" w:rsidRPr="008D503A">
          <w:rPr>
            <w:rStyle w:val="Hyperlink"/>
          </w:rPr>
          <w:t>Factor 1: b) Public Health Value, Improved Health Outcomes and Quality of Life; Assurances of Health Equity</w:t>
        </w:r>
        <w:r w:rsidR="00725F70">
          <w:rPr>
            <w:webHidden/>
          </w:rPr>
          <w:tab/>
        </w:r>
        <w:r w:rsidR="00725F70">
          <w:rPr>
            <w:webHidden/>
          </w:rPr>
          <w:fldChar w:fldCharType="begin"/>
        </w:r>
        <w:r w:rsidR="00725F70">
          <w:rPr>
            <w:webHidden/>
          </w:rPr>
          <w:instrText xml:space="preserve"> PAGEREF _Toc174010165 \h </w:instrText>
        </w:r>
        <w:r w:rsidR="00725F70">
          <w:rPr>
            <w:webHidden/>
          </w:rPr>
        </w:r>
        <w:r w:rsidR="00725F70">
          <w:rPr>
            <w:webHidden/>
          </w:rPr>
          <w:fldChar w:fldCharType="separate"/>
        </w:r>
        <w:r w:rsidR="00725F70">
          <w:rPr>
            <w:webHidden/>
          </w:rPr>
          <w:t>12</w:t>
        </w:r>
        <w:r w:rsidR="00725F70">
          <w:rPr>
            <w:webHidden/>
          </w:rPr>
          <w:fldChar w:fldCharType="end"/>
        </w:r>
      </w:hyperlink>
    </w:p>
    <w:p w14:paraId="42AD32E6" w14:textId="6CD829C1" w:rsidR="00725F70" w:rsidRDefault="00000000">
      <w:pPr>
        <w:pStyle w:val="TOC1"/>
        <w:rPr>
          <w:rFonts w:asciiTheme="minorHAnsi" w:eastAsiaTheme="minorEastAsia" w:hAnsiTheme="minorHAnsi" w:cstheme="minorBidi"/>
          <w:kern w:val="2"/>
          <w:szCs w:val="24"/>
          <w14:ligatures w14:val="standardContextual"/>
        </w:rPr>
      </w:pPr>
      <w:hyperlink w:anchor="_Toc174010166" w:history="1">
        <w:r w:rsidR="00725F70" w:rsidRPr="008D503A">
          <w:rPr>
            <w:rStyle w:val="Hyperlink"/>
            <w:rFonts w:cstheme="minorHAnsi"/>
          </w:rPr>
          <w:t>Factor 1: c) Efficiency, Continuity of Care, Coordination of Care</w:t>
        </w:r>
        <w:r w:rsidR="00725F70">
          <w:rPr>
            <w:webHidden/>
          </w:rPr>
          <w:tab/>
        </w:r>
        <w:r w:rsidR="00725F70">
          <w:rPr>
            <w:webHidden/>
          </w:rPr>
          <w:fldChar w:fldCharType="begin"/>
        </w:r>
        <w:r w:rsidR="00725F70">
          <w:rPr>
            <w:webHidden/>
          </w:rPr>
          <w:instrText xml:space="preserve"> PAGEREF _Toc174010166 \h </w:instrText>
        </w:r>
        <w:r w:rsidR="00725F70">
          <w:rPr>
            <w:webHidden/>
          </w:rPr>
        </w:r>
        <w:r w:rsidR="00725F70">
          <w:rPr>
            <w:webHidden/>
          </w:rPr>
          <w:fldChar w:fldCharType="separate"/>
        </w:r>
        <w:r w:rsidR="00725F70">
          <w:rPr>
            <w:webHidden/>
          </w:rPr>
          <w:t>14</w:t>
        </w:r>
        <w:r w:rsidR="00725F70">
          <w:rPr>
            <w:webHidden/>
          </w:rPr>
          <w:fldChar w:fldCharType="end"/>
        </w:r>
      </w:hyperlink>
    </w:p>
    <w:p w14:paraId="09866AFD" w14:textId="4A983EA4" w:rsidR="00725F70" w:rsidRDefault="00000000">
      <w:pPr>
        <w:pStyle w:val="TOC1"/>
        <w:rPr>
          <w:rFonts w:asciiTheme="minorHAnsi" w:eastAsiaTheme="minorEastAsia" w:hAnsiTheme="minorHAnsi" w:cstheme="minorBidi"/>
          <w:kern w:val="2"/>
          <w:szCs w:val="24"/>
          <w14:ligatures w14:val="standardContextual"/>
        </w:rPr>
      </w:pPr>
      <w:hyperlink w:anchor="_Toc174010167" w:history="1">
        <w:r w:rsidR="00725F70" w:rsidRPr="008D503A">
          <w:rPr>
            <w:rStyle w:val="Hyperlink"/>
            <w:rFonts w:cstheme="minorHAnsi"/>
          </w:rPr>
          <w:t>Factor 1: d) Consultation</w:t>
        </w:r>
        <w:r w:rsidR="00725F70">
          <w:rPr>
            <w:webHidden/>
          </w:rPr>
          <w:tab/>
        </w:r>
        <w:r w:rsidR="00725F70">
          <w:rPr>
            <w:webHidden/>
          </w:rPr>
          <w:fldChar w:fldCharType="begin"/>
        </w:r>
        <w:r w:rsidR="00725F70">
          <w:rPr>
            <w:webHidden/>
          </w:rPr>
          <w:instrText xml:space="preserve"> PAGEREF _Toc174010167 \h </w:instrText>
        </w:r>
        <w:r w:rsidR="00725F70">
          <w:rPr>
            <w:webHidden/>
          </w:rPr>
        </w:r>
        <w:r w:rsidR="00725F70">
          <w:rPr>
            <w:webHidden/>
          </w:rPr>
          <w:fldChar w:fldCharType="separate"/>
        </w:r>
        <w:r w:rsidR="00725F70">
          <w:rPr>
            <w:webHidden/>
          </w:rPr>
          <w:t>16</w:t>
        </w:r>
        <w:r w:rsidR="00725F70">
          <w:rPr>
            <w:webHidden/>
          </w:rPr>
          <w:fldChar w:fldCharType="end"/>
        </w:r>
      </w:hyperlink>
    </w:p>
    <w:p w14:paraId="04C31FB1" w14:textId="2E334B6D" w:rsidR="00725F70" w:rsidRDefault="00000000">
      <w:pPr>
        <w:pStyle w:val="TOC1"/>
        <w:rPr>
          <w:rFonts w:asciiTheme="minorHAnsi" w:eastAsiaTheme="minorEastAsia" w:hAnsiTheme="minorHAnsi" w:cstheme="minorBidi"/>
          <w:kern w:val="2"/>
          <w:szCs w:val="24"/>
          <w14:ligatures w14:val="standardContextual"/>
        </w:rPr>
      </w:pPr>
      <w:hyperlink w:anchor="_Toc174010168" w:history="1">
        <w:r w:rsidR="00725F70" w:rsidRPr="008D503A">
          <w:rPr>
            <w:rStyle w:val="Hyperlink"/>
            <w:rFonts w:cstheme="minorHAnsi"/>
          </w:rPr>
          <w:t>Factor 1: e) Evidence of Sound Community Engagement through the Patient Panel</w:t>
        </w:r>
        <w:r w:rsidR="00725F70">
          <w:rPr>
            <w:webHidden/>
          </w:rPr>
          <w:tab/>
        </w:r>
        <w:r w:rsidR="00725F70">
          <w:rPr>
            <w:webHidden/>
          </w:rPr>
          <w:fldChar w:fldCharType="begin"/>
        </w:r>
        <w:r w:rsidR="00725F70">
          <w:rPr>
            <w:webHidden/>
          </w:rPr>
          <w:instrText xml:space="preserve"> PAGEREF _Toc174010168 \h </w:instrText>
        </w:r>
        <w:r w:rsidR="00725F70">
          <w:rPr>
            <w:webHidden/>
          </w:rPr>
        </w:r>
        <w:r w:rsidR="00725F70">
          <w:rPr>
            <w:webHidden/>
          </w:rPr>
          <w:fldChar w:fldCharType="separate"/>
        </w:r>
        <w:r w:rsidR="00725F70">
          <w:rPr>
            <w:webHidden/>
          </w:rPr>
          <w:t>16</w:t>
        </w:r>
        <w:r w:rsidR="00725F70">
          <w:rPr>
            <w:webHidden/>
          </w:rPr>
          <w:fldChar w:fldCharType="end"/>
        </w:r>
      </w:hyperlink>
    </w:p>
    <w:p w14:paraId="4CA36A1E" w14:textId="0D6F686A" w:rsidR="00725F70" w:rsidRDefault="00000000">
      <w:pPr>
        <w:pStyle w:val="TOC1"/>
        <w:rPr>
          <w:rFonts w:asciiTheme="minorHAnsi" w:eastAsiaTheme="minorEastAsia" w:hAnsiTheme="minorHAnsi" w:cstheme="minorBidi"/>
          <w:kern w:val="2"/>
          <w:szCs w:val="24"/>
          <w14:ligatures w14:val="standardContextual"/>
        </w:rPr>
      </w:pPr>
      <w:hyperlink w:anchor="_Toc174010169" w:history="1">
        <w:r w:rsidR="00725F70" w:rsidRPr="008D503A">
          <w:rPr>
            <w:rStyle w:val="Hyperlink"/>
          </w:rPr>
          <w:t>Factor 1: f) Competition on Price, Total Medical Expenses (TME), Costs and Other Measures of Health Care Spending</w:t>
        </w:r>
        <w:r w:rsidR="00725F70">
          <w:rPr>
            <w:webHidden/>
          </w:rPr>
          <w:tab/>
        </w:r>
        <w:r w:rsidR="00725F70">
          <w:rPr>
            <w:webHidden/>
          </w:rPr>
          <w:fldChar w:fldCharType="begin"/>
        </w:r>
        <w:r w:rsidR="00725F70">
          <w:rPr>
            <w:webHidden/>
          </w:rPr>
          <w:instrText xml:space="preserve"> PAGEREF _Toc174010169 \h </w:instrText>
        </w:r>
        <w:r w:rsidR="00725F70">
          <w:rPr>
            <w:webHidden/>
          </w:rPr>
        </w:r>
        <w:r w:rsidR="00725F70">
          <w:rPr>
            <w:webHidden/>
          </w:rPr>
          <w:fldChar w:fldCharType="separate"/>
        </w:r>
        <w:r w:rsidR="00725F70">
          <w:rPr>
            <w:webHidden/>
          </w:rPr>
          <w:t>17</w:t>
        </w:r>
        <w:r w:rsidR="00725F70">
          <w:rPr>
            <w:webHidden/>
          </w:rPr>
          <w:fldChar w:fldCharType="end"/>
        </w:r>
      </w:hyperlink>
    </w:p>
    <w:p w14:paraId="342AF02B" w14:textId="67ED3400" w:rsidR="00725F70" w:rsidRDefault="00000000">
      <w:pPr>
        <w:pStyle w:val="TOC2"/>
        <w:rPr>
          <w:rFonts w:eastAsiaTheme="minorEastAsia" w:cstheme="minorBidi"/>
          <w:color w:val="auto"/>
          <w:kern w:val="2"/>
          <w14:ligatures w14:val="standardContextual"/>
        </w:rPr>
      </w:pPr>
      <w:hyperlink w:anchor="_Toc174010170" w:history="1">
        <w:r w:rsidR="00725F70" w:rsidRPr="008D503A">
          <w:rPr>
            <w:rStyle w:val="Hyperlink"/>
          </w:rPr>
          <w:t>FACTOR 1 Summary Analysis</w:t>
        </w:r>
        <w:r w:rsidR="00725F70">
          <w:rPr>
            <w:webHidden/>
          </w:rPr>
          <w:tab/>
        </w:r>
        <w:r w:rsidR="00725F70">
          <w:rPr>
            <w:webHidden/>
          </w:rPr>
          <w:fldChar w:fldCharType="begin"/>
        </w:r>
        <w:r w:rsidR="00725F70">
          <w:rPr>
            <w:webHidden/>
          </w:rPr>
          <w:instrText xml:space="preserve"> PAGEREF _Toc174010170 \h </w:instrText>
        </w:r>
        <w:r w:rsidR="00725F70">
          <w:rPr>
            <w:webHidden/>
          </w:rPr>
        </w:r>
        <w:r w:rsidR="00725F70">
          <w:rPr>
            <w:webHidden/>
          </w:rPr>
          <w:fldChar w:fldCharType="separate"/>
        </w:r>
        <w:r w:rsidR="00725F70">
          <w:rPr>
            <w:webHidden/>
          </w:rPr>
          <w:t>18</w:t>
        </w:r>
        <w:r w:rsidR="00725F70">
          <w:rPr>
            <w:webHidden/>
          </w:rPr>
          <w:fldChar w:fldCharType="end"/>
        </w:r>
      </w:hyperlink>
    </w:p>
    <w:p w14:paraId="6E4C7158" w14:textId="6A2E49F9" w:rsidR="00725F70" w:rsidRDefault="00000000">
      <w:pPr>
        <w:pStyle w:val="TOC1"/>
        <w:rPr>
          <w:rFonts w:asciiTheme="minorHAnsi" w:eastAsiaTheme="minorEastAsia" w:hAnsiTheme="minorHAnsi" w:cstheme="minorBidi"/>
          <w:kern w:val="2"/>
          <w:szCs w:val="24"/>
          <w14:ligatures w14:val="standardContextual"/>
        </w:rPr>
      </w:pPr>
      <w:hyperlink w:anchor="_Toc174010171" w:history="1">
        <w:r w:rsidR="00725F70" w:rsidRPr="008D503A">
          <w:rPr>
            <w:rStyle w:val="Hyperlink"/>
            <w:rFonts w:cstheme="minorHAnsi"/>
          </w:rPr>
          <w:t>Factor 2: Cost Containment, Improved Public Health Outcomes and Delivery System Transformation</w:t>
        </w:r>
        <w:r w:rsidR="00725F70">
          <w:rPr>
            <w:webHidden/>
          </w:rPr>
          <w:tab/>
        </w:r>
        <w:r w:rsidR="00725F70">
          <w:rPr>
            <w:webHidden/>
          </w:rPr>
          <w:fldChar w:fldCharType="begin"/>
        </w:r>
        <w:r w:rsidR="00725F70">
          <w:rPr>
            <w:webHidden/>
          </w:rPr>
          <w:instrText xml:space="preserve"> PAGEREF _Toc174010171 \h </w:instrText>
        </w:r>
        <w:r w:rsidR="00725F70">
          <w:rPr>
            <w:webHidden/>
          </w:rPr>
        </w:r>
        <w:r w:rsidR="00725F70">
          <w:rPr>
            <w:webHidden/>
          </w:rPr>
          <w:fldChar w:fldCharType="separate"/>
        </w:r>
        <w:r w:rsidR="00725F70">
          <w:rPr>
            <w:webHidden/>
          </w:rPr>
          <w:t>19</w:t>
        </w:r>
        <w:r w:rsidR="00725F70">
          <w:rPr>
            <w:webHidden/>
          </w:rPr>
          <w:fldChar w:fldCharType="end"/>
        </w:r>
      </w:hyperlink>
    </w:p>
    <w:p w14:paraId="05A52100" w14:textId="679F63EA" w:rsidR="00725F70" w:rsidRDefault="00000000">
      <w:pPr>
        <w:pStyle w:val="TOC2"/>
        <w:rPr>
          <w:rFonts w:eastAsiaTheme="minorEastAsia" w:cstheme="minorBidi"/>
          <w:color w:val="auto"/>
          <w:kern w:val="2"/>
          <w14:ligatures w14:val="standardContextual"/>
        </w:rPr>
      </w:pPr>
      <w:hyperlink w:anchor="_Toc174010172" w:history="1">
        <w:r w:rsidR="00725F70" w:rsidRPr="008D503A">
          <w:rPr>
            <w:rStyle w:val="Hyperlink"/>
          </w:rPr>
          <w:t>FACTOR 2 Summary Analysis</w:t>
        </w:r>
        <w:r w:rsidR="00725F70">
          <w:rPr>
            <w:webHidden/>
          </w:rPr>
          <w:tab/>
        </w:r>
        <w:r w:rsidR="00725F70">
          <w:rPr>
            <w:webHidden/>
          </w:rPr>
          <w:fldChar w:fldCharType="begin"/>
        </w:r>
        <w:r w:rsidR="00725F70">
          <w:rPr>
            <w:webHidden/>
          </w:rPr>
          <w:instrText xml:space="preserve"> PAGEREF _Toc174010172 \h </w:instrText>
        </w:r>
        <w:r w:rsidR="00725F70">
          <w:rPr>
            <w:webHidden/>
          </w:rPr>
        </w:r>
        <w:r w:rsidR="00725F70">
          <w:rPr>
            <w:webHidden/>
          </w:rPr>
          <w:fldChar w:fldCharType="separate"/>
        </w:r>
        <w:r w:rsidR="00725F70">
          <w:rPr>
            <w:webHidden/>
          </w:rPr>
          <w:t>21</w:t>
        </w:r>
        <w:r w:rsidR="00725F70">
          <w:rPr>
            <w:webHidden/>
          </w:rPr>
          <w:fldChar w:fldCharType="end"/>
        </w:r>
      </w:hyperlink>
    </w:p>
    <w:p w14:paraId="2AEFC35C" w14:textId="789AE202" w:rsidR="00725F70" w:rsidRDefault="00000000">
      <w:pPr>
        <w:pStyle w:val="TOC1"/>
        <w:rPr>
          <w:rFonts w:asciiTheme="minorHAnsi" w:eastAsiaTheme="minorEastAsia" w:hAnsiTheme="minorHAnsi" w:cstheme="minorBidi"/>
          <w:kern w:val="2"/>
          <w:szCs w:val="24"/>
          <w14:ligatures w14:val="standardContextual"/>
        </w:rPr>
      </w:pPr>
      <w:hyperlink w:anchor="_Toc174010173" w:history="1">
        <w:r w:rsidR="00725F70" w:rsidRPr="008D503A">
          <w:rPr>
            <w:rStyle w:val="Hyperlink"/>
            <w:rFonts w:cstheme="minorHAnsi"/>
          </w:rPr>
          <w:t>Factor 3: Relevant Licensure/Oversight Compliance</w:t>
        </w:r>
        <w:r w:rsidR="00725F70">
          <w:rPr>
            <w:webHidden/>
          </w:rPr>
          <w:tab/>
        </w:r>
        <w:r w:rsidR="00725F70">
          <w:rPr>
            <w:webHidden/>
          </w:rPr>
          <w:fldChar w:fldCharType="begin"/>
        </w:r>
        <w:r w:rsidR="00725F70">
          <w:rPr>
            <w:webHidden/>
          </w:rPr>
          <w:instrText xml:space="preserve"> PAGEREF _Toc174010173 \h </w:instrText>
        </w:r>
        <w:r w:rsidR="00725F70">
          <w:rPr>
            <w:webHidden/>
          </w:rPr>
        </w:r>
        <w:r w:rsidR="00725F70">
          <w:rPr>
            <w:webHidden/>
          </w:rPr>
          <w:fldChar w:fldCharType="separate"/>
        </w:r>
        <w:r w:rsidR="00725F70">
          <w:rPr>
            <w:webHidden/>
          </w:rPr>
          <w:t>21</w:t>
        </w:r>
        <w:r w:rsidR="00725F70">
          <w:rPr>
            <w:webHidden/>
          </w:rPr>
          <w:fldChar w:fldCharType="end"/>
        </w:r>
      </w:hyperlink>
    </w:p>
    <w:p w14:paraId="4B266967" w14:textId="3445B032" w:rsidR="00725F70" w:rsidRDefault="00000000">
      <w:pPr>
        <w:pStyle w:val="TOC1"/>
        <w:rPr>
          <w:rFonts w:asciiTheme="minorHAnsi" w:eastAsiaTheme="minorEastAsia" w:hAnsiTheme="minorHAnsi" w:cstheme="minorBidi"/>
          <w:kern w:val="2"/>
          <w:szCs w:val="24"/>
          <w14:ligatures w14:val="standardContextual"/>
        </w:rPr>
      </w:pPr>
      <w:hyperlink w:anchor="_Toc174010174" w:history="1">
        <w:r w:rsidR="00725F70" w:rsidRPr="008D503A">
          <w:rPr>
            <w:rStyle w:val="Hyperlink"/>
            <w:rFonts w:cstheme="minorHAnsi"/>
          </w:rPr>
          <w:t>Factor 4: Demonstration of Sufficient Funds Independent CPA Analysis</w:t>
        </w:r>
        <w:r w:rsidR="00725F70">
          <w:rPr>
            <w:webHidden/>
          </w:rPr>
          <w:tab/>
        </w:r>
        <w:r w:rsidR="00725F70">
          <w:rPr>
            <w:webHidden/>
          </w:rPr>
          <w:fldChar w:fldCharType="begin"/>
        </w:r>
        <w:r w:rsidR="00725F70">
          <w:rPr>
            <w:webHidden/>
          </w:rPr>
          <w:instrText xml:space="preserve"> PAGEREF _Toc174010174 \h </w:instrText>
        </w:r>
        <w:r w:rsidR="00725F70">
          <w:rPr>
            <w:webHidden/>
          </w:rPr>
        </w:r>
        <w:r w:rsidR="00725F70">
          <w:rPr>
            <w:webHidden/>
          </w:rPr>
          <w:fldChar w:fldCharType="separate"/>
        </w:r>
        <w:r w:rsidR="00725F70">
          <w:rPr>
            <w:webHidden/>
          </w:rPr>
          <w:t>22</w:t>
        </w:r>
        <w:r w:rsidR="00725F70">
          <w:rPr>
            <w:webHidden/>
          </w:rPr>
          <w:fldChar w:fldCharType="end"/>
        </w:r>
      </w:hyperlink>
    </w:p>
    <w:p w14:paraId="1BA66B1D" w14:textId="2D45FCBE" w:rsidR="00725F70" w:rsidRDefault="00000000">
      <w:pPr>
        <w:pStyle w:val="TOC1"/>
        <w:rPr>
          <w:rFonts w:asciiTheme="minorHAnsi" w:eastAsiaTheme="minorEastAsia" w:hAnsiTheme="minorHAnsi" w:cstheme="minorBidi"/>
          <w:kern w:val="2"/>
          <w:szCs w:val="24"/>
          <w14:ligatures w14:val="standardContextual"/>
        </w:rPr>
      </w:pPr>
      <w:hyperlink w:anchor="_Toc174010175" w:history="1">
        <w:r w:rsidR="00725F70" w:rsidRPr="008D503A">
          <w:rPr>
            <w:rStyle w:val="Hyperlink"/>
          </w:rPr>
          <w:t>Factor 5: Relative Merit NOT Required for Transfers of Ownership</w:t>
        </w:r>
        <w:r w:rsidR="00725F70">
          <w:rPr>
            <w:webHidden/>
          </w:rPr>
          <w:tab/>
        </w:r>
        <w:r w:rsidR="00725F70">
          <w:rPr>
            <w:webHidden/>
          </w:rPr>
          <w:fldChar w:fldCharType="begin"/>
        </w:r>
        <w:r w:rsidR="00725F70">
          <w:rPr>
            <w:webHidden/>
          </w:rPr>
          <w:instrText xml:space="preserve"> PAGEREF _Toc174010175 \h </w:instrText>
        </w:r>
        <w:r w:rsidR="00725F70">
          <w:rPr>
            <w:webHidden/>
          </w:rPr>
        </w:r>
        <w:r w:rsidR="00725F70">
          <w:rPr>
            <w:webHidden/>
          </w:rPr>
          <w:fldChar w:fldCharType="separate"/>
        </w:r>
        <w:r w:rsidR="00725F70">
          <w:rPr>
            <w:webHidden/>
          </w:rPr>
          <w:t>24</w:t>
        </w:r>
        <w:r w:rsidR="00725F70">
          <w:rPr>
            <w:webHidden/>
          </w:rPr>
          <w:fldChar w:fldCharType="end"/>
        </w:r>
      </w:hyperlink>
    </w:p>
    <w:p w14:paraId="5A67F114" w14:textId="40641DC1" w:rsidR="00725F70" w:rsidRDefault="00000000">
      <w:pPr>
        <w:pStyle w:val="TOC1"/>
        <w:rPr>
          <w:rFonts w:asciiTheme="minorHAnsi" w:eastAsiaTheme="minorEastAsia" w:hAnsiTheme="minorHAnsi" w:cstheme="minorBidi"/>
          <w:kern w:val="2"/>
          <w:szCs w:val="24"/>
          <w14:ligatures w14:val="standardContextual"/>
        </w:rPr>
      </w:pPr>
      <w:hyperlink w:anchor="_Toc174010176" w:history="1">
        <w:r w:rsidR="00725F70" w:rsidRPr="008D503A">
          <w:rPr>
            <w:rStyle w:val="Hyperlink"/>
            <w:rFonts w:eastAsia="Times New Roman" w:cstheme="minorHAnsi"/>
          </w:rPr>
          <w:t>Factor 6: Community-based Health Initiatives NOT Required for Transfers of Ownership</w:t>
        </w:r>
        <w:r w:rsidR="00725F70">
          <w:rPr>
            <w:webHidden/>
          </w:rPr>
          <w:tab/>
        </w:r>
        <w:r w:rsidR="00725F70">
          <w:rPr>
            <w:webHidden/>
          </w:rPr>
          <w:fldChar w:fldCharType="begin"/>
        </w:r>
        <w:r w:rsidR="00725F70">
          <w:rPr>
            <w:webHidden/>
          </w:rPr>
          <w:instrText xml:space="preserve"> PAGEREF _Toc174010176 \h </w:instrText>
        </w:r>
        <w:r w:rsidR="00725F70">
          <w:rPr>
            <w:webHidden/>
          </w:rPr>
        </w:r>
        <w:r w:rsidR="00725F70">
          <w:rPr>
            <w:webHidden/>
          </w:rPr>
          <w:fldChar w:fldCharType="separate"/>
        </w:r>
        <w:r w:rsidR="00725F70">
          <w:rPr>
            <w:webHidden/>
          </w:rPr>
          <w:t>24</w:t>
        </w:r>
        <w:r w:rsidR="00725F70">
          <w:rPr>
            <w:webHidden/>
          </w:rPr>
          <w:fldChar w:fldCharType="end"/>
        </w:r>
      </w:hyperlink>
    </w:p>
    <w:p w14:paraId="60987949" w14:textId="2BE97EB9" w:rsidR="00725F70" w:rsidRDefault="00000000">
      <w:pPr>
        <w:pStyle w:val="TOC1"/>
        <w:rPr>
          <w:rFonts w:asciiTheme="minorHAnsi" w:eastAsiaTheme="minorEastAsia" w:hAnsiTheme="minorHAnsi" w:cstheme="minorBidi"/>
          <w:kern w:val="2"/>
          <w:szCs w:val="24"/>
          <w14:ligatures w14:val="standardContextual"/>
        </w:rPr>
      </w:pPr>
      <w:hyperlink w:anchor="_Toc174010177" w:history="1">
        <w:r w:rsidR="00725F70" w:rsidRPr="008D503A">
          <w:rPr>
            <w:rStyle w:val="Hyperlink"/>
            <w:rFonts w:cstheme="minorHAnsi"/>
          </w:rPr>
          <w:t>Findings and Recommendations</w:t>
        </w:r>
        <w:r w:rsidR="00725F70">
          <w:rPr>
            <w:webHidden/>
          </w:rPr>
          <w:tab/>
        </w:r>
        <w:r w:rsidR="00725F70">
          <w:rPr>
            <w:webHidden/>
          </w:rPr>
          <w:fldChar w:fldCharType="begin"/>
        </w:r>
        <w:r w:rsidR="00725F70">
          <w:rPr>
            <w:webHidden/>
          </w:rPr>
          <w:instrText xml:space="preserve"> PAGEREF _Toc174010177 \h </w:instrText>
        </w:r>
        <w:r w:rsidR="00725F70">
          <w:rPr>
            <w:webHidden/>
          </w:rPr>
        </w:r>
        <w:r w:rsidR="00725F70">
          <w:rPr>
            <w:webHidden/>
          </w:rPr>
          <w:fldChar w:fldCharType="separate"/>
        </w:r>
        <w:r w:rsidR="00725F70">
          <w:rPr>
            <w:webHidden/>
          </w:rPr>
          <w:t>24</w:t>
        </w:r>
        <w:r w:rsidR="00725F70">
          <w:rPr>
            <w:webHidden/>
          </w:rPr>
          <w:fldChar w:fldCharType="end"/>
        </w:r>
      </w:hyperlink>
    </w:p>
    <w:p w14:paraId="5471CA5F" w14:textId="0E237F92" w:rsidR="00725F70" w:rsidRDefault="00000000">
      <w:pPr>
        <w:pStyle w:val="TOC1"/>
        <w:rPr>
          <w:rFonts w:asciiTheme="minorHAnsi" w:eastAsiaTheme="minorEastAsia" w:hAnsiTheme="minorHAnsi" w:cstheme="minorBidi"/>
          <w:kern w:val="2"/>
          <w:szCs w:val="24"/>
          <w14:ligatures w14:val="standardContextual"/>
        </w:rPr>
      </w:pPr>
      <w:hyperlink w:anchor="_Toc174010178" w:history="1">
        <w:r w:rsidR="00725F70" w:rsidRPr="008D503A">
          <w:rPr>
            <w:rStyle w:val="Hyperlink"/>
            <w:rFonts w:cs="Calibri"/>
          </w:rPr>
          <w:t>Other Conditions</w:t>
        </w:r>
        <w:r w:rsidR="00725F70">
          <w:rPr>
            <w:webHidden/>
          </w:rPr>
          <w:tab/>
        </w:r>
        <w:r w:rsidR="00725F70">
          <w:rPr>
            <w:webHidden/>
          </w:rPr>
          <w:fldChar w:fldCharType="begin"/>
        </w:r>
        <w:r w:rsidR="00725F70">
          <w:rPr>
            <w:webHidden/>
          </w:rPr>
          <w:instrText xml:space="preserve"> PAGEREF _Toc174010178 \h </w:instrText>
        </w:r>
        <w:r w:rsidR="00725F70">
          <w:rPr>
            <w:webHidden/>
          </w:rPr>
        </w:r>
        <w:r w:rsidR="00725F70">
          <w:rPr>
            <w:webHidden/>
          </w:rPr>
          <w:fldChar w:fldCharType="separate"/>
        </w:r>
        <w:r w:rsidR="00725F70">
          <w:rPr>
            <w:webHidden/>
          </w:rPr>
          <w:t>24</w:t>
        </w:r>
        <w:r w:rsidR="00725F70">
          <w:rPr>
            <w:webHidden/>
          </w:rPr>
          <w:fldChar w:fldCharType="end"/>
        </w:r>
      </w:hyperlink>
    </w:p>
    <w:p w14:paraId="2C6D8B16" w14:textId="79902FE2" w:rsidR="00725F70" w:rsidRDefault="00000000">
      <w:pPr>
        <w:pStyle w:val="TOC1"/>
        <w:rPr>
          <w:rFonts w:asciiTheme="minorHAnsi" w:eastAsiaTheme="minorEastAsia" w:hAnsiTheme="minorHAnsi" w:cstheme="minorBidi"/>
          <w:kern w:val="2"/>
          <w:szCs w:val="24"/>
          <w14:ligatures w14:val="standardContextual"/>
        </w:rPr>
      </w:pPr>
      <w:hyperlink w:anchor="_Toc174010179" w:history="1">
        <w:r w:rsidR="00725F70" w:rsidRPr="008D503A">
          <w:rPr>
            <w:rStyle w:val="Hyperlink"/>
            <w:rFonts w:cstheme="minorHAnsi"/>
          </w:rPr>
          <w:t>Appendix 1</w:t>
        </w:r>
        <w:r w:rsidR="00725F70">
          <w:rPr>
            <w:webHidden/>
          </w:rPr>
          <w:tab/>
        </w:r>
        <w:r w:rsidR="00725F70">
          <w:rPr>
            <w:webHidden/>
          </w:rPr>
          <w:fldChar w:fldCharType="begin"/>
        </w:r>
        <w:r w:rsidR="00725F70">
          <w:rPr>
            <w:webHidden/>
          </w:rPr>
          <w:instrText xml:space="preserve"> PAGEREF _Toc174010179 \h </w:instrText>
        </w:r>
        <w:r w:rsidR="00725F70">
          <w:rPr>
            <w:webHidden/>
          </w:rPr>
        </w:r>
        <w:r w:rsidR="00725F70">
          <w:rPr>
            <w:webHidden/>
          </w:rPr>
          <w:fldChar w:fldCharType="separate"/>
        </w:r>
        <w:r w:rsidR="00725F70">
          <w:rPr>
            <w:webHidden/>
          </w:rPr>
          <w:t>25</w:t>
        </w:r>
        <w:r w:rsidR="00725F70">
          <w:rPr>
            <w:webHidden/>
          </w:rPr>
          <w:fldChar w:fldCharType="end"/>
        </w:r>
      </w:hyperlink>
    </w:p>
    <w:p w14:paraId="017D860A" w14:textId="6D875A07" w:rsidR="00725F70" w:rsidRDefault="00000000">
      <w:pPr>
        <w:pStyle w:val="TOC1"/>
        <w:rPr>
          <w:rFonts w:asciiTheme="minorHAnsi" w:eastAsiaTheme="minorEastAsia" w:hAnsiTheme="minorHAnsi" w:cstheme="minorBidi"/>
          <w:kern w:val="2"/>
          <w:szCs w:val="24"/>
          <w14:ligatures w14:val="standardContextual"/>
        </w:rPr>
      </w:pPr>
      <w:hyperlink w:anchor="_Toc174010180" w:history="1">
        <w:r w:rsidR="00725F70" w:rsidRPr="008D503A">
          <w:rPr>
            <w:rStyle w:val="Hyperlink"/>
            <w:rFonts w:cstheme="minorHAnsi"/>
          </w:rPr>
          <w:t>Appendix 2</w:t>
        </w:r>
        <w:r w:rsidR="00725F70">
          <w:rPr>
            <w:webHidden/>
          </w:rPr>
          <w:tab/>
        </w:r>
        <w:r w:rsidR="00725F70">
          <w:rPr>
            <w:webHidden/>
          </w:rPr>
          <w:fldChar w:fldCharType="begin"/>
        </w:r>
        <w:r w:rsidR="00725F70">
          <w:rPr>
            <w:webHidden/>
          </w:rPr>
          <w:instrText xml:space="preserve"> PAGEREF _Toc174010180 \h </w:instrText>
        </w:r>
        <w:r w:rsidR="00725F70">
          <w:rPr>
            <w:webHidden/>
          </w:rPr>
        </w:r>
        <w:r w:rsidR="00725F70">
          <w:rPr>
            <w:webHidden/>
          </w:rPr>
          <w:fldChar w:fldCharType="separate"/>
        </w:r>
        <w:r w:rsidR="00725F70">
          <w:rPr>
            <w:webHidden/>
          </w:rPr>
          <w:t>27</w:t>
        </w:r>
        <w:r w:rsidR="00725F70">
          <w:rPr>
            <w:webHidden/>
          </w:rPr>
          <w:fldChar w:fldCharType="end"/>
        </w:r>
      </w:hyperlink>
    </w:p>
    <w:p w14:paraId="7FC25410" w14:textId="478BE634" w:rsidR="00486F29" w:rsidRDefault="00A13015" w:rsidP="00486F29">
      <w:r>
        <w:rPr>
          <w:rFonts w:ascii="Garamond" w:eastAsiaTheme="majorEastAsia" w:hAnsi="Garamond" w:cstheme="majorBidi"/>
          <w:noProof/>
          <w:sz w:val="22"/>
          <w:szCs w:val="22"/>
        </w:rPr>
        <w:fldChar w:fldCharType="end"/>
      </w:r>
    </w:p>
    <w:p w14:paraId="3A859690" w14:textId="77777777" w:rsidR="003A6B26" w:rsidRDefault="003A6B26"/>
    <w:p w14:paraId="0F0AEB89" w14:textId="77777777" w:rsidR="003A6B26" w:rsidRDefault="003A6B26"/>
    <w:p w14:paraId="4A22DCFD" w14:textId="77777777" w:rsidR="003A6B26" w:rsidRDefault="003A6B26"/>
    <w:p w14:paraId="1BA7A6CE" w14:textId="77777777" w:rsidR="003A6B26" w:rsidRDefault="003A6B26"/>
    <w:p w14:paraId="47AB7007" w14:textId="77777777" w:rsidR="003A6B26" w:rsidRDefault="003A6B26"/>
    <w:p w14:paraId="66F2FB22" w14:textId="77777777" w:rsidR="003A6B26" w:rsidRDefault="003A6B26"/>
    <w:p w14:paraId="538C1D0B" w14:textId="16F598C8" w:rsidR="00D113E6" w:rsidRDefault="00D113E6">
      <w:r>
        <w:br w:type="page"/>
      </w:r>
    </w:p>
    <w:p w14:paraId="5E0BC33E" w14:textId="4528E7FF" w:rsidR="0089038F" w:rsidRPr="00983114" w:rsidRDefault="006B4303" w:rsidP="00983114">
      <w:pPr>
        <w:pStyle w:val="Heading1"/>
        <w:rPr>
          <w:rFonts w:asciiTheme="minorHAnsi" w:hAnsiTheme="minorHAnsi" w:cstheme="minorHAns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174010162"/>
      <w:r w:rsidRPr="00983114">
        <w:rPr>
          <w:rFonts w:asciiTheme="minorHAnsi" w:hAnsiTheme="minorHAnsi" w:cstheme="minorHAnsi"/>
        </w:rPr>
        <w:lastRenderedPageBreak/>
        <w:t>B</w:t>
      </w:r>
      <w:r w:rsidR="00234964" w:rsidRPr="00983114">
        <w:rPr>
          <w:rFonts w:asciiTheme="minorHAnsi" w:hAnsiTheme="minorHAnsi" w:cstheme="minorHAnsi"/>
        </w:rPr>
        <w:t>ackground</w:t>
      </w:r>
      <w:bookmarkEnd w:id="1"/>
      <w:bookmarkEnd w:id="2"/>
      <w:bookmarkEnd w:id="3"/>
      <w:bookmarkEnd w:id="4"/>
      <w:bookmarkEnd w:id="5"/>
      <w:bookmarkEnd w:id="6"/>
      <w:bookmarkEnd w:id="7"/>
      <w:bookmarkEnd w:id="8"/>
      <w:bookmarkEnd w:id="9"/>
      <w:bookmarkEnd w:id="10"/>
      <w:bookmarkEnd w:id="11"/>
      <w:bookmarkEnd w:id="12"/>
      <w:bookmarkEnd w:id="13"/>
      <w:r w:rsidR="008A5727" w:rsidRPr="00983114">
        <w:rPr>
          <w:rFonts w:asciiTheme="minorHAnsi" w:hAnsiTheme="minorHAnsi" w:cstheme="minorHAnsi"/>
        </w:rPr>
        <w:t xml:space="preserve"> </w:t>
      </w:r>
      <w:r w:rsidRPr="00983114">
        <w:rPr>
          <w:rFonts w:asciiTheme="minorHAnsi" w:hAnsiTheme="minorHAnsi" w:cstheme="minorHAnsi"/>
        </w:rPr>
        <w:t>and Application Overview</w:t>
      </w:r>
      <w:bookmarkStart w:id="15" w:name="_Toc17474921"/>
      <w:bookmarkEnd w:id="14"/>
      <w:r w:rsidR="00983114" w:rsidRPr="00983114">
        <w:rPr>
          <w:rFonts w:asciiTheme="minorHAnsi" w:hAnsiTheme="minorHAnsi" w:cstheme="minorHAnsi"/>
        </w:rPr>
        <w:t xml:space="preserve"> </w:t>
      </w:r>
    </w:p>
    <w:p w14:paraId="711B9879" w14:textId="22EAC9D9" w:rsidR="007E4830" w:rsidRPr="00D862E5" w:rsidRDefault="007E4830" w:rsidP="00EB1C1F">
      <w:pPr>
        <w:spacing w:before="240" w:after="240"/>
        <w:rPr>
          <w:rFonts w:ascii="Calibri" w:eastAsia="PMingLiU" w:hAnsi="Calibri" w:cs="Times New Roman"/>
          <w:b/>
          <w:bCs/>
        </w:rPr>
      </w:pPr>
      <w:bookmarkStart w:id="16" w:name="_Hlk173247778"/>
      <w:r w:rsidRPr="00D862E5">
        <w:rPr>
          <w:rFonts w:ascii="Calibri" w:eastAsia="PMingLiU" w:hAnsi="Calibri" w:cs="Times New Roman"/>
          <w:b/>
          <w:bCs/>
        </w:rPr>
        <w:t>Southcoast Health System, Inc.</w:t>
      </w:r>
      <w:r w:rsidR="00667697" w:rsidRPr="00D862E5">
        <w:rPr>
          <w:rFonts w:ascii="Calibri" w:eastAsia="PMingLiU" w:hAnsi="Calibri" w:cs="Times New Roman"/>
          <w:b/>
          <w:bCs/>
        </w:rPr>
        <w:t xml:space="preserve"> (“SHS”)</w:t>
      </w:r>
    </w:p>
    <w:bookmarkEnd w:id="16"/>
    <w:p w14:paraId="6D82BC17" w14:textId="12915BFC" w:rsidR="00D862E5" w:rsidRPr="00D862E5" w:rsidRDefault="00667697" w:rsidP="00667697">
      <w:pPr>
        <w:rPr>
          <w:rFonts w:ascii="Calibri" w:eastAsia="PMingLiU" w:hAnsi="Calibri" w:cs="Times New Roman"/>
        </w:rPr>
      </w:pPr>
      <w:r w:rsidRPr="00D862E5">
        <w:rPr>
          <w:rFonts w:ascii="Calibri" w:eastAsia="PMingLiU" w:hAnsi="Calibri" w:cs="Times New Roman"/>
        </w:rPr>
        <w:t xml:space="preserve">The Applicant, </w:t>
      </w:r>
      <w:r w:rsidRPr="00667697">
        <w:rPr>
          <w:rFonts w:ascii="Calibri" w:eastAsia="PMingLiU" w:hAnsi="Calibri" w:cs="Times New Roman"/>
        </w:rPr>
        <w:t>SHS is a not-for-profit, multi-institutional, integrated health care system that serves Southeastern Massachusetts and Rhode</w:t>
      </w:r>
      <w:r w:rsidRPr="00D862E5">
        <w:rPr>
          <w:rFonts w:ascii="Calibri" w:eastAsia="PMingLiU" w:hAnsi="Calibri" w:cs="Times New Roman"/>
        </w:rPr>
        <w:t xml:space="preserve"> </w:t>
      </w:r>
      <w:r w:rsidRPr="00667697">
        <w:rPr>
          <w:rFonts w:ascii="Calibri" w:eastAsia="PMingLiU" w:hAnsi="Calibri" w:cs="Times New Roman"/>
        </w:rPr>
        <w:t xml:space="preserve">Island. </w:t>
      </w:r>
      <w:r w:rsidR="00B143C2">
        <w:rPr>
          <w:rFonts w:ascii="Calibri" w:eastAsia="PMingLiU" w:hAnsi="Calibri" w:cs="Times New Roman"/>
        </w:rPr>
        <w:t>It operates</w:t>
      </w:r>
      <w:r w:rsidRPr="00667697">
        <w:rPr>
          <w:rFonts w:ascii="Calibri" w:eastAsia="PMingLiU" w:hAnsi="Calibri" w:cs="Times New Roman"/>
        </w:rPr>
        <w:t xml:space="preserve"> three community hospitals</w:t>
      </w:r>
      <w:r w:rsidR="00B143C2">
        <w:rPr>
          <w:rFonts w:ascii="Calibri" w:eastAsia="PMingLiU" w:hAnsi="Calibri" w:cs="Times New Roman"/>
        </w:rPr>
        <w:t xml:space="preserve"> under the one license, Southcoast Hospitals Group Inc. with a total of 787 licensed beds</w:t>
      </w:r>
      <w:r w:rsidRPr="00667697">
        <w:rPr>
          <w:rFonts w:ascii="Calibri" w:eastAsia="PMingLiU" w:hAnsi="Calibri" w:cs="Times New Roman"/>
        </w:rPr>
        <w:t xml:space="preserve">: </w:t>
      </w:r>
    </w:p>
    <w:p w14:paraId="261CC264" w14:textId="77777777" w:rsidR="00D862E5" w:rsidRPr="00D862E5" w:rsidRDefault="00D862E5" w:rsidP="00667697">
      <w:pPr>
        <w:rPr>
          <w:rFonts w:ascii="Calibri" w:eastAsia="PMingLiU" w:hAnsi="Calibri" w:cs="Times New Roman"/>
        </w:rPr>
      </w:pPr>
    </w:p>
    <w:p w14:paraId="53A3A77F" w14:textId="7B6DECEB" w:rsidR="00667697" w:rsidRPr="00D862E5" w:rsidRDefault="00667697" w:rsidP="00D862E5">
      <w:pPr>
        <w:pStyle w:val="ListParagraph"/>
        <w:numPr>
          <w:ilvl w:val="0"/>
          <w:numId w:val="36"/>
        </w:numPr>
        <w:rPr>
          <w:rFonts w:ascii="Calibri" w:eastAsia="PMingLiU" w:hAnsi="Calibri" w:cs="Times New Roman"/>
          <w:sz w:val="24"/>
          <w:szCs w:val="24"/>
        </w:rPr>
      </w:pPr>
      <w:r w:rsidRPr="00D862E5">
        <w:rPr>
          <w:rFonts w:ascii="Calibri" w:eastAsia="PMingLiU" w:hAnsi="Calibri" w:cs="Times New Roman"/>
          <w:sz w:val="24"/>
          <w:szCs w:val="24"/>
        </w:rPr>
        <w:t xml:space="preserve">Charlton Memorial Hospital, </w:t>
      </w:r>
      <w:r w:rsidR="00D862E5" w:rsidRPr="00D862E5">
        <w:rPr>
          <w:rFonts w:ascii="Calibri" w:eastAsia="PMingLiU" w:hAnsi="Calibri" w:cs="Times New Roman"/>
          <w:sz w:val="24"/>
          <w:szCs w:val="24"/>
        </w:rPr>
        <w:t>Fall River</w:t>
      </w:r>
      <w:r w:rsidR="003F016B">
        <w:rPr>
          <w:rFonts w:ascii="Calibri" w:eastAsia="PMingLiU" w:hAnsi="Calibri" w:cs="Times New Roman"/>
          <w:sz w:val="24"/>
          <w:szCs w:val="24"/>
        </w:rPr>
        <w:t xml:space="preserve"> </w:t>
      </w:r>
      <w:r w:rsidR="00F273CB">
        <w:rPr>
          <w:rFonts w:ascii="Calibri" w:eastAsia="PMingLiU" w:hAnsi="Calibri" w:cs="Times New Roman"/>
          <w:sz w:val="24"/>
          <w:szCs w:val="24"/>
        </w:rPr>
        <w:t>(“Charlton”)</w:t>
      </w:r>
      <w:r w:rsidR="00B143C2">
        <w:rPr>
          <w:rFonts w:ascii="Calibri" w:eastAsia="PMingLiU" w:hAnsi="Calibri" w:cs="Times New Roman"/>
          <w:sz w:val="24"/>
          <w:szCs w:val="24"/>
        </w:rPr>
        <w:t xml:space="preserve"> </w:t>
      </w:r>
      <w:r w:rsidR="008B613E">
        <w:rPr>
          <w:rFonts w:ascii="Calibri" w:eastAsia="PMingLiU" w:hAnsi="Calibri" w:cs="Times New Roman"/>
          <w:sz w:val="24"/>
          <w:szCs w:val="24"/>
        </w:rPr>
        <w:t>with</w:t>
      </w:r>
      <w:r w:rsidR="00B143C2">
        <w:rPr>
          <w:rFonts w:ascii="Calibri" w:eastAsia="PMingLiU" w:hAnsi="Calibri" w:cs="Times New Roman"/>
          <w:sz w:val="24"/>
          <w:szCs w:val="24"/>
        </w:rPr>
        <w:t xml:space="preserve"> 328 licensed beds</w:t>
      </w:r>
    </w:p>
    <w:p w14:paraId="48DC1A25" w14:textId="304DB0DB" w:rsidR="00667697" w:rsidRPr="00D862E5" w:rsidRDefault="00667697" w:rsidP="00D862E5">
      <w:pPr>
        <w:pStyle w:val="ListParagraph"/>
        <w:numPr>
          <w:ilvl w:val="0"/>
          <w:numId w:val="36"/>
        </w:numPr>
        <w:rPr>
          <w:rFonts w:ascii="Calibri" w:eastAsia="PMingLiU" w:hAnsi="Calibri" w:cs="Times New Roman"/>
          <w:sz w:val="24"/>
          <w:szCs w:val="24"/>
        </w:rPr>
      </w:pPr>
      <w:r w:rsidRPr="00D862E5">
        <w:rPr>
          <w:rFonts w:ascii="Calibri" w:eastAsia="PMingLiU" w:hAnsi="Calibri" w:cs="Times New Roman"/>
          <w:sz w:val="24"/>
          <w:szCs w:val="24"/>
        </w:rPr>
        <w:t>S</w:t>
      </w:r>
      <w:r w:rsidR="008B613E">
        <w:rPr>
          <w:rFonts w:ascii="Calibri" w:eastAsia="PMingLiU" w:hAnsi="Calibri" w:cs="Times New Roman"/>
          <w:sz w:val="24"/>
          <w:szCs w:val="24"/>
        </w:rPr>
        <w:t>ain</w:t>
      </w:r>
      <w:r w:rsidRPr="00D862E5">
        <w:rPr>
          <w:rFonts w:ascii="Calibri" w:eastAsia="PMingLiU" w:hAnsi="Calibri" w:cs="Times New Roman"/>
          <w:sz w:val="24"/>
          <w:szCs w:val="24"/>
        </w:rPr>
        <w:t>t Luke’s Hospital</w:t>
      </w:r>
      <w:r w:rsidR="00D862E5" w:rsidRPr="00D862E5">
        <w:rPr>
          <w:rFonts w:ascii="Calibri" w:eastAsia="PMingLiU" w:hAnsi="Calibri" w:cs="Times New Roman"/>
          <w:sz w:val="24"/>
          <w:szCs w:val="24"/>
        </w:rPr>
        <w:t>,</w:t>
      </w:r>
      <w:r w:rsidR="00D862E5" w:rsidRPr="00D862E5">
        <w:rPr>
          <w:rFonts w:ascii="Calibri" w:eastAsia="Arial" w:hAnsi="Calibri" w:cs="Calibri"/>
          <w:color w:val="000000"/>
          <w:spacing w:val="-2"/>
          <w:sz w:val="24"/>
          <w:szCs w:val="24"/>
        </w:rPr>
        <w:t xml:space="preserve"> New Bedford</w:t>
      </w:r>
      <w:r w:rsidR="00F273CB">
        <w:rPr>
          <w:rFonts w:ascii="Calibri" w:eastAsia="Arial" w:hAnsi="Calibri" w:cs="Calibri"/>
          <w:color w:val="000000"/>
          <w:spacing w:val="-2"/>
          <w:sz w:val="24"/>
          <w:szCs w:val="24"/>
        </w:rPr>
        <w:t xml:space="preserve"> (“S</w:t>
      </w:r>
      <w:r w:rsidR="008B613E">
        <w:rPr>
          <w:rFonts w:ascii="Calibri" w:eastAsia="Arial" w:hAnsi="Calibri" w:cs="Calibri"/>
          <w:color w:val="000000"/>
          <w:spacing w:val="-2"/>
          <w:sz w:val="24"/>
          <w:szCs w:val="24"/>
        </w:rPr>
        <w:t>t</w:t>
      </w:r>
      <w:r w:rsidR="006B1AD3">
        <w:rPr>
          <w:rFonts w:ascii="Calibri" w:eastAsia="Arial" w:hAnsi="Calibri" w:cs="Calibri"/>
          <w:color w:val="000000"/>
          <w:spacing w:val="-2"/>
          <w:sz w:val="24"/>
          <w:szCs w:val="24"/>
        </w:rPr>
        <w:t>.</w:t>
      </w:r>
      <w:r w:rsidR="008B613E">
        <w:rPr>
          <w:rFonts w:ascii="Calibri" w:eastAsia="Arial" w:hAnsi="Calibri" w:cs="Calibri"/>
          <w:color w:val="000000"/>
          <w:spacing w:val="-2"/>
          <w:sz w:val="24"/>
          <w:szCs w:val="24"/>
        </w:rPr>
        <w:t xml:space="preserve"> Lukes”)</w:t>
      </w:r>
      <w:r w:rsidRPr="00D862E5">
        <w:rPr>
          <w:rFonts w:ascii="Calibri" w:eastAsia="PMingLiU" w:hAnsi="Calibri" w:cs="Times New Roman"/>
          <w:sz w:val="24"/>
          <w:szCs w:val="24"/>
        </w:rPr>
        <w:t xml:space="preserve"> </w:t>
      </w:r>
      <w:r w:rsidR="008B613E">
        <w:rPr>
          <w:rFonts w:ascii="Calibri" w:eastAsia="PMingLiU" w:hAnsi="Calibri" w:cs="Times New Roman"/>
          <w:sz w:val="24"/>
          <w:szCs w:val="24"/>
        </w:rPr>
        <w:t>with</w:t>
      </w:r>
      <w:r w:rsidR="00B143C2">
        <w:rPr>
          <w:rFonts w:ascii="Calibri" w:eastAsia="PMingLiU" w:hAnsi="Calibri" w:cs="Times New Roman"/>
          <w:sz w:val="24"/>
          <w:szCs w:val="24"/>
        </w:rPr>
        <w:t xml:space="preserve"> 391 licensed beds</w:t>
      </w:r>
    </w:p>
    <w:p w14:paraId="024EF2D9" w14:textId="4D59049E" w:rsidR="00667697" w:rsidRPr="00D862E5" w:rsidRDefault="00667697" w:rsidP="00D862E5">
      <w:pPr>
        <w:pStyle w:val="ListParagraph"/>
        <w:numPr>
          <w:ilvl w:val="0"/>
          <w:numId w:val="36"/>
        </w:numPr>
        <w:rPr>
          <w:rFonts w:ascii="Calibri" w:eastAsia="PMingLiU" w:hAnsi="Calibri" w:cs="Times New Roman"/>
          <w:sz w:val="24"/>
          <w:szCs w:val="24"/>
        </w:rPr>
      </w:pPr>
      <w:r w:rsidRPr="00D862E5">
        <w:rPr>
          <w:rFonts w:ascii="Calibri" w:eastAsia="PMingLiU" w:hAnsi="Calibri" w:cs="Times New Roman"/>
          <w:sz w:val="24"/>
          <w:szCs w:val="24"/>
        </w:rPr>
        <w:t>Tobey Hospital</w:t>
      </w:r>
      <w:r w:rsidR="00D862E5" w:rsidRPr="00D862E5">
        <w:rPr>
          <w:rFonts w:ascii="Calibri" w:eastAsia="PMingLiU" w:hAnsi="Calibri" w:cs="Times New Roman"/>
          <w:sz w:val="24"/>
          <w:szCs w:val="24"/>
        </w:rPr>
        <w:t xml:space="preserve">, </w:t>
      </w:r>
      <w:r w:rsidR="00D862E5" w:rsidRPr="00D862E5">
        <w:rPr>
          <w:rFonts w:ascii="Calibri" w:eastAsia="Arial" w:hAnsi="Calibri" w:cs="Calibri"/>
          <w:color w:val="000000"/>
          <w:spacing w:val="-2"/>
          <w:sz w:val="24"/>
          <w:szCs w:val="24"/>
        </w:rPr>
        <w:t>Wareham</w:t>
      </w:r>
      <w:r w:rsidR="008B613E">
        <w:rPr>
          <w:rFonts w:ascii="Calibri" w:eastAsia="Arial" w:hAnsi="Calibri" w:cs="Calibri"/>
          <w:color w:val="000000"/>
          <w:spacing w:val="-2"/>
          <w:sz w:val="24"/>
          <w:szCs w:val="24"/>
        </w:rPr>
        <w:t xml:space="preserve"> (“Tobey”) with</w:t>
      </w:r>
      <w:r w:rsidR="00B143C2">
        <w:rPr>
          <w:rFonts w:ascii="Calibri" w:eastAsia="Arial" w:hAnsi="Calibri" w:cs="Calibri"/>
          <w:color w:val="000000"/>
          <w:spacing w:val="-2"/>
          <w:sz w:val="24"/>
          <w:szCs w:val="24"/>
        </w:rPr>
        <w:t xml:space="preserve"> 68 licensed beds</w:t>
      </w:r>
    </w:p>
    <w:p w14:paraId="2CB1830F" w14:textId="3973A339" w:rsidR="00667697" w:rsidRDefault="00667697" w:rsidP="00667697">
      <w:pPr>
        <w:spacing w:after="240"/>
        <w:rPr>
          <w:rFonts w:ascii="Calibri" w:eastAsia="PMingLiU" w:hAnsi="Calibri" w:cs="Times New Roman"/>
        </w:rPr>
      </w:pPr>
      <w:r w:rsidRPr="00667697">
        <w:rPr>
          <w:rFonts w:ascii="Calibri" w:eastAsia="PMingLiU" w:hAnsi="Calibri" w:cs="Times New Roman"/>
        </w:rPr>
        <w:t>SHS has the region’s only Level II trauma center at St.</w:t>
      </w:r>
      <w:r w:rsidRPr="00D862E5">
        <w:rPr>
          <w:rFonts w:ascii="Calibri" w:eastAsia="PMingLiU" w:hAnsi="Calibri" w:cs="Times New Roman"/>
        </w:rPr>
        <w:t xml:space="preserve"> </w:t>
      </w:r>
      <w:r w:rsidRPr="00667697">
        <w:rPr>
          <w:rFonts w:ascii="Calibri" w:eastAsia="PMingLiU" w:hAnsi="Calibri" w:cs="Times New Roman"/>
        </w:rPr>
        <w:t xml:space="preserve">Luke’s Hospital, </w:t>
      </w:r>
      <w:r w:rsidR="00A7767F">
        <w:rPr>
          <w:rFonts w:ascii="Calibri" w:eastAsia="PMingLiU" w:hAnsi="Calibri" w:cs="Times New Roman"/>
        </w:rPr>
        <w:t>that</w:t>
      </w:r>
      <w:r w:rsidRPr="00667697">
        <w:rPr>
          <w:rFonts w:ascii="Calibri" w:eastAsia="PMingLiU" w:hAnsi="Calibri" w:cs="Times New Roman"/>
        </w:rPr>
        <w:t xml:space="preserve"> is a referral center for Southeastern Massachusetts</w:t>
      </w:r>
      <w:r w:rsidR="00894119">
        <w:rPr>
          <w:rFonts w:ascii="Calibri" w:eastAsia="PMingLiU" w:hAnsi="Calibri" w:cs="Times New Roman"/>
        </w:rPr>
        <w:t>.</w:t>
      </w:r>
      <w:r w:rsidRPr="00667697">
        <w:rPr>
          <w:rFonts w:ascii="Calibri" w:eastAsia="PMingLiU" w:hAnsi="Calibri" w:cs="Times New Roman"/>
        </w:rPr>
        <w:t xml:space="preserve"> </w:t>
      </w:r>
      <w:r w:rsidR="00894119">
        <w:rPr>
          <w:rFonts w:ascii="Calibri" w:eastAsia="PMingLiU" w:hAnsi="Calibri" w:cs="Times New Roman"/>
        </w:rPr>
        <w:t xml:space="preserve">All three </w:t>
      </w:r>
      <w:r w:rsidR="00A7767F">
        <w:rPr>
          <w:rFonts w:ascii="Calibri" w:eastAsia="PMingLiU" w:hAnsi="Calibri" w:cs="Times New Roman"/>
        </w:rPr>
        <w:t>hospitals</w:t>
      </w:r>
      <w:r w:rsidR="00894119">
        <w:rPr>
          <w:rFonts w:ascii="Calibri" w:eastAsia="PMingLiU" w:hAnsi="Calibri" w:cs="Times New Roman"/>
        </w:rPr>
        <w:t xml:space="preserve"> </w:t>
      </w:r>
      <w:r w:rsidR="00A7767F">
        <w:rPr>
          <w:rFonts w:ascii="Calibri" w:eastAsia="PMingLiU" w:hAnsi="Calibri" w:cs="Times New Roman"/>
        </w:rPr>
        <w:t>have</w:t>
      </w:r>
      <w:r w:rsidR="003F016B">
        <w:rPr>
          <w:rFonts w:ascii="Calibri" w:eastAsia="PMingLiU" w:hAnsi="Calibri" w:cs="Times New Roman"/>
        </w:rPr>
        <w:t xml:space="preserve"> </w:t>
      </w:r>
      <w:r w:rsidR="00894119">
        <w:rPr>
          <w:rFonts w:ascii="Calibri" w:eastAsia="PMingLiU" w:hAnsi="Calibri" w:cs="Times New Roman"/>
        </w:rPr>
        <w:t>primary stroke services</w:t>
      </w:r>
      <w:r w:rsidR="006B1AD3">
        <w:rPr>
          <w:rFonts w:ascii="Calibri" w:eastAsia="PMingLiU" w:hAnsi="Calibri" w:cs="Times New Roman"/>
        </w:rPr>
        <w:t xml:space="preserve"> and</w:t>
      </w:r>
      <w:r w:rsidR="00894119">
        <w:rPr>
          <w:rFonts w:ascii="Calibri" w:eastAsia="PMingLiU" w:hAnsi="Calibri" w:cs="Times New Roman"/>
        </w:rPr>
        <w:t xml:space="preserve"> </w:t>
      </w:r>
      <w:r w:rsidRPr="00D862E5">
        <w:rPr>
          <w:rFonts w:ascii="Calibri" w:eastAsia="PMingLiU" w:hAnsi="Calibri" w:cs="Times New Roman"/>
        </w:rPr>
        <w:t>emergency</w:t>
      </w:r>
      <w:r w:rsidR="00A7767F">
        <w:rPr>
          <w:rFonts w:ascii="Calibri" w:eastAsia="PMingLiU" w:hAnsi="Calibri" w:cs="Times New Roman"/>
        </w:rPr>
        <w:t xml:space="preserve"> and</w:t>
      </w:r>
      <w:r w:rsidRPr="00D862E5">
        <w:rPr>
          <w:rFonts w:ascii="Calibri" w:eastAsia="PMingLiU" w:hAnsi="Calibri" w:cs="Times New Roman"/>
        </w:rPr>
        <w:t xml:space="preserve"> acute </w:t>
      </w:r>
      <w:r w:rsidR="00894119">
        <w:rPr>
          <w:rFonts w:ascii="Calibri" w:eastAsia="PMingLiU" w:hAnsi="Calibri" w:cs="Times New Roman"/>
        </w:rPr>
        <w:t>care</w:t>
      </w:r>
      <w:r w:rsidR="00F273CB">
        <w:rPr>
          <w:rFonts w:ascii="Calibri" w:eastAsia="PMingLiU" w:hAnsi="Calibri" w:cs="Times New Roman"/>
        </w:rPr>
        <w:t>.</w:t>
      </w:r>
      <w:r w:rsidR="00894119">
        <w:rPr>
          <w:rFonts w:ascii="Calibri" w:eastAsia="PMingLiU" w:hAnsi="Calibri" w:cs="Times New Roman"/>
        </w:rPr>
        <w:t xml:space="preserve"> Charlton and Saint Lukes</w:t>
      </w:r>
      <w:r w:rsidR="00F273CB">
        <w:rPr>
          <w:rFonts w:ascii="Calibri" w:eastAsia="PMingLiU" w:hAnsi="Calibri" w:cs="Times New Roman"/>
        </w:rPr>
        <w:t xml:space="preserve"> provide</w:t>
      </w:r>
      <w:r w:rsidR="00894119">
        <w:rPr>
          <w:rFonts w:ascii="Calibri" w:eastAsia="PMingLiU" w:hAnsi="Calibri" w:cs="Times New Roman"/>
        </w:rPr>
        <w:t xml:space="preserve"> coronary care, pediatrics, </w:t>
      </w:r>
      <w:r w:rsidR="006B1AD3">
        <w:rPr>
          <w:rFonts w:ascii="Calibri" w:eastAsia="PMingLiU" w:hAnsi="Calibri" w:cs="Times New Roman"/>
        </w:rPr>
        <w:t xml:space="preserve">and </w:t>
      </w:r>
      <w:r w:rsidR="00894119">
        <w:rPr>
          <w:rFonts w:ascii="Calibri" w:eastAsia="PMingLiU" w:hAnsi="Calibri" w:cs="Times New Roman"/>
        </w:rPr>
        <w:t>Level IIA obstetric</w:t>
      </w:r>
      <w:r w:rsidR="00F273CB">
        <w:rPr>
          <w:rFonts w:ascii="Calibri" w:eastAsia="PMingLiU" w:hAnsi="Calibri" w:cs="Times New Roman"/>
        </w:rPr>
        <w:t>s.</w:t>
      </w:r>
      <w:r w:rsidRPr="00D862E5">
        <w:rPr>
          <w:rFonts w:ascii="Calibri" w:eastAsia="PMingLiU" w:hAnsi="Calibri" w:cs="Times New Roman"/>
        </w:rPr>
        <w:t xml:space="preserve"> </w:t>
      </w:r>
      <w:r w:rsidRPr="00667697">
        <w:rPr>
          <w:rFonts w:ascii="Calibri" w:eastAsia="PMingLiU" w:hAnsi="Calibri" w:cs="Times New Roman"/>
        </w:rPr>
        <w:t xml:space="preserve">SHS </w:t>
      </w:r>
      <w:r w:rsidR="00A7767F">
        <w:rPr>
          <w:rFonts w:ascii="Calibri" w:eastAsia="PMingLiU" w:hAnsi="Calibri" w:cs="Times New Roman"/>
        </w:rPr>
        <w:t xml:space="preserve">also </w:t>
      </w:r>
      <w:r w:rsidRPr="00667697">
        <w:rPr>
          <w:rFonts w:ascii="Calibri" w:eastAsia="PMingLiU" w:hAnsi="Calibri" w:cs="Times New Roman"/>
        </w:rPr>
        <w:t>includes Southcoast Physicians Group, Inc., which has a network of</w:t>
      </w:r>
      <w:r w:rsidRPr="00D862E5">
        <w:rPr>
          <w:rFonts w:ascii="Calibri" w:eastAsia="PMingLiU" w:hAnsi="Calibri" w:cs="Times New Roman"/>
        </w:rPr>
        <w:t xml:space="preserve"> </w:t>
      </w:r>
      <w:r w:rsidRPr="00667697">
        <w:rPr>
          <w:rFonts w:ascii="Calibri" w:eastAsia="PMingLiU" w:hAnsi="Calibri" w:cs="Times New Roman"/>
        </w:rPr>
        <w:t xml:space="preserve">more than 40 medical practices, </w:t>
      </w:r>
      <w:r w:rsidR="00D862E5" w:rsidRPr="00D862E5">
        <w:rPr>
          <w:rFonts w:ascii="Calibri" w:eastAsia="Arial" w:hAnsi="Calibri" w:cs="Calibri"/>
          <w:color w:val="000000"/>
          <w:spacing w:val="-2"/>
          <w:szCs w:val="22"/>
        </w:rPr>
        <w:t xml:space="preserve">Southcoast Health Surgery Center </w:t>
      </w:r>
      <w:r w:rsidR="00D862E5">
        <w:rPr>
          <w:rFonts w:ascii="Calibri" w:eastAsia="Arial" w:hAnsi="Calibri" w:cs="Calibri"/>
          <w:color w:val="000000"/>
          <w:spacing w:val="-2"/>
          <w:szCs w:val="22"/>
        </w:rPr>
        <w:t>(</w:t>
      </w:r>
      <w:r w:rsidR="00D862E5" w:rsidRPr="00D862E5">
        <w:rPr>
          <w:rFonts w:ascii="Calibri" w:eastAsia="Arial" w:hAnsi="Calibri" w:cs="Calibri"/>
          <w:color w:val="000000"/>
          <w:spacing w:val="-2"/>
          <w:szCs w:val="22"/>
        </w:rPr>
        <w:t>Dartmouth</w:t>
      </w:r>
      <w:r w:rsidR="00D862E5">
        <w:rPr>
          <w:rFonts w:ascii="Calibri" w:eastAsia="Arial" w:hAnsi="Calibri" w:cs="Calibri"/>
          <w:color w:val="000000"/>
          <w:spacing w:val="-2"/>
          <w:szCs w:val="22"/>
        </w:rPr>
        <w:t>),</w:t>
      </w:r>
      <w:r w:rsidR="00D862E5" w:rsidRPr="00D862E5">
        <w:rPr>
          <w:rFonts w:ascii="Calibri" w:eastAsia="Arial" w:hAnsi="Calibri" w:cs="Calibri"/>
          <w:color w:val="000000"/>
          <w:spacing w:val="-2"/>
          <w:szCs w:val="22"/>
        </w:rPr>
        <w:t xml:space="preserve"> </w:t>
      </w:r>
      <w:r w:rsidRPr="00667697">
        <w:rPr>
          <w:rFonts w:ascii="Calibri" w:eastAsia="PMingLiU" w:hAnsi="Calibri" w:cs="Times New Roman"/>
        </w:rPr>
        <w:t>and Southcoast Visiting Nurse Association, Inc., accountable</w:t>
      </w:r>
      <w:r w:rsidRPr="00D862E5">
        <w:rPr>
          <w:rFonts w:ascii="Calibri" w:eastAsia="PMingLiU" w:hAnsi="Calibri" w:cs="Times New Roman"/>
        </w:rPr>
        <w:t xml:space="preserve"> </w:t>
      </w:r>
      <w:r w:rsidRPr="00667697">
        <w:rPr>
          <w:rFonts w:ascii="Calibri" w:eastAsia="PMingLiU" w:hAnsi="Calibri" w:cs="Times New Roman"/>
        </w:rPr>
        <w:t>care organizations participating in the Medicare Shared Savings Program and MassHealth</w:t>
      </w:r>
      <w:r w:rsidRPr="00D862E5">
        <w:rPr>
          <w:rFonts w:ascii="Calibri" w:eastAsia="PMingLiU" w:hAnsi="Calibri" w:cs="Times New Roman"/>
        </w:rPr>
        <w:t xml:space="preserve"> </w:t>
      </w:r>
      <w:r w:rsidRPr="00667697">
        <w:rPr>
          <w:rFonts w:ascii="Calibri" w:eastAsia="PMingLiU" w:hAnsi="Calibri" w:cs="Times New Roman"/>
        </w:rPr>
        <w:t>Medicaid ACO program</w:t>
      </w:r>
      <w:r w:rsidR="00F273CB">
        <w:rPr>
          <w:rFonts w:ascii="Calibri" w:eastAsia="PMingLiU" w:hAnsi="Calibri" w:cs="Times New Roman"/>
        </w:rPr>
        <w:t>.</w:t>
      </w:r>
    </w:p>
    <w:p w14:paraId="7672A0F9" w14:textId="2F9E99D4" w:rsidR="00246CBF" w:rsidRPr="00FF7EED" w:rsidRDefault="00246CBF" w:rsidP="00667697">
      <w:pPr>
        <w:spacing w:after="240"/>
        <w:rPr>
          <w:rFonts w:ascii="Calibri" w:eastAsia="PMingLiU" w:hAnsi="Calibri" w:cs="Times New Roman"/>
          <w:b/>
          <w:bCs/>
        </w:rPr>
      </w:pPr>
      <w:bookmarkStart w:id="17" w:name="_Hlk173247693"/>
      <w:r w:rsidRPr="00FF7EED">
        <w:rPr>
          <w:rFonts w:ascii="Calibri" w:eastAsia="PMingLiU" w:hAnsi="Calibri" w:cs="Times New Roman"/>
          <w:b/>
          <w:bCs/>
        </w:rPr>
        <w:t xml:space="preserve">Same Day </w:t>
      </w:r>
      <w:proofErr w:type="spellStart"/>
      <w:r w:rsidRPr="00FF7EED">
        <w:rPr>
          <w:rFonts w:ascii="Calibri" w:eastAsia="PMingLiU" w:hAnsi="Calibri" w:cs="Times New Roman"/>
          <w:b/>
          <w:bCs/>
        </w:rPr>
        <w:t>Surgicare</w:t>
      </w:r>
      <w:proofErr w:type="spellEnd"/>
      <w:r w:rsidRPr="00FF7EED">
        <w:rPr>
          <w:rFonts w:ascii="Calibri" w:eastAsia="PMingLiU" w:hAnsi="Calibri" w:cs="Times New Roman"/>
          <w:b/>
          <w:bCs/>
        </w:rPr>
        <w:t xml:space="preserve"> of New England, Inc. (“SDS”)</w:t>
      </w:r>
    </w:p>
    <w:bookmarkEnd w:id="17"/>
    <w:p w14:paraId="4E5EF72B" w14:textId="6DE2C3B6" w:rsidR="00C16C83" w:rsidRDefault="00C16C83" w:rsidP="00F41472">
      <w:pPr>
        <w:autoSpaceDE w:val="0"/>
        <w:autoSpaceDN w:val="0"/>
        <w:spacing w:after="240"/>
        <w:rPr>
          <w:rFonts w:ascii="Calibri" w:eastAsia="Calibri" w:hAnsi="Calibri" w:cs="Calibri"/>
          <w:szCs w:val="22"/>
        </w:rPr>
      </w:pPr>
      <w:r w:rsidRPr="00C16C83">
        <w:rPr>
          <w:rFonts w:ascii="Calibri" w:eastAsia="Calibri" w:hAnsi="Calibri" w:cs="Calibri"/>
        </w:rPr>
        <w:t>SDS</w:t>
      </w:r>
      <w:r w:rsidR="00A7767F">
        <w:rPr>
          <w:rFonts w:ascii="Calibri" w:eastAsia="Calibri" w:hAnsi="Calibri" w:cs="Calibri"/>
        </w:rPr>
        <w:t xml:space="preserve"> opened in 1984</w:t>
      </w:r>
      <w:r w:rsidR="00F41472">
        <w:rPr>
          <w:rFonts w:ascii="Calibri" w:eastAsia="Calibri" w:hAnsi="Calibri" w:cs="Calibri"/>
        </w:rPr>
        <w:t>,</w:t>
      </w:r>
      <w:r w:rsidRPr="00C16C83">
        <w:rPr>
          <w:rFonts w:ascii="Calibri" w:eastAsia="Calibri" w:hAnsi="Calibri" w:cs="Calibri"/>
        </w:rPr>
        <w:t xml:space="preserve"> </w:t>
      </w:r>
      <w:r w:rsidR="00A7767F">
        <w:rPr>
          <w:rFonts w:ascii="Calibri" w:eastAsia="Calibri" w:hAnsi="Calibri" w:cs="Calibri"/>
        </w:rPr>
        <w:t xml:space="preserve">and </w:t>
      </w:r>
      <w:r w:rsidRPr="00C16C83">
        <w:rPr>
          <w:rFonts w:ascii="Calibri" w:eastAsia="Calibri" w:hAnsi="Calibri" w:cs="Calibri"/>
        </w:rPr>
        <w:t>is the first freestanding, licensed multi-specialty ambulatory surgery center (“ASC”) in MA</w:t>
      </w:r>
      <w:r w:rsidR="0091185B">
        <w:rPr>
          <w:rFonts w:ascii="Calibri" w:eastAsia="Calibri" w:hAnsi="Calibri" w:cs="Calibri"/>
        </w:rPr>
        <w:t xml:space="preserve">. It operates 4 operating </w:t>
      </w:r>
      <w:r w:rsidR="00A7767F">
        <w:rPr>
          <w:rFonts w:ascii="Calibri" w:eastAsia="Calibri" w:hAnsi="Calibri" w:cs="Calibri"/>
        </w:rPr>
        <w:t xml:space="preserve">rooms (“OR”) </w:t>
      </w:r>
      <w:r w:rsidR="0091185B">
        <w:rPr>
          <w:rFonts w:ascii="Calibri" w:eastAsia="Calibri" w:hAnsi="Calibri" w:cs="Calibri"/>
        </w:rPr>
        <w:t>and 4 procedure rooms.</w:t>
      </w:r>
      <w:r w:rsidRPr="00C16C83">
        <w:rPr>
          <w:rFonts w:ascii="Calibri" w:eastAsia="Calibri" w:hAnsi="Calibri" w:cs="Calibri"/>
        </w:rPr>
        <w:t xml:space="preserve"> </w:t>
      </w:r>
      <w:r w:rsidR="00E74896">
        <w:rPr>
          <w:rFonts w:ascii="Calibri" w:eastAsia="Calibri" w:hAnsi="Calibri" w:cs="Calibri"/>
        </w:rPr>
        <w:t>It is</w:t>
      </w:r>
      <w:r w:rsidR="00CE1C74">
        <w:rPr>
          <w:rFonts w:ascii="Calibri" w:eastAsia="Calibri" w:hAnsi="Calibri" w:cs="Calibri"/>
        </w:rPr>
        <w:t xml:space="preserve"> a </w:t>
      </w:r>
      <w:r w:rsidR="00794AD0">
        <w:rPr>
          <w:rFonts w:ascii="Calibri" w:eastAsia="Calibri" w:hAnsi="Calibri" w:cs="Calibri"/>
        </w:rPr>
        <w:t>Medicare</w:t>
      </w:r>
      <w:r w:rsidR="00CE1C74">
        <w:rPr>
          <w:rFonts w:ascii="Calibri" w:eastAsia="Calibri" w:hAnsi="Calibri" w:cs="Calibri"/>
        </w:rPr>
        <w:t xml:space="preserve"> certified ASC</w:t>
      </w:r>
      <w:r w:rsidRPr="00C16C83">
        <w:rPr>
          <w:rFonts w:ascii="Calibri" w:eastAsia="Calibri" w:hAnsi="Calibri" w:cs="Calibri"/>
        </w:rPr>
        <w:t xml:space="preserve"> </w:t>
      </w:r>
      <w:r w:rsidR="00E74896">
        <w:rPr>
          <w:rFonts w:ascii="Calibri" w:eastAsia="Calibri" w:hAnsi="Calibri" w:cs="Calibri"/>
        </w:rPr>
        <w:t xml:space="preserve">that </w:t>
      </w:r>
      <w:r w:rsidRPr="00C16C83">
        <w:rPr>
          <w:rFonts w:ascii="Calibri" w:eastAsia="Calibri" w:hAnsi="Calibri" w:cs="Calibri"/>
        </w:rPr>
        <w:t xml:space="preserve">offers a range of </w:t>
      </w:r>
      <w:r>
        <w:rPr>
          <w:rFonts w:ascii="Calibri" w:eastAsia="Calibri" w:hAnsi="Calibri" w:cs="Calibri"/>
        </w:rPr>
        <w:t xml:space="preserve">specialties including </w:t>
      </w:r>
      <w:r w:rsidRPr="00C16C83">
        <w:rPr>
          <w:rFonts w:ascii="Calibri" w:eastAsia="Calibri" w:hAnsi="Calibri" w:cs="Calibri"/>
        </w:rPr>
        <w:t xml:space="preserve">eye surgery, gastroscopy and colonoscopy, general surgery, gynecology, orthopedics, pain management, urology, plastic surgery, and podiatry services. </w:t>
      </w:r>
      <w:r w:rsidR="00AC6810">
        <w:rPr>
          <w:rFonts w:ascii="Calibri" w:eastAsia="Calibri" w:hAnsi="Calibri" w:cs="Calibri"/>
          <w:szCs w:val="22"/>
        </w:rPr>
        <w:t xml:space="preserve">Prior to 2022 SDS was wholly owned by physician partners. </w:t>
      </w:r>
      <w:r w:rsidR="00B9587C">
        <w:rPr>
          <w:rFonts w:ascii="Calibri" w:eastAsia="Calibri" w:hAnsi="Calibri" w:cs="Calibri"/>
          <w:szCs w:val="22"/>
        </w:rPr>
        <w:t xml:space="preserve">Since 2022, </w:t>
      </w:r>
      <w:r w:rsidRPr="00C16C83">
        <w:rPr>
          <w:rFonts w:ascii="Calibri" w:eastAsia="Calibri" w:hAnsi="Calibri" w:cs="Calibri"/>
          <w:szCs w:val="22"/>
        </w:rPr>
        <w:t xml:space="preserve">SDS </w:t>
      </w:r>
      <w:r w:rsidR="00B9587C">
        <w:rPr>
          <w:rFonts w:ascii="Calibri" w:eastAsia="Calibri" w:hAnsi="Calibri" w:cs="Calibri"/>
          <w:szCs w:val="22"/>
        </w:rPr>
        <w:t>became</w:t>
      </w:r>
      <w:r w:rsidRPr="00C16C83">
        <w:rPr>
          <w:rFonts w:ascii="Calibri" w:eastAsia="Calibri" w:hAnsi="Calibri" w:cs="Calibri"/>
          <w:szCs w:val="22"/>
        </w:rPr>
        <w:t xml:space="preserve"> a joint venture</w:t>
      </w:r>
      <w:r w:rsidR="00F41472">
        <w:rPr>
          <w:rFonts w:ascii="Calibri" w:eastAsia="Calibri" w:hAnsi="Calibri" w:cs="Calibri"/>
          <w:szCs w:val="22"/>
        </w:rPr>
        <w:t xml:space="preserve"> where</w:t>
      </w:r>
      <w:r w:rsidRPr="00C16C83">
        <w:rPr>
          <w:rFonts w:ascii="Calibri" w:eastAsia="Calibri" w:hAnsi="Calibri" w:cs="Calibri"/>
          <w:szCs w:val="22"/>
        </w:rPr>
        <w:t xml:space="preserve"> 51% </w:t>
      </w:r>
      <w:r w:rsidR="00F41472">
        <w:rPr>
          <w:rFonts w:ascii="Calibri" w:eastAsia="Calibri" w:hAnsi="Calibri" w:cs="Calibri"/>
          <w:szCs w:val="22"/>
        </w:rPr>
        <w:t xml:space="preserve">is </w:t>
      </w:r>
      <w:r w:rsidRPr="00C16C83">
        <w:rPr>
          <w:rFonts w:ascii="Calibri" w:eastAsia="Calibri" w:hAnsi="Calibri" w:cs="Calibri"/>
          <w:szCs w:val="22"/>
        </w:rPr>
        <w:t xml:space="preserve">owned by </w:t>
      </w:r>
      <w:r w:rsidR="004E2DA4">
        <w:rPr>
          <w:rFonts w:ascii="Calibri" w:eastAsia="Calibri" w:hAnsi="Calibri" w:cs="Calibri"/>
          <w:szCs w:val="22"/>
        </w:rPr>
        <w:t xml:space="preserve">11 </w:t>
      </w:r>
      <w:r w:rsidRPr="00C16C83">
        <w:rPr>
          <w:rFonts w:ascii="Calibri" w:eastAsia="Calibri" w:hAnsi="Calibri" w:cs="Calibri"/>
          <w:szCs w:val="22"/>
        </w:rPr>
        <w:t>individual physician stockholders</w:t>
      </w:r>
      <w:r w:rsidR="00B9587C">
        <w:rPr>
          <w:rFonts w:ascii="Calibri" w:eastAsia="Calibri" w:hAnsi="Calibri" w:cs="Calibri"/>
          <w:szCs w:val="22"/>
        </w:rPr>
        <w:t xml:space="preserve"> and </w:t>
      </w:r>
      <w:r w:rsidR="00F41472">
        <w:rPr>
          <w:rFonts w:ascii="Calibri" w:eastAsia="Calibri" w:hAnsi="Calibri" w:cs="Calibri"/>
          <w:szCs w:val="22"/>
        </w:rPr>
        <w:t xml:space="preserve">49% is owned by </w:t>
      </w:r>
      <w:r w:rsidR="00B9587C" w:rsidRPr="00B9587C">
        <w:rPr>
          <w:rFonts w:ascii="Calibri" w:eastAsia="Calibri" w:hAnsi="Calibri" w:cs="Calibri"/>
          <w:szCs w:val="22"/>
        </w:rPr>
        <w:t>Southcoast Health Surgical Holdings, LLC (“SHSH”), a corporate subsidiary of the Applicant</w:t>
      </w:r>
      <w:r w:rsidR="00B9587C">
        <w:rPr>
          <w:rFonts w:ascii="Calibri" w:eastAsia="Calibri" w:hAnsi="Calibri" w:cs="Calibri"/>
          <w:szCs w:val="22"/>
        </w:rPr>
        <w:t>.</w:t>
      </w:r>
      <w:r w:rsidR="00B9587C">
        <w:rPr>
          <w:rStyle w:val="FootnoteReference"/>
          <w:rFonts w:ascii="Calibri" w:eastAsia="Arial" w:hAnsi="Calibri" w:cs="Calibri"/>
          <w:color w:val="000000"/>
          <w:spacing w:val="-1"/>
          <w:szCs w:val="22"/>
        </w:rPr>
        <w:footnoteReference w:id="2"/>
      </w:r>
      <w:r w:rsidR="00B9587C">
        <w:rPr>
          <w:rFonts w:ascii="Calibri" w:eastAsia="Calibri" w:hAnsi="Calibri" w:cs="Calibri"/>
          <w:szCs w:val="22"/>
        </w:rPr>
        <w:t xml:space="preserve"> This DoN Application, the second stage of the acquisition</w:t>
      </w:r>
      <w:r w:rsidR="006B1AD3">
        <w:rPr>
          <w:rFonts w:ascii="Calibri" w:eastAsia="Calibri" w:hAnsi="Calibri" w:cs="Calibri"/>
          <w:szCs w:val="22"/>
        </w:rPr>
        <w:t>,</w:t>
      </w:r>
      <w:r w:rsidR="00B9587C">
        <w:rPr>
          <w:rFonts w:ascii="Calibri" w:eastAsia="Calibri" w:hAnsi="Calibri" w:cs="Calibri"/>
          <w:szCs w:val="22"/>
        </w:rPr>
        <w:t xml:space="preserve"> comprises the Proposed Project.</w:t>
      </w:r>
    </w:p>
    <w:p w14:paraId="7F1C85D7" w14:textId="77777777" w:rsidR="001052CE" w:rsidRDefault="001052CE" w:rsidP="001052CE">
      <w:pPr>
        <w:spacing w:after="240"/>
        <w:jc w:val="both"/>
        <w:rPr>
          <w:rFonts w:ascii="Calibri" w:eastAsia="PMingLiU" w:hAnsi="Calibri" w:cs="Times New Roman"/>
          <w:b/>
          <w:bCs/>
          <w:szCs w:val="22"/>
        </w:rPr>
      </w:pPr>
      <w:r w:rsidRPr="001052CE">
        <w:rPr>
          <w:rFonts w:ascii="Calibri" w:eastAsia="PMingLiU" w:hAnsi="Calibri" w:cs="Times New Roman"/>
          <w:b/>
          <w:bCs/>
          <w:szCs w:val="22"/>
        </w:rPr>
        <w:t>The Proposed Project</w:t>
      </w:r>
    </w:p>
    <w:p w14:paraId="3A7C129B" w14:textId="1172CCE3" w:rsidR="004E2DA4" w:rsidRPr="004E2DA4" w:rsidRDefault="0034662B" w:rsidP="004E2DA4">
      <w:pPr>
        <w:spacing w:after="240"/>
        <w:rPr>
          <w:rFonts w:ascii="Calibri" w:eastAsia="Arial" w:hAnsi="Calibri" w:cs="Calibri"/>
          <w:color w:val="000000"/>
          <w:spacing w:val="-2"/>
          <w:szCs w:val="22"/>
        </w:rPr>
      </w:pPr>
      <w:r>
        <w:rPr>
          <w:rFonts w:ascii="Calibri" w:eastAsia="Arial" w:hAnsi="Calibri" w:cs="Calibri"/>
          <w:color w:val="000000"/>
          <w:spacing w:val="-2"/>
          <w:szCs w:val="22"/>
        </w:rPr>
        <w:t>T</w:t>
      </w:r>
      <w:r w:rsidR="00D862E5" w:rsidRPr="00D862E5">
        <w:rPr>
          <w:rFonts w:ascii="Calibri" w:eastAsia="Arial" w:hAnsi="Calibri" w:cs="Calibri"/>
          <w:color w:val="000000"/>
          <w:spacing w:val="-2"/>
          <w:szCs w:val="22"/>
        </w:rPr>
        <w:t xml:space="preserve">he Applicant </w:t>
      </w:r>
      <w:r w:rsidR="007E086D">
        <w:rPr>
          <w:rFonts w:ascii="Calibri" w:eastAsia="Arial" w:hAnsi="Calibri" w:cs="Calibri"/>
          <w:color w:val="000000"/>
          <w:spacing w:val="-2"/>
          <w:szCs w:val="22"/>
        </w:rPr>
        <w:t xml:space="preserve">found </w:t>
      </w:r>
      <w:r w:rsidR="0009508F">
        <w:rPr>
          <w:rFonts w:ascii="Calibri" w:eastAsia="Arial" w:hAnsi="Calibri" w:cs="Calibri"/>
          <w:color w:val="000000"/>
          <w:spacing w:val="-2"/>
          <w:szCs w:val="22"/>
        </w:rPr>
        <w:t>the</w:t>
      </w:r>
      <w:r w:rsidR="0009508F" w:rsidRPr="0009508F">
        <w:rPr>
          <w:rFonts w:ascii="Calibri" w:eastAsia="Arial" w:hAnsi="Calibri" w:cs="Calibri"/>
          <w:color w:val="000000"/>
          <w:spacing w:val="-2"/>
          <w:szCs w:val="22"/>
        </w:rPr>
        <w:t xml:space="preserve"> individual physician stockholders of SDS wish</w:t>
      </w:r>
      <w:r w:rsidR="007E086D">
        <w:rPr>
          <w:rFonts w:ascii="Calibri" w:eastAsia="Arial" w:hAnsi="Calibri" w:cs="Calibri"/>
          <w:color w:val="000000"/>
          <w:spacing w:val="-2"/>
          <w:szCs w:val="22"/>
        </w:rPr>
        <w:t>ed</w:t>
      </w:r>
      <w:r w:rsidR="0009508F" w:rsidRPr="0009508F">
        <w:rPr>
          <w:rFonts w:ascii="Calibri" w:eastAsia="Arial" w:hAnsi="Calibri" w:cs="Calibri"/>
          <w:color w:val="000000"/>
          <w:spacing w:val="-2"/>
          <w:szCs w:val="22"/>
        </w:rPr>
        <w:t xml:space="preserve"> to wind down their practice and retire</w:t>
      </w:r>
      <w:r w:rsidR="00F41472" w:rsidRPr="00F41472">
        <w:rPr>
          <w:rFonts w:ascii="Calibri" w:eastAsia="Arial" w:hAnsi="Calibri" w:cs="Calibri"/>
          <w:color w:val="000000"/>
          <w:spacing w:val="-2"/>
          <w:szCs w:val="22"/>
        </w:rPr>
        <w:t xml:space="preserve"> </w:t>
      </w:r>
      <w:r w:rsidR="00F41472">
        <w:rPr>
          <w:rFonts w:ascii="Calibri" w:eastAsia="Arial" w:hAnsi="Calibri" w:cs="Calibri"/>
          <w:color w:val="000000"/>
          <w:spacing w:val="-2"/>
          <w:szCs w:val="22"/>
        </w:rPr>
        <w:t xml:space="preserve">and </w:t>
      </w:r>
      <w:r w:rsidR="00F41472" w:rsidRPr="00F41472">
        <w:rPr>
          <w:rFonts w:ascii="Calibri" w:eastAsia="Arial" w:hAnsi="Calibri" w:cs="Calibri"/>
          <w:color w:val="000000"/>
          <w:spacing w:val="-2"/>
          <w:szCs w:val="22"/>
        </w:rPr>
        <w:t xml:space="preserve">determined that maintaining and expanding access to </w:t>
      </w:r>
      <w:r w:rsidR="00757163">
        <w:rPr>
          <w:rFonts w:ascii="Calibri" w:eastAsia="Arial" w:hAnsi="Calibri" w:cs="Calibri"/>
          <w:color w:val="000000"/>
          <w:spacing w:val="-2"/>
          <w:szCs w:val="22"/>
        </w:rPr>
        <w:t>freestanding ambulatory</w:t>
      </w:r>
      <w:r w:rsidR="00F41472" w:rsidRPr="00F41472">
        <w:rPr>
          <w:rFonts w:ascii="Calibri" w:eastAsia="Arial" w:hAnsi="Calibri" w:cs="Calibri"/>
          <w:color w:val="000000"/>
          <w:spacing w:val="-2"/>
          <w:szCs w:val="22"/>
        </w:rPr>
        <w:t xml:space="preserve"> surgical services in a</w:t>
      </w:r>
      <w:r w:rsidR="00D52C4B">
        <w:rPr>
          <w:rFonts w:ascii="Calibri" w:eastAsia="Arial" w:hAnsi="Calibri" w:cs="Calibri"/>
          <w:color w:val="000000"/>
          <w:spacing w:val="-2"/>
          <w:szCs w:val="22"/>
        </w:rPr>
        <w:t xml:space="preserve"> </w:t>
      </w:r>
      <w:r w:rsidR="0076276E">
        <w:rPr>
          <w:rFonts w:ascii="Calibri" w:eastAsia="Arial" w:hAnsi="Calibri" w:cs="Calibri"/>
          <w:color w:val="000000"/>
          <w:spacing w:val="-2"/>
          <w:szCs w:val="22"/>
        </w:rPr>
        <w:t>lower cost</w:t>
      </w:r>
      <w:r w:rsidR="00F41472" w:rsidRPr="00F41472">
        <w:rPr>
          <w:rFonts w:ascii="Calibri" w:eastAsia="Arial" w:hAnsi="Calibri" w:cs="Calibri"/>
          <w:color w:val="000000"/>
          <w:spacing w:val="-2"/>
          <w:szCs w:val="22"/>
        </w:rPr>
        <w:t xml:space="preserve"> ASC setting in the Fall River area was needed</w:t>
      </w:r>
      <w:r w:rsidR="0009508F" w:rsidRPr="0009508F">
        <w:rPr>
          <w:rFonts w:ascii="Calibri" w:eastAsia="Arial" w:hAnsi="Calibri" w:cs="Calibri"/>
          <w:color w:val="000000"/>
          <w:spacing w:val="-2"/>
          <w:szCs w:val="22"/>
        </w:rPr>
        <w:t>.</w:t>
      </w:r>
      <w:r w:rsidR="004E2DA4" w:rsidRPr="004E2DA4">
        <w:rPr>
          <w:rFonts w:ascii="Calibri" w:eastAsia="Arial" w:hAnsi="Calibri" w:cs="Calibri"/>
          <w:color w:val="000000"/>
          <w:spacing w:val="-2"/>
          <w:szCs w:val="22"/>
        </w:rPr>
        <w:t xml:space="preserve"> </w:t>
      </w:r>
      <w:r w:rsidR="004E2DA4">
        <w:rPr>
          <w:rFonts w:ascii="Calibri" w:eastAsia="Arial" w:hAnsi="Calibri" w:cs="Calibri"/>
          <w:color w:val="000000"/>
          <w:spacing w:val="-2"/>
          <w:szCs w:val="22"/>
        </w:rPr>
        <w:t xml:space="preserve">The applicant reports </w:t>
      </w:r>
      <w:r w:rsidR="000D6901">
        <w:rPr>
          <w:rFonts w:ascii="Calibri" w:eastAsia="Arial" w:hAnsi="Calibri" w:cs="Calibri"/>
          <w:color w:val="000000"/>
          <w:spacing w:val="-2"/>
          <w:szCs w:val="22"/>
        </w:rPr>
        <w:t xml:space="preserve">that </w:t>
      </w:r>
      <w:r w:rsidR="004E2DA4">
        <w:rPr>
          <w:rFonts w:ascii="Calibri" w:eastAsia="Arial" w:hAnsi="Calibri" w:cs="Calibri"/>
          <w:color w:val="000000"/>
          <w:spacing w:val="-2"/>
          <w:szCs w:val="22"/>
        </w:rPr>
        <w:t>“</w:t>
      </w:r>
      <w:r w:rsidR="004E2DA4" w:rsidRPr="004E2DA4">
        <w:rPr>
          <w:rFonts w:ascii="Calibri" w:eastAsia="Arial" w:hAnsi="Calibri" w:cs="Calibri"/>
          <w:i/>
          <w:iCs/>
          <w:color w:val="000000"/>
          <w:spacing w:val="-2"/>
          <w:szCs w:val="22"/>
        </w:rPr>
        <w:t>SDS views SHS as a critical community partner for its physician network</w:t>
      </w:r>
      <w:r w:rsidR="004E2DA4" w:rsidRPr="004E2DA4">
        <w:rPr>
          <w:rFonts w:ascii="Calibri" w:eastAsia="Arial" w:hAnsi="Calibri" w:cs="Calibri"/>
          <w:color w:val="000000"/>
          <w:spacing w:val="-2"/>
          <w:szCs w:val="22"/>
        </w:rPr>
        <w:t>.</w:t>
      </w:r>
      <w:r w:rsidR="004E2DA4">
        <w:rPr>
          <w:rFonts w:ascii="Calibri" w:eastAsia="Arial" w:hAnsi="Calibri" w:cs="Calibri"/>
          <w:color w:val="000000"/>
          <w:spacing w:val="-2"/>
          <w:szCs w:val="22"/>
        </w:rPr>
        <w:t>”</w:t>
      </w:r>
      <w:r w:rsidR="00AC6810">
        <w:rPr>
          <w:rFonts w:ascii="Calibri" w:eastAsia="Arial" w:hAnsi="Calibri" w:cs="Calibri"/>
          <w:color w:val="000000"/>
          <w:spacing w:val="-2"/>
          <w:szCs w:val="22"/>
        </w:rPr>
        <w:t xml:space="preserve"> </w:t>
      </w:r>
    </w:p>
    <w:p w14:paraId="79F2A2A6" w14:textId="5F09F6F7" w:rsidR="00C16C83" w:rsidRDefault="001B12B2" w:rsidP="00534615">
      <w:pPr>
        <w:spacing w:after="240"/>
        <w:rPr>
          <w:rFonts w:ascii="Calibri" w:eastAsia="Calibri" w:hAnsi="Calibri" w:cs="Calibri"/>
          <w:szCs w:val="22"/>
        </w:rPr>
      </w:pPr>
      <w:r>
        <w:rPr>
          <w:rFonts w:ascii="Calibri" w:eastAsia="Calibri" w:hAnsi="Calibri" w:cs="Calibri"/>
          <w:szCs w:val="22"/>
        </w:rPr>
        <w:lastRenderedPageBreak/>
        <w:t>As described further in this staff report, t</w:t>
      </w:r>
      <w:r w:rsidR="00390B26">
        <w:rPr>
          <w:rFonts w:ascii="Calibri" w:eastAsia="Calibri" w:hAnsi="Calibri" w:cs="Calibri"/>
          <w:szCs w:val="22"/>
        </w:rPr>
        <w:t xml:space="preserve">he Applicant notes that with the </w:t>
      </w:r>
      <w:r w:rsidR="00A5072C">
        <w:rPr>
          <w:rFonts w:ascii="Calibri" w:eastAsia="Calibri" w:hAnsi="Calibri" w:cs="Calibri"/>
          <w:szCs w:val="22"/>
        </w:rPr>
        <w:t>gradual retirements of the physician shareholders</w:t>
      </w:r>
      <w:r w:rsidR="006750C7">
        <w:rPr>
          <w:rFonts w:ascii="Calibri" w:eastAsia="Calibri" w:hAnsi="Calibri" w:cs="Calibri"/>
          <w:szCs w:val="22"/>
        </w:rPr>
        <w:t xml:space="preserve">, </w:t>
      </w:r>
      <w:r w:rsidR="00A5072C">
        <w:rPr>
          <w:rFonts w:ascii="Calibri" w:eastAsia="Calibri" w:hAnsi="Calibri" w:cs="Calibri"/>
          <w:szCs w:val="22"/>
        </w:rPr>
        <w:t xml:space="preserve">the </w:t>
      </w:r>
      <w:r w:rsidR="00934A4C">
        <w:rPr>
          <w:rFonts w:ascii="Calibri" w:eastAsia="Calibri" w:hAnsi="Calibri" w:cs="Calibri"/>
          <w:szCs w:val="22"/>
        </w:rPr>
        <w:t xml:space="preserve">clinical and </w:t>
      </w:r>
      <w:r w:rsidR="008237CF">
        <w:rPr>
          <w:rFonts w:ascii="Calibri" w:eastAsia="Calibri" w:hAnsi="Calibri" w:cs="Calibri"/>
          <w:szCs w:val="22"/>
        </w:rPr>
        <w:t xml:space="preserve">operational </w:t>
      </w:r>
      <w:r w:rsidR="00A5072C">
        <w:rPr>
          <w:rFonts w:ascii="Calibri" w:eastAsia="Calibri" w:hAnsi="Calibri" w:cs="Calibri"/>
          <w:szCs w:val="22"/>
        </w:rPr>
        <w:t>infrastructure</w:t>
      </w:r>
      <w:r w:rsidR="00934A4C">
        <w:rPr>
          <w:rFonts w:ascii="Calibri" w:eastAsia="Calibri" w:hAnsi="Calibri" w:cs="Calibri"/>
          <w:szCs w:val="22"/>
        </w:rPr>
        <w:t>s</w:t>
      </w:r>
      <w:r w:rsidR="00A5072C">
        <w:rPr>
          <w:rFonts w:ascii="Calibri" w:eastAsia="Calibri" w:hAnsi="Calibri" w:cs="Calibri"/>
          <w:szCs w:val="22"/>
        </w:rPr>
        <w:t xml:space="preserve"> </w:t>
      </w:r>
      <w:r w:rsidR="008237CF">
        <w:rPr>
          <w:rFonts w:ascii="Calibri" w:eastAsia="Calibri" w:hAnsi="Calibri" w:cs="Calibri"/>
          <w:szCs w:val="22"/>
        </w:rPr>
        <w:t>ha</w:t>
      </w:r>
      <w:r w:rsidR="00934A4C">
        <w:rPr>
          <w:rFonts w:ascii="Calibri" w:eastAsia="Calibri" w:hAnsi="Calibri" w:cs="Calibri"/>
          <w:szCs w:val="22"/>
        </w:rPr>
        <w:t>ve</w:t>
      </w:r>
      <w:r w:rsidR="008237CF">
        <w:rPr>
          <w:rFonts w:ascii="Calibri" w:eastAsia="Calibri" w:hAnsi="Calibri" w:cs="Calibri"/>
          <w:szCs w:val="22"/>
        </w:rPr>
        <w:t xml:space="preserve"> not undergone necessary updates</w:t>
      </w:r>
      <w:r w:rsidR="002B0CBA">
        <w:rPr>
          <w:rFonts w:ascii="Calibri" w:eastAsia="Calibri" w:hAnsi="Calibri" w:cs="Calibri"/>
          <w:szCs w:val="22"/>
        </w:rPr>
        <w:t xml:space="preserve"> due to financial constraints of SDS.</w:t>
      </w:r>
    </w:p>
    <w:p w14:paraId="2BDB6013" w14:textId="2A66BFFA" w:rsidR="0009508F" w:rsidRDefault="00091CB3" w:rsidP="00534615">
      <w:pPr>
        <w:spacing w:after="240"/>
        <w:rPr>
          <w:rFonts w:ascii="Calibri" w:eastAsia="Arial" w:hAnsi="Calibri" w:cs="Calibri"/>
          <w:color w:val="000000"/>
          <w:spacing w:val="-1"/>
          <w:szCs w:val="22"/>
        </w:rPr>
      </w:pPr>
      <w:bookmarkStart w:id="18" w:name="_Hlk166769097"/>
      <w:r>
        <w:rPr>
          <w:rFonts w:ascii="Calibri" w:eastAsia="Arial" w:hAnsi="Calibri" w:cs="Calibri"/>
          <w:color w:val="000000"/>
          <w:spacing w:val="-1"/>
          <w:szCs w:val="22"/>
        </w:rPr>
        <w:t xml:space="preserve">With the </w:t>
      </w:r>
      <w:r w:rsidR="001D0A29">
        <w:rPr>
          <w:rFonts w:ascii="Calibri" w:eastAsia="Arial" w:hAnsi="Calibri" w:cs="Calibri"/>
          <w:color w:val="000000"/>
          <w:spacing w:val="-1"/>
          <w:szCs w:val="22"/>
        </w:rPr>
        <w:t>Proposed Project</w:t>
      </w:r>
      <w:r w:rsidR="00393905">
        <w:rPr>
          <w:rFonts w:ascii="Calibri" w:eastAsia="Arial" w:hAnsi="Calibri" w:cs="Calibri"/>
          <w:color w:val="000000"/>
          <w:spacing w:val="-1"/>
          <w:szCs w:val="22"/>
        </w:rPr>
        <w:t>,</w:t>
      </w:r>
      <w:r w:rsidR="001D0A29">
        <w:rPr>
          <w:rFonts w:ascii="Calibri" w:eastAsia="Arial" w:hAnsi="Calibri" w:cs="Calibri"/>
          <w:color w:val="000000"/>
          <w:spacing w:val="-1"/>
          <w:szCs w:val="22"/>
        </w:rPr>
        <w:t xml:space="preserve"> </w:t>
      </w:r>
      <w:r w:rsidR="00C16C83" w:rsidRPr="00C16C83">
        <w:rPr>
          <w:rFonts w:ascii="Calibri" w:eastAsia="Arial" w:hAnsi="Calibri" w:cs="Calibri"/>
          <w:color w:val="000000"/>
          <w:spacing w:val="-1"/>
          <w:szCs w:val="22"/>
        </w:rPr>
        <w:t>SHSH</w:t>
      </w:r>
      <w:r w:rsidR="001D0A29">
        <w:rPr>
          <w:rFonts w:ascii="Calibri" w:eastAsia="Arial" w:hAnsi="Calibri" w:cs="Calibri"/>
          <w:color w:val="000000"/>
          <w:spacing w:val="-1"/>
          <w:szCs w:val="22"/>
        </w:rPr>
        <w:t xml:space="preserve"> proposes to acquire</w:t>
      </w:r>
      <w:r w:rsidR="00C16C83" w:rsidRPr="00C16C83">
        <w:rPr>
          <w:rFonts w:ascii="Calibri" w:eastAsia="Arial" w:hAnsi="Calibri" w:cs="Calibri"/>
          <w:color w:val="000000"/>
          <w:spacing w:val="-1"/>
          <w:szCs w:val="22"/>
        </w:rPr>
        <w:t xml:space="preserve"> the remaining 51% ownership </w:t>
      </w:r>
      <w:r w:rsidR="00393905">
        <w:rPr>
          <w:rFonts w:ascii="Calibri" w:eastAsia="Arial" w:hAnsi="Calibri" w:cs="Calibri"/>
          <w:color w:val="000000"/>
          <w:spacing w:val="-1"/>
          <w:szCs w:val="22"/>
        </w:rPr>
        <w:t xml:space="preserve">of </w:t>
      </w:r>
      <w:r w:rsidR="00C16C83" w:rsidRPr="00C16C83">
        <w:rPr>
          <w:rFonts w:ascii="Calibri" w:eastAsia="Arial" w:hAnsi="Calibri" w:cs="Calibri"/>
          <w:color w:val="000000"/>
          <w:spacing w:val="-1"/>
          <w:szCs w:val="22"/>
        </w:rPr>
        <w:t>SDS</w:t>
      </w:r>
      <w:r w:rsidR="00C61B10">
        <w:rPr>
          <w:rFonts w:ascii="Calibri" w:eastAsia="Arial" w:hAnsi="Calibri" w:cs="Calibri"/>
          <w:color w:val="000000"/>
          <w:spacing w:val="-1"/>
          <w:szCs w:val="22"/>
        </w:rPr>
        <w:t>,</w:t>
      </w:r>
      <w:r w:rsidR="00C16C83" w:rsidRPr="00C16C83">
        <w:rPr>
          <w:rFonts w:ascii="Calibri" w:eastAsia="Arial" w:hAnsi="Calibri" w:cs="Calibri"/>
          <w:color w:val="000000"/>
          <w:spacing w:val="-1"/>
          <w:szCs w:val="22"/>
        </w:rPr>
        <w:t xml:space="preserve"> </w:t>
      </w:r>
      <w:r w:rsidR="001D0A29">
        <w:rPr>
          <w:rFonts w:ascii="Calibri" w:eastAsia="Arial" w:hAnsi="Calibri" w:cs="Calibri"/>
          <w:color w:val="000000"/>
          <w:spacing w:val="-1"/>
          <w:szCs w:val="22"/>
        </w:rPr>
        <w:t xml:space="preserve">following </w:t>
      </w:r>
      <w:r w:rsidR="00C16C83" w:rsidRPr="00C16C83">
        <w:rPr>
          <w:rFonts w:ascii="Calibri" w:eastAsia="Arial" w:hAnsi="Calibri" w:cs="Calibri"/>
          <w:color w:val="000000"/>
          <w:spacing w:val="-1"/>
          <w:szCs w:val="22"/>
        </w:rPr>
        <w:t>all regulatory approvals</w:t>
      </w:r>
      <w:r w:rsidR="00633A83">
        <w:rPr>
          <w:rFonts w:ascii="Calibri" w:eastAsia="Arial" w:hAnsi="Calibri" w:cs="Calibri"/>
          <w:color w:val="000000"/>
          <w:spacing w:val="-1"/>
          <w:szCs w:val="22"/>
        </w:rPr>
        <w:t>, constituting a transfer of ownership</w:t>
      </w:r>
      <w:r w:rsidR="00C16C83" w:rsidRPr="00C16C83">
        <w:rPr>
          <w:rFonts w:ascii="Calibri" w:eastAsia="Arial" w:hAnsi="Calibri" w:cs="Calibri"/>
          <w:color w:val="000000"/>
          <w:spacing w:val="-1"/>
          <w:szCs w:val="22"/>
        </w:rPr>
        <w:t xml:space="preserve">. </w:t>
      </w:r>
      <w:r w:rsidR="0009508F">
        <w:rPr>
          <w:rFonts w:ascii="Calibri" w:eastAsia="Arial" w:hAnsi="Calibri" w:cs="Calibri"/>
          <w:color w:val="000000"/>
          <w:spacing w:val="-1"/>
          <w:szCs w:val="22"/>
        </w:rPr>
        <w:t>As a result of this transaction, SDS will</w:t>
      </w:r>
      <w:r w:rsidR="00A01A61">
        <w:rPr>
          <w:rFonts w:ascii="Calibri" w:eastAsia="Arial" w:hAnsi="Calibri" w:cs="Calibri"/>
          <w:color w:val="000000"/>
          <w:spacing w:val="-1"/>
          <w:szCs w:val="22"/>
        </w:rPr>
        <w:t xml:space="preserve"> keep</w:t>
      </w:r>
      <w:r w:rsidR="007F2E21">
        <w:rPr>
          <w:rFonts w:ascii="Calibri" w:eastAsia="Arial" w:hAnsi="Calibri" w:cs="Calibri"/>
          <w:color w:val="000000"/>
          <w:spacing w:val="-1"/>
          <w:szCs w:val="22"/>
        </w:rPr>
        <w:t xml:space="preserve"> </w:t>
      </w:r>
      <w:r w:rsidR="00D448F8">
        <w:rPr>
          <w:rFonts w:ascii="Calibri" w:eastAsia="Arial" w:hAnsi="Calibri" w:cs="Calibri"/>
          <w:color w:val="000000"/>
          <w:spacing w:val="-1"/>
          <w:szCs w:val="22"/>
        </w:rPr>
        <w:t>being</w:t>
      </w:r>
      <w:r w:rsidR="007F2E21">
        <w:rPr>
          <w:rFonts w:ascii="Calibri" w:eastAsia="Arial" w:hAnsi="Calibri" w:cs="Calibri"/>
          <w:color w:val="000000"/>
          <w:spacing w:val="-1"/>
          <w:szCs w:val="22"/>
        </w:rPr>
        <w:t xml:space="preserve"> li</w:t>
      </w:r>
      <w:r w:rsidR="00D448F8">
        <w:rPr>
          <w:rFonts w:ascii="Calibri" w:eastAsia="Arial" w:hAnsi="Calibri" w:cs="Calibri"/>
          <w:color w:val="000000"/>
          <w:spacing w:val="-1"/>
          <w:szCs w:val="22"/>
        </w:rPr>
        <w:t xml:space="preserve">censed as an </w:t>
      </w:r>
      <w:r w:rsidR="0009508F">
        <w:rPr>
          <w:rFonts w:ascii="Calibri" w:eastAsia="Arial" w:hAnsi="Calibri" w:cs="Calibri"/>
          <w:color w:val="000000"/>
          <w:spacing w:val="-1"/>
          <w:szCs w:val="22"/>
        </w:rPr>
        <w:t xml:space="preserve">ASC </w:t>
      </w:r>
      <w:r w:rsidR="00714B4E">
        <w:rPr>
          <w:rFonts w:ascii="Calibri" w:eastAsia="Arial" w:hAnsi="Calibri" w:cs="Calibri"/>
          <w:color w:val="000000"/>
          <w:spacing w:val="-1"/>
          <w:szCs w:val="22"/>
        </w:rPr>
        <w:t>clinic with</w:t>
      </w:r>
      <w:r w:rsidR="0009508F">
        <w:rPr>
          <w:rFonts w:ascii="Calibri" w:eastAsia="Arial" w:hAnsi="Calibri" w:cs="Calibri"/>
          <w:color w:val="000000"/>
          <w:spacing w:val="-1"/>
          <w:szCs w:val="22"/>
        </w:rPr>
        <w:t xml:space="preserve"> SHSH having 100% ownership.</w:t>
      </w:r>
      <w:r w:rsidR="00F41472" w:rsidRPr="00F41472">
        <w:rPr>
          <w:rFonts w:ascii="Calibri" w:eastAsia="Arial" w:hAnsi="Calibri" w:cs="Calibri"/>
          <w:color w:val="000000"/>
          <w:spacing w:val="-1"/>
          <w:szCs w:val="22"/>
          <w:vertAlign w:val="superscript"/>
        </w:rPr>
        <w:t xml:space="preserve"> </w:t>
      </w:r>
      <w:r w:rsidR="00F41472" w:rsidRPr="00F41472">
        <w:rPr>
          <w:rFonts w:ascii="Calibri" w:eastAsia="Arial" w:hAnsi="Calibri" w:cs="Calibri"/>
          <w:color w:val="000000"/>
          <w:spacing w:val="-1"/>
          <w:szCs w:val="22"/>
          <w:vertAlign w:val="superscript"/>
        </w:rPr>
        <w:footnoteReference w:id="3"/>
      </w:r>
      <w:r w:rsidR="0009508F">
        <w:rPr>
          <w:rFonts w:ascii="Calibri" w:eastAsia="Arial" w:hAnsi="Calibri" w:cs="Calibri"/>
          <w:color w:val="000000"/>
          <w:spacing w:val="-1"/>
          <w:szCs w:val="22"/>
        </w:rPr>
        <w:t xml:space="preserve"> </w:t>
      </w:r>
      <w:r w:rsidR="00CE1C74">
        <w:rPr>
          <w:rFonts w:ascii="Calibri" w:eastAsia="Arial" w:hAnsi="Calibri" w:cs="Calibri"/>
          <w:color w:val="000000"/>
          <w:spacing w:val="-1"/>
          <w:szCs w:val="22"/>
        </w:rPr>
        <w:t>There is no change or expansion of services associated with this application</w:t>
      </w:r>
      <w:r w:rsidR="00633A83">
        <w:rPr>
          <w:rFonts w:ascii="Calibri" w:eastAsia="Arial" w:hAnsi="Calibri" w:cs="Calibri"/>
          <w:color w:val="000000"/>
          <w:spacing w:val="-1"/>
          <w:szCs w:val="22"/>
        </w:rPr>
        <w:t>.</w:t>
      </w:r>
      <w:r w:rsidR="00CE1C74">
        <w:rPr>
          <w:rFonts w:ascii="Calibri" w:eastAsia="Arial" w:hAnsi="Calibri" w:cs="Calibri"/>
          <w:color w:val="000000"/>
          <w:spacing w:val="-1"/>
          <w:szCs w:val="22"/>
        </w:rPr>
        <w:t xml:space="preserve"> </w:t>
      </w:r>
    </w:p>
    <w:p w14:paraId="0AA04078" w14:textId="66063108" w:rsidR="0060259B" w:rsidRDefault="00CE4434" w:rsidP="00844B13">
      <w:pPr>
        <w:pStyle w:val="Heading1"/>
      </w:pPr>
      <w:bookmarkStart w:id="19" w:name="_Toc157428826"/>
      <w:bookmarkStart w:id="20" w:name="_Toc174010163"/>
      <w:bookmarkStart w:id="21" w:name="_Toc17151135"/>
      <w:bookmarkStart w:id="22" w:name="_Toc17731308"/>
      <w:bookmarkStart w:id="23" w:name="_Toc18420176"/>
      <w:bookmarkStart w:id="24" w:name="_Toc18922397"/>
      <w:bookmarkStart w:id="25" w:name="_Toc27567690"/>
      <w:bookmarkStart w:id="26" w:name="_Toc17151137"/>
      <w:bookmarkEnd w:id="18"/>
      <w:r w:rsidRPr="6380A8AC">
        <w:rPr>
          <w:rFonts w:asciiTheme="minorHAnsi" w:hAnsiTheme="minorHAnsi" w:cstheme="minorBidi"/>
        </w:rPr>
        <w:t>Pa</w:t>
      </w:r>
      <w:r w:rsidR="0060259B" w:rsidRPr="6380A8AC">
        <w:rPr>
          <w:rFonts w:asciiTheme="minorHAnsi" w:hAnsiTheme="minorHAnsi" w:cstheme="minorBidi"/>
        </w:rPr>
        <w:t>tient Panel</w:t>
      </w:r>
      <w:r w:rsidR="0060259B" w:rsidRPr="00EF6E86">
        <w:rPr>
          <w:vertAlign w:val="superscript"/>
        </w:rPr>
        <w:footnoteReference w:id="4"/>
      </w:r>
      <w:bookmarkEnd w:id="19"/>
      <w:bookmarkEnd w:id="20"/>
    </w:p>
    <w:p w14:paraId="1B925C85" w14:textId="71C76EF2" w:rsidR="00D53BE5" w:rsidRDefault="00D53BE5" w:rsidP="00685C18"/>
    <w:p w14:paraId="69C2B2B5" w14:textId="6C50EA45" w:rsidR="00316B9D" w:rsidRDefault="00894935" w:rsidP="00685C18">
      <w:r>
        <w:t xml:space="preserve">The tables below include demographic information from </w:t>
      </w:r>
      <w:r w:rsidR="00073C7A">
        <w:t xml:space="preserve">the Applicant. </w:t>
      </w:r>
      <w:r w:rsidR="00316B9D" w:rsidRPr="00316B9D">
        <w:t xml:space="preserve">SDS does not have an electronic health record (“EHR”) system and </w:t>
      </w:r>
      <w:r w:rsidR="00316B9D">
        <w:t xml:space="preserve">therefore does </w:t>
      </w:r>
      <w:r w:rsidR="00316B9D" w:rsidRPr="00316B9D">
        <w:t xml:space="preserve">not </w:t>
      </w:r>
      <w:r w:rsidR="00316B9D">
        <w:t>maintain a comprehensive demographic data set</w:t>
      </w:r>
      <w:r w:rsidR="00316B9D" w:rsidRPr="00316B9D">
        <w:t>. With Project approval the Applicant reports</w:t>
      </w:r>
      <w:r w:rsidR="00316B9D">
        <w:t xml:space="preserve"> it will extend its </w:t>
      </w:r>
      <w:r w:rsidR="00316B9D" w:rsidRPr="00316B9D">
        <w:t xml:space="preserve">EHR </w:t>
      </w:r>
      <w:r w:rsidR="00316B9D">
        <w:t xml:space="preserve">to </w:t>
      </w:r>
      <w:r w:rsidR="006E7000">
        <w:t xml:space="preserve">SDS </w:t>
      </w:r>
      <w:r w:rsidR="006E7000" w:rsidRPr="00316B9D">
        <w:t>and</w:t>
      </w:r>
      <w:r w:rsidR="00316B9D" w:rsidRPr="00316B9D">
        <w:t xml:space="preserve"> this </w:t>
      </w:r>
      <w:r w:rsidR="00316B9D">
        <w:t xml:space="preserve">information </w:t>
      </w:r>
      <w:r w:rsidR="00316B9D" w:rsidRPr="00316B9D">
        <w:t xml:space="preserve">will be collected. </w:t>
      </w:r>
      <w:r w:rsidR="00F41472" w:rsidRPr="00F41472">
        <w:t>Table one shows that the overall numbers of unique patients has grown since 2021.</w:t>
      </w:r>
    </w:p>
    <w:p w14:paraId="0178BB42" w14:textId="77777777" w:rsidR="00316B9D" w:rsidRPr="00AF6B9B" w:rsidRDefault="00316B9D" w:rsidP="00685C18"/>
    <w:p w14:paraId="4E54C1AB" w14:textId="2F767EB7" w:rsidR="007265F0" w:rsidRPr="008E157F" w:rsidRDefault="007265F0" w:rsidP="00825271">
      <w:pPr>
        <w:jc w:val="center"/>
        <w:rPr>
          <w:b/>
          <w:bCs/>
        </w:rPr>
      </w:pPr>
      <w:bookmarkStart w:id="27" w:name="_Hlk151730381"/>
      <w:r w:rsidRPr="008E157F">
        <w:rPr>
          <w:b/>
          <w:bCs/>
        </w:rPr>
        <w:t xml:space="preserve">Table </w:t>
      </w:r>
      <w:r w:rsidR="0080092C">
        <w:rPr>
          <w:b/>
          <w:bCs/>
        </w:rPr>
        <w:t>1</w:t>
      </w:r>
      <w:r w:rsidR="00914391">
        <w:rPr>
          <w:b/>
          <w:bCs/>
        </w:rPr>
        <w:t>:</w:t>
      </w:r>
      <w:r w:rsidRPr="008E157F">
        <w:rPr>
          <w:b/>
          <w:bCs/>
        </w:rPr>
        <w:t xml:space="preserve"> Overview of Patient Panel</w:t>
      </w:r>
      <w:r w:rsidR="00844B13" w:rsidRPr="008E157F">
        <w:rPr>
          <w:b/>
          <w:bCs/>
        </w:rPr>
        <w:t>s-</w:t>
      </w:r>
      <w:r w:rsidRPr="008E157F">
        <w:rPr>
          <w:b/>
          <w:bCs/>
        </w:rPr>
        <w:t xml:space="preserve"> FY</w:t>
      </w:r>
      <w:r w:rsidR="00067789">
        <w:rPr>
          <w:b/>
          <w:bCs/>
        </w:rPr>
        <w:t>2</w:t>
      </w:r>
      <w:r w:rsidRPr="008E157F">
        <w:rPr>
          <w:b/>
          <w:bCs/>
        </w:rPr>
        <w:t>1-FY2</w:t>
      </w:r>
      <w:r w:rsidR="00067789">
        <w:rPr>
          <w:b/>
          <w:bCs/>
        </w:rPr>
        <w:t>4</w:t>
      </w:r>
    </w:p>
    <w:p w14:paraId="5B6115BF" w14:textId="77777777" w:rsidR="00844B13" w:rsidRPr="00844B13" w:rsidRDefault="00844B13" w:rsidP="00825271"/>
    <w:bookmarkEnd w:id="27"/>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080"/>
        <w:gridCol w:w="1170"/>
        <w:gridCol w:w="1123"/>
        <w:gridCol w:w="1212"/>
      </w:tblGrid>
      <w:tr w:rsidR="00947D8B" w:rsidRPr="00947D8B" w14:paraId="6A95E433" w14:textId="77777777" w:rsidTr="00A21B9E">
        <w:trPr>
          <w:cantSplit/>
          <w:trHeight w:val="584"/>
          <w:jc w:val="center"/>
        </w:trPr>
        <w:tc>
          <w:tcPr>
            <w:tcW w:w="1620" w:type="dxa"/>
            <w:shd w:val="clear" w:color="auto" w:fill="E1FFFF"/>
            <w:noWrap/>
            <w:vAlign w:val="center"/>
          </w:tcPr>
          <w:p w14:paraId="19DAD68B" w14:textId="63BBD904" w:rsidR="00947D8B" w:rsidRPr="00947D8B" w:rsidRDefault="00947D8B" w:rsidP="00947D8B">
            <w:pPr>
              <w:rPr>
                <w:rFonts w:ascii="Calibri" w:eastAsia="Times New Roman" w:hAnsi="Calibri" w:cs="Calibri"/>
                <w:b/>
                <w:bCs/>
                <w:color w:val="000000"/>
              </w:rPr>
            </w:pPr>
          </w:p>
        </w:tc>
        <w:tc>
          <w:tcPr>
            <w:tcW w:w="1080" w:type="dxa"/>
            <w:shd w:val="clear" w:color="auto" w:fill="E1FFFF"/>
            <w:noWrap/>
            <w:vAlign w:val="center"/>
          </w:tcPr>
          <w:p w14:paraId="7B654B5D" w14:textId="29A8F961" w:rsidR="00947D8B" w:rsidRPr="00947D8B" w:rsidRDefault="0091185B" w:rsidP="00947D8B">
            <w:pPr>
              <w:jc w:val="center"/>
              <w:rPr>
                <w:rFonts w:ascii="Calibri" w:eastAsia="Times New Roman" w:hAnsi="Calibri" w:cs="Calibri"/>
                <w:b/>
                <w:bCs/>
                <w:color w:val="000000"/>
              </w:rPr>
            </w:pPr>
            <w:r>
              <w:rPr>
                <w:rFonts w:ascii="Calibri" w:eastAsia="Times New Roman" w:hAnsi="Calibri" w:cs="Calibri"/>
                <w:b/>
                <w:bCs/>
                <w:color w:val="000000"/>
              </w:rPr>
              <w:t>FY 21</w:t>
            </w:r>
          </w:p>
        </w:tc>
        <w:tc>
          <w:tcPr>
            <w:tcW w:w="1170" w:type="dxa"/>
            <w:shd w:val="clear" w:color="auto" w:fill="E1FFFF"/>
            <w:noWrap/>
            <w:vAlign w:val="center"/>
          </w:tcPr>
          <w:p w14:paraId="780929D0" w14:textId="64E07C7F" w:rsidR="00947D8B" w:rsidRPr="00947D8B" w:rsidRDefault="0091185B" w:rsidP="00947D8B">
            <w:pPr>
              <w:jc w:val="center"/>
              <w:rPr>
                <w:rFonts w:ascii="Calibri" w:eastAsia="Times New Roman" w:hAnsi="Calibri" w:cs="Calibri"/>
                <w:b/>
                <w:bCs/>
                <w:color w:val="000000"/>
              </w:rPr>
            </w:pPr>
            <w:r>
              <w:rPr>
                <w:rFonts w:ascii="Calibri" w:eastAsia="Times New Roman" w:hAnsi="Calibri" w:cs="Calibri"/>
                <w:b/>
                <w:bCs/>
                <w:color w:val="000000"/>
              </w:rPr>
              <w:t>FY 22</w:t>
            </w:r>
          </w:p>
        </w:tc>
        <w:tc>
          <w:tcPr>
            <w:tcW w:w="1123" w:type="dxa"/>
            <w:shd w:val="clear" w:color="auto" w:fill="E1FFFF"/>
            <w:noWrap/>
            <w:vAlign w:val="center"/>
          </w:tcPr>
          <w:p w14:paraId="12961AA9" w14:textId="2719A90D" w:rsidR="00947D8B" w:rsidRPr="00947D8B" w:rsidRDefault="0091185B" w:rsidP="00947D8B">
            <w:pPr>
              <w:jc w:val="center"/>
              <w:rPr>
                <w:rFonts w:ascii="Calibri" w:eastAsia="Times New Roman" w:hAnsi="Calibri" w:cs="Calibri"/>
                <w:b/>
                <w:bCs/>
                <w:color w:val="000000"/>
              </w:rPr>
            </w:pPr>
            <w:r>
              <w:rPr>
                <w:rFonts w:ascii="Calibri" w:eastAsia="Times New Roman" w:hAnsi="Calibri" w:cs="Calibri"/>
                <w:b/>
                <w:bCs/>
                <w:color w:val="000000"/>
              </w:rPr>
              <w:t>FY 23</w:t>
            </w:r>
          </w:p>
        </w:tc>
        <w:tc>
          <w:tcPr>
            <w:tcW w:w="1212" w:type="dxa"/>
            <w:shd w:val="clear" w:color="auto" w:fill="E1FFFF"/>
            <w:noWrap/>
            <w:vAlign w:val="center"/>
          </w:tcPr>
          <w:p w14:paraId="23896FE2" w14:textId="1F04EADC" w:rsidR="00A9157E" w:rsidRPr="00947D8B" w:rsidRDefault="00A9157E" w:rsidP="00A9157E">
            <w:pPr>
              <w:rPr>
                <w:rFonts w:ascii="Calibri" w:eastAsia="Times New Roman" w:hAnsi="Calibri" w:cs="Calibri"/>
                <w:b/>
                <w:bCs/>
                <w:color w:val="000000"/>
              </w:rPr>
            </w:pPr>
            <w:r>
              <w:rPr>
                <w:rFonts w:ascii="Calibri" w:eastAsia="Times New Roman" w:hAnsi="Calibri" w:cs="Calibri"/>
                <w:b/>
                <w:bCs/>
                <w:color w:val="000000"/>
              </w:rPr>
              <w:t>FY 21-23 % change</w:t>
            </w:r>
          </w:p>
        </w:tc>
      </w:tr>
      <w:tr w:rsidR="0091185B" w:rsidRPr="00947D8B" w14:paraId="15F143D2" w14:textId="77777777" w:rsidTr="00A9157E">
        <w:trPr>
          <w:cantSplit/>
          <w:trHeight w:val="341"/>
          <w:jc w:val="center"/>
        </w:trPr>
        <w:tc>
          <w:tcPr>
            <w:tcW w:w="1620" w:type="dxa"/>
            <w:shd w:val="clear" w:color="000000" w:fill="E5FFFF"/>
            <w:noWrap/>
            <w:vAlign w:val="center"/>
          </w:tcPr>
          <w:p w14:paraId="13607416" w14:textId="3385D19C" w:rsidR="0091185B" w:rsidRPr="00947D8B" w:rsidRDefault="0091185B" w:rsidP="0091185B">
            <w:pPr>
              <w:rPr>
                <w:rFonts w:ascii="Calibri" w:eastAsia="Times New Roman" w:hAnsi="Calibri" w:cs="Calibri"/>
                <w:color w:val="000000"/>
              </w:rPr>
            </w:pPr>
            <w:r>
              <w:rPr>
                <w:rFonts w:ascii="Calibri" w:eastAsia="Times New Roman" w:hAnsi="Calibri" w:cs="Calibri"/>
                <w:color w:val="000000"/>
              </w:rPr>
              <w:t>Southcoast</w:t>
            </w:r>
          </w:p>
        </w:tc>
        <w:tc>
          <w:tcPr>
            <w:tcW w:w="1080" w:type="dxa"/>
            <w:shd w:val="clear" w:color="auto" w:fill="auto"/>
            <w:noWrap/>
            <w:vAlign w:val="center"/>
          </w:tcPr>
          <w:p w14:paraId="7652379F" w14:textId="7C4C5BFB" w:rsidR="0091185B" w:rsidRPr="00947D8B" w:rsidRDefault="0091185B" w:rsidP="00A9157E">
            <w:pPr>
              <w:jc w:val="right"/>
              <w:rPr>
                <w:rFonts w:ascii="Calibri" w:eastAsia="Times New Roman" w:hAnsi="Calibri" w:cs="Calibri"/>
                <w:color w:val="000000"/>
              </w:rPr>
            </w:pPr>
            <w:r>
              <w:rPr>
                <w:rFonts w:ascii="Aptos Narrow" w:hAnsi="Aptos Narrow"/>
                <w:color w:val="000000"/>
                <w:sz w:val="22"/>
                <w:szCs w:val="22"/>
              </w:rPr>
              <w:t>281,623</w:t>
            </w:r>
          </w:p>
        </w:tc>
        <w:tc>
          <w:tcPr>
            <w:tcW w:w="1170" w:type="dxa"/>
            <w:shd w:val="clear" w:color="auto" w:fill="auto"/>
            <w:noWrap/>
            <w:vAlign w:val="center"/>
          </w:tcPr>
          <w:p w14:paraId="4B2CC17A" w14:textId="750E551E" w:rsidR="0091185B" w:rsidRPr="00947D8B" w:rsidRDefault="0091185B" w:rsidP="00A9157E">
            <w:pPr>
              <w:jc w:val="right"/>
              <w:rPr>
                <w:rFonts w:ascii="Calibri" w:eastAsia="Times New Roman" w:hAnsi="Calibri" w:cs="Calibri"/>
                <w:color w:val="000000"/>
              </w:rPr>
            </w:pPr>
            <w:r>
              <w:rPr>
                <w:rFonts w:ascii="Aptos Narrow" w:hAnsi="Aptos Narrow"/>
                <w:color w:val="000000"/>
                <w:sz w:val="22"/>
                <w:szCs w:val="22"/>
              </w:rPr>
              <w:t>321</w:t>
            </w:r>
            <w:r w:rsidR="00A9157E">
              <w:rPr>
                <w:rFonts w:ascii="Aptos Narrow" w:hAnsi="Aptos Narrow"/>
                <w:color w:val="000000"/>
                <w:sz w:val="22"/>
                <w:szCs w:val="22"/>
              </w:rPr>
              <w:t>,</w:t>
            </w:r>
            <w:r>
              <w:rPr>
                <w:rFonts w:ascii="Aptos Narrow" w:hAnsi="Aptos Narrow"/>
                <w:color w:val="000000"/>
                <w:sz w:val="22"/>
                <w:szCs w:val="22"/>
              </w:rPr>
              <w:t>998</w:t>
            </w:r>
          </w:p>
        </w:tc>
        <w:tc>
          <w:tcPr>
            <w:tcW w:w="1123" w:type="dxa"/>
            <w:shd w:val="clear" w:color="auto" w:fill="auto"/>
            <w:noWrap/>
            <w:vAlign w:val="center"/>
          </w:tcPr>
          <w:p w14:paraId="0F0742C2" w14:textId="41E45B15" w:rsidR="0091185B" w:rsidRPr="00947D8B" w:rsidRDefault="0091185B" w:rsidP="00A9157E">
            <w:pPr>
              <w:jc w:val="right"/>
              <w:rPr>
                <w:rFonts w:ascii="Calibri" w:eastAsia="Times New Roman" w:hAnsi="Calibri" w:cs="Calibri"/>
                <w:color w:val="000000"/>
              </w:rPr>
            </w:pPr>
            <w:r>
              <w:rPr>
                <w:rFonts w:ascii="Aptos Narrow" w:hAnsi="Aptos Narrow"/>
                <w:color w:val="000000"/>
                <w:sz w:val="22"/>
                <w:szCs w:val="22"/>
              </w:rPr>
              <w:t>342</w:t>
            </w:r>
            <w:r w:rsidR="00A9157E">
              <w:rPr>
                <w:rFonts w:ascii="Aptos Narrow" w:hAnsi="Aptos Narrow"/>
                <w:color w:val="000000"/>
                <w:sz w:val="22"/>
                <w:szCs w:val="22"/>
              </w:rPr>
              <w:t>,</w:t>
            </w:r>
            <w:r>
              <w:rPr>
                <w:rFonts w:ascii="Aptos Narrow" w:hAnsi="Aptos Narrow"/>
                <w:color w:val="000000"/>
                <w:sz w:val="22"/>
                <w:szCs w:val="22"/>
              </w:rPr>
              <w:t>546</w:t>
            </w:r>
          </w:p>
        </w:tc>
        <w:tc>
          <w:tcPr>
            <w:tcW w:w="1212" w:type="dxa"/>
            <w:shd w:val="clear" w:color="auto" w:fill="auto"/>
            <w:noWrap/>
            <w:vAlign w:val="center"/>
          </w:tcPr>
          <w:p w14:paraId="2498D35C" w14:textId="6201AB1D" w:rsidR="00A9157E" w:rsidRPr="00947D8B" w:rsidRDefault="00A9157E" w:rsidP="00A9157E">
            <w:pPr>
              <w:jc w:val="right"/>
              <w:rPr>
                <w:rFonts w:ascii="Calibri" w:eastAsia="Times New Roman" w:hAnsi="Calibri" w:cs="Calibri"/>
                <w:color w:val="000000"/>
                <w:sz w:val="22"/>
                <w:szCs w:val="22"/>
              </w:rPr>
            </w:pPr>
            <w:r>
              <w:rPr>
                <w:rFonts w:ascii="Calibri" w:eastAsia="Times New Roman" w:hAnsi="Calibri" w:cs="Calibri"/>
                <w:color w:val="000000"/>
                <w:sz w:val="22"/>
                <w:szCs w:val="22"/>
              </w:rPr>
              <w:t>22%</w:t>
            </w:r>
          </w:p>
        </w:tc>
      </w:tr>
      <w:tr w:rsidR="00A9157E" w:rsidRPr="00947D8B" w14:paraId="7C902B80" w14:textId="77777777" w:rsidTr="00A9157E">
        <w:trPr>
          <w:cantSplit/>
          <w:trHeight w:val="320"/>
          <w:jc w:val="center"/>
        </w:trPr>
        <w:tc>
          <w:tcPr>
            <w:tcW w:w="1620" w:type="dxa"/>
            <w:shd w:val="clear" w:color="000000" w:fill="EBFFFF"/>
            <w:vAlign w:val="center"/>
          </w:tcPr>
          <w:p w14:paraId="63C38922" w14:textId="3A57E110" w:rsidR="00A9157E" w:rsidRPr="00947D8B" w:rsidRDefault="00A9157E" w:rsidP="00A9157E">
            <w:pPr>
              <w:rPr>
                <w:rFonts w:ascii="Calibri" w:eastAsia="Times New Roman" w:hAnsi="Calibri" w:cs="Calibri"/>
                <w:color w:val="000000"/>
              </w:rPr>
            </w:pPr>
            <w:r>
              <w:rPr>
                <w:rFonts w:ascii="Calibri" w:eastAsia="Times New Roman" w:hAnsi="Calibri" w:cs="Calibri"/>
                <w:color w:val="000000"/>
              </w:rPr>
              <w:t>SDS</w:t>
            </w:r>
          </w:p>
        </w:tc>
        <w:tc>
          <w:tcPr>
            <w:tcW w:w="1080" w:type="dxa"/>
          </w:tcPr>
          <w:p w14:paraId="5F70BFE1" w14:textId="5D9E0322" w:rsidR="00A9157E" w:rsidRPr="00947D8B" w:rsidRDefault="00A9157E" w:rsidP="00E25D20">
            <w:pPr>
              <w:jc w:val="right"/>
              <w:rPr>
                <w:rFonts w:ascii="Calibri" w:eastAsia="Times New Roman" w:hAnsi="Calibri" w:cs="Calibri"/>
                <w:color w:val="000000"/>
              </w:rPr>
            </w:pPr>
            <w:r>
              <w:rPr>
                <w:rFonts w:ascii="Aptos Narrow" w:hAnsi="Aptos Narrow" w:cs="Aptos Narrow"/>
                <w:color w:val="000000"/>
                <w:sz w:val="22"/>
                <w:szCs w:val="22"/>
              </w:rPr>
              <w:t>5,673</w:t>
            </w:r>
          </w:p>
        </w:tc>
        <w:tc>
          <w:tcPr>
            <w:tcW w:w="1170" w:type="dxa"/>
          </w:tcPr>
          <w:p w14:paraId="037E157A" w14:textId="11EB07D8" w:rsidR="00A9157E" w:rsidRPr="00947D8B" w:rsidRDefault="00A9157E" w:rsidP="00E25D20">
            <w:pPr>
              <w:jc w:val="right"/>
              <w:rPr>
                <w:rFonts w:ascii="Calibri" w:eastAsia="Times New Roman" w:hAnsi="Calibri" w:cs="Calibri"/>
                <w:color w:val="000000"/>
              </w:rPr>
            </w:pPr>
            <w:r>
              <w:rPr>
                <w:rFonts w:ascii="Aptos Narrow" w:hAnsi="Aptos Narrow" w:cs="Aptos Narrow"/>
                <w:color w:val="000000"/>
                <w:sz w:val="22"/>
                <w:szCs w:val="22"/>
              </w:rPr>
              <w:t>5,804</w:t>
            </w:r>
          </w:p>
        </w:tc>
        <w:tc>
          <w:tcPr>
            <w:tcW w:w="1123" w:type="dxa"/>
          </w:tcPr>
          <w:p w14:paraId="170A8AAB" w14:textId="0098B0CE" w:rsidR="00A9157E" w:rsidRPr="00947D8B" w:rsidRDefault="00A9157E" w:rsidP="00E25D20">
            <w:pPr>
              <w:jc w:val="right"/>
              <w:rPr>
                <w:rFonts w:ascii="Calibri" w:eastAsia="Times New Roman" w:hAnsi="Calibri" w:cs="Calibri"/>
                <w:color w:val="000000"/>
              </w:rPr>
            </w:pPr>
            <w:r>
              <w:rPr>
                <w:rFonts w:ascii="Aptos Narrow" w:hAnsi="Aptos Narrow" w:cs="Aptos Narrow"/>
                <w:color w:val="000000"/>
                <w:sz w:val="22"/>
                <w:szCs w:val="22"/>
              </w:rPr>
              <w:t>6,115</w:t>
            </w:r>
          </w:p>
        </w:tc>
        <w:tc>
          <w:tcPr>
            <w:tcW w:w="1212" w:type="dxa"/>
            <w:noWrap/>
          </w:tcPr>
          <w:p w14:paraId="0A766F15" w14:textId="7CC37F50" w:rsidR="00A9157E" w:rsidRPr="00947D8B" w:rsidRDefault="00A9157E" w:rsidP="00E25D20">
            <w:pPr>
              <w:jc w:val="right"/>
              <w:rPr>
                <w:rFonts w:ascii="Calibri" w:eastAsia="Times New Roman" w:hAnsi="Calibri" w:cs="Calibri"/>
                <w:color w:val="000000"/>
                <w:sz w:val="22"/>
                <w:szCs w:val="22"/>
              </w:rPr>
            </w:pPr>
            <w:r>
              <w:rPr>
                <w:rFonts w:ascii="Aptos Narrow" w:hAnsi="Aptos Narrow" w:cs="Aptos Narrow"/>
                <w:color w:val="000000"/>
                <w:sz w:val="22"/>
                <w:szCs w:val="22"/>
              </w:rPr>
              <w:t>8%</w:t>
            </w:r>
          </w:p>
        </w:tc>
      </w:tr>
    </w:tbl>
    <w:p w14:paraId="6EA44EAA" w14:textId="77777777" w:rsidR="00A21B9E" w:rsidRDefault="00A21B9E" w:rsidP="00AB45F3">
      <w:pPr>
        <w:rPr>
          <w:rFonts w:ascii="Calibri" w:hAnsi="Calibri" w:cs="Calibri"/>
        </w:rPr>
      </w:pPr>
    </w:p>
    <w:p w14:paraId="2FB48E0B" w14:textId="61F5FCB7" w:rsidR="00947D8B" w:rsidRPr="00164DE0" w:rsidRDefault="00947D8B" w:rsidP="00AB45F3">
      <w:pPr>
        <w:rPr>
          <w:rFonts w:ascii="Garamond" w:hAnsi="Garamond"/>
        </w:rPr>
      </w:pPr>
    </w:p>
    <w:p w14:paraId="786874A5" w14:textId="530AAFA2" w:rsidR="00942B73" w:rsidRDefault="1B6FA5DA" w:rsidP="00825271">
      <w:pPr>
        <w:jc w:val="center"/>
        <w:rPr>
          <w:b/>
          <w:bCs/>
        </w:rPr>
      </w:pPr>
      <w:bookmarkStart w:id="28" w:name="_Hlk151730467"/>
      <w:bookmarkStart w:id="29" w:name="_Hlk151730528"/>
      <w:r w:rsidRPr="6F80FCDD">
        <w:rPr>
          <w:b/>
          <w:bCs/>
        </w:rPr>
        <w:t>Table</w:t>
      </w:r>
      <w:r w:rsidR="3729CC64" w:rsidRPr="6F80FCDD">
        <w:rPr>
          <w:b/>
          <w:bCs/>
        </w:rPr>
        <w:t xml:space="preserve"> </w:t>
      </w:r>
      <w:r w:rsidR="00697C6F">
        <w:rPr>
          <w:b/>
          <w:bCs/>
        </w:rPr>
        <w:t>2</w:t>
      </w:r>
      <w:r w:rsidRPr="6F80FCDD">
        <w:rPr>
          <w:b/>
          <w:bCs/>
        </w:rPr>
        <w:t>:</w:t>
      </w:r>
      <w:r w:rsidR="7646CA97" w:rsidRPr="6F80FCDD">
        <w:rPr>
          <w:b/>
          <w:bCs/>
        </w:rPr>
        <w:t xml:space="preserve"> </w:t>
      </w:r>
      <w:r w:rsidR="553C312A" w:rsidRPr="6F80FCDD">
        <w:rPr>
          <w:b/>
          <w:bCs/>
        </w:rPr>
        <w:t xml:space="preserve">Demographic Profile </w:t>
      </w:r>
      <w:r w:rsidRPr="6F80FCDD">
        <w:rPr>
          <w:b/>
          <w:bCs/>
        </w:rPr>
        <w:t xml:space="preserve">of </w:t>
      </w:r>
      <w:r w:rsidR="00D94434">
        <w:rPr>
          <w:b/>
          <w:bCs/>
        </w:rPr>
        <w:t xml:space="preserve">SHS </w:t>
      </w:r>
      <w:r w:rsidR="00E720F4">
        <w:rPr>
          <w:b/>
          <w:bCs/>
        </w:rPr>
        <w:t xml:space="preserve">and </w:t>
      </w:r>
      <w:r w:rsidR="00D94434">
        <w:rPr>
          <w:b/>
          <w:bCs/>
        </w:rPr>
        <w:t xml:space="preserve">SDS </w:t>
      </w:r>
      <w:r w:rsidRPr="6F80FCDD">
        <w:rPr>
          <w:b/>
          <w:bCs/>
        </w:rPr>
        <w:t xml:space="preserve">Patients- </w:t>
      </w:r>
      <w:r w:rsidR="00D94434">
        <w:rPr>
          <w:b/>
          <w:bCs/>
        </w:rPr>
        <w:t>FY 22-23</w:t>
      </w:r>
    </w:p>
    <w:p w14:paraId="01634287" w14:textId="2C89B5FE" w:rsidR="00E92504" w:rsidRPr="008E157F" w:rsidRDefault="00E92504" w:rsidP="00825271">
      <w:pPr>
        <w:jc w:val="center"/>
        <w:rPr>
          <w:b/>
          <w:bCs/>
        </w:rPr>
      </w:pPr>
    </w:p>
    <w:tbl>
      <w:tblPr>
        <w:tblW w:w="7476" w:type="dxa"/>
        <w:jc w:val="center"/>
        <w:tblLook w:val="04A0" w:firstRow="1" w:lastRow="0" w:firstColumn="1" w:lastColumn="0" w:noHBand="0" w:noVBand="1"/>
      </w:tblPr>
      <w:tblGrid>
        <w:gridCol w:w="2620"/>
        <w:gridCol w:w="1327"/>
        <w:gridCol w:w="1327"/>
        <w:gridCol w:w="1101"/>
        <w:gridCol w:w="1101"/>
      </w:tblGrid>
      <w:tr w:rsidR="00FE143B" w:rsidRPr="00750E83" w14:paraId="3C44795D" w14:textId="77777777" w:rsidTr="00FE143B">
        <w:trPr>
          <w:cantSplit/>
          <w:trHeight w:val="310"/>
          <w:tblHeader/>
          <w:jc w:val="center"/>
        </w:trPr>
        <w:tc>
          <w:tcPr>
            <w:tcW w:w="2620" w:type="dxa"/>
            <w:tcBorders>
              <w:top w:val="single" w:sz="4" w:space="0" w:color="auto"/>
              <w:left w:val="single" w:sz="4" w:space="0" w:color="auto"/>
              <w:bottom w:val="single" w:sz="4" w:space="0" w:color="auto"/>
              <w:right w:val="single" w:sz="4" w:space="0" w:color="auto"/>
            </w:tcBorders>
            <w:shd w:val="clear" w:color="auto" w:fill="E1FFFF"/>
            <w:vAlign w:val="center"/>
            <w:hideMark/>
          </w:tcPr>
          <w:p w14:paraId="33806CA6" w14:textId="77777777" w:rsidR="00FE143B" w:rsidRPr="00750E83" w:rsidRDefault="00FE143B" w:rsidP="00750E83">
            <w:pPr>
              <w:rPr>
                <w:rFonts w:ascii="Calibri" w:eastAsia="Times New Roman" w:hAnsi="Calibri" w:cs="Calibri"/>
                <w:b/>
                <w:bCs/>
                <w:color w:val="000000"/>
              </w:rPr>
            </w:pPr>
            <w:bookmarkStart w:id="30" w:name="_9kMIH5YVt4886BFNelS"/>
            <w:bookmarkStart w:id="31" w:name="_Hlk92709500"/>
            <w:bookmarkEnd w:id="28"/>
            <w:bookmarkEnd w:id="29"/>
            <w:r w:rsidRPr="00750E83">
              <w:rPr>
                <w:rFonts w:ascii="Calibri" w:eastAsia="Times New Roman" w:hAnsi="Calibri" w:cs="Calibri"/>
                <w:b/>
                <w:bCs/>
                <w:color w:val="000000"/>
              </w:rPr>
              <w:t>Facility</w:t>
            </w:r>
          </w:p>
        </w:tc>
        <w:tc>
          <w:tcPr>
            <w:tcW w:w="1327" w:type="dxa"/>
            <w:tcBorders>
              <w:top w:val="single" w:sz="4" w:space="0" w:color="auto"/>
              <w:left w:val="nil"/>
              <w:bottom w:val="single" w:sz="4" w:space="0" w:color="auto"/>
              <w:right w:val="single" w:sz="4" w:space="0" w:color="auto"/>
            </w:tcBorders>
            <w:shd w:val="clear" w:color="auto" w:fill="E1FFFF"/>
            <w:noWrap/>
            <w:vAlign w:val="center"/>
            <w:hideMark/>
          </w:tcPr>
          <w:p w14:paraId="0601C586" w14:textId="77777777" w:rsidR="00FE143B" w:rsidRPr="00750E83" w:rsidRDefault="00FE143B" w:rsidP="00750E83">
            <w:pPr>
              <w:jc w:val="center"/>
              <w:rPr>
                <w:rFonts w:ascii="Calibri" w:eastAsia="Times New Roman" w:hAnsi="Calibri" w:cs="Calibri"/>
                <w:b/>
                <w:bCs/>
                <w:color w:val="000000"/>
              </w:rPr>
            </w:pPr>
            <w:r w:rsidRPr="00750E83">
              <w:rPr>
                <w:rFonts w:ascii="Calibri" w:eastAsia="Times New Roman" w:hAnsi="Calibri" w:cs="Calibri"/>
                <w:b/>
                <w:bCs/>
                <w:color w:val="000000"/>
              </w:rPr>
              <w:t>Southcoast</w:t>
            </w:r>
          </w:p>
        </w:tc>
        <w:tc>
          <w:tcPr>
            <w:tcW w:w="1327" w:type="dxa"/>
            <w:tcBorders>
              <w:top w:val="single" w:sz="4" w:space="0" w:color="auto"/>
              <w:left w:val="nil"/>
              <w:bottom w:val="single" w:sz="4" w:space="0" w:color="auto"/>
              <w:right w:val="single" w:sz="4" w:space="0" w:color="auto"/>
            </w:tcBorders>
            <w:shd w:val="clear" w:color="auto" w:fill="E1FFFF"/>
            <w:vAlign w:val="center"/>
          </w:tcPr>
          <w:p w14:paraId="60D4F5D8" w14:textId="19E14465" w:rsidR="00FE143B" w:rsidRPr="00750E83" w:rsidRDefault="00FE143B" w:rsidP="00750E83">
            <w:pPr>
              <w:jc w:val="center"/>
              <w:rPr>
                <w:rFonts w:ascii="Calibri" w:eastAsia="Times New Roman" w:hAnsi="Calibri" w:cs="Calibri"/>
                <w:b/>
                <w:bCs/>
                <w:color w:val="000000"/>
              </w:rPr>
            </w:pPr>
            <w:r w:rsidRPr="00750E83">
              <w:rPr>
                <w:rFonts w:ascii="Calibri" w:eastAsia="Times New Roman" w:hAnsi="Calibri" w:cs="Calibri"/>
                <w:b/>
                <w:bCs/>
                <w:color w:val="000000"/>
              </w:rPr>
              <w:t>Southcoast</w:t>
            </w:r>
          </w:p>
        </w:tc>
        <w:tc>
          <w:tcPr>
            <w:tcW w:w="1101" w:type="dxa"/>
            <w:tcBorders>
              <w:top w:val="single" w:sz="4" w:space="0" w:color="auto"/>
              <w:left w:val="nil"/>
              <w:bottom w:val="single" w:sz="4" w:space="0" w:color="auto"/>
              <w:right w:val="single" w:sz="4" w:space="0" w:color="auto"/>
            </w:tcBorders>
            <w:shd w:val="clear" w:color="auto" w:fill="E1FFFF"/>
            <w:vAlign w:val="center"/>
            <w:hideMark/>
          </w:tcPr>
          <w:p w14:paraId="00C1D290" w14:textId="77777777" w:rsidR="00FE143B" w:rsidRPr="00750E83" w:rsidRDefault="00FE143B" w:rsidP="00750E83">
            <w:pPr>
              <w:jc w:val="center"/>
              <w:rPr>
                <w:rFonts w:ascii="Calibri" w:eastAsia="Times New Roman" w:hAnsi="Calibri" w:cs="Calibri"/>
                <w:b/>
                <w:bCs/>
                <w:color w:val="000000"/>
              </w:rPr>
            </w:pPr>
            <w:r w:rsidRPr="00750E83">
              <w:rPr>
                <w:rFonts w:ascii="Calibri" w:eastAsia="Times New Roman" w:hAnsi="Calibri" w:cs="Calibri"/>
                <w:b/>
                <w:bCs/>
                <w:color w:val="000000"/>
              </w:rPr>
              <w:t>SDS</w:t>
            </w:r>
          </w:p>
        </w:tc>
        <w:tc>
          <w:tcPr>
            <w:tcW w:w="1101" w:type="dxa"/>
            <w:tcBorders>
              <w:top w:val="single" w:sz="4" w:space="0" w:color="auto"/>
              <w:left w:val="nil"/>
              <w:bottom w:val="single" w:sz="4" w:space="0" w:color="auto"/>
              <w:right w:val="single" w:sz="4" w:space="0" w:color="auto"/>
            </w:tcBorders>
            <w:shd w:val="clear" w:color="auto" w:fill="E1FFFF"/>
            <w:vAlign w:val="center"/>
          </w:tcPr>
          <w:p w14:paraId="64E83BA1" w14:textId="51B4A0B3" w:rsidR="00FE143B" w:rsidRPr="00750E83" w:rsidRDefault="00FE143B" w:rsidP="00750E83">
            <w:pPr>
              <w:jc w:val="center"/>
              <w:rPr>
                <w:rFonts w:ascii="Calibri" w:eastAsia="Times New Roman" w:hAnsi="Calibri" w:cs="Calibri"/>
                <w:b/>
                <w:bCs/>
                <w:color w:val="000000"/>
              </w:rPr>
            </w:pPr>
            <w:r w:rsidRPr="00750E83">
              <w:rPr>
                <w:rFonts w:ascii="Calibri" w:eastAsia="Times New Roman" w:hAnsi="Calibri" w:cs="Calibri"/>
                <w:b/>
                <w:bCs/>
                <w:color w:val="000000"/>
              </w:rPr>
              <w:t>SDS</w:t>
            </w:r>
          </w:p>
        </w:tc>
      </w:tr>
      <w:tr w:rsidR="00750E83" w:rsidRPr="00750E83" w14:paraId="30151260" w14:textId="77777777" w:rsidTr="00FE143B">
        <w:trPr>
          <w:cantSplit/>
          <w:trHeight w:val="310"/>
          <w:tblHeader/>
          <w:jc w:val="center"/>
        </w:trPr>
        <w:tc>
          <w:tcPr>
            <w:tcW w:w="2620" w:type="dxa"/>
            <w:tcBorders>
              <w:top w:val="nil"/>
              <w:left w:val="single" w:sz="4" w:space="0" w:color="auto"/>
              <w:bottom w:val="single" w:sz="4" w:space="0" w:color="auto"/>
              <w:right w:val="single" w:sz="4" w:space="0" w:color="auto"/>
            </w:tcBorders>
            <w:shd w:val="clear" w:color="auto" w:fill="E1FFFF"/>
            <w:noWrap/>
            <w:vAlign w:val="center"/>
            <w:hideMark/>
          </w:tcPr>
          <w:p w14:paraId="29F0B183"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c>
          <w:tcPr>
            <w:tcW w:w="1327" w:type="dxa"/>
            <w:tcBorders>
              <w:top w:val="nil"/>
              <w:left w:val="nil"/>
              <w:bottom w:val="single" w:sz="4" w:space="0" w:color="auto"/>
              <w:right w:val="single" w:sz="4" w:space="0" w:color="auto"/>
            </w:tcBorders>
            <w:shd w:val="clear" w:color="auto" w:fill="E1FFFF"/>
            <w:noWrap/>
            <w:vAlign w:val="center"/>
            <w:hideMark/>
          </w:tcPr>
          <w:p w14:paraId="11D6C86F" w14:textId="77777777" w:rsidR="00750E83" w:rsidRPr="00750E83" w:rsidRDefault="00750E83" w:rsidP="00750E83">
            <w:pPr>
              <w:jc w:val="right"/>
              <w:rPr>
                <w:rFonts w:ascii="Calibri" w:eastAsia="Times New Roman" w:hAnsi="Calibri" w:cs="Calibri"/>
                <w:b/>
                <w:bCs/>
                <w:color w:val="000000"/>
              </w:rPr>
            </w:pPr>
            <w:r w:rsidRPr="00750E83">
              <w:rPr>
                <w:rFonts w:ascii="Calibri" w:eastAsia="Times New Roman" w:hAnsi="Calibri" w:cs="Calibri"/>
                <w:b/>
                <w:bCs/>
                <w:color w:val="000000"/>
              </w:rPr>
              <w:t>FY 22</w:t>
            </w:r>
          </w:p>
        </w:tc>
        <w:tc>
          <w:tcPr>
            <w:tcW w:w="1327" w:type="dxa"/>
            <w:tcBorders>
              <w:top w:val="nil"/>
              <w:left w:val="nil"/>
              <w:bottom w:val="single" w:sz="4" w:space="0" w:color="auto"/>
              <w:right w:val="single" w:sz="4" w:space="0" w:color="auto"/>
            </w:tcBorders>
            <w:shd w:val="clear" w:color="auto" w:fill="E1FFFF"/>
            <w:noWrap/>
            <w:vAlign w:val="center"/>
            <w:hideMark/>
          </w:tcPr>
          <w:p w14:paraId="77D3F5A1" w14:textId="77777777" w:rsidR="00750E83" w:rsidRPr="00750E83" w:rsidRDefault="00750E83" w:rsidP="00750E83">
            <w:pPr>
              <w:jc w:val="right"/>
              <w:rPr>
                <w:rFonts w:ascii="Calibri" w:eastAsia="Times New Roman" w:hAnsi="Calibri" w:cs="Calibri"/>
                <w:b/>
                <w:bCs/>
                <w:color w:val="000000"/>
              </w:rPr>
            </w:pPr>
            <w:r w:rsidRPr="00750E83">
              <w:rPr>
                <w:rFonts w:ascii="Calibri" w:eastAsia="Times New Roman" w:hAnsi="Calibri" w:cs="Calibri"/>
                <w:b/>
                <w:bCs/>
                <w:color w:val="000000"/>
              </w:rPr>
              <w:t>FY 23</w:t>
            </w:r>
          </w:p>
        </w:tc>
        <w:tc>
          <w:tcPr>
            <w:tcW w:w="1101" w:type="dxa"/>
            <w:tcBorders>
              <w:top w:val="nil"/>
              <w:left w:val="nil"/>
              <w:bottom w:val="single" w:sz="4" w:space="0" w:color="auto"/>
              <w:right w:val="single" w:sz="4" w:space="0" w:color="auto"/>
            </w:tcBorders>
            <w:shd w:val="clear" w:color="auto" w:fill="E1FFFF"/>
            <w:vAlign w:val="center"/>
            <w:hideMark/>
          </w:tcPr>
          <w:p w14:paraId="1983213E" w14:textId="77777777" w:rsidR="00750E83" w:rsidRPr="00750E83" w:rsidRDefault="00750E83" w:rsidP="00750E83">
            <w:pPr>
              <w:jc w:val="right"/>
              <w:rPr>
                <w:rFonts w:ascii="Calibri" w:eastAsia="Times New Roman" w:hAnsi="Calibri" w:cs="Calibri"/>
                <w:b/>
                <w:bCs/>
                <w:color w:val="000000"/>
              </w:rPr>
            </w:pPr>
            <w:r w:rsidRPr="00750E83">
              <w:rPr>
                <w:rFonts w:ascii="Calibri" w:eastAsia="Times New Roman" w:hAnsi="Calibri" w:cs="Calibri"/>
                <w:b/>
                <w:bCs/>
                <w:color w:val="000000"/>
              </w:rPr>
              <w:t>FY 22</w:t>
            </w:r>
          </w:p>
        </w:tc>
        <w:tc>
          <w:tcPr>
            <w:tcW w:w="1101" w:type="dxa"/>
            <w:tcBorders>
              <w:top w:val="nil"/>
              <w:left w:val="nil"/>
              <w:bottom w:val="single" w:sz="4" w:space="0" w:color="auto"/>
              <w:right w:val="single" w:sz="4" w:space="0" w:color="auto"/>
            </w:tcBorders>
            <w:shd w:val="clear" w:color="auto" w:fill="E1FFFF"/>
            <w:vAlign w:val="center"/>
            <w:hideMark/>
          </w:tcPr>
          <w:p w14:paraId="569F15D3" w14:textId="77777777" w:rsidR="00750E83" w:rsidRPr="00750E83" w:rsidRDefault="00750E83" w:rsidP="00750E83">
            <w:pPr>
              <w:jc w:val="right"/>
              <w:rPr>
                <w:rFonts w:ascii="Calibri" w:eastAsia="Times New Roman" w:hAnsi="Calibri" w:cs="Calibri"/>
                <w:b/>
                <w:bCs/>
                <w:color w:val="000000"/>
              </w:rPr>
            </w:pPr>
            <w:r w:rsidRPr="00750E83">
              <w:rPr>
                <w:rFonts w:ascii="Calibri" w:eastAsia="Times New Roman" w:hAnsi="Calibri" w:cs="Calibri"/>
                <w:b/>
                <w:bCs/>
                <w:color w:val="000000"/>
              </w:rPr>
              <w:t>FY 23</w:t>
            </w:r>
          </w:p>
        </w:tc>
      </w:tr>
      <w:tr w:rsidR="00750E83" w:rsidRPr="00750E83" w14:paraId="7C5B96E0"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336EB4BB" w14:textId="77777777" w:rsidR="00750E83" w:rsidRPr="00750E83" w:rsidRDefault="00750E83" w:rsidP="00750E83">
            <w:pPr>
              <w:rPr>
                <w:rFonts w:ascii="Calibri" w:eastAsia="Times New Roman" w:hAnsi="Calibri" w:cs="Calibri"/>
                <w:b/>
                <w:bCs/>
                <w:color w:val="000000"/>
              </w:rPr>
            </w:pPr>
            <w:r w:rsidRPr="00750E83">
              <w:rPr>
                <w:rFonts w:ascii="Calibri" w:eastAsia="Times New Roman" w:hAnsi="Calibri" w:cs="Calibri"/>
                <w:b/>
                <w:bCs/>
                <w:color w:val="000000"/>
              </w:rPr>
              <w:t>Gender</w:t>
            </w:r>
          </w:p>
        </w:tc>
        <w:tc>
          <w:tcPr>
            <w:tcW w:w="1327" w:type="dxa"/>
            <w:tcBorders>
              <w:top w:val="nil"/>
              <w:left w:val="nil"/>
              <w:bottom w:val="single" w:sz="4" w:space="0" w:color="auto"/>
              <w:right w:val="single" w:sz="4" w:space="0" w:color="auto"/>
            </w:tcBorders>
            <w:shd w:val="clear" w:color="auto" w:fill="auto"/>
            <w:noWrap/>
            <w:vAlign w:val="center"/>
            <w:hideMark/>
          </w:tcPr>
          <w:p w14:paraId="39184B31"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327" w:type="dxa"/>
            <w:tcBorders>
              <w:top w:val="nil"/>
              <w:left w:val="nil"/>
              <w:bottom w:val="single" w:sz="4" w:space="0" w:color="auto"/>
              <w:right w:val="single" w:sz="4" w:space="0" w:color="auto"/>
            </w:tcBorders>
            <w:shd w:val="clear" w:color="auto" w:fill="auto"/>
            <w:noWrap/>
            <w:vAlign w:val="center"/>
            <w:hideMark/>
          </w:tcPr>
          <w:p w14:paraId="740967CC"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27DFE483"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534E428A"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46F84C06"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60B7FB0C"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Female</w:t>
            </w:r>
          </w:p>
        </w:tc>
        <w:tc>
          <w:tcPr>
            <w:tcW w:w="1327" w:type="dxa"/>
            <w:tcBorders>
              <w:top w:val="nil"/>
              <w:left w:val="nil"/>
              <w:bottom w:val="single" w:sz="4" w:space="0" w:color="auto"/>
              <w:right w:val="single" w:sz="4" w:space="0" w:color="auto"/>
            </w:tcBorders>
            <w:shd w:val="clear" w:color="auto" w:fill="auto"/>
            <w:noWrap/>
            <w:vAlign w:val="center"/>
            <w:hideMark/>
          </w:tcPr>
          <w:p w14:paraId="0D26D5F3"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56%</w:t>
            </w:r>
          </w:p>
        </w:tc>
        <w:tc>
          <w:tcPr>
            <w:tcW w:w="1327" w:type="dxa"/>
            <w:tcBorders>
              <w:top w:val="nil"/>
              <w:left w:val="nil"/>
              <w:bottom w:val="single" w:sz="4" w:space="0" w:color="auto"/>
              <w:right w:val="single" w:sz="4" w:space="0" w:color="auto"/>
            </w:tcBorders>
            <w:shd w:val="clear" w:color="auto" w:fill="auto"/>
            <w:noWrap/>
            <w:vAlign w:val="center"/>
            <w:hideMark/>
          </w:tcPr>
          <w:p w14:paraId="25EA95E8"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56%</w:t>
            </w:r>
          </w:p>
        </w:tc>
        <w:tc>
          <w:tcPr>
            <w:tcW w:w="1101" w:type="dxa"/>
            <w:tcBorders>
              <w:top w:val="nil"/>
              <w:left w:val="nil"/>
              <w:bottom w:val="single" w:sz="4" w:space="0" w:color="auto"/>
              <w:right w:val="single" w:sz="4" w:space="0" w:color="auto"/>
            </w:tcBorders>
            <w:shd w:val="clear" w:color="auto" w:fill="auto"/>
            <w:noWrap/>
            <w:vAlign w:val="bottom"/>
            <w:hideMark/>
          </w:tcPr>
          <w:p w14:paraId="3385BBD3" w14:textId="77777777" w:rsidR="00750E83" w:rsidRPr="00750E83" w:rsidRDefault="00750E83" w:rsidP="00750E83">
            <w:pPr>
              <w:jc w:val="right"/>
              <w:rPr>
                <w:rFonts w:ascii="Aptos Narrow" w:eastAsia="Times New Roman" w:hAnsi="Aptos Narrow" w:cs="Times New Roman"/>
                <w:color w:val="000000"/>
                <w:sz w:val="22"/>
                <w:szCs w:val="22"/>
              </w:rPr>
            </w:pPr>
            <w:r w:rsidRPr="00750E83">
              <w:rPr>
                <w:rFonts w:ascii="Aptos Narrow" w:eastAsia="Times New Roman" w:hAnsi="Aptos Narrow" w:cs="Times New Roman"/>
                <w:color w:val="000000"/>
                <w:sz w:val="22"/>
                <w:szCs w:val="22"/>
              </w:rPr>
              <w:t>61%</w:t>
            </w:r>
          </w:p>
        </w:tc>
        <w:tc>
          <w:tcPr>
            <w:tcW w:w="1101" w:type="dxa"/>
            <w:tcBorders>
              <w:top w:val="nil"/>
              <w:left w:val="nil"/>
              <w:bottom w:val="single" w:sz="4" w:space="0" w:color="auto"/>
              <w:right w:val="single" w:sz="4" w:space="0" w:color="auto"/>
            </w:tcBorders>
            <w:shd w:val="clear" w:color="auto" w:fill="auto"/>
            <w:vAlign w:val="center"/>
            <w:hideMark/>
          </w:tcPr>
          <w:p w14:paraId="2C835FA0"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62%</w:t>
            </w:r>
          </w:p>
        </w:tc>
      </w:tr>
      <w:tr w:rsidR="00750E83" w:rsidRPr="00750E83" w14:paraId="31399FD1"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3E896649"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Male</w:t>
            </w:r>
          </w:p>
        </w:tc>
        <w:tc>
          <w:tcPr>
            <w:tcW w:w="1327" w:type="dxa"/>
            <w:tcBorders>
              <w:top w:val="nil"/>
              <w:left w:val="nil"/>
              <w:bottom w:val="single" w:sz="4" w:space="0" w:color="auto"/>
              <w:right w:val="single" w:sz="4" w:space="0" w:color="auto"/>
            </w:tcBorders>
            <w:shd w:val="clear" w:color="auto" w:fill="auto"/>
            <w:noWrap/>
            <w:vAlign w:val="center"/>
            <w:hideMark/>
          </w:tcPr>
          <w:p w14:paraId="3825CBC5"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44%</w:t>
            </w:r>
          </w:p>
        </w:tc>
        <w:tc>
          <w:tcPr>
            <w:tcW w:w="1327" w:type="dxa"/>
            <w:tcBorders>
              <w:top w:val="nil"/>
              <w:left w:val="nil"/>
              <w:bottom w:val="single" w:sz="4" w:space="0" w:color="auto"/>
              <w:right w:val="single" w:sz="4" w:space="0" w:color="auto"/>
            </w:tcBorders>
            <w:shd w:val="clear" w:color="auto" w:fill="auto"/>
            <w:noWrap/>
            <w:vAlign w:val="center"/>
            <w:hideMark/>
          </w:tcPr>
          <w:p w14:paraId="1D0728D3"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44%</w:t>
            </w:r>
          </w:p>
        </w:tc>
        <w:tc>
          <w:tcPr>
            <w:tcW w:w="1101" w:type="dxa"/>
            <w:tcBorders>
              <w:top w:val="nil"/>
              <w:left w:val="nil"/>
              <w:bottom w:val="single" w:sz="4" w:space="0" w:color="auto"/>
              <w:right w:val="single" w:sz="4" w:space="0" w:color="auto"/>
            </w:tcBorders>
            <w:shd w:val="clear" w:color="auto" w:fill="auto"/>
            <w:noWrap/>
            <w:vAlign w:val="bottom"/>
            <w:hideMark/>
          </w:tcPr>
          <w:p w14:paraId="36B5DB7A" w14:textId="77777777" w:rsidR="00750E83" w:rsidRPr="00750E83" w:rsidRDefault="00750E83" w:rsidP="00750E83">
            <w:pPr>
              <w:jc w:val="right"/>
              <w:rPr>
                <w:rFonts w:ascii="Aptos Narrow" w:eastAsia="Times New Roman" w:hAnsi="Aptos Narrow" w:cs="Times New Roman"/>
                <w:color w:val="000000"/>
                <w:sz w:val="22"/>
                <w:szCs w:val="22"/>
              </w:rPr>
            </w:pPr>
            <w:r w:rsidRPr="00750E83">
              <w:rPr>
                <w:rFonts w:ascii="Aptos Narrow" w:eastAsia="Times New Roman" w:hAnsi="Aptos Narrow" w:cs="Times New Roman"/>
                <w:color w:val="000000"/>
                <w:sz w:val="22"/>
                <w:szCs w:val="22"/>
              </w:rPr>
              <w:t>39%</w:t>
            </w:r>
          </w:p>
        </w:tc>
        <w:tc>
          <w:tcPr>
            <w:tcW w:w="1101" w:type="dxa"/>
            <w:tcBorders>
              <w:top w:val="nil"/>
              <w:left w:val="nil"/>
              <w:bottom w:val="single" w:sz="4" w:space="0" w:color="auto"/>
              <w:right w:val="single" w:sz="4" w:space="0" w:color="auto"/>
            </w:tcBorders>
            <w:shd w:val="clear" w:color="auto" w:fill="auto"/>
            <w:vAlign w:val="center"/>
            <w:hideMark/>
          </w:tcPr>
          <w:p w14:paraId="79B1B354"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38%</w:t>
            </w:r>
          </w:p>
        </w:tc>
      </w:tr>
      <w:tr w:rsidR="00750E83" w:rsidRPr="00750E83" w14:paraId="19DC3673"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0AB4E9F9"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Unknown</w:t>
            </w:r>
          </w:p>
        </w:tc>
        <w:tc>
          <w:tcPr>
            <w:tcW w:w="1327" w:type="dxa"/>
            <w:tcBorders>
              <w:top w:val="nil"/>
              <w:left w:val="nil"/>
              <w:bottom w:val="single" w:sz="4" w:space="0" w:color="auto"/>
              <w:right w:val="single" w:sz="4" w:space="0" w:color="auto"/>
            </w:tcBorders>
            <w:shd w:val="clear" w:color="auto" w:fill="auto"/>
            <w:noWrap/>
            <w:vAlign w:val="center"/>
            <w:hideMark/>
          </w:tcPr>
          <w:p w14:paraId="5980AF27"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0%</w:t>
            </w:r>
          </w:p>
        </w:tc>
        <w:tc>
          <w:tcPr>
            <w:tcW w:w="1327" w:type="dxa"/>
            <w:tcBorders>
              <w:top w:val="nil"/>
              <w:left w:val="nil"/>
              <w:bottom w:val="single" w:sz="4" w:space="0" w:color="auto"/>
              <w:right w:val="single" w:sz="4" w:space="0" w:color="auto"/>
            </w:tcBorders>
            <w:shd w:val="clear" w:color="auto" w:fill="auto"/>
            <w:noWrap/>
            <w:vAlign w:val="center"/>
            <w:hideMark/>
          </w:tcPr>
          <w:p w14:paraId="38CC3FC3"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0%</w:t>
            </w:r>
          </w:p>
        </w:tc>
        <w:tc>
          <w:tcPr>
            <w:tcW w:w="1101" w:type="dxa"/>
            <w:tcBorders>
              <w:top w:val="nil"/>
              <w:left w:val="nil"/>
              <w:bottom w:val="single" w:sz="4" w:space="0" w:color="auto"/>
              <w:right w:val="single" w:sz="4" w:space="0" w:color="auto"/>
            </w:tcBorders>
            <w:shd w:val="clear" w:color="auto" w:fill="auto"/>
            <w:vAlign w:val="center"/>
            <w:hideMark/>
          </w:tcPr>
          <w:p w14:paraId="0EB6F874" w14:textId="3F682C1E" w:rsidR="00750E83" w:rsidRPr="00750E83" w:rsidRDefault="00DE0916" w:rsidP="00750E83">
            <w:pPr>
              <w:jc w:val="right"/>
              <w:rPr>
                <w:rFonts w:ascii="Calibri" w:eastAsia="Times New Roman" w:hAnsi="Calibri" w:cs="Calibri"/>
                <w:color w:val="000000"/>
              </w:rPr>
            </w:pPr>
            <w:r>
              <w:rPr>
                <w:rFonts w:ascii="Calibri" w:eastAsia="Times New Roman" w:hAnsi="Calibri" w:cs="Calibri"/>
                <w:color w:val="000000"/>
              </w:rPr>
              <w:t>-</w:t>
            </w:r>
            <w:r w:rsidR="00750E83"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1C66411A" w14:textId="1A714E85" w:rsidR="00750E83" w:rsidRPr="00750E83" w:rsidRDefault="00DE0916" w:rsidP="00750E83">
            <w:pPr>
              <w:jc w:val="right"/>
              <w:rPr>
                <w:rFonts w:ascii="Calibri" w:eastAsia="Times New Roman" w:hAnsi="Calibri" w:cs="Calibri"/>
                <w:color w:val="000000"/>
              </w:rPr>
            </w:pPr>
            <w:r>
              <w:rPr>
                <w:rFonts w:ascii="Calibri" w:eastAsia="Times New Roman" w:hAnsi="Calibri" w:cs="Calibri"/>
                <w:color w:val="000000"/>
              </w:rPr>
              <w:t>-</w:t>
            </w:r>
            <w:r w:rsidR="00750E83" w:rsidRPr="00750E83">
              <w:rPr>
                <w:rFonts w:ascii="Calibri" w:eastAsia="Times New Roman" w:hAnsi="Calibri" w:cs="Calibri"/>
                <w:color w:val="000000"/>
              </w:rPr>
              <w:t> </w:t>
            </w:r>
          </w:p>
        </w:tc>
      </w:tr>
      <w:tr w:rsidR="00750E83" w:rsidRPr="00750E83" w14:paraId="0F570D1E"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30218F81" w14:textId="77777777" w:rsidR="00750E83" w:rsidRPr="00750E83" w:rsidRDefault="00750E83" w:rsidP="00750E83">
            <w:pPr>
              <w:rPr>
                <w:rFonts w:ascii="Calibri" w:eastAsia="Times New Roman" w:hAnsi="Calibri" w:cs="Calibri"/>
                <w:b/>
                <w:bCs/>
                <w:color w:val="000000"/>
              </w:rPr>
            </w:pPr>
            <w:r w:rsidRPr="00750E83">
              <w:rPr>
                <w:rFonts w:ascii="Calibri" w:eastAsia="Times New Roman" w:hAnsi="Calibri" w:cs="Calibri"/>
                <w:b/>
                <w:bCs/>
                <w:color w:val="000000"/>
              </w:rPr>
              <w:t>Age</w:t>
            </w:r>
          </w:p>
        </w:tc>
        <w:tc>
          <w:tcPr>
            <w:tcW w:w="1327" w:type="dxa"/>
            <w:tcBorders>
              <w:top w:val="nil"/>
              <w:left w:val="nil"/>
              <w:bottom w:val="single" w:sz="4" w:space="0" w:color="auto"/>
              <w:right w:val="single" w:sz="4" w:space="0" w:color="auto"/>
            </w:tcBorders>
            <w:shd w:val="clear" w:color="auto" w:fill="auto"/>
            <w:noWrap/>
            <w:vAlign w:val="center"/>
            <w:hideMark/>
          </w:tcPr>
          <w:p w14:paraId="128B0469"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327" w:type="dxa"/>
            <w:tcBorders>
              <w:top w:val="nil"/>
              <w:left w:val="nil"/>
              <w:bottom w:val="single" w:sz="4" w:space="0" w:color="auto"/>
              <w:right w:val="single" w:sz="4" w:space="0" w:color="auto"/>
            </w:tcBorders>
            <w:shd w:val="clear" w:color="auto" w:fill="auto"/>
            <w:noWrap/>
            <w:vAlign w:val="center"/>
            <w:hideMark/>
          </w:tcPr>
          <w:p w14:paraId="7A34DAA0"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noWrap/>
            <w:vAlign w:val="bottom"/>
            <w:hideMark/>
          </w:tcPr>
          <w:p w14:paraId="58B42BF4" w14:textId="77777777" w:rsidR="00750E83" w:rsidRPr="00750E83" w:rsidRDefault="00750E83" w:rsidP="00750E83">
            <w:pPr>
              <w:rPr>
                <w:rFonts w:ascii="Aptos Narrow" w:eastAsia="Times New Roman" w:hAnsi="Aptos Narrow" w:cs="Times New Roman"/>
                <w:color w:val="000000"/>
                <w:sz w:val="22"/>
                <w:szCs w:val="22"/>
              </w:rPr>
            </w:pPr>
            <w:r w:rsidRPr="00750E83">
              <w:rPr>
                <w:rFonts w:ascii="Aptos Narrow" w:eastAsia="Times New Roman" w:hAnsi="Aptos Narrow" w:cs="Times New Roman"/>
                <w:color w:val="000000"/>
                <w:sz w:val="22"/>
                <w:szCs w:val="22"/>
              </w:rPr>
              <w:t> </w:t>
            </w:r>
          </w:p>
        </w:tc>
        <w:tc>
          <w:tcPr>
            <w:tcW w:w="1101" w:type="dxa"/>
            <w:tcBorders>
              <w:top w:val="nil"/>
              <w:left w:val="nil"/>
              <w:bottom w:val="single" w:sz="4" w:space="0" w:color="auto"/>
              <w:right w:val="single" w:sz="4" w:space="0" w:color="auto"/>
            </w:tcBorders>
            <w:shd w:val="clear" w:color="auto" w:fill="auto"/>
            <w:noWrap/>
            <w:vAlign w:val="bottom"/>
            <w:hideMark/>
          </w:tcPr>
          <w:p w14:paraId="130704FD" w14:textId="77777777" w:rsidR="00750E83" w:rsidRPr="00750E83" w:rsidRDefault="00750E83" w:rsidP="00750E83">
            <w:pPr>
              <w:rPr>
                <w:rFonts w:ascii="Aptos Narrow" w:eastAsia="Times New Roman" w:hAnsi="Aptos Narrow" w:cs="Times New Roman"/>
                <w:color w:val="000000"/>
                <w:sz w:val="22"/>
                <w:szCs w:val="22"/>
              </w:rPr>
            </w:pPr>
            <w:r w:rsidRPr="00750E83">
              <w:rPr>
                <w:rFonts w:ascii="Aptos Narrow" w:eastAsia="Times New Roman" w:hAnsi="Aptos Narrow" w:cs="Times New Roman"/>
                <w:color w:val="000000"/>
                <w:sz w:val="22"/>
                <w:szCs w:val="22"/>
              </w:rPr>
              <w:t> </w:t>
            </w:r>
          </w:p>
        </w:tc>
      </w:tr>
      <w:tr w:rsidR="00750E83" w:rsidRPr="00750E83" w14:paraId="71B6DA67"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199EFC03"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0-17</w:t>
            </w:r>
          </w:p>
        </w:tc>
        <w:tc>
          <w:tcPr>
            <w:tcW w:w="1327" w:type="dxa"/>
            <w:tcBorders>
              <w:top w:val="nil"/>
              <w:left w:val="nil"/>
              <w:bottom w:val="single" w:sz="4" w:space="0" w:color="auto"/>
              <w:right w:val="single" w:sz="4" w:space="0" w:color="auto"/>
            </w:tcBorders>
            <w:shd w:val="clear" w:color="auto" w:fill="auto"/>
            <w:noWrap/>
            <w:vAlign w:val="bottom"/>
            <w:hideMark/>
          </w:tcPr>
          <w:p w14:paraId="0336B6D7"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12%</w:t>
            </w:r>
          </w:p>
        </w:tc>
        <w:tc>
          <w:tcPr>
            <w:tcW w:w="1327" w:type="dxa"/>
            <w:tcBorders>
              <w:top w:val="nil"/>
              <w:left w:val="nil"/>
              <w:bottom w:val="single" w:sz="4" w:space="0" w:color="auto"/>
              <w:right w:val="single" w:sz="4" w:space="0" w:color="auto"/>
            </w:tcBorders>
            <w:shd w:val="clear" w:color="auto" w:fill="auto"/>
            <w:noWrap/>
            <w:vAlign w:val="bottom"/>
            <w:hideMark/>
          </w:tcPr>
          <w:p w14:paraId="65110EF9"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13%</w:t>
            </w:r>
          </w:p>
        </w:tc>
        <w:tc>
          <w:tcPr>
            <w:tcW w:w="1101" w:type="dxa"/>
            <w:tcBorders>
              <w:top w:val="nil"/>
              <w:left w:val="nil"/>
              <w:bottom w:val="single" w:sz="4" w:space="0" w:color="auto"/>
              <w:right w:val="single" w:sz="4" w:space="0" w:color="auto"/>
            </w:tcBorders>
            <w:shd w:val="clear" w:color="auto" w:fill="auto"/>
            <w:vAlign w:val="center"/>
            <w:hideMark/>
          </w:tcPr>
          <w:p w14:paraId="5A78617E"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101" w:type="dxa"/>
            <w:tcBorders>
              <w:top w:val="nil"/>
              <w:left w:val="nil"/>
              <w:bottom w:val="single" w:sz="4" w:space="0" w:color="auto"/>
              <w:right w:val="single" w:sz="4" w:space="0" w:color="auto"/>
            </w:tcBorders>
            <w:shd w:val="clear" w:color="auto" w:fill="auto"/>
            <w:vAlign w:val="center"/>
            <w:hideMark/>
          </w:tcPr>
          <w:p w14:paraId="5740F2FE"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1%</w:t>
            </w:r>
          </w:p>
        </w:tc>
      </w:tr>
      <w:tr w:rsidR="00750E83" w:rsidRPr="00750E83" w14:paraId="12270ACB" w14:textId="77777777" w:rsidTr="00FE143B">
        <w:trPr>
          <w:cantSplit/>
          <w:trHeight w:val="310"/>
          <w:jc w:val="center"/>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5A359"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18-64</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83F9D"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62%</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D18F1"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62%</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2A426"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69%</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03466"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73%</w:t>
            </w:r>
          </w:p>
        </w:tc>
      </w:tr>
      <w:tr w:rsidR="00750E83" w:rsidRPr="00750E83" w14:paraId="3BB91CD8" w14:textId="77777777" w:rsidTr="00FE143B">
        <w:trPr>
          <w:cantSplit/>
          <w:trHeight w:val="310"/>
          <w:jc w:val="center"/>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5CA23"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65+</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14:paraId="6AB889FD"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26%</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14:paraId="449290B1"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25%</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45C5B1B7"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29%</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4C3F8409"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26%</w:t>
            </w:r>
          </w:p>
        </w:tc>
      </w:tr>
      <w:tr w:rsidR="00750E83" w:rsidRPr="00750E83" w14:paraId="34258490"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47946090"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lastRenderedPageBreak/>
              <w:t>Unknown</w:t>
            </w:r>
          </w:p>
        </w:tc>
        <w:tc>
          <w:tcPr>
            <w:tcW w:w="1327" w:type="dxa"/>
            <w:tcBorders>
              <w:top w:val="nil"/>
              <w:left w:val="nil"/>
              <w:bottom w:val="single" w:sz="4" w:space="0" w:color="auto"/>
              <w:right w:val="single" w:sz="4" w:space="0" w:color="auto"/>
            </w:tcBorders>
            <w:shd w:val="clear" w:color="auto" w:fill="auto"/>
            <w:noWrap/>
            <w:vAlign w:val="bottom"/>
            <w:hideMark/>
          </w:tcPr>
          <w:p w14:paraId="224942D7"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0%</w:t>
            </w:r>
          </w:p>
        </w:tc>
        <w:tc>
          <w:tcPr>
            <w:tcW w:w="1327" w:type="dxa"/>
            <w:tcBorders>
              <w:top w:val="nil"/>
              <w:left w:val="nil"/>
              <w:bottom w:val="single" w:sz="4" w:space="0" w:color="auto"/>
              <w:right w:val="single" w:sz="4" w:space="0" w:color="auto"/>
            </w:tcBorders>
            <w:shd w:val="clear" w:color="auto" w:fill="auto"/>
            <w:noWrap/>
            <w:vAlign w:val="bottom"/>
            <w:hideMark/>
          </w:tcPr>
          <w:p w14:paraId="6F95F35E"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0%</w:t>
            </w:r>
          </w:p>
        </w:tc>
        <w:tc>
          <w:tcPr>
            <w:tcW w:w="1101" w:type="dxa"/>
            <w:tcBorders>
              <w:top w:val="nil"/>
              <w:left w:val="nil"/>
              <w:bottom w:val="single" w:sz="4" w:space="0" w:color="auto"/>
              <w:right w:val="single" w:sz="4" w:space="0" w:color="auto"/>
            </w:tcBorders>
            <w:shd w:val="clear" w:color="auto" w:fill="auto"/>
            <w:vAlign w:val="center"/>
            <w:hideMark/>
          </w:tcPr>
          <w:p w14:paraId="66A63F01"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12CBEBE6"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40E137D4" w14:textId="77777777" w:rsidTr="00FE143B">
        <w:trPr>
          <w:cantSplit/>
          <w:trHeight w:val="62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1E5B5005" w14:textId="77777777" w:rsidR="00750E83" w:rsidRPr="00750E83" w:rsidRDefault="00750E83" w:rsidP="00750E83">
            <w:pPr>
              <w:rPr>
                <w:rFonts w:ascii="Calibri" w:eastAsia="Times New Roman" w:hAnsi="Calibri" w:cs="Calibri"/>
                <w:b/>
                <w:bCs/>
                <w:color w:val="000000"/>
              </w:rPr>
            </w:pPr>
            <w:r w:rsidRPr="00750E83">
              <w:rPr>
                <w:rFonts w:ascii="Calibri" w:eastAsia="Times New Roman" w:hAnsi="Calibri" w:cs="Calibri"/>
                <w:b/>
                <w:bCs/>
                <w:color w:val="000000"/>
              </w:rPr>
              <w:t>Race/Ethnicity*</w:t>
            </w:r>
          </w:p>
        </w:tc>
        <w:tc>
          <w:tcPr>
            <w:tcW w:w="1327" w:type="dxa"/>
            <w:tcBorders>
              <w:top w:val="nil"/>
              <w:left w:val="nil"/>
              <w:bottom w:val="single" w:sz="4" w:space="0" w:color="auto"/>
              <w:right w:val="single" w:sz="4" w:space="0" w:color="auto"/>
            </w:tcBorders>
            <w:shd w:val="clear" w:color="auto" w:fill="auto"/>
            <w:noWrap/>
            <w:vAlign w:val="center"/>
            <w:hideMark/>
          </w:tcPr>
          <w:p w14:paraId="3019A323"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327" w:type="dxa"/>
            <w:tcBorders>
              <w:top w:val="nil"/>
              <w:left w:val="nil"/>
              <w:bottom w:val="single" w:sz="4" w:space="0" w:color="auto"/>
              <w:right w:val="single" w:sz="4" w:space="0" w:color="auto"/>
            </w:tcBorders>
            <w:shd w:val="clear" w:color="auto" w:fill="auto"/>
            <w:noWrap/>
            <w:vAlign w:val="center"/>
            <w:hideMark/>
          </w:tcPr>
          <w:p w14:paraId="62944EF4"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6EA5CD4A"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not collected</w:t>
            </w:r>
          </w:p>
        </w:tc>
        <w:tc>
          <w:tcPr>
            <w:tcW w:w="1101" w:type="dxa"/>
            <w:tcBorders>
              <w:top w:val="nil"/>
              <w:left w:val="nil"/>
              <w:bottom w:val="single" w:sz="4" w:space="0" w:color="auto"/>
              <w:right w:val="single" w:sz="4" w:space="0" w:color="auto"/>
            </w:tcBorders>
            <w:shd w:val="clear" w:color="auto" w:fill="auto"/>
            <w:vAlign w:val="center"/>
            <w:hideMark/>
          </w:tcPr>
          <w:p w14:paraId="69C18A3D"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not collected</w:t>
            </w:r>
          </w:p>
        </w:tc>
      </w:tr>
      <w:tr w:rsidR="00750E83" w:rsidRPr="00750E83" w14:paraId="6F98B93B"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1B27888C"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White or Caucasian</w:t>
            </w:r>
          </w:p>
        </w:tc>
        <w:tc>
          <w:tcPr>
            <w:tcW w:w="1327" w:type="dxa"/>
            <w:tcBorders>
              <w:top w:val="nil"/>
              <w:left w:val="nil"/>
              <w:bottom w:val="single" w:sz="4" w:space="0" w:color="auto"/>
              <w:right w:val="single" w:sz="4" w:space="0" w:color="auto"/>
            </w:tcBorders>
            <w:shd w:val="clear" w:color="auto" w:fill="auto"/>
            <w:noWrap/>
            <w:vAlign w:val="center"/>
            <w:hideMark/>
          </w:tcPr>
          <w:p w14:paraId="56AE361B"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79%</w:t>
            </w:r>
          </w:p>
        </w:tc>
        <w:tc>
          <w:tcPr>
            <w:tcW w:w="1327" w:type="dxa"/>
            <w:tcBorders>
              <w:top w:val="nil"/>
              <w:left w:val="nil"/>
              <w:bottom w:val="single" w:sz="4" w:space="0" w:color="auto"/>
              <w:right w:val="single" w:sz="4" w:space="0" w:color="auto"/>
            </w:tcBorders>
            <w:shd w:val="clear" w:color="auto" w:fill="auto"/>
            <w:noWrap/>
            <w:vAlign w:val="center"/>
            <w:hideMark/>
          </w:tcPr>
          <w:p w14:paraId="745E7C14"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77%</w:t>
            </w:r>
          </w:p>
        </w:tc>
        <w:tc>
          <w:tcPr>
            <w:tcW w:w="1101" w:type="dxa"/>
            <w:tcBorders>
              <w:top w:val="nil"/>
              <w:left w:val="nil"/>
              <w:bottom w:val="single" w:sz="4" w:space="0" w:color="auto"/>
              <w:right w:val="single" w:sz="4" w:space="0" w:color="auto"/>
            </w:tcBorders>
            <w:shd w:val="clear" w:color="auto" w:fill="auto"/>
            <w:vAlign w:val="center"/>
            <w:hideMark/>
          </w:tcPr>
          <w:p w14:paraId="67CAF609"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704DB153"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250CE4E1"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510704D8" w14:textId="77777777" w:rsidR="00750E83" w:rsidRPr="00750E83" w:rsidRDefault="00750E83" w:rsidP="00750E83">
            <w:pPr>
              <w:rPr>
                <w:rFonts w:ascii="Calibri" w:eastAsia="Times New Roman" w:hAnsi="Calibri" w:cs="Calibri"/>
                <w:color w:val="000000"/>
              </w:rPr>
            </w:pPr>
            <w:bookmarkStart w:id="32" w:name="RANGE!A16"/>
            <w:r w:rsidRPr="00750E83">
              <w:rPr>
                <w:rFonts w:ascii="Calibri" w:eastAsia="Times New Roman" w:hAnsi="Calibri" w:cs="Calibri"/>
                <w:color w:val="000000"/>
              </w:rPr>
              <w:t>Black or African American</w:t>
            </w:r>
            <w:bookmarkEnd w:id="32"/>
          </w:p>
        </w:tc>
        <w:tc>
          <w:tcPr>
            <w:tcW w:w="1327" w:type="dxa"/>
            <w:tcBorders>
              <w:top w:val="nil"/>
              <w:left w:val="nil"/>
              <w:bottom w:val="single" w:sz="4" w:space="0" w:color="auto"/>
              <w:right w:val="single" w:sz="4" w:space="0" w:color="auto"/>
            </w:tcBorders>
            <w:shd w:val="clear" w:color="auto" w:fill="auto"/>
            <w:noWrap/>
            <w:vAlign w:val="center"/>
            <w:hideMark/>
          </w:tcPr>
          <w:p w14:paraId="1551A86A"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5%</w:t>
            </w:r>
          </w:p>
        </w:tc>
        <w:tc>
          <w:tcPr>
            <w:tcW w:w="1327" w:type="dxa"/>
            <w:tcBorders>
              <w:top w:val="nil"/>
              <w:left w:val="nil"/>
              <w:bottom w:val="single" w:sz="4" w:space="0" w:color="auto"/>
              <w:right w:val="single" w:sz="4" w:space="0" w:color="auto"/>
            </w:tcBorders>
            <w:shd w:val="clear" w:color="auto" w:fill="auto"/>
            <w:noWrap/>
            <w:vAlign w:val="center"/>
            <w:hideMark/>
          </w:tcPr>
          <w:p w14:paraId="78B6AB18"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5%</w:t>
            </w:r>
          </w:p>
        </w:tc>
        <w:tc>
          <w:tcPr>
            <w:tcW w:w="1101" w:type="dxa"/>
            <w:tcBorders>
              <w:top w:val="nil"/>
              <w:left w:val="nil"/>
              <w:bottom w:val="single" w:sz="4" w:space="0" w:color="auto"/>
              <w:right w:val="single" w:sz="4" w:space="0" w:color="auto"/>
            </w:tcBorders>
            <w:shd w:val="clear" w:color="auto" w:fill="auto"/>
            <w:vAlign w:val="center"/>
            <w:hideMark/>
          </w:tcPr>
          <w:p w14:paraId="12CEA797"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1D0006AD"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44D42D40"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7AB550E5"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My race is not listed</w:t>
            </w:r>
          </w:p>
        </w:tc>
        <w:tc>
          <w:tcPr>
            <w:tcW w:w="1327" w:type="dxa"/>
            <w:tcBorders>
              <w:top w:val="nil"/>
              <w:left w:val="nil"/>
              <w:bottom w:val="single" w:sz="4" w:space="0" w:color="auto"/>
              <w:right w:val="single" w:sz="4" w:space="0" w:color="auto"/>
            </w:tcBorders>
            <w:shd w:val="clear" w:color="auto" w:fill="auto"/>
            <w:noWrap/>
            <w:vAlign w:val="center"/>
            <w:hideMark/>
          </w:tcPr>
          <w:p w14:paraId="18ED5422"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5%</w:t>
            </w:r>
          </w:p>
        </w:tc>
        <w:tc>
          <w:tcPr>
            <w:tcW w:w="1327" w:type="dxa"/>
            <w:tcBorders>
              <w:top w:val="nil"/>
              <w:left w:val="nil"/>
              <w:bottom w:val="single" w:sz="4" w:space="0" w:color="auto"/>
              <w:right w:val="single" w:sz="4" w:space="0" w:color="auto"/>
            </w:tcBorders>
            <w:shd w:val="clear" w:color="auto" w:fill="auto"/>
            <w:noWrap/>
            <w:vAlign w:val="center"/>
            <w:hideMark/>
          </w:tcPr>
          <w:p w14:paraId="63C16867"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5%</w:t>
            </w:r>
          </w:p>
        </w:tc>
        <w:tc>
          <w:tcPr>
            <w:tcW w:w="1101" w:type="dxa"/>
            <w:tcBorders>
              <w:top w:val="nil"/>
              <w:left w:val="nil"/>
              <w:bottom w:val="single" w:sz="4" w:space="0" w:color="auto"/>
              <w:right w:val="single" w:sz="4" w:space="0" w:color="auto"/>
            </w:tcBorders>
            <w:shd w:val="clear" w:color="auto" w:fill="auto"/>
            <w:vAlign w:val="center"/>
            <w:hideMark/>
          </w:tcPr>
          <w:p w14:paraId="0DCF1F46"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5DEF6A77"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1DA22B21"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1AD8B7CF"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Hispanic</w:t>
            </w:r>
          </w:p>
        </w:tc>
        <w:tc>
          <w:tcPr>
            <w:tcW w:w="1327" w:type="dxa"/>
            <w:tcBorders>
              <w:top w:val="nil"/>
              <w:left w:val="nil"/>
              <w:bottom w:val="single" w:sz="4" w:space="0" w:color="auto"/>
              <w:right w:val="single" w:sz="4" w:space="0" w:color="auto"/>
            </w:tcBorders>
            <w:shd w:val="clear" w:color="auto" w:fill="auto"/>
            <w:noWrap/>
            <w:vAlign w:val="center"/>
            <w:hideMark/>
          </w:tcPr>
          <w:p w14:paraId="07104596"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5%</w:t>
            </w:r>
          </w:p>
        </w:tc>
        <w:tc>
          <w:tcPr>
            <w:tcW w:w="1327" w:type="dxa"/>
            <w:tcBorders>
              <w:top w:val="nil"/>
              <w:left w:val="nil"/>
              <w:bottom w:val="single" w:sz="4" w:space="0" w:color="auto"/>
              <w:right w:val="single" w:sz="4" w:space="0" w:color="auto"/>
            </w:tcBorders>
            <w:shd w:val="clear" w:color="auto" w:fill="auto"/>
            <w:noWrap/>
            <w:vAlign w:val="center"/>
            <w:hideMark/>
          </w:tcPr>
          <w:p w14:paraId="164A469D"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4%</w:t>
            </w:r>
          </w:p>
        </w:tc>
        <w:tc>
          <w:tcPr>
            <w:tcW w:w="1101" w:type="dxa"/>
            <w:tcBorders>
              <w:top w:val="nil"/>
              <w:left w:val="nil"/>
              <w:bottom w:val="single" w:sz="4" w:space="0" w:color="auto"/>
              <w:right w:val="single" w:sz="4" w:space="0" w:color="auto"/>
            </w:tcBorders>
            <w:shd w:val="clear" w:color="auto" w:fill="auto"/>
            <w:vAlign w:val="center"/>
            <w:hideMark/>
          </w:tcPr>
          <w:p w14:paraId="3A83B493"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69B34670"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15FDCC44"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715D4ECD"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N/A</w:t>
            </w:r>
          </w:p>
        </w:tc>
        <w:tc>
          <w:tcPr>
            <w:tcW w:w="1327" w:type="dxa"/>
            <w:tcBorders>
              <w:top w:val="nil"/>
              <w:left w:val="nil"/>
              <w:bottom w:val="single" w:sz="4" w:space="0" w:color="auto"/>
              <w:right w:val="single" w:sz="4" w:space="0" w:color="auto"/>
            </w:tcBorders>
            <w:shd w:val="clear" w:color="auto" w:fill="auto"/>
            <w:noWrap/>
            <w:vAlign w:val="center"/>
            <w:hideMark/>
          </w:tcPr>
          <w:p w14:paraId="23A5090F"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4%</w:t>
            </w:r>
          </w:p>
        </w:tc>
        <w:tc>
          <w:tcPr>
            <w:tcW w:w="1327" w:type="dxa"/>
            <w:tcBorders>
              <w:top w:val="nil"/>
              <w:left w:val="nil"/>
              <w:bottom w:val="single" w:sz="4" w:space="0" w:color="auto"/>
              <w:right w:val="single" w:sz="4" w:space="0" w:color="auto"/>
            </w:tcBorders>
            <w:shd w:val="clear" w:color="auto" w:fill="auto"/>
            <w:noWrap/>
            <w:vAlign w:val="center"/>
            <w:hideMark/>
          </w:tcPr>
          <w:p w14:paraId="0D593E39"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5%</w:t>
            </w:r>
          </w:p>
        </w:tc>
        <w:tc>
          <w:tcPr>
            <w:tcW w:w="1101" w:type="dxa"/>
            <w:tcBorders>
              <w:top w:val="nil"/>
              <w:left w:val="nil"/>
              <w:bottom w:val="single" w:sz="4" w:space="0" w:color="auto"/>
              <w:right w:val="single" w:sz="4" w:space="0" w:color="auto"/>
            </w:tcBorders>
            <w:shd w:val="clear" w:color="auto" w:fill="auto"/>
            <w:vAlign w:val="center"/>
            <w:hideMark/>
          </w:tcPr>
          <w:p w14:paraId="33B4C5E8"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39192DC6"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0DF17356"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4491FD2F"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I don't know</w:t>
            </w:r>
          </w:p>
        </w:tc>
        <w:tc>
          <w:tcPr>
            <w:tcW w:w="1327" w:type="dxa"/>
            <w:tcBorders>
              <w:top w:val="nil"/>
              <w:left w:val="nil"/>
              <w:bottom w:val="single" w:sz="4" w:space="0" w:color="auto"/>
              <w:right w:val="single" w:sz="4" w:space="0" w:color="auto"/>
            </w:tcBorders>
            <w:shd w:val="clear" w:color="auto" w:fill="auto"/>
            <w:noWrap/>
            <w:vAlign w:val="center"/>
            <w:hideMark/>
          </w:tcPr>
          <w:p w14:paraId="2FAABB8F"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3%</w:t>
            </w:r>
          </w:p>
        </w:tc>
        <w:tc>
          <w:tcPr>
            <w:tcW w:w="1327" w:type="dxa"/>
            <w:tcBorders>
              <w:top w:val="nil"/>
              <w:left w:val="nil"/>
              <w:bottom w:val="single" w:sz="4" w:space="0" w:color="auto"/>
              <w:right w:val="single" w:sz="4" w:space="0" w:color="auto"/>
            </w:tcBorders>
            <w:shd w:val="clear" w:color="auto" w:fill="auto"/>
            <w:noWrap/>
            <w:vAlign w:val="center"/>
            <w:hideMark/>
          </w:tcPr>
          <w:p w14:paraId="43EA1B5D"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4%</w:t>
            </w:r>
          </w:p>
        </w:tc>
        <w:tc>
          <w:tcPr>
            <w:tcW w:w="1101" w:type="dxa"/>
            <w:tcBorders>
              <w:top w:val="nil"/>
              <w:left w:val="nil"/>
              <w:bottom w:val="single" w:sz="4" w:space="0" w:color="auto"/>
              <w:right w:val="single" w:sz="4" w:space="0" w:color="auto"/>
            </w:tcBorders>
            <w:shd w:val="clear" w:color="auto" w:fill="auto"/>
            <w:vAlign w:val="center"/>
            <w:hideMark/>
          </w:tcPr>
          <w:p w14:paraId="0728A464"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3D374F7E"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4E63ABBE"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02E26690"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I choose not to answer</w:t>
            </w:r>
          </w:p>
        </w:tc>
        <w:tc>
          <w:tcPr>
            <w:tcW w:w="1327" w:type="dxa"/>
            <w:tcBorders>
              <w:top w:val="nil"/>
              <w:left w:val="nil"/>
              <w:bottom w:val="single" w:sz="4" w:space="0" w:color="auto"/>
              <w:right w:val="single" w:sz="4" w:space="0" w:color="auto"/>
            </w:tcBorders>
            <w:shd w:val="clear" w:color="auto" w:fill="auto"/>
            <w:noWrap/>
            <w:vAlign w:val="center"/>
            <w:hideMark/>
          </w:tcPr>
          <w:p w14:paraId="42855E41"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327" w:type="dxa"/>
            <w:tcBorders>
              <w:top w:val="nil"/>
              <w:left w:val="nil"/>
              <w:bottom w:val="single" w:sz="4" w:space="0" w:color="auto"/>
              <w:right w:val="single" w:sz="4" w:space="0" w:color="auto"/>
            </w:tcBorders>
            <w:shd w:val="clear" w:color="auto" w:fill="auto"/>
            <w:noWrap/>
            <w:vAlign w:val="center"/>
            <w:hideMark/>
          </w:tcPr>
          <w:p w14:paraId="117DC972"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101" w:type="dxa"/>
            <w:tcBorders>
              <w:top w:val="nil"/>
              <w:left w:val="nil"/>
              <w:bottom w:val="single" w:sz="4" w:space="0" w:color="auto"/>
              <w:right w:val="single" w:sz="4" w:space="0" w:color="auto"/>
            </w:tcBorders>
            <w:shd w:val="clear" w:color="auto" w:fill="auto"/>
            <w:vAlign w:val="center"/>
            <w:hideMark/>
          </w:tcPr>
          <w:p w14:paraId="21A5DF20"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736D97C1"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592A594C"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60C06FC3"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Asian</w:t>
            </w:r>
          </w:p>
        </w:tc>
        <w:tc>
          <w:tcPr>
            <w:tcW w:w="1327" w:type="dxa"/>
            <w:tcBorders>
              <w:top w:val="nil"/>
              <w:left w:val="nil"/>
              <w:bottom w:val="single" w:sz="4" w:space="0" w:color="auto"/>
              <w:right w:val="single" w:sz="4" w:space="0" w:color="auto"/>
            </w:tcBorders>
            <w:shd w:val="clear" w:color="auto" w:fill="auto"/>
            <w:noWrap/>
            <w:vAlign w:val="center"/>
            <w:hideMark/>
          </w:tcPr>
          <w:p w14:paraId="518C8094"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1%</w:t>
            </w:r>
          </w:p>
        </w:tc>
        <w:tc>
          <w:tcPr>
            <w:tcW w:w="1327" w:type="dxa"/>
            <w:tcBorders>
              <w:top w:val="nil"/>
              <w:left w:val="nil"/>
              <w:bottom w:val="single" w:sz="4" w:space="0" w:color="auto"/>
              <w:right w:val="single" w:sz="4" w:space="0" w:color="auto"/>
            </w:tcBorders>
            <w:shd w:val="clear" w:color="auto" w:fill="auto"/>
            <w:noWrap/>
            <w:vAlign w:val="center"/>
            <w:hideMark/>
          </w:tcPr>
          <w:p w14:paraId="162D8775"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1%</w:t>
            </w:r>
          </w:p>
        </w:tc>
        <w:tc>
          <w:tcPr>
            <w:tcW w:w="1101" w:type="dxa"/>
            <w:tcBorders>
              <w:top w:val="nil"/>
              <w:left w:val="nil"/>
              <w:bottom w:val="single" w:sz="4" w:space="0" w:color="auto"/>
              <w:right w:val="single" w:sz="4" w:space="0" w:color="auto"/>
            </w:tcBorders>
            <w:shd w:val="clear" w:color="auto" w:fill="auto"/>
            <w:vAlign w:val="center"/>
            <w:hideMark/>
          </w:tcPr>
          <w:p w14:paraId="6BB2573D"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33C9A0CB"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4923BA90"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48B09260"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xml:space="preserve">American Indian </w:t>
            </w:r>
          </w:p>
        </w:tc>
        <w:tc>
          <w:tcPr>
            <w:tcW w:w="1327" w:type="dxa"/>
            <w:tcBorders>
              <w:top w:val="nil"/>
              <w:left w:val="nil"/>
              <w:bottom w:val="single" w:sz="4" w:space="0" w:color="auto"/>
              <w:right w:val="single" w:sz="4" w:space="0" w:color="auto"/>
            </w:tcBorders>
            <w:shd w:val="clear" w:color="auto" w:fill="auto"/>
            <w:noWrap/>
            <w:vAlign w:val="center"/>
            <w:hideMark/>
          </w:tcPr>
          <w:p w14:paraId="38EC3794"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&lt;1%</w:t>
            </w:r>
          </w:p>
        </w:tc>
        <w:tc>
          <w:tcPr>
            <w:tcW w:w="1327" w:type="dxa"/>
            <w:tcBorders>
              <w:top w:val="nil"/>
              <w:left w:val="nil"/>
              <w:bottom w:val="single" w:sz="4" w:space="0" w:color="auto"/>
              <w:right w:val="single" w:sz="4" w:space="0" w:color="auto"/>
            </w:tcBorders>
            <w:shd w:val="clear" w:color="auto" w:fill="auto"/>
            <w:noWrap/>
            <w:vAlign w:val="center"/>
            <w:hideMark/>
          </w:tcPr>
          <w:p w14:paraId="591D0646"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&lt;1%</w:t>
            </w:r>
          </w:p>
        </w:tc>
        <w:tc>
          <w:tcPr>
            <w:tcW w:w="1101" w:type="dxa"/>
            <w:tcBorders>
              <w:top w:val="nil"/>
              <w:left w:val="nil"/>
              <w:bottom w:val="single" w:sz="4" w:space="0" w:color="auto"/>
              <w:right w:val="single" w:sz="4" w:space="0" w:color="auto"/>
            </w:tcBorders>
            <w:shd w:val="clear" w:color="auto" w:fill="auto"/>
            <w:vAlign w:val="center"/>
            <w:hideMark/>
          </w:tcPr>
          <w:p w14:paraId="49869FA5" w14:textId="77777777" w:rsidR="00750E83" w:rsidRPr="00750E83" w:rsidRDefault="00750E83" w:rsidP="00750E83">
            <w:pPr>
              <w:jc w:val="right"/>
              <w:rPr>
                <w:rFonts w:ascii="Calibri" w:eastAsia="Times New Roman" w:hAnsi="Calibri" w:cs="Calibri"/>
                <w:b/>
                <w:bCs/>
                <w:color w:val="000000"/>
              </w:rPr>
            </w:pPr>
            <w:r w:rsidRPr="00750E83">
              <w:rPr>
                <w:rFonts w:ascii="Calibri" w:eastAsia="Times New Roman" w:hAnsi="Calibri" w:cs="Calibri"/>
                <w:b/>
                <w:bCs/>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4CA74C37" w14:textId="77777777" w:rsidR="00750E83" w:rsidRPr="00750E83" w:rsidRDefault="00750E83" w:rsidP="00750E83">
            <w:pPr>
              <w:jc w:val="right"/>
              <w:rPr>
                <w:rFonts w:ascii="Calibri" w:eastAsia="Times New Roman" w:hAnsi="Calibri" w:cs="Calibri"/>
                <w:b/>
                <w:bCs/>
                <w:color w:val="000000"/>
              </w:rPr>
            </w:pPr>
            <w:r w:rsidRPr="00750E83">
              <w:rPr>
                <w:rFonts w:ascii="Calibri" w:eastAsia="Times New Roman" w:hAnsi="Calibri" w:cs="Calibri"/>
                <w:b/>
                <w:bCs/>
                <w:color w:val="000000"/>
              </w:rPr>
              <w:t> </w:t>
            </w:r>
          </w:p>
        </w:tc>
      </w:tr>
      <w:tr w:rsidR="00750E83" w:rsidRPr="00750E83" w14:paraId="5F1C15DB"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7AB90551"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xml:space="preserve">Native Hawaiian </w:t>
            </w:r>
          </w:p>
        </w:tc>
        <w:tc>
          <w:tcPr>
            <w:tcW w:w="1327" w:type="dxa"/>
            <w:tcBorders>
              <w:top w:val="nil"/>
              <w:left w:val="nil"/>
              <w:bottom w:val="single" w:sz="4" w:space="0" w:color="auto"/>
              <w:right w:val="single" w:sz="4" w:space="0" w:color="auto"/>
            </w:tcBorders>
            <w:shd w:val="clear" w:color="auto" w:fill="auto"/>
            <w:noWrap/>
            <w:vAlign w:val="center"/>
            <w:hideMark/>
          </w:tcPr>
          <w:p w14:paraId="270E00EB"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&lt;1%</w:t>
            </w:r>
          </w:p>
        </w:tc>
        <w:tc>
          <w:tcPr>
            <w:tcW w:w="1327" w:type="dxa"/>
            <w:tcBorders>
              <w:top w:val="nil"/>
              <w:left w:val="nil"/>
              <w:bottom w:val="single" w:sz="4" w:space="0" w:color="auto"/>
              <w:right w:val="single" w:sz="4" w:space="0" w:color="auto"/>
            </w:tcBorders>
            <w:shd w:val="clear" w:color="auto" w:fill="auto"/>
            <w:noWrap/>
            <w:vAlign w:val="center"/>
            <w:hideMark/>
          </w:tcPr>
          <w:p w14:paraId="5F460106"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&lt;1%</w:t>
            </w:r>
          </w:p>
        </w:tc>
        <w:tc>
          <w:tcPr>
            <w:tcW w:w="1101" w:type="dxa"/>
            <w:tcBorders>
              <w:top w:val="nil"/>
              <w:left w:val="nil"/>
              <w:bottom w:val="single" w:sz="4" w:space="0" w:color="auto"/>
              <w:right w:val="single" w:sz="4" w:space="0" w:color="auto"/>
            </w:tcBorders>
            <w:shd w:val="clear" w:color="auto" w:fill="auto"/>
            <w:vAlign w:val="center"/>
            <w:hideMark/>
          </w:tcPr>
          <w:p w14:paraId="1BA2323A"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386D95E4"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37EA455B" w14:textId="77777777" w:rsidTr="00FE143B">
        <w:trPr>
          <w:cantSplit/>
          <w:trHeight w:val="62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537F5E14" w14:textId="77777777" w:rsidR="00750E83" w:rsidRPr="00750E83" w:rsidRDefault="00750E83" w:rsidP="00750E83">
            <w:pPr>
              <w:rPr>
                <w:rFonts w:ascii="Calibri" w:eastAsia="Times New Roman" w:hAnsi="Calibri" w:cs="Calibri"/>
                <w:b/>
                <w:bCs/>
                <w:color w:val="000000"/>
              </w:rPr>
            </w:pPr>
            <w:r w:rsidRPr="00750E83">
              <w:rPr>
                <w:rFonts w:ascii="Calibri" w:eastAsia="Times New Roman" w:hAnsi="Calibri" w:cs="Calibri"/>
                <w:b/>
                <w:bCs/>
                <w:color w:val="000000"/>
              </w:rPr>
              <w:t>Patient Origin</w:t>
            </w:r>
          </w:p>
        </w:tc>
        <w:tc>
          <w:tcPr>
            <w:tcW w:w="1327" w:type="dxa"/>
            <w:tcBorders>
              <w:top w:val="nil"/>
              <w:left w:val="nil"/>
              <w:bottom w:val="single" w:sz="4" w:space="0" w:color="auto"/>
              <w:right w:val="single" w:sz="4" w:space="0" w:color="auto"/>
            </w:tcBorders>
            <w:shd w:val="clear" w:color="auto" w:fill="auto"/>
            <w:noWrap/>
            <w:vAlign w:val="center"/>
            <w:hideMark/>
          </w:tcPr>
          <w:p w14:paraId="58491834"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327" w:type="dxa"/>
            <w:tcBorders>
              <w:top w:val="nil"/>
              <w:left w:val="nil"/>
              <w:bottom w:val="single" w:sz="4" w:space="0" w:color="auto"/>
              <w:right w:val="single" w:sz="4" w:space="0" w:color="auto"/>
            </w:tcBorders>
            <w:shd w:val="clear" w:color="auto" w:fill="auto"/>
            <w:noWrap/>
            <w:vAlign w:val="center"/>
            <w:hideMark/>
          </w:tcPr>
          <w:p w14:paraId="07327529"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35C55972"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not collected</w:t>
            </w:r>
          </w:p>
        </w:tc>
        <w:tc>
          <w:tcPr>
            <w:tcW w:w="1101" w:type="dxa"/>
            <w:tcBorders>
              <w:top w:val="nil"/>
              <w:left w:val="nil"/>
              <w:bottom w:val="single" w:sz="4" w:space="0" w:color="auto"/>
              <w:right w:val="single" w:sz="4" w:space="0" w:color="auto"/>
            </w:tcBorders>
            <w:shd w:val="clear" w:color="auto" w:fill="auto"/>
            <w:vAlign w:val="center"/>
            <w:hideMark/>
          </w:tcPr>
          <w:p w14:paraId="6F05430D"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not collected</w:t>
            </w:r>
          </w:p>
        </w:tc>
      </w:tr>
      <w:tr w:rsidR="00750E83" w:rsidRPr="00750E83" w14:paraId="7EC08CC7"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317382CF"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New Bedford, MA</w:t>
            </w:r>
          </w:p>
        </w:tc>
        <w:tc>
          <w:tcPr>
            <w:tcW w:w="1327" w:type="dxa"/>
            <w:tcBorders>
              <w:top w:val="nil"/>
              <w:left w:val="nil"/>
              <w:bottom w:val="single" w:sz="4" w:space="0" w:color="auto"/>
              <w:right w:val="single" w:sz="4" w:space="0" w:color="auto"/>
            </w:tcBorders>
            <w:shd w:val="clear" w:color="auto" w:fill="auto"/>
            <w:noWrap/>
            <w:vAlign w:val="center"/>
            <w:hideMark/>
          </w:tcPr>
          <w:p w14:paraId="376E155E"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20%</w:t>
            </w:r>
          </w:p>
        </w:tc>
        <w:tc>
          <w:tcPr>
            <w:tcW w:w="1327" w:type="dxa"/>
            <w:tcBorders>
              <w:top w:val="nil"/>
              <w:left w:val="nil"/>
              <w:bottom w:val="single" w:sz="4" w:space="0" w:color="auto"/>
              <w:right w:val="single" w:sz="4" w:space="0" w:color="auto"/>
            </w:tcBorders>
            <w:shd w:val="clear" w:color="auto" w:fill="auto"/>
            <w:noWrap/>
            <w:vAlign w:val="center"/>
            <w:hideMark/>
          </w:tcPr>
          <w:p w14:paraId="15368CA5"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20%</w:t>
            </w:r>
          </w:p>
        </w:tc>
        <w:tc>
          <w:tcPr>
            <w:tcW w:w="1101" w:type="dxa"/>
            <w:tcBorders>
              <w:top w:val="nil"/>
              <w:left w:val="nil"/>
              <w:bottom w:val="single" w:sz="4" w:space="0" w:color="auto"/>
              <w:right w:val="single" w:sz="4" w:space="0" w:color="auto"/>
            </w:tcBorders>
            <w:shd w:val="clear" w:color="auto" w:fill="auto"/>
            <w:vAlign w:val="center"/>
            <w:hideMark/>
          </w:tcPr>
          <w:p w14:paraId="68BE5315"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68862EDC"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244CDC02" w14:textId="77777777" w:rsidTr="00FE143B">
        <w:trPr>
          <w:cantSplit/>
          <w:trHeight w:val="31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3BE5ACD9"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Fall River, MA</w:t>
            </w:r>
          </w:p>
        </w:tc>
        <w:tc>
          <w:tcPr>
            <w:tcW w:w="1327" w:type="dxa"/>
            <w:tcBorders>
              <w:top w:val="nil"/>
              <w:left w:val="nil"/>
              <w:bottom w:val="single" w:sz="4" w:space="0" w:color="auto"/>
              <w:right w:val="single" w:sz="4" w:space="0" w:color="auto"/>
            </w:tcBorders>
            <w:shd w:val="clear" w:color="auto" w:fill="auto"/>
            <w:noWrap/>
            <w:vAlign w:val="center"/>
            <w:hideMark/>
          </w:tcPr>
          <w:p w14:paraId="7524D2BA"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17%</w:t>
            </w:r>
          </w:p>
        </w:tc>
        <w:tc>
          <w:tcPr>
            <w:tcW w:w="1327" w:type="dxa"/>
            <w:tcBorders>
              <w:top w:val="nil"/>
              <w:left w:val="nil"/>
              <w:bottom w:val="single" w:sz="4" w:space="0" w:color="auto"/>
              <w:right w:val="single" w:sz="4" w:space="0" w:color="auto"/>
            </w:tcBorders>
            <w:shd w:val="clear" w:color="auto" w:fill="auto"/>
            <w:noWrap/>
            <w:vAlign w:val="center"/>
            <w:hideMark/>
          </w:tcPr>
          <w:p w14:paraId="20B517DE"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17%</w:t>
            </w:r>
          </w:p>
        </w:tc>
        <w:tc>
          <w:tcPr>
            <w:tcW w:w="1101" w:type="dxa"/>
            <w:tcBorders>
              <w:top w:val="nil"/>
              <w:left w:val="nil"/>
              <w:bottom w:val="single" w:sz="4" w:space="0" w:color="auto"/>
              <w:right w:val="single" w:sz="4" w:space="0" w:color="auto"/>
            </w:tcBorders>
            <w:shd w:val="clear" w:color="auto" w:fill="auto"/>
            <w:vAlign w:val="center"/>
            <w:hideMark/>
          </w:tcPr>
          <w:p w14:paraId="5E616182"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58E6AB77"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732F64BB" w14:textId="77777777" w:rsidTr="00FE143B">
        <w:trPr>
          <w:cantSplit/>
          <w:trHeight w:val="32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33A10228"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North Dartmouth, MA</w:t>
            </w:r>
          </w:p>
        </w:tc>
        <w:tc>
          <w:tcPr>
            <w:tcW w:w="1327" w:type="dxa"/>
            <w:tcBorders>
              <w:top w:val="nil"/>
              <w:left w:val="nil"/>
              <w:bottom w:val="single" w:sz="4" w:space="0" w:color="auto"/>
              <w:right w:val="single" w:sz="4" w:space="0" w:color="auto"/>
            </w:tcBorders>
            <w:shd w:val="clear" w:color="auto" w:fill="auto"/>
            <w:noWrap/>
            <w:vAlign w:val="center"/>
            <w:hideMark/>
          </w:tcPr>
          <w:p w14:paraId="42DC92AC"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4%</w:t>
            </w:r>
          </w:p>
        </w:tc>
        <w:tc>
          <w:tcPr>
            <w:tcW w:w="1327" w:type="dxa"/>
            <w:tcBorders>
              <w:top w:val="nil"/>
              <w:left w:val="nil"/>
              <w:bottom w:val="single" w:sz="4" w:space="0" w:color="auto"/>
              <w:right w:val="single" w:sz="4" w:space="0" w:color="auto"/>
            </w:tcBorders>
            <w:shd w:val="clear" w:color="auto" w:fill="auto"/>
            <w:noWrap/>
            <w:vAlign w:val="center"/>
            <w:hideMark/>
          </w:tcPr>
          <w:p w14:paraId="22F397AB"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4%</w:t>
            </w:r>
          </w:p>
        </w:tc>
        <w:tc>
          <w:tcPr>
            <w:tcW w:w="1101" w:type="dxa"/>
            <w:tcBorders>
              <w:top w:val="nil"/>
              <w:left w:val="nil"/>
              <w:bottom w:val="single" w:sz="4" w:space="0" w:color="auto"/>
              <w:right w:val="single" w:sz="4" w:space="0" w:color="auto"/>
            </w:tcBorders>
            <w:shd w:val="clear" w:color="auto" w:fill="auto"/>
            <w:vAlign w:val="center"/>
            <w:hideMark/>
          </w:tcPr>
          <w:p w14:paraId="760E4406"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vAlign w:val="center"/>
            <w:hideMark/>
          </w:tcPr>
          <w:p w14:paraId="1C549045"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26D4A383" w14:textId="77777777" w:rsidTr="00FE143B">
        <w:trPr>
          <w:cantSplit/>
          <w:trHeight w:val="320"/>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C384694"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Somerset, MA</w:t>
            </w:r>
          </w:p>
        </w:tc>
        <w:tc>
          <w:tcPr>
            <w:tcW w:w="1327" w:type="dxa"/>
            <w:tcBorders>
              <w:top w:val="nil"/>
              <w:left w:val="nil"/>
              <w:bottom w:val="single" w:sz="4" w:space="0" w:color="auto"/>
              <w:right w:val="single" w:sz="4" w:space="0" w:color="auto"/>
            </w:tcBorders>
            <w:shd w:val="clear" w:color="auto" w:fill="auto"/>
            <w:noWrap/>
            <w:vAlign w:val="bottom"/>
            <w:hideMark/>
          </w:tcPr>
          <w:p w14:paraId="15F8844B"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4%</w:t>
            </w:r>
          </w:p>
        </w:tc>
        <w:tc>
          <w:tcPr>
            <w:tcW w:w="1327" w:type="dxa"/>
            <w:tcBorders>
              <w:top w:val="nil"/>
              <w:left w:val="nil"/>
              <w:bottom w:val="single" w:sz="4" w:space="0" w:color="auto"/>
              <w:right w:val="single" w:sz="4" w:space="0" w:color="auto"/>
            </w:tcBorders>
            <w:shd w:val="clear" w:color="auto" w:fill="auto"/>
            <w:noWrap/>
            <w:vAlign w:val="bottom"/>
            <w:hideMark/>
          </w:tcPr>
          <w:p w14:paraId="79F7F3B4"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3%</w:t>
            </w:r>
          </w:p>
        </w:tc>
        <w:tc>
          <w:tcPr>
            <w:tcW w:w="1101" w:type="dxa"/>
            <w:tcBorders>
              <w:top w:val="nil"/>
              <w:left w:val="nil"/>
              <w:bottom w:val="single" w:sz="4" w:space="0" w:color="auto"/>
              <w:right w:val="single" w:sz="4" w:space="0" w:color="auto"/>
            </w:tcBorders>
            <w:shd w:val="clear" w:color="auto" w:fill="auto"/>
            <w:noWrap/>
            <w:vAlign w:val="bottom"/>
            <w:hideMark/>
          </w:tcPr>
          <w:p w14:paraId="384D4504"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noWrap/>
            <w:vAlign w:val="bottom"/>
            <w:hideMark/>
          </w:tcPr>
          <w:p w14:paraId="075D716A"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1586B3AE" w14:textId="77777777" w:rsidTr="00FE143B">
        <w:trPr>
          <w:cantSplit/>
          <w:trHeight w:val="320"/>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6918E50"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Fairhaven, MA</w:t>
            </w:r>
          </w:p>
        </w:tc>
        <w:tc>
          <w:tcPr>
            <w:tcW w:w="1327" w:type="dxa"/>
            <w:tcBorders>
              <w:top w:val="nil"/>
              <w:left w:val="nil"/>
              <w:bottom w:val="single" w:sz="4" w:space="0" w:color="auto"/>
              <w:right w:val="single" w:sz="4" w:space="0" w:color="auto"/>
            </w:tcBorders>
            <w:shd w:val="clear" w:color="auto" w:fill="auto"/>
            <w:noWrap/>
            <w:vAlign w:val="bottom"/>
            <w:hideMark/>
          </w:tcPr>
          <w:p w14:paraId="590D75F7"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3%</w:t>
            </w:r>
          </w:p>
        </w:tc>
        <w:tc>
          <w:tcPr>
            <w:tcW w:w="1327" w:type="dxa"/>
            <w:tcBorders>
              <w:top w:val="nil"/>
              <w:left w:val="nil"/>
              <w:bottom w:val="single" w:sz="4" w:space="0" w:color="auto"/>
              <w:right w:val="single" w:sz="4" w:space="0" w:color="auto"/>
            </w:tcBorders>
            <w:shd w:val="clear" w:color="auto" w:fill="auto"/>
            <w:noWrap/>
            <w:vAlign w:val="bottom"/>
            <w:hideMark/>
          </w:tcPr>
          <w:p w14:paraId="74737BF0"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3%</w:t>
            </w:r>
          </w:p>
        </w:tc>
        <w:tc>
          <w:tcPr>
            <w:tcW w:w="1101" w:type="dxa"/>
            <w:tcBorders>
              <w:top w:val="nil"/>
              <w:left w:val="nil"/>
              <w:bottom w:val="single" w:sz="4" w:space="0" w:color="auto"/>
              <w:right w:val="single" w:sz="4" w:space="0" w:color="auto"/>
            </w:tcBorders>
            <w:shd w:val="clear" w:color="auto" w:fill="auto"/>
            <w:noWrap/>
            <w:vAlign w:val="bottom"/>
            <w:hideMark/>
          </w:tcPr>
          <w:p w14:paraId="0D66A605"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noWrap/>
            <w:vAlign w:val="bottom"/>
            <w:hideMark/>
          </w:tcPr>
          <w:p w14:paraId="35FBBCCC"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0910A62D" w14:textId="77777777" w:rsidTr="00FE143B">
        <w:trPr>
          <w:cantSplit/>
          <w:trHeight w:val="320"/>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6BA7DE52"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Westport, MA</w:t>
            </w:r>
          </w:p>
        </w:tc>
        <w:tc>
          <w:tcPr>
            <w:tcW w:w="1327" w:type="dxa"/>
            <w:tcBorders>
              <w:top w:val="nil"/>
              <w:left w:val="nil"/>
              <w:bottom w:val="single" w:sz="4" w:space="0" w:color="auto"/>
              <w:right w:val="single" w:sz="4" w:space="0" w:color="auto"/>
            </w:tcBorders>
            <w:shd w:val="clear" w:color="auto" w:fill="auto"/>
            <w:noWrap/>
            <w:vAlign w:val="bottom"/>
            <w:hideMark/>
          </w:tcPr>
          <w:p w14:paraId="2208CDE7"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3%</w:t>
            </w:r>
          </w:p>
        </w:tc>
        <w:tc>
          <w:tcPr>
            <w:tcW w:w="1327" w:type="dxa"/>
            <w:tcBorders>
              <w:top w:val="nil"/>
              <w:left w:val="nil"/>
              <w:bottom w:val="single" w:sz="4" w:space="0" w:color="auto"/>
              <w:right w:val="single" w:sz="4" w:space="0" w:color="auto"/>
            </w:tcBorders>
            <w:shd w:val="clear" w:color="auto" w:fill="auto"/>
            <w:noWrap/>
            <w:vAlign w:val="bottom"/>
            <w:hideMark/>
          </w:tcPr>
          <w:p w14:paraId="46CFCFCA"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3%</w:t>
            </w:r>
          </w:p>
        </w:tc>
        <w:tc>
          <w:tcPr>
            <w:tcW w:w="1101" w:type="dxa"/>
            <w:tcBorders>
              <w:top w:val="nil"/>
              <w:left w:val="nil"/>
              <w:bottom w:val="single" w:sz="4" w:space="0" w:color="auto"/>
              <w:right w:val="single" w:sz="4" w:space="0" w:color="auto"/>
            </w:tcBorders>
            <w:shd w:val="clear" w:color="auto" w:fill="auto"/>
            <w:noWrap/>
            <w:vAlign w:val="bottom"/>
            <w:hideMark/>
          </w:tcPr>
          <w:p w14:paraId="2D634D0E"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noWrap/>
            <w:vAlign w:val="bottom"/>
            <w:hideMark/>
          </w:tcPr>
          <w:p w14:paraId="558FCF4D"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32A8A239" w14:textId="77777777" w:rsidTr="00FE143B">
        <w:trPr>
          <w:cantSplit/>
          <w:trHeight w:val="320"/>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EC3C0B9"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Swansea, MA</w:t>
            </w:r>
          </w:p>
        </w:tc>
        <w:tc>
          <w:tcPr>
            <w:tcW w:w="1327" w:type="dxa"/>
            <w:tcBorders>
              <w:top w:val="nil"/>
              <w:left w:val="nil"/>
              <w:bottom w:val="single" w:sz="4" w:space="0" w:color="auto"/>
              <w:right w:val="single" w:sz="4" w:space="0" w:color="auto"/>
            </w:tcBorders>
            <w:shd w:val="clear" w:color="auto" w:fill="auto"/>
            <w:noWrap/>
            <w:vAlign w:val="bottom"/>
            <w:hideMark/>
          </w:tcPr>
          <w:p w14:paraId="16C551C6"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3%</w:t>
            </w:r>
          </w:p>
        </w:tc>
        <w:tc>
          <w:tcPr>
            <w:tcW w:w="1327" w:type="dxa"/>
            <w:tcBorders>
              <w:top w:val="nil"/>
              <w:left w:val="nil"/>
              <w:bottom w:val="single" w:sz="4" w:space="0" w:color="auto"/>
              <w:right w:val="single" w:sz="4" w:space="0" w:color="auto"/>
            </w:tcBorders>
            <w:shd w:val="clear" w:color="auto" w:fill="auto"/>
            <w:noWrap/>
            <w:vAlign w:val="bottom"/>
            <w:hideMark/>
          </w:tcPr>
          <w:p w14:paraId="2ADEE73B"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3%</w:t>
            </w:r>
          </w:p>
        </w:tc>
        <w:tc>
          <w:tcPr>
            <w:tcW w:w="1101" w:type="dxa"/>
            <w:tcBorders>
              <w:top w:val="nil"/>
              <w:left w:val="nil"/>
              <w:bottom w:val="single" w:sz="4" w:space="0" w:color="auto"/>
              <w:right w:val="single" w:sz="4" w:space="0" w:color="auto"/>
            </w:tcBorders>
            <w:shd w:val="clear" w:color="auto" w:fill="auto"/>
            <w:noWrap/>
            <w:vAlign w:val="bottom"/>
            <w:hideMark/>
          </w:tcPr>
          <w:p w14:paraId="44599528"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noWrap/>
            <w:vAlign w:val="bottom"/>
            <w:hideMark/>
          </w:tcPr>
          <w:p w14:paraId="3BBBE763"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4A1DD5BB" w14:textId="77777777" w:rsidTr="00FE143B">
        <w:trPr>
          <w:cantSplit/>
          <w:trHeight w:val="320"/>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A6435B5"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Tiverton, RI</w:t>
            </w:r>
          </w:p>
        </w:tc>
        <w:tc>
          <w:tcPr>
            <w:tcW w:w="1327" w:type="dxa"/>
            <w:tcBorders>
              <w:top w:val="nil"/>
              <w:left w:val="nil"/>
              <w:bottom w:val="single" w:sz="4" w:space="0" w:color="auto"/>
              <w:right w:val="single" w:sz="4" w:space="0" w:color="auto"/>
            </w:tcBorders>
            <w:shd w:val="clear" w:color="auto" w:fill="auto"/>
            <w:noWrap/>
            <w:vAlign w:val="bottom"/>
            <w:hideMark/>
          </w:tcPr>
          <w:p w14:paraId="416D21CB"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327" w:type="dxa"/>
            <w:tcBorders>
              <w:top w:val="nil"/>
              <w:left w:val="nil"/>
              <w:bottom w:val="single" w:sz="4" w:space="0" w:color="auto"/>
              <w:right w:val="single" w:sz="4" w:space="0" w:color="auto"/>
            </w:tcBorders>
            <w:shd w:val="clear" w:color="auto" w:fill="auto"/>
            <w:noWrap/>
            <w:vAlign w:val="bottom"/>
            <w:hideMark/>
          </w:tcPr>
          <w:p w14:paraId="12B635B3"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101" w:type="dxa"/>
            <w:tcBorders>
              <w:top w:val="nil"/>
              <w:left w:val="nil"/>
              <w:bottom w:val="single" w:sz="4" w:space="0" w:color="auto"/>
              <w:right w:val="single" w:sz="4" w:space="0" w:color="auto"/>
            </w:tcBorders>
            <w:shd w:val="clear" w:color="auto" w:fill="auto"/>
            <w:noWrap/>
            <w:vAlign w:val="bottom"/>
            <w:hideMark/>
          </w:tcPr>
          <w:p w14:paraId="7336DC68"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noWrap/>
            <w:vAlign w:val="bottom"/>
            <w:hideMark/>
          </w:tcPr>
          <w:p w14:paraId="1AB26D75"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224B9682" w14:textId="77777777" w:rsidTr="00FE143B">
        <w:trPr>
          <w:cantSplit/>
          <w:trHeight w:val="320"/>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59D318F"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Wareham, MA</w:t>
            </w:r>
          </w:p>
        </w:tc>
        <w:tc>
          <w:tcPr>
            <w:tcW w:w="1327" w:type="dxa"/>
            <w:tcBorders>
              <w:top w:val="nil"/>
              <w:left w:val="nil"/>
              <w:bottom w:val="single" w:sz="4" w:space="0" w:color="auto"/>
              <w:right w:val="single" w:sz="4" w:space="0" w:color="auto"/>
            </w:tcBorders>
            <w:shd w:val="clear" w:color="auto" w:fill="auto"/>
            <w:noWrap/>
            <w:vAlign w:val="bottom"/>
            <w:hideMark/>
          </w:tcPr>
          <w:p w14:paraId="2A8337DB"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327" w:type="dxa"/>
            <w:tcBorders>
              <w:top w:val="nil"/>
              <w:left w:val="nil"/>
              <w:bottom w:val="single" w:sz="4" w:space="0" w:color="auto"/>
              <w:right w:val="single" w:sz="4" w:space="0" w:color="auto"/>
            </w:tcBorders>
            <w:shd w:val="clear" w:color="auto" w:fill="auto"/>
            <w:noWrap/>
            <w:vAlign w:val="bottom"/>
            <w:hideMark/>
          </w:tcPr>
          <w:p w14:paraId="07029E9C"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101" w:type="dxa"/>
            <w:tcBorders>
              <w:top w:val="nil"/>
              <w:left w:val="nil"/>
              <w:bottom w:val="single" w:sz="4" w:space="0" w:color="auto"/>
              <w:right w:val="single" w:sz="4" w:space="0" w:color="auto"/>
            </w:tcBorders>
            <w:shd w:val="clear" w:color="auto" w:fill="auto"/>
            <w:noWrap/>
            <w:vAlign w:val="bottom"/>
            <w:hideMark/>
          </w:tcPr>
          <w:p w14:paraId="0A8B762E"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noWrap/>
            <w:vAlign w:val="bottom"/>
            <w:hideMark/>
          </w:tcPr>
          <w:p w14:paraId="23417C55"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44CD130A" w14:textId="77777777" w:rsidTr="00FE143B">
        <w:trPr>
          <w:cantSplit/>
          <w:trHeight w:val="320"/>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8D9B398"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South Dartmouth, MA</w:t>
            </w:r>
          </w:p>
        </w:tc>
        <w:tc>
          <w:tcPr>
            <w:tcW w:w="1327" w:type="dxa"/>
            <w:tcBorders>
              <w:top w:val="nil"/>
              <w:left w:val="nil"/>
              <w:bottom w:val="single" w:sz="4" w:space="0" w:color="auto"/>
              <w:right w:val="single" w:sz="4" w:space="0" w:color="auto"/>
            </w:tcBorders>
            <w:shd w:val="clear" w:color="auto" w:fill="auto"/>
            <w:noWrap/>
            <w:vAlign w:val="bottom"/>
            <w:hideMark/>
          </w:tcPr>
          <w:p w14:paraId="62CBBB2A"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327" w:type="dxa"/>
            <w:tcBorders>
              <w:top w:val="nil"/>
              <w:left w:val="nil"/>
              <w:bottom w:val="single" w:sz="4" w:space="0" w:color="auto"/>
              <w:right w:val="single" w:sz="4" w:space="0" w:color="auto"/>
            </w:tcBorders>
            <w:shd w:val="clear" w:color="auto" w:fill="auto"/>
            <w:noWrap/>
            <w:vAlign w:val="bottom"/>
            <w:hideMark/>
          </w:tcPr>
          <w:p w14:paraId="3CD81825"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101" w:type="dxa"/>
            <w:tcBorders>
              <w:top w:val="nil"/>
              <w:left w:val="nil"/>
              <w:bottom w:val="single" w:sz="4" w:space="0" w:color="auto"/>
              <w:right w:val="single" w:sz="4" w:space="0" w:color="auto"/>
            </w:tcBorders>
            <w:shd w:val="clear" w:color="auto" w:fill="auto"/>
            <w:noWrap/>
            <w:vAlign w:val="bottom"/>
            <w:hideMark/>
          </w:tcPr>
          <w:p w14:paraId="49230DC5"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noWrap/>
            <w:vAlign w:val="bottom"/>
            <w:hideMark/>
          </w:tcPr>
          <w:p w14:paraId="60D41F99"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40BF2A05" w14:textId="77777777" w:rsidTr="00FE143B">
        <w:trPr>
          <w:cantSplit/>
          <w:trHeight w:val="320"/>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A60340A"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Portsmouth, RI</w:t>
            </w:r>
          </w:p>
        </w:tc>
        <w:tc>
          <w:tcPr>
            <w:tcW w:w="1327" w:type="dxa"/>
            <w:tcBorders>
              <w:top w:val="nil"/>
              <w:left w:val="nil"/>
              <w:bottom w:val="single" w:sz="4" w:space="0" w:color="auto"/>
              <w:right w:val="single" w:sz="4" w:space="0" w:color="auto"/>
            </w:tcBorders>
            <w:shd w:val="clear" w:color="auto" w:fill="auto"/>
            <w:noWrap/>
            <w:vAlign w:val="bottom"/>
            <w:hideMark/>
          </w:tcPr>
          <w:p w14:paraId="27B90919"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327" w:type="dxa"/>
            <w:tcBorders>
              <w:top w:val="nil"/>
              <w:left w:val="nil"/>
              <w:bottom w:val="single" w:sz="4" w:space="0" w:color="auto"/>
              <w:right w:val="single" w:sz="4" w:space="0" w:color="auto"/>
            </w:tcBorders>
            <w:shd w:val="clear" w:color="auto" w:fill="auto"/>
            <w:noWrap/>
            <w:vAlign w:val="bottom"/>
            <w:hideMark/>
          </w:tcPr>
          <w:p w14:paraId="009ED708"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101" w:type="dxa"/>
            <w:tcBorders>
              <w:top w:val="nil"/>
              <w:left w:val="nil"/>
              <w:bottom w:val="single" w:sz="4" w:space="0" w:color="auto"/>
              <w:right w:val="single" w:sz="4" w:space="0" w:color="auto"/>
            </w:tcBorders>
            <w:shd w:val="clear" w:color="auto" w:fill="auto"/>
            <w:noWrap/>
            <w:vAlign w:val="bottom"/>
            <w:hideMark/>
          </w:tcPr>
          <w:p w14:paraId="68AC044D"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noWrap/>
            <w:vAlign w:val="bottom"/>
            <w:hideMark/>
          </w:tcPr>
          <w:p w14:paraId="2A2DF93C"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6A177613" w14:textId="77777777" w:rsidTr="00FE143B">
        <w:trPr>
          <w:cantSplit/>
          <w:trHeight w:val="320"/>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0BBD6A4"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Acushnet, MA</w:t>
            </w:r>
          </w:p>
        </w:tc>
        <w:tc>
          <w:tcPr>
            <w:tcW w:w="1327" w:type="dxa"/>
            <w:tcBorders>
              <w:top w:val="nil"/>
              <w:left w:val="nil"/>
              <w:bottom w:val="single" w:sz="4" w:space="0" w:color="auto"/>
              <w:right w:val="single" w:sz="4" w:space="0" w:color="auto"/>
            </w:tcBorders>
            <w:shd w:val="clear" w:color="auto" w:fill="auto"/>
            <w:noWrap/>
            <w:vAlign w:val="bottom"/>
            <w:hideMark/>
          </w:tcPr>
          <w:p w14:paraId="4125F65E"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327" w:type="dxa"/>
            <w:tcBorders>
              <w:top w:val="nil"/>
              <w:left w:val="nil"/>
              <w:bottom w:val="single" w:sz="4" w:space="0" w:color="auto"/>
              <w:right w:val="single" w:sz="4" w:space="0" w:color="auto"/>
            </w:tcBorders>
            <w:shd w:val="clear" w:color="auto" w:fill="auto"/>
            <w:noWrap/>
            <w:vAlign w:val="bottom"/>
            <w:hideMark/>
          </w:tcPr>
          <w:p w14:paraId="6869551B"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101" w:type="dxa"/>
            <w:tcBorders>
              <w:top w:val="nil"/>
              <w:left w:val="nil"/>
              <w:bottom w:val="single" w:sz="4" w:space="0" w:color="auto"/>
              <w:right w:val="single" w:sz="4" w:space="0" w:color="auto"/>
            </w:tcBorders>
            <w:shd w:val="clear" w:color="auto" w:fill="auto"/>
            <w:noWrap/>
            <w:vAlign w:val="bottom"/>
            <w:hideMark/>
          </w:tcPr>
          <w:p w14:paraId="2BF2D3C3"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noWrap/>
            <w:vAlign w:val="bottom"/>
            <w:hideMark/>
          </w:tcPr>
          <w:p w14:paraId="1DB2A959"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28D62335" w14:textId="77777777" w:rsidTr="00FE143B">
        <w:trPr>
          <w:cantSplit/>
          <w:trHeight w:val="320"/>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119A054"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Middleboro, MA</w:t>
            </w:r>
          </w:p>
        </w:tc>
        <w:tc>
          <w:tcPr>
            <w:tcW w:w="1327" w:type="dxa"/>
            <w:tcBorders>
              <w:top w:val="nil"/>
              <w:left w:val="nil"/>
              <w:bottom w:val="single" w:sz="4" w:space="0" w:color="auto"/>
              <w:right w:val="single" w:sz="4" w:space="0" w:color="auto"/>
            </w:tcBorders>
            <w:shd w:val="clear" w:color="auto" w:fill="auto"/>
            <w:noWrap/>
            <w:vAlign w:val="bottom"/>
            <w:hideMark/>
          </w:tcPr>
          <w:p w14:paraId="6F287FCB"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327" w:type="dxa"/>
            <w:tcBorders>
              <w:top w:val="nil"/>
              <w:left w:val="nil"/>
              <w:bottom w:val="single" w:sz="4" w:space="0" w:color="auto"/>
              <w:right w:val="single" w:sz="4" w:space="0" w:color="auto"/>
            </w:tcBorders>
            <w:shd w:val="clear" w:color="auto" w:fill="auto"/>
            <w:noWrap/>
            <w:vAlign w:val="bottom"/>
            <w:hideMark/>
          </w:tcPr>
          <w:p w14:paraId="7FBB814F"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101" w:type="dxa"/>
            <w:tcBorders>
              <w:top w:val="nil"/>
              <w:left w:val="nil"/>
              <w:bottom w:val="single" w:sz="4" w:space="0" w:color="auto"/>
              <w:right w:val="single" w:sz="4" w:space="0" w:color="auto"/>
            </w:tcBorders>
            <w:shd w:val="clear" w:color="auto" w:fill="auto"/>
            <w:noWrap/>
            <w:vAlign w:val="bottom"/>
            <w:hideMark/>
          </w:tcPr>
          <w:p w14:paraId="575CA98F"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noWrap/>
            <w:vAlign w:val="bottom"/>
            <w:hideMark/>
          </w:tcPr>
          <w:p w14:paraId="18E1C884"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446D9D87" w14:textId="77777777" w:rsidTr="00FE143B">
        <w:trPr>
          <w:cantSplit/>
          <w:trHeight w:val="320"/>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A116505"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Middletown, RI</w:t>
            </w:r>
          </w:p>
        </w:tc>
        <w:tc>
          <w:tcPr>
            <w:tcW w:w="1327" w:type="dxa"/>
            <w:tcBorders>
              <w:top w:val="nil"/>
              <w:left w:val="nil"/>
              <w:bottom w:val="single" w:sz="4" w:space="0" w:color="auto"/>
              <w:right w:val="single" w:sz="4" w:space="0" w:color="auto"/>
            </w:tcBorders>
            <w:shd w:val="clear" w:color="auto" w:fill="auto"/>
            <w:noWrap/>
            <w:vAlign w:val="bottom"/>
            <w:hideMark/>
          </w:tcPr>
          <w:p w14:paraId="485D5692"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327" w:type="dxa"/>
            <w:tcBorders>
              <w:top w:val="nil"/>
              <w:left w:val="nil"/>
              <w:bottom w:val="single" w:sz="4" w:space="0" w:color="auto"/>
              <w:right w:val="single" w:sz="4" w:space="0" w:color="auto"/>
            </w:tcBorders>
            <w:shd w:val="clear" w:color="auto" w:fill="auto"/>
            <w:noWrap/>
            <w:vAlign w:val="bottom"/>
            <w:hideMark/>
          </w:tcPr>
          <w:p w14:paraId="3FCEEC24"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2%</w:t>
            </w:r>
          </w:p>
        </w:tc>
        <w:tc>
          <w:tcPr>
            <w:tcW w:w="1101" w:type="dxa"/>
            <w:tcBorders>
              <w:top w:val="nil"/>
              <w:left w:val="nil"/>
              <w:bottom w:val="single" w:sz="4" w:space="0" w:color="auto"/>
              <w:right w:val="single" w:sz="4" w:space="0" w:color="auto"/>
            </w:tcBorders>
            <w:shd w:val="clear" w:color="auto" w:fill="auto"/>
            <w:noWrap/>
            <w:vAlign w:val="bottom"/>
            <w:hideMark/>
          </w:tcPr>
          <w:p w14:paraId="0045F766"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noWrap/>
            <w:vAlign w:val="bottom"/>
            <w:hideMark/>
          </w:tcPr>
          <w:p w14:paraId="1730C120"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r>
      <w:tr w:rsidR="00750E83" w:rsidRPr="00750E83" w14:paraId="19A97CE0" w14:textId="77777777" w:rsidTr="00FE143B">
        <w:trPr>
          <w:cantSplit/>
          <w:trHeight w:val="320"/>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C410F07"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Lakeville, MA</w:t>
            </w:r>
          </w:p>
        </w:tc>
        <w:tc>
          <w:tcPr>
            <w:tcW w:w="1327" w:type="dxa"/>
            <w:tcBorders>
              <w:top w:val="nil"/>
              <w:left w:val="nil"/>
              <w:bottom w:val="single" w:sz="4" w:space="0" w:color="auto"/>
              <w:right w:val="single" w:sz="4" w:space="0" w:color="auto"/>
            </w:tcBorders>
            <w:shd w:val="clear" w:color="auto" w:fill="auto"/>
            <w:noWrap/>
            <w:vAlign w:val="bottom"/>
            <w:hideMark/>
          </w:tcPr>
          <w:p w14:paraId="26EA5A6F"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1%</w:t>
            </w:r>
          </w:p>
        </w:tc>
        <w:tc>
          <w:tcPr>
            <w:tcW w:w="1327" w:type="dxa"/>
            <w:tcBorders>
              <w:top w:val="nil"/>
              <w:left w:val="nil"/>
              <w:bottom w:val="single" w:sz="4" w:space="0" w:color="auto"/>
              <w:right w:val="single" w:sz="4" w:space="0" w:color="auto"/>
            </w:tcBorders>
            <w:shd w:val="clear" w:color="auto" w:fill="auto"/>
            <w:noWrap/>
            <w:vAlign w:val="bottom"/>
            <w:hideMark/>
          </w:tcPr>
          <w:p w14:paraId="079C1477" w14:textId="77777777" w:rsidR="00750E83" w:rsidRPr="00750E83" w:rsidRDefault="00750E83" w:rsidP="00750E83">
            <w:pPr>
              <w:jc w:val="right"/>
              <w:rPr>
                <w:rFonts w:ascii="Calibri" w:eastAsia="Times New Roman" w:hAnsi="Calibri" w:cs="Calibri"/>
                <w:color w:val="000000"/>
              </w:rPr>
            </w:pPr>
            <w:r w:rsidRPr="00750E83">
              <w:rPr>
                <w:rFonts w:ascii="Calibri" w:eastAsia="Times New Roman" w:hAnsi="Calibri" w:cs="Calibri"/>
                <w:color w:val="000000"/>
              </w:rPr>
              <w:t>1%</w:t>
            </w:r>
          </w:p>
        </w:tc>
        <w:tc>
          <w:tcPr>
            <w:tcW w:w="1101" w:type="dxa"/>
            <w:tcBorders>
              <w:top w:val="nil"/>
              <w:left w:val="nil"/>
              <w:bottom w:val="single" w:sz="4" w:space="0" w:color="auto"/>
              <w:right w:val="single" w:sz="4" w:space="0" w:color="auto"/>
            </w:tcBorders>
            <w:shd w:val="clear" w:color="auto" w:fill="auto"/>
            <w:noWrap/>
            <w:vAlign w:val="bottom"/>
            <w:hideMark/>
          </w:tcPr>
          <w:p w14:paraId="09C9DF4B"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c>
          <w:tcPr>
            <w:tcW w:w="1101" w:type="dxa"/>
            <w:tcBorders>
              <w:top w:val="nil"/>
              <w:left w:val="nil"/>
              <w:bottom w:val="single" w:sz="4" w:space="0" w:color="auto"/>
              <w:right w:val="single" w:sz="4" w:space="0" w:color="auto"/>
            </w:tcBorders>
            <w:shd w:val="clear" w:color="auto" w:fill="auto"/>
            <w:noWrap/>
            <w:vAlign w:val="bottom"/>
            <w:hideMark/>
          </w:tcPr>
          <w:p w14:paraId="2087ED5B" w14:textId="77777777" w:rsidR="00750E83" w:rsidRPr="00750E83" w:rsidRDefault="00750E83" w:rsidP="00750E83">
            <w:pPr>
              <w:rPr>
                <w:rFonts w:ascii="Calibri" w:eastAsia="Times New Roman" w:hAnsi="Calibri" w:cs="Calibri"/>
                <w:color w:val="000000"/>
              </w:rPr>
            </w:pPr>
            <w:r w:rsidRPr="00750E83">
              <w:rPr>
                <w:rFonts w:ascii="Calibri" w:eastAsia="Times New Roman" w:hAnsi="Calibri" w:cs="Calibri"/>
                <w:color w:val="000000"/>
              </w:rPr>
              <w:t> </w:t>
            </w:r>
          </w:p>
        </w:tc>
      </w:tr>
    </w:tbl>
    <w:p w14:paraId="1439F1BB" w14:textId="77777777" w:rsidR="009C2EAA" w:rsidRDefault="009C2EAA" w:rsidP="007928A3">
      <w:pPr>
        <w:spacing w:after="160" w:line="259" w:lineRule="auto"/>
        <w:rPr>
          <w:rFonts w:ascii="Calibri" w:eastAsia="Calibri" w:hAnsi="Calibri"/>
          <w:b/>
          <w:bCs/>
        </w:rPr>
      </w:pPr>
    </w:p>
    <w:p w14:paraId="44229312" w14:textId="15CC11A8" w:rsidR="007928A3" w:rsidRPr="00067789" w:rsidRDefault="373FA9E1" w:rsidP="00E347B4">
      <w:pPr>
        <w:spacing w:after="160"/>
        <w:rPr>
          <w:rFonts w:ascii="Calibri" w:eastAsia="Calibri" w:hAnsi="Calibri"/>
        </w:rPr>
      </w:pPr>
      <w:r w:rsidRPr="007928A3">
        <w:rPr>
          <w:rFonts w:ascii="Calibri" w:eastAsia="Calibri" w:hAnsi="Calibri"/>
          <w:b/>
          <w:bCs/>
        </w:rPr>
        <w:t>Gender:</w:t>
      </w:r>
      <w:bookmarkEnd w:id="30"/>
      <w:r w:rsidR="0C24B4E0">
        <w:rPr>
          <w:rFonts w:ascii="Calibri" w:eastAsia="Calibri" w:hAnsi="Calibri"/>
          <w:b/>
          <w:bCs/>
        </w:rPr>
        <w:t xml:space="preserve"> </w:t>
      </w:r>
      <w:r w:rsidR="00067789" w:rsidRPr="00067789">
        <w:rPr>
          <w:rFonts w:ascii="Calibri" w:eastAsia="Calibri" w:hAnsi="Calibri"/>
        </w:rPr>
        <w:t xml:space="preserve">The </w:t>
      </w:r>
      <w:r w:rsidR="00D94434">
        <w:rPr>
          <w:rFonts w:ascii="Calibri" w:eastAsia="Calibri" w:hAnsi="Calibri"/>
        </w:rPr>
        <w:t xml:space="preserve">SHS </w:t>
      </w:r>
      <w:r w:rsidR="00067789" w:rsidRPr="00067789">
        <w:rPr>
          <w:rFonts w:ascii="Calibri" w:eastAsia="Calibri" w:hAnsi="Calibri"/>
        </w:rPr>
        <w:t>patient mix during FY23 was 56% female and 44% male each year.</w:t>
      </w:r>
      <w:r w:rsidR="0068307C">
        <w:rPr>
          <w:rFonts w:ascii="Calibri" w:eastAsia="Calibri" w:hAnsi="Calibri"/>
        </w:rPr>
        <w:t xml:space="preserve"> </w:t>
      </w:r>
      <w:r w:rsidR="00D94434">
        <w:rPr>
          <w:rFonts w:ascii="Calibri" w:eastAsia="Calibri" w:hAnsi="Calibri"/>
        </w:rPr>
        <w:t>While 62</w:t>
      </w:r>
      <w:r w:rsidR="0068307C" w:rsidRPr="0068307C">
        <w:rPr>
          <w:rFonts w:ascii="Calibri" w:eastAsia="Calibri" w:hAnsi="Calibri"/>
        </w:rPr>
        <w:t xml:space="preserve">% of the patients served by </w:t>
      </w:r>
      <w:r w:rsidR="00D94434">
        <w:rPr>
          <w:rFonts w:ascii="Calibri" w:eastAsia="Calibri" w:hAnsi="Calibri"/>
        </w:rPr>
        <w:t xml:space="preserve">SDS </w:t>
      </w:r>
      <w:r w:rsidR="0068307C" w:rsidRPr="0068307C">
        <w:rPr>
          <w:rFonts w:ascii="Calibri" w:eastAsia="Calibri" w:hAnsi="Calibri"/>
        </w:rPr>
        <w:t>are female and approximately 3</w:t>
      </w:r>
      <w:r w:rsidR="00D94434">
        <w:rPr>
          <w:rFonts w:ascii="Calibri" w:eastAsia="Calibri" w:hAnsi="Calibri"/>
        </w:rPr>
        <w:t>8</w:t>
      </w:r>
      <w:r w:rsidR="0068307C" w:rsidRPr="0068307C">
        <w:rPr>
          <w:rFonts w:ascii="Calibri" w:eastAsia="Calibri" w:hAnsi="Calibri"/>
        </w:rPr>
        <w:t>% are male.</w:t>
      </w:r>
    </w:p>
    <w:p w14:paraId="7D70E417" w14:textId="3FDA2C8A" w:rsidR="007928A3" w:rsidRPr="0068307C" w:rsidRDefault="373FA9E1" w:rsidP="00E347B4">
      <w:pPr>
        <w:spacing w:after="240"/>
        <w:rPr>
          <w:rFonts w:eastAsia="Calibri"/>
        </w:rPr>
      </w:pPr>
      <w:bookmarkStart w:id="33" w:name="_Hlk151731082"/>
      <w:r w:rsidRPr="6380A8AC">
        <w:rPr>
          <w:rFonts w:ascii="Calibri" w:eastAsia="Calibri" w:hAnsi="Calibri" w:cs="Calibri"/>
          <w:b/>
          <w:bCs/>
        </w:rPr>
        <w:t xml:space="preserve">Age: </w:t>
      </w:r>
      <w:r w:rsidR="0068307C" w:rsidRPr="00067789">
        <w:rPr>
          <w:rFonts w:ascii="Calibri" w:eastAsia="Calibri" w:hAnsi="Calibri" w:cs="Calibri"/>
        </w:rPr>
        <w:t>A</w:t>
      </w:r>
      <w:r w:rsidR="00D94434">
        <w:rPr>
          <w:rFonts w:ascii="Calibri" w:eastAsia="Calibri" w:hAnsi="Calibri" w:cs="Calibri"/>
        </w:rPr>
        <w:t xml:space="preserve">t SHS </w:t>
      </w:r>
      <w:r w:rsidR="0068307C">
        <w:rPr>
          <w:rFonts w:ascii="Calibri" w:eastAsia="Calibri" w:hAnsi="Calibri" w:cs="Calibri"/>
        </w:rPr>
        <w:t>~</w:t>
      </w:r>
      <w:r w:rsidR="00D94434">
        <w:rPr>
          <w:rFonts w:ascii="Calibri" w:eastAsia="Calibri" w:hAnsi="Calibri" w:cs="Calibri"/>
        </w:rPr>
        <w:t>62</w:t>
      </w:r>
      <w:r w:rsidR="0068307C" w:rsidRPr="00067789">
        <w:rPr>
          <w:rFonts w:ascii="Calibri" w:eastAsia="Calibri" w:hAnsi="Calibri" w:cs="Calibri"/>
        </w:rPr>
        <w:t xml:space="preserve">% of the patients were </w:t>
      </w:r>
      <w:r w:rsidR="0068307C">
        <w:rPr>
          <w:rFonts w:ascii="Calibri" w:eastAsia="Calibri" w:hAnsi="Calibri" w:cs="Calibri"/>
        </w:rPr>
        <w:t>ages</w:t>
      </w:r>
      <w:r w:rsidR="0068307C" w:rsidRPr="00067789">
        <w:rPr>
          <w:rFonts w:ascii="Calibri" w:eastAsia="Calibri" w:hAnsi="Calibri" w:cs="Calibri"/>
        </w:rPr>
        <w:t xml:space="preserve"> 18-64</w:t>
      </w:r>
      <w:r w:rsidR="00D94434">
        <w:rPr>
          <w:rFonts w:ascii="Calibri" w:eastAsia="Calibri" w:hAnsi="Calibri" w:cs="Calibri"/>
        </w:rPr>
        <w:t xml:space="preserve">; 25% were </w:t>
      </w:r>
      <w:r w:rsidR="005C66A8">
        <w:rPr>
          <w:rFonts w:ascii="Calibri" w:eastAsia="Calibri" w:hAnsi="Calibri" w:cs="Calibri"/>
        </w:rPr>
        <w:t>65 and older, and 13% were ages 0-17</w:t>
      </w:r>
      <w:r w:rsidR="0068307C" w:rsidRPr="00067789">
        <w:rPr>
          <w:rFonts w:ascii="Calibri" w:eastAsia="Calibri" w:hAnsi="Calibri" w:cs="Calibri"/>
        </w:rPr>
        <w:t>.</w:t>
      </w:r>
      <w:r w:rsidR="0068307C">
        <w:rPr>
          <w:rFonts w:ascii="Calibri" w:eastAsia="Calibri" w:hAnsi="Calibri" w:cs="Calibri"/>
        </w:rPr>
        <w:t xml:space="preserve"> </w:t>
      </w:r>
      <w:r w:rsidR="005C66A8">
        <w:rPr>
          <w:rFonts w:ascii="Calibri" w:eastAsia="Calibri" w:hAnsi="Calibri" w:cs="Calibri"/>
        </w:rPr>
        <w:t xml:space="preserve">At SDS, 73% </w:t>
      </w:r>
      <w:r w:rsidR="0068307C" w:rsidRPr="0068307C">
        <w:rPr>
          <w:rFonts w:ascii="Calibri" w:eastAsia="Calibri" w:hAnsi="Calibri" w:cs="Calibri"/>
        </w:rPr>
        <w:t xml:space="preserve">are </w:t>
      </w:r>
      <w:r w:rsidR="00EC3C79" w:rsidRPr="0068307C">
        <w:rPr>
          <w:rFonts w:ascii="Calibri" w:eastAsia="Calibri" w:hAnsi="Calibri" w:cs="Calibri"/>
        </w:rPr>
        <w:t>age</w:t>
      </w:r>
      <w:r w:rsidR="0068307C" w:rsidRPr="0068307C">
        <w:rPr>
          <w:rFonts w:ascii="Calibri" w:eastAsia="Calibri" w:hAnsi="Calibri" w:cs="Calibri"/>
        </w:rPr>
        <w:t xml:space="preserve"> 18-64</w:t>
      </w:r>
      <w:r w:rsidR="005F7EA0">
        <w:rPr>
          <w:rFonts w:ascii="Calibri" w:eastAsia="Calibri" w:hAnsi="Calibri" w:cs="Calibri"/>
        </w:rPr>
        <w:t xml:space="preserve">, </w:t>
      </w:r>
      <w:r w:rsidR="0068307C" w:rsidRPr="0068307C">
        <w:rPr>
          <w:rFonts w:ascii="Calibri" w:eastAsia="Calibri" w:hAnsi="Calibri" w:cs="Calibri"/>
        </w:rPr>
        <w:t>2</w:t>
      </w:r>
      <w:r w:rsidR="00D94434">
        <w:rPr>
          <w:rFonts w:ascii="Calibri" w:eastAsia="Calibri" w:hAnsi="Calibri" w:cs="Calibri"/>
        </w:rPr>
        <w:t>6</w:t>
      </w:r>
      <w:r w:rsidR="0068307C" w:rsidRPr="0068307C">
        <w:rPr>
          <w:rFonts w:ascii="Calibri" w:eastAsia="Calibri" w:hAnsi="Calibri" w:cs="Calibri"/>
        </w:rPr>
        <w:t>% are age 65 and older</w:t>
      </w:r>
      <w:r w:rsidR="005C66A8">
        <w:rPr>
          <w:rFonts w:ascii="Calibri" w:eastAsia="Calibri" w:hAnsi="Calibri" w:cs="Calibri"/>
        </w:rPr>
        <w:t>, and ~</w:t>
      </w:r>
      <w:r w:rsidR="005C66A8" w:rsidRPr="00067789">
        <w:rPr>
          <w:rFonts w:ascii="Calibri" w:eastAsia="Calibri" w:hAnsi="Calibri" w:cs="Calibri"/>
        </w:rPr>
        <w:t>1% are aged 0-17</w:t>
      </w:r>
      <w:r w:rsidR="005C66A8">
        <w:rPr>
          <w:rFonts w:ascii="Calibri" w:eastAsia="Calibri" w:hAnsi="Calibri" w:cs="Calibri"/>
        </w:rPr>
        <w:t>.</w:t>
      </w:r>
    </w:p>
    <w:bookmarkEnd w:id="33"/>
    <w:p w14:paraId="6EEB3C4A" w14:textId="593FBEEF" w:rsidR="007928A3" w:rsidRPr="005F7EA0" w:rsidRDefault="373FA9E1" w:rsidP="00E347B4">
      <w:pPr>
        <w:spacing w:after="160"/>
        <w:rPr>
          <w:rFonts w:ascii="Calibri" w:eastAsia="Calibri" w:hAnsi="Calibri"/>
        </w:rPr>
      </w:pPr>
      <w:r w:rsidRPr="6F80FCDD">
        <w:rPr>
          <w:rFonts w:ascii="Calibri" w:eastAsia="Calibri" w:hAnsi="Calibri"/>
          <w:b/>
          <w:bCs/>
        </w:rPr>
        <w:lastRenderedPageBreak/>
        <w:t xml:space="preserve">Race: </w:t>
      </w:r>
      <w:bookmarkEnd w:id="31"/>
      <w:r w:rsidR="005C66A8" w:rsidRPr="005C66A8">
        <w:rPr>
          <w:rFonts w:ascii="Calibri" w:eastAsia="Calibri" w:hAnsi="Calibri"/>
        </w:rPr>
        <w:t>At SHS</w:t>
      </w:r>
      <w:r w:rsidR="005C66A8">
        <w:rPr>
          <w:rFonts w:ascii="Calibri" w:eastAsia="Calibri" w:hAnsi="Calibri"/>
          <w:b/>
          <w:bCs/>
        </w:rPr>
        <w:t xml:space="preserve"> </w:t>
      </w:r>
      <w:r w:rsidR="005F7EA0">
        <w:rPr>
          <w:rFonts w:ascii="Calibri" w:eastAsia="Calibri" w:hAnsi="Calibri"/>
        </w:rPr>
        <w:t xml:space="preserve">the self-reported racial mix </w:t>
      </w:r>
      <w:r w:rsidR="005F7EA0" w:rsidRPr="00067789">
        <w:rPr>
          <w:rFonts w:ascii="Calibri" w:eastAsia="Calibri" w:hAnsi="Calibri"/>
        </w:rPr>
        <w:t xml:space="preserve">is </w:t>
      </w:r>
      <w:r w:rsidR="005F7EA0">
        <w:rPr>
          <w:rFonts w:ascii="Calibri" w:eastAsia="Calibri" w:hAnsi="Calibri"/>
        </w:rPr>
        <w:t>~7</w:t>
      </w:r>
      <w:r w:rsidR="005C66A8">
        <w:rPr>
          <w:rFonts w:ascii="Calibri" w:eastAsia="Calibri" w:hAnsi="Calibri"/>
        </w:rPr>
        <w:t>7</w:t>
      </w:r>
      <w:r w:rsidR="005F7EA0">
        <w:rPr>
          <w:rFonts w:ascii="Calibri" w:eastAsia="Calibri" w:hAnsi="Calibri"/>
        </w:rPr>
        <w:t xml:space="preserve">% </w:t>
      </w:r>
      <w:r w:rsidR="005F7EA0" w:rsidRPr="00067789">
        <w:rPr>
          <w:rFonts w:ascii="Calibri" w:eastAsia="Calibri" w:hAnsi="Calibri"/>
        </w:rPr>
        <w:t>white</w:t>
      </w:r>
      <w:r w:rsidR="005F7EA0">
        <w:rPr>
          <w:rFonts w:ascii="Calibri" w:eastAsia="Calibri" w:hAnsi="Calibri"/>
        </w:rPr>
        <w:t xml:space="preserve">, </w:t>
      </w:r>
      <w:r w:rsidR="005C66A8">
        <w:rPr>
          <w:rFonts w:ascii="Calibri" w:eastAsia="Calibri" w:hAnsi="Calibri"/>
        </w:rPr>
        <w:t>5</w:t>
      </w:r>
      <w:r w:rsidR="005F7EA0" w:rsidRPr="00067789">
        <w:rPr>
          <w:rFonts w:ascii="Calibri" w:eastAsia="Calibri" w:hAnsi="Calibri"/>
        </w:rPr>
        <w:t xml:space="preserve">% Black or African American, </w:t>
      </w:r>
      <w:r w:rsidR="005C66A8">
        <w:rPr>
          <w:rFonts w:ascii="Calibri" w:eastAsia="Calibri" w:hAnsi="Calibri"/>
        </w:rPr>
        <w:t>1</w:t>
      </w:r>
      <w:r w:rsidR="005F7EA0">
        <w:rPr>
          <w:rFonts w:ascii="Calibri" w:eastAsia="Calibri" w:hAnsi="Calibri"/>
        </w:rPr>
        <w:t xml:space="preserve">% </w:t>
      </w:r>
      <w:r w:rsidR="005F7EA0" w:rsidRPr="00067789">
        <w:rPr>
          <w:rFonts w:ascii="Calibri" w:eastAsia="Calibri" w:hAnsi="Calibri"/>
        </w:rPr>
        <w:t>Asian</w:t>
      </w:r>
      <w:r w:rsidR="005F7EA0">
        <w:rPr>
          <w:rFonts w:ascii="Calibri" w:eastAsia="Calibri" w:hAnsi="Calibri"/>
        </w:rPr>
        <w:t xml:space="preserve">, </w:t>
      </w:r>
      <w:r w:rsidR="005C66A8">
        <w:rPr>
          <w:rFonts w:ascii="Calibri" w:eastAsia="Calibri" w:hAnsi="Calibri"/>
        </w:rPr>
        <w:t>4</w:t>
      </w:r>
      <w:r w:rsidR="005F7EA0">
        <w:rPr>
          <w:rFonts w:ascii="Calibri" w:eastAsia="Calibri" w:hAnsi="Calibri"/>
        </w:rPr>
        <w:t xml:space="preserve">% </w:t>
      </w:r>
      <w:r w:rsidR="005F7EA0" w:rsidRPr="00067789">
        <w:rPr>
          <w:rFonts w:ascii="Calibri" w:eastAsia="Calibri" w:hAnsi="Calibri"/>
        </w:rPr>
        <w:t xml:space="preserve">Hispanic, and </w:t>
      </w:r>
      <w:r w:rsidR="005C66A8">
        <w:rPr>
          <w:rFonts w:ascii="Calibri" w:eastAsia="Calibri" w:hAnsi="Calibri"/>
        </w:rPr>
        <w:t>&lt;1</w:t>
      </w:r>
      <w:r w:rsidR="005F7EA0" w:rsidRPr="00067789">
        <w:rPr>
          <w:rFonts w:ascii="Calibri" w:eastAsia="Calibri" w:hAnsi="Calibri"/>
        </w:rPr>
        <w:t>%</w:t>
      </w:r>
      <w:r w:rsidR="005F7EA0">
        <w:rPr>
          <w:rFonts w:ascii="Calibri" w:eastAsia="Calibri" w:hAnsi="Calibri"/>
        </w:rPr>
        <w:t xml:space="preserve"> </w:t>
      </w:r>
      <w:r w:rsidR="005F7EA0" w:rsidRPr="00067789">
        <w:rPr>
          <w:rFonts w:ascii="Calibri" w:eastAsia="Calibri" w:hAnsi="Calibri"/>
        </w:rPr>
        <w:t>American Indian or Alaska Native. These are self-reported figures and there is a significant percentage (</w:t>
      </w:r>
      <w:r w:rsidR="005C66A8">
        <w:rPr>
          <w:rFonts w:ascii="Calibri" w:eastAsia="Calibri" w:hAnsi="Calibri"/>
        </w:rPr>
        <w:t>~16%</w:t>
      </w:r>
      <w:r w:rsidR="005F7EA0" w:rsidRPr="00067789">
        <w:rPr>
          <w:rFonts w:ascii="Calibri" w:eastAsia="Calibri" w:hAnsi="Calibri"/>
        </w:rPr>
        <w:t xml:space="preserve">) of the population that either chose not to report or </w:t>
      </w:r>
      <w:r w:rsidR="005C66A8">
        <w:rPr>
          <w:rFonts w:ascii="Calibri" w:eastAsia="Calibri" w:hAnsi="Calibri"/>
        </w:rPr>
        <w:t>“didn’t know”</w:t>
      </w:r>
      <w:r w:rsidR="005F7EA0" w:rsidRPr="00067789">
        <w:rPr>
          <w:rFonts w:ascii="Calibri" w:eastAsia="Calibri" w:hAnsi="Calibri"/>
        </w:rPr>
        <w:t>.</w:t>
      </w:r>
    </w:p>
    <w:p w14:paraId="27726AFE" w14:textId="613B0B5E" w:rsidR="00795807" w:rsidRPr="00067789" w:rsidRDefault="373FA9E1" w:rsidP="00795807">
      <w:pPr>
        <w:spacing w:after="160"/>
        <w:rPr>
          <w:rFonts w:ascii="Calibri" w:eastAsia="Calibri" w:hAnsi="Calibri"/>
        </w:rPr>
      </w:pPr>
      <w:r w:rsidRPr="6F80FCDD">
        <w:rPr>
          <w:rFonts w:ascii="Calibri" w:eastAsia="Calibri" w:hAnsi="Calibri"/>
          <w:b/>
          <w:bCs/>
        </w:rPr>
        <w:t>Patient Origin</w:t>
      </w:r>
      <w:r w:rsidR="00750E83">
        <w:rPr>
          <w:rFonts w:ascii="Calibri" w:eastAsia="Calibri" w:hAnsi="Calibri"/>
        </w:rPr>
        <w:t>: S</w:t>
      </w:r>
      <w:r w:rsidR="005F4C29">
        <w:rPr>
          <w:rFonts w:ascii="Calibri" w:eastAsia="Calibri" w:hAnsi="Calibri"/>
        </w:rPr>
        <w:t xml:space="preserve">HS serves patients </w:t>
      </w:r>
      <w:r w:rsidR="00330739">
        <w:rPr>
          <w:rFonts w:ascii="Calibri" w:eastAsia="Calibri" w:hAnsi="Calibri"/>
        </w:rPr>
        <w:t xml:space="preserve">residing </w:t>
      </w:r>
      <w:r w:rsidR="005F4C29">
        <w:rPr>
          <w:rFonts w:ascii="Calibri" w:eastAsia="Calibri" w:hAnsi="Calibri"/>
        </w:rPr>
        <w:t xml:space="preserve">in southeastern MA. </w:t>
      </w:r>
      <w:r w:rsidR="00330739">
        <w:rPr>
          <w:rFonts w:ascii="Calibri" w:eastAsia="Calibri" w:hAnsi="Calibri"/>
        </w:rPr>
        <w:t>The largest percentages of patients live in New Bedford</w:t>
      </w:r>
      <w:r w:rsidR="00090508">
        <w:rPr>
          <w:rFonts w:ascii="Calibri" w:eastAsia="Calibri" w:hAnsi="Calibri"/>
        </w:rPr>
        <w:t xml:space="preserve"> (</w:t>
      </w:r>
      <w:r w:rsidR="007425E1">
        <w:rPr>
          <w:rFonts w:ascii="Calibri" w:eastAsia="Calibri" w:hAnsi="Calibri"/>
        </w:rPr>
        <w:t>20%</w:t>
      </w:r>
      <w:r w:rsidR="00090508">
        <w:rPr>
          <w:rFonts w:ascii="Calibri" w:eastAsia="Calibri" w:hAnsi="Calibri"/>
        </w:rPr>
        <w:t>)</w:t>
      </w:r>
      <w:r w:rsidR="007425E1">
        <w:rPr>
          <w:rFonts w:ascii="Calibri" w:eastAsia="Calibri" w:hAnsi="Calibri"/>
        </w:rPr>
        <w:t xml:space="preserve"> and Fall River </w:t>
      </w:r>
      <w:r w:rsidR="00090508">
        <w:rPr>
          <w:rFonts w:ascii="Calibri" w:eastAsia="Calibri" w:hAnsi="Calibri"/>
        </w:rPr>
        <w:t>(</w:t>
      </w:r>
      <w:r w:rsidR="007425E1">
        <w:rPr>
          <w:rFonts w:ascii="Calibri" w:eastAsia="Calibri" w:hAnsi="Calibri"/>
        </w:rPr>
        <w:t>17%</w:t>
      </w:r>
      <w:r w:rsidR="00090508">
        <w:rPr>
          <w:rFonts w:ascii="Calibri" w:eastAsia="Calibri" w:hAnsi="Calibri"/>
        </w:rPr>
        <w:t>)</w:t>
      </w:r>
      <w:r w:rsidR="00E34BFA">
        <w:rPr>
          <w:rFonts w:ascii="Calibri" w:eastAsia="Calibri" w:hAnsi="Calibri"/>
        </w:rPr>
        <w:t xml:space="preserve">; the next highest concentration of patients reside in </w:t>
      </w:r>
      <w:r w:rsidR="009C7EF4">
        <w:rPr>
          <w:rFonts w:ascii="Calibri" w:eastAsia="Calibri" w:hAnsi="Calibri"/>
        </w:rPr>
        <w:t>North Dart</w:t>
      </w:r>
      <w:r w:rsidR="00821679">
        <w:rPr>
          <w:rFonts w:ascii="Calibri" w:eastAsia="Calibri" w:hAnsi="Calibri"/>
        </w:rPr>
        <w:t>mouth</w:t>
      </w:r>
      <w:r w:rsidR="00090508">
        <w:rPr>
          <w:rFonts w:ascii="Calibri" w:eastAsia="Calibri" w:hAnsi="Calibri"/>
        </w:rPr>
        <w:t xml:space="preserve"> (</w:t>
      </w:r>
      <w:r w:rsidR="00821679">
        <w:rPr>
          <w:rFonts w:ascii="Calibri" w:eastAsia="Calibri" w:hAnsi="Calibri"/>
        </w:rPr>
        <w:t>4%</w:t>
      </w:r>
      <w:r w:rsidR="00090508">
        <w:rPr>
          <w:rFonts w:ascii="Calibri" w:eastAsia="Calibri" w:hAnsi="Calibri"/>
        </w:rPr>
        <w:t>)</w:t>
      </w:r>
      <w:r w:rsidR="00821679">
        <w:rPr>
          <w:rFonts w:ascii="Calibri" w:eastAsia="Calibri" w:hAnsi="Calibri"/>
        </w:rPr>
        <w:t xml:space="preserve">. </w:t>
      </w:r>
      <w:r w:rsidR="007425E1">
        <w:rPr>
          <w:rFonts w:ascii="Calibri" w:eastAsia="Calibri" w:hAnsi="Calibri"/>
        </w:rPr>
        <w:t xml:space="preserve">SDS does not track patient origin. </w:t>
      </w:r>
    </w:p>
    <w:p w14:paraId="2EB0AE28" w14:textId="0A1280A3" w:rsidR="00474BD9" w:rsidRPr="008E157F" w:rsidRDefault="2848299F" w:rsidP="6F80FCDD">
      <w:pPr>
        <w:pStyle w:val="RBNBasicNoSpace"/>
        <w:jc w:val="center"/>
        <w:rPr>
          <w:b/>
          <w:bCs/>
        </w:rPr>
      </w:pPr>
      <w:r w:rsidRPr="6F80FCDD">
        <w:rPr>
          <w:b/>
          <w:bCs/>
        </w:rPr>
        <w:t xml:space="preserve">Table </w:t>
      </w:r>
      <w:r w:rsidR="00697C6F">
        <w:rPr>
          <w:b/>
          <w:bCs/>
        </w:rPr>
        <w:t>3</w:t>
      </w:r>
      <w:r w:rsidRPr="6F80FCDD">
        <w:rPr>
          <w:b/>
          <w:bCs/>
        </w:rPr>
        <w:t xml:space="preserve">: </w:t>
      </w:r>
      <w:r w:rsidR="00BC27B1">
        <w:rPr>
          <w:b/>
          <w:bCs/>
        </w:rPr>
        <w:t xml:space="preserve">FY ’23 </w:t>
      </w:r>
      <w:r w:rsidRPr="6F80FCDD">
        <w:rPr>
          <w:b/>
          <w:bCs/>
        </w:rPr>
        <w:t>Pay</w:t>
      </w:r>
      <w:r w:rsidR="00A21B9E">
        <w:rPr>
          <w:b/>
          <w:bCs/>
        </w:rPr>
        <w:t>e</w:t>
      </w:r>
      <w:r w:rsidRPr="6F80FCDD">
        <w:rPr>
          <w:b/>
          <w:bCs/>
        </w:rPr>
        <w:t>r Mix for</w:t>
      </w:r>
      <w:r w:rsidR="003E2C85">
        <w:rPr>
          <w:b/>
          <w:bCs/>
        </w:rPr>
        <w:t xml:space="preserve"> Outpatient Surgical Services</w:t>
      </w:r>
    </w:p>
    <w:p w14:paraId="4B15FC2A" w14:textId="77777777" w:rsidR="00474BD9" w:rsidRPr="00474BD9" w:rsidRDefault="00474BD9" w:rsidP="00474BD9">
      <w:pPr>
        <w:pStyle w:val="RBNBasicNoSpace"/>
        <w:jc w:val="both"/>
        <w:rPr>
          <w:szCs w:val="24"/>
        </w:rPr>
      </w:pP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1034"/>
        <w:gridCol w:w="1150"/>
      </w:tblGrid>
      <w:tr w:rsidR="00BC27B1" w:rsidRPr="00BC27B1" w14:paraId="340AFF2F" w14:textId="77777777" w:rsidTr="00100B21">
        <w:trPr>
          <w:cantSplit/>
          <w:trHeight w:val="290"/>
          <w:tblHeader/>
          <w:jc w:val="center"/>
        </w:trPr>
        <w:tc>
          <w:tcPr>
            <w:tcW w:w="3056" w:type="dxa"/>
            <w:shd w:val="clear" w:color="auto" w:fill="E1FFFF"/>
            <w:vAlign w:val="center"/>
            <w:hideMark/>
          </w:tcPr>
          <w:p w14:paraId="25E58D49" w14:textId="77777777" w:rsidR="00BC27B1" w:rsidRPr="00BC27B1" w:rsidRDefault="00BC27B1" w:rsidP="00BC27B1">
            <w:pPr>
              <w:jc w:val="center"/>
              <w:rPr>
                <w:rFonts w:ascii="Calibri" w:eastAsia="Times New Roman" w:hAnsi="Calibri" w:cs="Calibri"/>
                <w:color w:val="000000"/>
              </w:rPr>
            </w:pPr>
            <w:r w:rsidRPr="00BC27B1">
              <w:rPr>
                <w:rFonts w:ascii="Calibri" w:eastAsia="Times New Roman" w:hAnsi="Calibri" w:cs="Calibri"/>
                <w:color w:val="000000"/>
              </w:rPr>
              <w:t xml:space="preserve"> </w:t>
            </w:r>
          </w:p>
        </w:tc>
        <w:tc>
          <w:tcPr>
            <w:tcW w:w="1034" w:type="dxa"/>
            <w:shd w:val="clear" w:color="auto" w:fill="E1FFFF"/>
            <w:vAlign w:val="center"/>
          </w:tcPr>
          <w:p w14:paraId="7269E742" w14:textId="4292C170" w:rsidR="00BC27B1" w:rsidRPr="00BC27B1" w:rsidRDefault="003F016B" w:rsidP="00BC27B1">
            <w:pPr>
              <w:jc w:val="center"/>
              <w:rPr>
                <w:rFonts w:ascii="Calibri" w:eastAsia="Times New Roman" w:hAnsi="Calibri" w:cs="Calibri"/>
                <w:b/>
                <w:bCs/>
                <w:color w:val="000000"/>
              </w:rPr>
            </w:pPr>
            <w:r>
              <w:rPr>
                <w:rFonts w:ascii="Calibri" w:eastAsia="Times New Roman" w:hAnsi="Calibri" w:cs="Calibri"/>
                <w:b/>
                <w:bCs/>
                <w:color w:val="000000"/>
              </w:rPr>
              <w:t>SHS</w:t>
            </w:r>
          </w:p>
        </w:tc>
        <w:tc>
          <w:tcPr>
            <w:tcW w:w="1150" w:type="dxa"/>
            <w:shd w:val="clear" w:color="auto" w:fill="E1FFFF"/>
            <w:vAlign w:val="center"/>
          </w:tcPr>
          <w:p w14:paraId="63D9C297" w14:textId="18C28F90" w:rsidR="00BC27B1" w:rsidRPr="00BC27B1" w:rsidRDefault="003F016B" w:rsidP="00BC27B1">
            <w:pPr>
              <w:jc w:val="center"/>
              <w:rPr>
                <w:rFonts w:ascii="Calibri" w:eastAsia="Times New Roman" w:hAnsi="Calibri" w:cs="Calibri"/>
                <w:b/>
                <w:bCs/>
                <w:color w:val="000000"/>
              </w:rPr>
            </w:pPr>
            <w:r>
              <w:rPr>
                <w:rFonts w:ascii="Calibri" w:eastAsia="Times New Roman" w:hAnsi="Calibri" w:cs="Calibri"/>
                <w:b/>
                <w:bCs/>
                <w:color w:val="000000"/>
              </w:rPr>
              <w:t>SDS</w:t>
            </w:r>
          </w:p>
        </w:tc>
      </w:tr>
      <w:tr w:rsidR="00E25D20" w:rsidRPr="00BC27B1" w14:paraId="44EF79AD" w14:textId="77777777" w:rsidTr="00100B21">
        <w:trPr>
          <w:cantSplit/>
          <w:trHeight w:hRule="exact" w:val="290"/>
          <w:jc w:val="center"/>
        </w:trPr>
        <w:tc>
          <w:tcPr>
            <w:tcW w:w="3056" w:type="dxa"/>
            <w:shd w:val="clear" w:color="auto" w:fill="auto"/>
            <w:vAlign w:val="center"/>
            <w:hideMark/>
          </w:tcPr>
          <w:p w14:paraId="24EC903B" w14:textId="77777777" w:rsidR="00E25D20" w:rsidRPr="00BC27B1" w:rsidRDefault="00E25D20" w:rsidP="00E25D20">
            <w:pPr>
              <w:rPr>
                <w:rFonts w:ascii="Calibri" w:eastAsia="Times New Roman" w:hAnsi="Calibri" w:cs="Calibri"/>
                <w:b/>
                <w:bCs/>
                <w:color w:val="000000"/>
              </w:rPr>
            </w:pPr>
            <w:r w:rsidRPr="00BC27B1">
              <w:rPr>
                <w:rFonts w:ascii="Calibri" w:eastAsia="Times New Roman" w:hAnsi="Calibri" w:cs="Calibri"/>
                <w:b/>
                <w:bCs/>
                <w:color w:val="000000"/>
              </w:rPr>
              <w:t>Commercial Total</w:t>
            </w:r>
          </w:p>
        </w:tc>
        <w:tc>
          <w:tcPr>
            <w:tcW w:w="1034" w:type="dxa"/>
            <w:shd w:val="clear" w:color="auto" w:fill="auto"/>
            <w:vAlign w:val="center"/>
          </w:tcPr>
          <w:p w14:paraId="2265FF54" w14:textId="21FC0AE1" w:rsidR="00E25D20" w:rsidRPr="00E25D20" w:rsidRDefault="00E25D20" w:rsidP="00E25D20">
            <w:pPr>
              <w:jc w:val="right"/>
              <w:rPr>
                <w:rFonts w:ascii="Calibri" w:eastAsia="Times New Roman" w:hAnsi="Calibri" w:cs="Calibri"/>
                <w:b/>
                <w:bCs/>
                <w:color w:val="000000"/>
              </w:rPr>
            </w:pPr>
            <w:r w:rsidRPr="00E25D20">
              <w:rPr>
                <w:rFonts w:ascii="Calibri" w:hAnsi="Calibri" w:cs="Calibri"/>
                <w:b/>
                <w:bCs/>
                <w:color w:val="000000"/>
                <w:sz w:val="22"/>
                <w:szCs w:val="22"/>
              </w:rPr>
              <w:t>29.1%</w:t>
            </w:r>
          </w:p>
        </w:tc>
        <w:tc>
          <w:tcPr>
            <w:tcW w:w="1150" w:type="dxa"/>
            <w:shd w:val="clear" w:color="auto" w:fill="auto"/>
            <w:vAlign w:val="center"/>
          </w:tcPr>
          <w:p w14:paraId="3E00EF77" w14:textId="0294F0B1" w:rsidR="00E25D20" w:rsidRPr="00BC27B1" w:rsidRDefault="00E25D20" w:rsidP="00E25D20">
            <w:pPr>
              <w:jc w:val="right"/>
              <w:rPr>
                <w:rFonts w:ascii="Calibri" w:eastAsia="Times New Roman" w:hAnsi="Calibri" w:cs="Calibri"/>
                <w:b/>
                <w:bCs/>
                <w:color w:val="000000"/>
              </w:rPr>
            </w:pPr>
            <w:r>
              <w:rPr>
                <w:rFonts w:ascii="Calibri" w:hAnsi="Calibri" w:cs="Calibri"/>
                <w:b/>
                <w:bCs/>
                <w:color w:val="000000"/>
                <w:sz w:val="22"/>
                <w:szCs w:val="22"/>
              </w:rPr>
              <w:t>66.6%</w:t>
            </w:r>
          </w:p>
        </w:tc>
      </w:tr>
      <w:tr w:rsidR="00E25D20" w:rsidRPr="00BC27B1" w14:paraId="5A148410" w14:textId="77777777" w:rsidTr="00100B21">
        <w:trPr>
          <w:cantSplit/>
          <w:trHeight w:val="290"/>
          <w:jc w:val="center"/>
        </w:trPr>
        <w:tc>
          <w:tcPr>
            <w:tcW w:w="3056" w:type="dxa"/>
            <w:shd w:val="clear" w:color="auto" w:fill="auto"/>
            <w:vAlign w:val="center"/>
            <w:hideMark/>
          </w:tcPr>
          <w:p w14:paraId="321BCCB2" w14:textId="77777777" w:rsidR="00E25D20" w:rsidRPr="00BC27B1" w:rsidRDefault="00E25D20" w:rsidP="00E25D20">
            <w:pPr>
              <w:rPr>
                <w:rFonts w:ascii="Calibri" w:eastAsia="Times New Roman" w:hAnsi="Calibri" w:cs="Calibri"/>
                <w:color w:val="000000"/>
              </w:rPr>
            </w:pPr>
            <w:r w:rsidRPr="00BC27B1">
              <w:rPr>
                <w:rFonts w:ascii="Calibri" w:eastAsia="Times New Roman" w:hAnsi="Calibri" w:cs="Calibri"/>
                <w:color w:val="000000"/>
              </w:rPr>
              <w:t>Commercial PPO/Indemnity</w:t>
            </w:r>
          </w:p>
        </w:tc>
        <w:tc>
          <w:tcPr>
            <w:tcW w:w="1034" w:type="dxa"/>
            <w:shd w:val="clear" w:color="auto" w:fill="auto"/>
            <w:vAlign w:val="center"/>
          </w:tcPr>
          <w:p w14:paraId="6F88A340" w14:textId="5D3A2E7B" w:rsidR="00E25D20" w:rsidRPr="00E25D20" w:rsidRDefault="00E25D20" w:rsidP="00E25D20">
            <w:pPr>
              <w:jc w:val="right"/>
              <w:rPr>
                <w:rFonts w:ascii="Calibri" w:eastAsia="Times New Roman" w:hAnsi="Calibri" w:cs="Calibri"/>
                <w:color w:val="000000"/>
              </w:rPr>
            </w:pPr>
            <w:r w:rsidRPr="00E25D20">
              <w:rPr>
                <w:rFonts w:ascii="Calibri" w:hAnsi="Calibri" w:cs="Calibri"/>
                <w:color w:val="000000"/>
                <w:sz w:val="22"/>
                <w:szCs w:val="22"/>
              </w:rPr>
              <w:t>16.3%</w:t>
            </w:r>
          </w:p>
        </w:tc>
        <w:tc>
          <w:tcPr>
            <w:tcW w:w="1150" w:type="dxa"/>
            <w:shd w:val="clear" w:color="auto" w:fill="auto"/>
            <w:vAlign w:val="center"/>
          </w:tcPr>
          <w:p w14:paraId="67EBBF3D" w14:textId="26E26189" w:rsidR="00E25D20" w:rsidRPr="00E25D20" w:rsidRDefault="00E25D20" w:rsidP="00E25D20">
            <w:pPr>
              <w:jc w:val="right"/>
              <w:rPr>
                <w:rFonts w:ascii="Calibri" w:eastAsia="Times New Roman" w:hAnsi="Calibri" w:cs="Calibri"/>
                <w:color w:val="000000"/>
              </w:rPr>
            </w:pPr>
            <w:r w:rsidRPr="00E25D20">
              <w:rPr>
                <w:rFonts w:ascii="Calibri" w:hAnsi="Calibri" w:cs="Calibri"/>
                <w:color w:val="000000"/>
                <w:sz w:val="22"/>
                <w:szCs w:val="22"/>
              </w:rPr>
              <w:t>54.6%</w:t>
            </w:r>
          </w:p>
        </w:tc>
      </w:tr>
      <w:tr w:rsidR="00E25D20" w:rsidRPr="00BC27B1" w14:paraId="1C083864" w14:textId="77777777" w:rsidTr="00100B21">
        <w:trPr>
          <w:cantSplit/>
          <w:trHeight w:val="290"/>
          <w:jc w:val="center"/>
        </w:trPr>
        <w:tc>
          <w:tcPr>
            <w:tcW w:w="3056" w:type="dxa"/>
            <w:shd w:val="clear" w:color="auto" w:fill="auto"/>
            <w:vAlign w:val="center"/>
            <w:hideMark/>
          </w:tcPr>
          <w:p w14:paraId="601B5225" w14:textId="77777777" w:rsidR="00E25D20" w:rsidRPr="00BC27B1" w:rsidRDefault="00E25D20" w:rsidP="00E25D20">
            <w:pPr>
              <w:rPr>
                <w:rFonts w:ascii="Calibri" w:eastAsia="Times New Roman" w:hAnsi="Calibri" w:cs="Calibri"/>
                <w:color w:val="000000"/>
              </w:rPr>
            </w:pPr>
            <w:r w:rsidRPr="00BC27B1">
              <w:rPr>
                <w:rFonts w:ascii="Calibri" w:eastAsia="Times New Roman" w:hAnsi="Calibri" w:cs="Calibri"/>
                <w:color w:val="000000"/>
              </w:rPr>
              <w:t>Commercial HMO/POS</w:t>
            </w:r>
          </w:p>
        </w:tc>
        <w:tc>
          <w:tcPr>
            <w:tcW w:w="1034" w:type="dxa"/>
            <w:shd w:val="clear" w:color="auto" w:fill="auto"/>
            <w:vAlign w:val="center"/>
          </w:tcPr>
          <w:p w14:paraId="132B4AB5" w14:textId="1C160F3C" w:rsidR="00E25D20" w:rsidRPr="00E25D20" w:rsidRDefault="00E25D20" w:rsidP="00E25D20">
            <w:pPr>
              <w:jc w:val="right"/>
              <w:rPr>
                <w:rFonts w:ascii="Calibri" w:eastAsia="Times New Roman" w:hAnsi="Calibri" w:cs="Calibri"/>
                <w:color w:val="000000"/>
              </w:rPr>
            </w:pPr>
            <w:r w:rsidRPr="00E25D20">
              <w:rPr>
                <w:rFonts w:ascii="Calibri" w:hAnsi="Calibri" w:cs="Calibri"/>
                <w:color w:val="000000"/>
                <w:sz w:val="22"/>
                <w:szCs w:val="22"/>
              </w:rPr>
              <w:t>12.8%</w:t>
            </w:r>
          </w:p>
        </w:tc>
        <w:tc>
          <w:tcPr>
            <w:tcW w:w="1150" w:type="dxa"/>
            <w:shd w:val="clear" w:color="auto" w:fill="auto"/>
            <w:vAlign w:val="center"/>
          </w:tcPr>
          <w:p w14:paraId="7EDDBF7E" w14:textId="55C49731" w:rsidR="00E25D20" w:rsidRPr="00E25D20" w:rsidRDefault="00E25D20" w:rsidP="00E25D20">
            <w:pPr>
              <w:jc w:val="right"/>
              <w:rPr>
                <w:rFonts w:ascii="Calibri" w:eastAsia="Times New Roman" w:hAnsi="Calibri" w:cs="Calibri"/>
                <w:color w:val="000000"/>
              </w:rPr>
            </w:pPr>
            <w:r w:rsidRPr="00E25D20">
              <w:rPr>
                <w:rFonts w:ascii="Calibri" w:hAnsi="Calibri" w:cs="Calibri"/>
                <w:color w:val="000000"/>
                <w:sz w:val="22"/>
                <w:szCs w:val="22"/>
              </w:rPr>
              <w:t>12.1%</w:t>
            </w:r>
          </w:p>
        </w:tc>
      </w:tr>
      <w:tr w:rsidR="00E25D20" w:rsidRPr="00BC27B1" w14:paraId="0CD44604" w14:textId="77777777" w:rsidTr="00100B21">
        <w:trPr>
          <w:cantSplit/>
          <w:trHeight w:hRule="exact" w:val="290"/>
          <w:jc w:val="center"/>
        </w:trPr>
        <w:tc>
          <w:tcPr>
            <w:tcW w:w="3056" w:type="dxa"/>
            <w:shd w:val="clear" w:color="auto" w:fill="auto"/>
            <w:vAlign w:val="center"/>
            <w:hideMark/>
          </w:tcPr>
          <w:p w14:paraId="0268124C" w14:textId="77777777" w:rsidR="00E25D20" w:rsidRPr="00BC27B1" w:rsidRDefault="00E25D20" w:rsidP="00E25D20">
            <w:pPr>
              <w:rPr>
                <w:rFonts w:ascii="Calibri" w:eastAsia="Times New Roman" w:hAnsi="Calibri" w:cs="Calibri"/>
                <w:b/>
                <w:bCs/>
                <w:color w:val="000000"/>
              </w:rPr>
            </w:pPr>
            <w:r w:rsidRPr="00BC27B1">
              <w:rPr>
                <w:rFonts w:ascii="Calibri" w:eastAsia="Times New Roman" w:hAnsi="Calibri" w:cs="Calibri"/>
                <w:b/>
                <w:bCs/>
                <w:color w:val="000000"/>
              </w:rPr>
              <w:t>Medicaid Total</w:t>
            </w:r>
          </w:p>
        </w:tc>
        <w:tc>
          <w:tcPr>
            <w:tcW w:w="1034" w:type="dxa"/>
            <w:shd w:val="clear" w:color="auto" w:fill="auto"/>
            <w:vAlign w:val="center"/>
          </w:tcPr>
          <w:p w14:paraId="6D92A966" w14:textId="15532F84" w:rsidR="00E25D20" w:rsidRPr="00E25D20" w:rsidRDefault="00E25D20" w:rsidP="00E25D20">
            <w:pPr>
              <w:jc w:val="right"/>
              <w:rPr>
                <w:rFonts w:ascii="Calibri" w:eastAsia="Times New Roman" w:hAnsi="Calibri" w:cs="Calibri"/>
                <w:b/>
                <w:bCs/>
                <w:color w:val="000000"/>
              </w:rPr>
            </w:pPr>
            <w:r w:rsidRPr="00E25D20">
              <w:rPr>
                <w:rFonts w:ascii="Calibri" w:hAnsi="Calibri" w:cs="Calibri"/>
                <w:b/>
                <w:bCs/>
                <w:color w:val="000000"/>
                <w:sz w:val="22"/>
                <w:szCs w:val="22"/>
              </w:rPr>
              <w:t>20.5%</w:t>
            </w:r>
          </w:p>
        </w:tc>
        <w:tc>
          <w:tcPr>
            <w:tcW w:w="1150" w:type="dxa"/>
            <w:shd w:val="clear" w:color="auto" w:fill="auto"/>
            <w:vAlign w:val="center"/>
          </w:tcPr>
          <w:p w14:paraId="2E79AC50" w14:textId="71E91C26" w:rsidR="00E25D20" w:rsidRPr="00BC27B1" w:rsidRDefault="00E25D20" w:rsidP="00E25D20">
            <w:pPr>
              <w:jc w:val="right"/>
              <w:rPr>
                <w:rFonts w:ascii="Calibri" w:eastAsia="Times New Roman" w:hAnsi="Calibri" w:cs="Calibri"/>
                <w:b/>
                <w:bCs/>
                <w:color w:val="000000"/>
              </w:rPr>
            </w:pPr>
            <w:r>
              <w:rPr>
                <w:rFonts w:ascii="Calibri" w:hAnsi="Calibri" w:cs="Calibri"/>
                <w:b/>
                <w:bCs/>
                <w:color w:val="000000"/>
                <w:sz w:val="22"/>
                <w:szCs w:val="22"/>
              </w:rPr>
              <w:t>2.9%</w:t>
            </w:r>
          </w:p>
        </w:tc>
      </w:tr>
      <w:tr w:rsidR="00E25D20" w:rsidRPr="00BC27B1" w14:paraId="0B563AD3" w14:textId="77777777" w:rsidTr="00100B21">
        <w:trPr>
          <w:cantSplit/>
          <w:trHeight w:val="290"/>
          <w:jc w:val="center"/>
        </w:trPr>
        <w:tc>
          <w:tcPr>
            <w:tcW w:w="3056" w:type="dxa"/>
            <w:shd w:val="clear" w:color="auto" w:fill="auto"/>
            <w:vAlign w:val="center"/>
            <w:hideMark/>
          </w:tcPr>
          <w:p w14:paraId="468ECFD5" w14:textId="77777777" w:rsidR="00E25D20" w:rsidRPr="00BC27B1" w:rsidRDefault="00E25D20" w:rsidP="00E25D20">
            <w:pPr>
              <w:rPr>
                <w:rFonts w:ascii="Calibri" w:eastAsia="Times New Roman" w:hAnsi="Calibri" w:cs="Calibri"/>
                <w:color w:val="000000"/>
              </w:rPr>
            </w:pPr>
            <w:r w:rsidRPr="00BC27B1">
              <w:rPr>
                <w:rFonts w:ascii="Calibri" w:eastAsia="Times New Roman" w:hAnsi="Calibri" w:cs="Calibri"/>
                <w:color w:val="000000"/>
              </w:rPr>
              <w:t>MassHealth FFS</w:t>
            </w:r>
          </w:p>
        </w:tc>
        <w:tc>
          <w:tcPr>
            <w:tcW w:w="1034" w:type="dxa"/>
            <w:shd w:val="clear" w:color="auto" w:fill="auto"/>
            <w:vAlign w:val="center"/>
          </w:tcPr>
          <w:p w14:paraId="6FC80A0C" w14:textId="33528FB4" w:rsidR="00E25D20" w:rsidRPr="00E25D20" w:rsidRDefault="00E25D20" w:rsidP="00E25D20">
            <w:pPr>
              <w:jc w:val="right"/>
              <w:rPr>
                <w:rFonts w:ascii="Calibri" w:eastAsia="Times New Roman" w:hAnsi="Calibri" w:cs="Calibri"/>
                <w:color w:val="000000"/>
              </w:rPr>
            </w:pPr>
            <w:r w:rsidRPr="00E25D20">
              <w:rPr>
                <w:rFonts w:ascii="Calibri" w:hAnsi="Calibri" w:cs="Calibri"/>
                <w:color w:val="000000"/>
                <w:sz w:val="22"/>
                <w:szCs w:val="22"/>
              </w:rPr>
              <w:t>3.1%</w:t>
            </w:r>
          </w:p>
        </w:tc>
        <w:tc>
          <w:tcPr>
            <w:tcW w:w="1150" w:type="dxa"/>
            <w:shd w:val="clear" w:color="auto" w:fill="auto"/>
            <w:vAlign w:val="center"/>
          </w:tcPr>
          <w:p w14:paraId="68366F3C" w14:textId="16E9C67B" w:rsidR="00E25D20" w:rsidRPr="00E25D20" w:rsidRDefault="00E25D20" w:rsidP="00E25D20">
            <w:pPr>
              <w:jc w:val="right"/>
              <w:rPr>
                <w:rFonts w:ascii="Calibri" w:eastAsia="Times New Roman" w:hAnsi="Calibri" w:cs="Calibri"/>
                <w:color w:val="000000"/>
              </w:rPr>
            </w:pPr>
            <w:r w:rsidRPr="00E25D20">
              <w:rPr>
                <w:rFonts w:ascii="Calibri" w:hAnsi="Calibri" w:cs="Calibri"/>
                <w:color w:val="000000"/>
                <w:sz w:val="22"/>
                <w:szCs w:val="22"/>
              </w:rPr>
              <w:t>2.9%</w:t>
            </w:r>
          </w:p>
        </w:tc>
      </w:tr>
      <w:tr w:rsidR="00E25D20" w:rsidRPr="00BC27B1" w14:paraId="126A6A7A" w14:textId="77777777" w:rsidTr="00100B21">
        <w:trPr>
          <w:cantSplit/>
          <w:trHeight w:val="290"/>
          <w:jc w:val="center"/>
        </w:trPr>
        <w:tc>
          <w:tcPr>
            <w:tcW w:w="3056" w:type="dxa"/>
            <w:shd w:val="clear" w:color="auto" w:fill="auto"/>
            <w:vAlign w:val="center"/>
            <w:hideMark/>
          </w:tcPr>
          <w:p w14:paraId="061B64F5" w14:textId="77777777" w:rsidR="00E25D20" w:rsidRPr="00BC27B1" w:rsidRDefault="00E25D20" w:rsidP="00E25D20">
            <w:pPr>
              <w:rPr>
                <w:rFonts w:ascii="Calibri" w:eastAsia="Times New Roman" w:hAnsi="Calibri" w:cs="Calibri"/>
                <w:color w:val="000000"/>
              </w:rPr>
            </w:pPr>
            <w:r w:rsidRPr="00BC27B1">
              <w:rPr>
                <w:rFonts w:ascii="Calibri" w:eastAsia="Times New Roman" w:hAnsi="Calibri" w:cs="Calibri"/>
                <w:color w:val="000000"/>
              </w:rPr>
              <w:t>Managed Medicaid</w:t>
            </w:r>
          </w:p>
        </w:tc>
        <w:tc>
          <w:tcPr>
            <w:tcW w:w="1034" w:type="dxa"/>
            <w:shd w:val="clear" w:color="auto" w:fill="auto"/>
            <w:vAlign w:val="center"/>
          </w:tcPr>
          <w:p w14:paraId="63FCB63C" w14:textId="015FC170" w:rsidR="00E25D20" w:rsidRPr="00E25D20" w:rsidRDefault="00E25D20" w:rsidP="00E25D20">
            <w:pPr>
              <w:jc w:val="right"/>
              <w:rPr>
                <w:rFonts w:ascii="Calibri" w:eastAsia="Times New Roman" w:hAnsi="Calibri" w:cs="Calibri"/>
                <w:color w:val="000000"/>
              </w:rPr>
            </w:pPr>
            <w:r w:rsidRPr="00E25D20">
              <w:rPr>
                <w:rFonts w:ascii="Calibri" w:hAnsi="Calibri" w:cs="Calibri"/>
                <w:color w:val="000000"/>
                <w:sz w:val="22"/>
                <w:szCs w:val="22"/>
              </w:rPr>
              <w:t>17.3%</w:t>
            </w:r>
          </w:p>
        </w:tc>
        <w:tc>
          <w:tcPr>
            <w:tcW w:w="1150" w:type="dxa"/>
            <w:shd w:val="clear" w:color="auto" w:fill="auto"/>
            <w:vAlign w:val="center"/>
          </w:tcPr>
          <w:p w14:paraId="70E81494" w14:textId="58D3D02E" w:rsidR="00E25D20" w:rsidRPr="00E25D20" w:rsidRDefault="00E25D20" w:rsidP="00E25D20">
            <w:pPr>
              <w:jc w:val="right"/>
              <w:rPr>
                <w:rFonts w:ascii="Calibri" w:eastAsia="Times New Roman" w:hAnsi="Calibri" w:cs="Calibri"/>
                <w:color w:val="000000"/>
              </w:rPr>
            </w:pPr>
            <w:r>
              <w:rPr>
                <w:rFonts w:ascii="Calibri" w:eastAsia="Times New Roman" w:hAnsi="Calibri" w:cs="Calibri"/>
                <w:color w:val="000000"/>
              </w:rPr>
              <w:t>0%</w:t>
            </w:r>
            <w:r w:rsidRPr="00E25D20">
              <w:rPr>
                <w:rFonts w:ascii="Calibri" w:eastAsia="Times New Roman" w:hAnsi="Calibri" w:cs="Calibri"/>
                <w:color w:val="000000"/>
              </w:rPr>
              <w:t> </w:t>
            </w:r>
          </w:p>
        </w:tc>
      </w:tr>
      <w:tr w:rsidR="00E25D20" w:rsidRPr="00BC27B1" w14:paraId="648E5178" w14:textId="77777777" w:rsidTr="00100B21">
        <w:trPr>
          <w:cantSplit/>
          <w:trHeight w:hRule="exact" w:val="290"/>
          <w:jc w:val="center"/>
        </w:trPr>
        <w:tc>
          <w:tcPr>
            <w:tcW w:w="3056" w:type="dxa"/>
            <w:shd w:val="clear" w:color="auto" w:fill="auto"/>
            <w:vAlign w:val="center"/>
            <w:hideMark/>
          </w:tcPr>
          <w:p w14:paraId="178395C7" w14:textId="77777777" w:rsidR="00E25D20" w:rsidRPr="00BC27B1" w:rsidRDefault="00E25D20" w:rsidP="00E25D20">
            <w:pPr>
              <w:rPr>
                <w:rFonts w:ascii="Calibri" w:eastAsia="Times New Roman" w:hAnsi="Calibri" w:cs="Calibri"/>
                <w:b/>
                <w:bCs/>
                <w:color w:val="000000"/>
              </w:rPr>
            </w:pPr>
            <w:r w:rsidRPr="00BC27B1">
              <w:rPr>
                <w:rFonts w:ascii="Calibri" w:eastAsia="Times New Roman" w:hAnsi="Calibri" w:cs="Calibri"/>
                <w:b/>
                <w:bCs/>
                <w:color w:val="000000"/>
              </w:rPr>
              <w:t>Medicare Total</w:t>
            </w:r>
          </w:p>
        </w:tc>
        <w:tc>
          <w:tcPr>
            <w:tcW w:w="1034" w:type="dxa"/>
            <w:shd w:val="clear" w:color="auto" w:fill="auto"/>
            <w:vAlign w:val="center"/>
          </w:tcPr>
          <w:p w14:paraId="2E15A366" w14:textId="518C9F62" w:rsidR="00E25D20" w:rsidRPr="00E25D20" w:rsidRDefault="00E25D20" w:rsidP="00E25D20">
            <w:pPr>
              <w:jc w:val="right"/>
              <w:rPr>
                <w:rFonts w:ascii="Calibri" w:eastAsia="Times New Roman" w:hAnsi="Calibri" w:cs="Calibri"/>
                <w:b/>
                <w:bCs/>
                <w:color w:val="000000"/>
              </w:rPr>
            </w:pPr>
            <w:r w:rsidRPr="00E25D20">
              <w:rPr>
                <w:rFonts w:ascii="Calibri" w:hAnsi="Calibri" w:cs="Calibri"/>
                <w:b/>
                <w:bCs/>
                <w:color w:val="000000"/>
                <w:sz w:val="22"/>
                <w:szCs w:val="22"/>
              </w:rPr>
              <w:t>47.1%</w:t>
            </w:r>
          </w:p>
        </w:tc>
        <w:tc>
          <w:tcPr>
            <w:tcW w:w="1150" w:type="dxa"/>
            <w:shd w:val="clear" w:color="auto" w:fill="auto"/>
            <w:vAlign w:val="center"/>
          </w:tcPr>
          <w:p w14:paraId="0F2A4B10" w14:textId="677E54A5" w:rsidR="00E25D20" w:rsidRPr="00E25D20" w:rsidRDefault="00E25D20" w:rsidP="00E25D20">
            <w:pPr>
              <w:jc w:val="right"/>
              <w:rPr>
                <w:rFonts w:ascii="Calibri" w:eastAsia="Times New Roman" w:hAnsi="Calibri" w:cs="Calibri"/>
                <w:b/>
                <w:bCs/>
                <w:color w:val="000000"/>
              </w:rPr>
            </w:pPr>
            <w:r w:rsidRPr="00E25D20">
              <w:rPr>
                <w:rFonts w:ascii="Calibri" w:hAnsi="Calibri" w:cs="Calibri"/>
                <w:b/>
                <w:bCs/>
                <w:color w:val="000000"/>
                <w:sz w:val="22"/>
                <w:szCs w:val="22"/>
              </w:rPr>
              <w:t>24.6%</w:t>
            </w:r>
          </w:p>
        </w:tc>
      </w:tr>
      <w:tr w:rsidR="00E25D20" w:rsidRPr="00BC27B1" w14:paraId="41239A9C" w14:textId="77777777" w:rsidTr="00100B21">
        <w:trPr>
          <w:cantSplit/>
          <w:trHeight w:val="290"/>
          <w:jc w:val="center"/>
        </w:trPr>
        <w:tc>
          <w:tcPr>
            <w:tcW w:w="3056" w:type="dxa"/>
            <w:shd w:val="clear" w:color="auto" w:fill="auto"/>
            <w:vAlign w:val="center"/>
            <w:hideMark/>
          </w:tcPr>
          <w:p w14:paraId="42D84C53" w14:textId="77777777" w:rsidR="00E25D20" w:rsidRPr="00BC27B1" w:rsidRDefault="00E25D20" w:rsidP="00E25D20">
            <w:pPr>
              <w:rPr>
                <w:rFonts w:ascii="Calibri" w:eastAsia="Times New Roman" w:hAnsi="Calibri" w:cs="Calibri"/>
                <w:color w:val="000000"/>
              </w:rPr>
            </w:pPr>
            <w:r w:rsidRPr="00BC27B1">
              <w:rPr>
                <w:rFonts w:ascii="Calibri" w:eastAsia="Times New Roman" w:hAnsi="Calibri" w:cs="Calibri"/>
                <w:color w:val="000000"/>
              </w:rPr>
              <w:t>Medicare FFS</w:t>
            </w:r>
          </w:p>
        </w:tc>
        <w:tc>
          <w:tcPr>
            <w:tcW w:w="1034" w:type="dxa"/>
            <w:shd w:val="clear" w:color="auto" w:fill="auto"/>
            <w:vAlign w:val="center"/>
          </w:tcPr>
          <w:p w14:paraId="7EF4DCEC" w14:textId="1ACB4733" w:rsidR="00E25D20" w:rsidRPr="00E25D20" w:rsidRDefault="00E25D20" w:rsidP="00E25D20">
            <w:pPr>
              <w:jc w:val="right"/>
              <w:rPr>
                <w:rFonts w:ascii="Calibri" w:eastAsia="Times New Roman" w:hAnsi="Calibri" w:cs="Calibri"/>
                <w:color w:val="000000"/>
              </w:rPr>
            </w:pPr>
            <w:r w:rsidRPr="00E25D20">
              <w:rPr>
                <w:rFonts w:ascii="Calibri" w:hAnsi="Calibri" w:cs="Calibri"/>
                <w:color w:val="000000"/>
                <w:sz w:val="22"/>
                <w:szCs w:val="22"/>
              </w:rPr>
              <w:t>30.7%</w:t>
            </w:r>
          </w:p>
        </w:tc>
        <w:tc>
          <w:tcPr>
            <w:tcW w:w="1150" w:type="dxa"/>
            <w:shd w:val="clear" w:color="auto" w:fill="auto"/>
            <w:vAlign w:val="center"/>
          </w:tcPr>
          <w:p w14:paraId="12CC4299" w14:textId="74822BDC" w:rsidR="00E25D20" w:rsidRPr="00E25D20" w:rsidRDefault="00E25D20" w:rsidP="00E25D20">
            <w:pPr>
              <w:jc w:val="right"/>
              <w:rPr>
                <w:rFonts w:ascii="Calibri" w:eastAsia="Times New Roman" w:hAnsi="Calibri" w:cs="Calibri"/>
                <w:color w:val="000000"/>
              </w:rPr>
            </w:pPr>
            <w:r w:rsidRPr="00E25D20">
              <w:rPr>
                <w:rFonts w:ascii="Calibri" w:hAnsi="Calibri" w:cs="Calibri"/>
                <w:color w:val="000000"/>
                <w:sz w:val="22"/>
                <w:szCs w:val="22"/>
              </w:rPr>
              <w:t>18.1%</w:t>
            </w:r>
          </w:p>
        </w:tc>
      </w:tr>
      <w:tr w:rsidR="00E25D20" w:rsidRPr="00BC27B1" w14:paraId="4B63E2BB" w14:textId="77777777" w:rsidTr="00100B21">
        <w:trPr>
          <w:cantSplit/>
          <w:trHeight w:val="290"/>
          <w:jc w:val="center"/>
        </w:trPr>
        <w:tc>
          <w:tcPr>
            <w:tcW w:w="3056" w:type="dxa"/>
            <w:shd w:val="clear" w:color="auto" w:fill="auto"/>
            <w:vAlign w:val="center"/>
            <w:hideMark/>
          </w:tcPr>
          <w:p w14:paraId="0DEF20E7" w14:textId="77777777" w:rsidR="00E25D20" w:rsidRPr="00BC27B1" w:rsidRDefault="00E25D20" w:rsidP="00E25D20">
            <w:pPr>
              <w:rPr>
                <w:rFonts w:ascii="Calibri" w:eastAsia="Times New Roman" w:hAnsi="Calibri" w:cs="Calibri"/>
                <w:color w:val="000000"/>
              </w:rPr>
            </w:pPr>
            <w:r w:rsidRPr="00BC27B1">
              <w:rPr>
                <w:rFonts w:ascii="Calibri" w:eastAsia="Times New Roman" w:hAnsi="Calibri" w:cs="Calibri"/>
                <w:color w:val="000000"/>
              </w:rPr>
              <w:t>Managed Medicare</w:t>
            </w:r>
          </w:p>
        </w:tc>
        <w:tc>
          <w:tcPr>
            <w:tcW w:w="1034" w:type="dxa"/>
            <w:shd w:val="clear" w:color="auto" w:fill="auto"/>
            <w:vAlign w:val="center"/>
          </w:tcPr>
          <w:p w14:paraId="29CDE34F" w14:textId="0377313E" w:rsidR="00E25D20" w:rsidRPr="00E25D20" w:rsidRDefault="00E25D20" w:rsidP="00E25D20">
            <w:pPr>
              <w:jc w:val="right"/>
              <w:rPr>
                <w:rFonts w:ascii="Calibri" w:eastAsia="Times New Roman" w:hAnsi="Calibri" w:cs="Calibri"/>
                <w:color w:val="000000"/>
              </w:rPr>
            </w:pPr>
            <w:r w:rsidRPr="00E25D20">
              <w:rPr>
                <w:rFonts w:ascii="Calibri" w:hAnsi="Calibri" w:cs="Calibri"/>
                <w:color w:val="000000"/>
                <w:sz w:val="22"/>
                <w:szCs w:val="22"/>
              </w:rPr>
              <w:t>16.4%</w:t>
            </w:r>
          </w:p>
        </w:tc>
        <w:tc>
          <w:tcPr>
            <w:tcW w:w="1150" w:type="dxa"/>
            <w:shd w:val="clear" w:color="auto" w:fill="auto"/>
            <w:vAlign w:val="center"/>
          </w:tcPr>
          <w:p w14:paraId="5A9619AD" w14:textId="40D982AB" w:rsidR="00E25D20" w:rsidRPr="00E25D20" w:rsidRDefault="00E25D20" w:rsidP="00E25D20">
            <w:pPr>
              <w:jc w:val="right"/>
              <w:rPr>
                <w:rFonts w:ascii="Calibri" w:eastAsia="Times New Roman" w:hAnsi="Calibri" w:cs="Calibri"/>
                <w:color w:val="000000"/>
              </w:rPr>
            </w:pPr>
            <w:r w:rsidRPr="00E25D20">
              <w:rPr>
                <w:rFonts w:ascii="Calibri" w:hAnsi="Calibri" w:cs="Calibri"/>
                <w:color w:val="000000"/>
                <w:sz w:val="22"/>
                <w:szCs w:val="22"/>
              </w:rPr>
              <w:t>6.5%</w:t>
            </w:r>
          </w:p>
        </w:tc>
      </w:tr>
      <w:tr w:rsidR="00E25D20" w:rsidRPr="00BC27B1" w14:paraId="3B80CF1C" w14:textId="77777777" w:rsidTr="00100B21">
        <w:trPr>
          <w:cantSplit/>
          <w:trHeight w:val="290"/>
          <w:jc w:val="center"/>
        </w:trPr>
        <w:tc>
          <w:tcPr>
            <w:tcW w:w="3056" w:type="dxa"/>
            <w:shd w:val="clear" w:color="auto" w:fill="auto"/>
            <w:vAlign w:val="center"/>
            <w:hideMark/>
          </w:tcPr>
          <w:p w14:paraId="15502827" w14:textId="77777777" w:rsidR="00E25D20" w:rsidRPr="00BC27B1" w:rsidRDefault="00E25D20" w:rsidP="00E25D20">
            <w:pPr>
              <w:rPr>
                <w:rFonts w:ascii="Calibri" w:eastAsia="Times New Roman" w:hAnsi="Calibri" w:cs="Calibri"/>
                <w:b/>
                <w:bCs/>
                <w:color w:val="000000"/>
              </w:rPr>
            </w:pPr>
            <w:r w:rsidRPr="00BC27B1">
              <w:rPr>
                <w:rFonts w:ascii="Calibri" w:eastAsia="Times New Roman" w:hAnsi="Calibri" w:cs="Calibri"/>
                <w:b/>
                <w:bCs/>
                <w:color w:val="000000"/>
              </w:rPr>
              <w:t>Subtotal Non-Commercial</w:t>
            </w:r>
          </w:p>
        </w:tc>
        <w:tc>
          <w:tcPr>
            <w:tcW w:w="1034" w:type="dxa"/>
            <w:shd w:val="clear" w:color="auto" w:fill="auto"/>
            <w:vAlign w:val="center"/>
          </w:tcPr>
          <w:p w14:paraId="3F210AF4" w14:textId="6C36842E" w:rsidR="00E25D20" w:rsidRPr="00E25D20" w:rsidRDefault="003E2C85" w:rsidP="00E25D20">
            <w:pPr>
              <w:jc w:val="right"/>
              <w:rPr>
                <w:rFonts w:ascii="Calibri" w:eastAsia="Times New Roman" w:hAnsi="Calibri" w:cs="Calibri"/>
                <w:b/>
                <w:bCs/>
                <w:color w:val="000000"/>
              </w:rPr>
            </w:pPr>
            <w:r>
              <w:rPr>
                <w:rFonts w:ascii="Calibri" w:hAnsi="Calibri" w:cs="Calibri"/>
                <w:b/>
                <w:bCs/>
                <w:color w:val="000000"/>
                <w:sz w:val="22"/>
                <w:szCs w:val="22"/>
              </w:rPr>
              <w:t>67.6</w:t>
            </w:r>
            <w:r w:rsidR="00E25D20" w:rsidRPr="00E25D20">
              <w:rPr>
                <w:rFonts w:ascii="Calibri" w:hAnsi="Calibri" w:cs="Calibri"/>
                <w:b/>
                <w:bCs/>
                <w:color w:val="000000"/>
                <w:sz w:val="22"/>
                <w:szCs w:val="22"/>
              </w:rPr>
              <w:t>%</w:t>
            </w:r>
          </w:p>
        </w:tc>
        <w:tc>
          <w:tcPr>
            <w:tcW w:w="1150" w:type="dxa"/>
            <w:shd w:val="clear" w:color="auto" w:fill="auto"/>
            <w:vAlign w:val="center"/>
          </w:tcPr>
          <w:p w14:paraId="71AE019D" w14:textId="2D0DA897" w:rsidR="00E25D20" w:rsidRPr="00E25D20" w:rsidRDefault="00E25D20" w:rsidP="00E25D20">
            <w:pPr>
              <w:jc w:val="right"/>
              <w:rPr>
                <w:rFonts w:ascii="Calibri" w:eastAsia="Times New Roman" w:hAnsi="Calibri" w:cs="Calibri"/>
                <w:b/>
                <w:bCs/>
                <w:color w:val="000000"/>
              </w:rPr>
            </w:pPr>
            <w:r w:rsidRPr="00E25D20">
              <w:rPr>
                <w:rFonts w:ascii="Calibri" w:hAnsi="Calibri" w:cs="Calibri"/>
                <w:b/>
                <w:bCs/>
                <w:color w:val="000000"/>
                <w:sz w:val="22"/>
                <w:szCs w:val="22"/>
              </w:rPr>
              <w:t>27.5%</w:t>
            </w:r>
          </w:p>
        </w:tc>
      </w:tr>
      <w:tr w:rsidR="003E2C85" w:rsidRPr="00BC27B1" w14:paraId="06B8D74B" w14:textId="77777777" w:rsidTr="00100B21">
        <w:trPr>
          <w:cantSplit/>
          <w:trHeight w:hRule="exact" w:val="290"/>
          <w:jc w:val="center"/>
        </w:trPr>
        <w:tc>
          <w:tcPr>
            <w:tcW w:w="3056" w:type="dxa"/>
            <w:shd w:val="clear" w:color="auto" w:fill="auto"/>
            <w:vAlign w:val="center"/>
          </w:tcPr>
          <w:p w14:paraId="569B98E0" w14:textId="6A40E782" w:rsidR="003E2C85" w:rsidRPr="00BC27B1" w:rsidRDefault="003E2C85" w:rsidP="003E2C85">
            <w:pPr>
              <w:rPr>
                <w:rFonts w:ascii="Calibri" w:eastAsia="Times New Roman" w:hAnsi="Calibri" w:cs="Calibri"/>
                <w:b/>
                <w:bCs/>
                <w:color w:val="000000"/>
              </w:rPr>
            </w:pPr>
            <w:r w:rsidRPr="00BC27B1">
              <w:rPr>
                <w:rFonts w:ascii="Calibri" w:eastAsia="Times New Roman" w:hAnsi="Calibri" w:cs="Calibri"/>
                <w:b/>
                <w:bCs/>
                <w:color w:val="000000"/>
              </w:rPr>
              <w:t>All other</w:t>
            </w:r>
          </w:p>
        </w:tc>
        <w:tc>
          <w:tcPr>
            <w:tcW w:w="1034" w:type="dxa"/>
            <w:shd w:val="clear" w:color="auto" w:fill="auto"/>
            <w:vAlign w:val="center"/>
          </w:tcPr>
          <w:p w14:paraId="2A44BB0B" w14:textId="56FE4C21" w:rsidR="003E2C85" w:rsidRPr="00E25D20" w:rsidRDefault="003E2C85" w:rsidP="003E2C85">
            <w:pPr>
              <w:jc w:val="right"/>
              <w:rPr>
                <w:rFonts w:ascii="Calibri" w:hAnsi="Calibri" w:cs="Calibri"/>
                <w:color w:val="000000"/>
                <w:sz w:val="22"/>
                <w:szCs w:val="22"/>
              </w:rPr>
            </w:pPr>
            <w:r w:rsidRPr="00E25D20">
              <w:rPr>
                <w:rFonts w:ascii="Calibri" w:hAnsi="Calibri" w:cs="Calibri"/>
                <w:color w:val="000000"/>
                <w:sz w:val="22"/>
                <w:szCs w:val="22"/>
              </w:rPr>
              <w:t>3.4%</w:t>
            </w:r>
          </w:p>
        </w:tc>
        <w:tc>
          <w:tcPr>
            <w:tcW w:w="1150" w:type="dxa"/>
            <w:shd w:val="clear" w:color="auto" w:fill="auto"/>
            <w:vAlign w:val="center"/>
          </w:tcPr>
          <w:p w14:paraId="29C85D87" w14:textId="74BB6906" w:rsidR="003E2C85" w:rsidRPr="003E2C85" w:rsidRDefault="003E2C85" w:rsidP="003E2C85">
            <w:pPr>
              <w:jc w:val="right"/>
              <w:rPr>
                <w:rFonts w:ascii="Calibri" w:hAnsi="Calibri" w:cs="Calibri"/>
                <w:color w:val="000000"/>
                <w:sz w:val="22"/>
                <w:szCs w:val="22"/>
              </w:rPr>
            </w:pPr>
            <w:r w:rsidRPr="003E2C85">
              <w:rPr>
                <w:rFonts w:ascii="Calibri" w:hAnsi="Calibri" w:cs="Calibri"/>
                <w:color w:val="000000"/>
                <w:sz w:val="22"/>
                <w:szCs w:val="22"/>
              </w:rPr>
              <w:t>5.9%</w:t>
            </w:r>
          </w:p>
        </w:tc>
      </w:tr>
      <w:tr w:rsidR="003E2C85" w:rsidRPr="00BC27B1" w14:paraId="24A241A6" w14:textId="77777777" w:rsidTr="00100B21">
        <w:trPr>
          <w:cantSplit/>
          <w:trHeight w:hRule="exact" w:val="290"/>
          <w:jc w:val="center"/>
        </w:trPr>
        <w:tc>
          <w:tcPr>
            <w:tcW w:w="3056" w:type="dxa"/>
            <w:shd w:val="clear" w:color="auto" w:fill="auto"/>
            <w:vAlign w:val="center"/>
            <w:hideMark/>
          </w:tcPr>
          <w:p w14:paraId="57962E60" w14:textId="77777777" w:rsidR="003E2C85" w:rsidRPr="00BC27B1" w:rsidRDefault="003E2C85" w:rsidP="003E2C85">
            <w:pPr>
              <w:rPr>
                <w:rFonts w:ascii="Calibri" w:eastAsia="Times New Roman" w:hAnsi="Calibri" w:cs="Calibri"/>
                <w:b/>
                <w:bCs/>
                <w:color w:val="000000"/>
              </w:rPr>
            </w:pPr>
            <w:r w:rsidRPr="00BC27B1">
              <w:rPr>
                <w:rFonts w:ascii="Calibri" w:eastAsia="Times New Roman" w:hAnsi="Calibri" w:cs="Calibri"/>
                <w:b/>
                <w:bCs/>
                <w:color w:val="000000"/>
              </w:rPr>
              <w:t xml:space="preserve">TOTAL       </w:t>
            </w:r>
          </w:p>
        </w:tc>
        <w:tc>
          <w:tcPr>
            <w:tcW w:w="1034" w:type="dxa"/>
            <w:shd w:val="clear" w:color="auto" w:fill="auto"/>
            <w:vAlign w:val="center"/>
          </w:tcPr>
          <w:p w14:paraId="377E0479" w14:textId="53503925" w:rsidR="003E2C85" w:rsidRPr="00E25D20" w:rsidRDefault="003E2C85" w:rsidP="003E2C85">
            <w:pPr>
              <w:jc w:val="right"/>
              <w:rPr>
                <w:rFonts w:ascii="Calibri" w:eastAsia="Times New Roman" w:hAnsi="Calibri" w:cs="Calibri"/>
                <w:color w:val="000000"/>
              </w:rPr>
            </w:pPr>
            <w:r w:rsidRPr="00E25D20">
              <w:rPr>
                <w:rFonts w:ascii="Calibri" w:hAnsi="Calibri" w:cs="Calibri"/>
                <w:color w:val="000000"/>
                <w:sz w:val="22"/>
                <w:szCs w:val="22"/>
              </w:rPr>
              <w:t>100.0%</w:t>
            </w:r>
          </w:p>
        </w:tc>
        <w:tc>
          <w:tcPr>
            <w:tcW w:w="1150" w:type="dxa"/>
            <w:shd w:val="clear" w:color="auto" w:fill="auto"/>
            <w:vAlign w:val="center"/>
          </w:tcPr>
          <w:p w14:paraId="787E6980" w14:textId="00097BCE" w:rsidR="003E2C85" w:rsidRPr="003E2C85" w:rsidRDefault="003E2C85" w:rsidP="003E2C85">
            <w:pPr>
              <w:jc w:val="right"/>
              <w:rPr>
                <w:rFonts w:ascii="Calibri" w:eastAsia="Times New Roman" w:hAnsi="Calibri" w:cs="Calibri"/>
                <w:color w:val="000000"/>
              </w:rPr>
            </w:pPr>
            <w:r w:rsidRPr="003E2C85">
              <w:rPr>
                <w:rFonts w:ascii="Calibri" w:hAnsi="Calibri" w:cs="Calibri"/>
                <w:color w:val="000000"/>
                <w:sz w:val="22"/>
                <w:szCs w:val="22"/>
              </w:rPr>
              <w:t>100.0%</w:t>
            </w:r>
          </w:p>
        </w:tc>
      </w:tr>
    </w:tbl>
    <w:p w14:paraId="60066389" w14:textId="77777777" w:rsidR="00474BD9" w:rsidRPr="00474BD9" w:rsidRDefault="00474BD9" w:rsidP="00474BD9"/>
    <w:p w14:paraId="47BC1640" w14:textId="54F3B750" w:rsidR="001051E0" w:rsidRPr="005F4C29" w:rsidRDefault="00BC27B1" w:rsidP="003E2C85">
      <w:pPr>
        <w:spacing w:after="240"/>
        <w:jc w:val="both"/>
        <w:textAlignment w:val="baseline"/>
        <w:rPr>
          <w:rFonts w:ascii="Calibri" w:eastAsia="Calibri" w:hAnsi="Calibri" w:cs="Times New Roman"/>
          <w:strike/>
          <w:color w:val="000000"/>
          <w:spacing w:val="-1"/>
          <w:szCs w:val="22"/>
        </w:rPr>
      </w:pPr>
      <w:r w:rsidRPr="003E2C85">
        <w:rPr>
          <w:b/>
          <w:bCs/>
        </w:rPr>
        <w:t>Payor Mix:</w:t>
      </w:r>
      <w:r w:rsidR="001051E0">
        <w:rPr>
          <w:b/>
          <w:bCs/>
        </w:rPr>
        <w:t xml:space="preserve">  </w:t>
      </w:r>
      <w:r w:rsidR="001051E0" w:rsidRPr="003E2C85">
        <w:t xml:space="preserve">Table </w:t>
      </w:r>
      <w:r w:rsidR="00697C6F" w:rsidRPr="003E2C85">
        <w:t>3</w:t>
      </w:r>
      <w:r w:rsidR="003E2C85">
        <w:t xml:space="preserve"> shows that SHS has a 67.6% public payer mix while SDS’s is 27.5%. As described in this staff report, SHS will be using SDS as a site for its ACO patients and this mix is expected to change.</w:t>
      </w:r>
    </w:p>
    <w:p w14:paraId="71952509" w14:textId="219CDE53" w:rsidR="00AC68E5" w:rsidRDefault="00AC68E5" w:rsidP="003964D0">
      <w:pPr>
        <w:pStyle w:val="Heading1"/>
        <w:spacing w:before="0" w:line="240" w:lineRule="auto"/>
        <w:rPr>
          <w:rFonts w:asciiTheme="minorHAnsi" w:eastAsia="Calibri" w:hAnsiTheme="minorHAnsi" w:cstheme="minorHAnsi"/>
        </w:rPr>
      </w:pPr>
      <w:bookmarkStart w:id="34" w:name="_Toc17731309"/>
      <w:bookmarkStart w:id="35" w:name="_Toc18922398"/>
      <w:bookmarkStart w:id="36" w:name="_Toc157428827"/>
      <w:bookmarkStart w:id="37" w:name="_Toc174010164"/>
      <w:bookmarkEnd w:id="21"/>
      <w:bookmarkEnd w:id="22"/>
      <w:bookmarkEnd w:id="23"/>
      <w:bookmarkEnd w:id="24"/>
      <w:bookmarkEnd w:id="25"/>
      <w:bookmarkEnd w:id="26"/>
      <w:r w:rsidRPr="008409FF">
        <w:rPr>
          <w:rFonts w:asciiTheme="minorHAnsi" w:eastAsia="Calibri" w:hAnsiTheme="minorHAnsi" w:cstheme="minorHAnsi"/>
        </w:rPr>
        <w:t>Factor 1</w:t>
      </w:r>
      <w:r w:rsidR="00B85B1D" w:rsidRPr="008409FF">
        <w:rPr>
          <w:rFonts w:asciiTheme="minorHAnsi" w:eastAsia="Calibri" w:hAnsiTheme="minorHAnsi" w:cstheme="minorHAnsi"/>
        </w:rPr>
        <w:t>a</w:t>
      </w:r>
      <w:r w:rsidRPr="008409FF">
        <w:rPr>
          <w:rFonts w:asciiTheme="minorHAnsi" w:eastAsia="Calibri" w:hAnsiTheme="minorHAnsi" w:cstheme="minorHAnsi"/>
        </w:rPr>
        <w:t>: Patient Panel Need</w:t>
      </w:r>
      <w:bookmarkEnd w:id="34"/>
      <w:bookmarkEnd w:id="35"/>
      <w:bookmarkEnd w:id="36"/>
      <w:bookmarkEnd w:id="37"/>
      <w:r w:rsidR="00771C63">
        <w:rPr>
          <w:rFonts w:asciiTheme="minorHAnsi" w:eastAsia="Calibri" w:hAnsiTheme="minorHAnsi" w:cstheme="minorHAnsi"/>
        </w:rPr>
        <w:t xml:space="preserve"> </w:t>
      </w:r>
    </w:p>
    <w:p w14:paraId="0E03173C" w14:textId="77777777" w:rsidR="00DE4CD3" w:rsidRPr="00DE4CD3" w:rsidRDefault="00DE4CD3" w:rsidP="00DE4CD3">
      <w:pPr>
        <w:rPr>
          <w:rFonts w:eastAsia="Calibri"/>
        </w:rPr>
      </w:pPr>
    </w:p>
    <w:p w14:paraId="54F5E88C" w14:textId="338533C2" w:rsidR="006B02BE" w:rsidRDefault="006B02BE" w:rsidP="00E347B4">
      <w:pPr>
        <w:rPr>
          <w:rFonts w:eastAsia="Calibri"/>
        </w:rPr>
      </w:pPr>
      <w:bookmarkStart w:id="38" w:name="_Toc28797402"/>
      <w:bookmarkStart w:id="39" w:name="_Toc17151180"/>
      <w:bookmarkStart w:id="40" w:name="_Toc17322392"/>
      <w:bookmarkStart w:id="41" w:name="_Toc18922408"/>
      <w:bookmarkStart w:id="42" w:name="_Toc17322387"/>
      <w:bookmarkStart w:id="43" w:name="_Toc18922403"/>
      <w:bookmarkEnd w:id="15"/>
      <w:r w:rsidRPr="00F17E5D">
        <w:rPr>
          <w:rFonts w:eastAsia="Calibri"/>
        </w:rPr>
        <w:t>The Applicant attribute</w:t>
      </w:r>
      <w:r w:rsidR="00867E8B" w:rsidRPr="00F17E5D">
        <w:rPr>
          <w:rFonts w:eastAsia="Calibri"/>
        </w:rPr>
        <w:t>s</w:t>
      </w:r>
      <w:r w:rsidRPr="00F17E5D">
        <w:rPr>
          <w:rFonts w:eastAsia="Calibri"/>
        </w:rPr>
        <w:t xml:space="preserve"> need for the </w:t>
      </w:r>
      <w:r w:rsidR="00867E8B" w:rsidRPr="00F17E5D">
        <w:rPr>
          <w:rFonts w:eastAsia="Calibri"/>
        </w:rPr>
        <w:t xml:space="preserve">Proposed Project </w:t>
      </w:r>
      <w:r w:rsidRPr="00F17E5D">
        <w:rPr>
          <w:rFonts w:eastAsia="Calibri"/>
        </w:rPr>
        <w:t xml:space="preserve">to </w:t>
      </w:r>
      <w:r w:rsidR="008B544C">
        <w:rPr>
          <w:rFonts w:eastAsia="Calibri"/>
        </w:rPr>
        <w:t xml:space="preserve">multiple factors including </w:t>
      </w:r>
      <w:r w:rsidR="00D25A39" w:rsidRPr="00F17E5D">
        <w:rPr>
          <w:rFonts w:eastAsia="Calibri"/>
        </w:rPr>
        <w:t>the following:</w:t>
      </w:r>
      <w:r w:rsidR="00670F15">
        <w:rPr>
          <w:rFonts w:eastAsia="Calibri"/>
        </w:rPr>
        <w:t xml:space="preserve"> </w:t>
      </w:r>
    </w:p>
    <w:p w14:paraId="3D405A8C" w14:textId="77777777" w:rsidR="005B42F0" w:rsidRDefault="005B42F0" w:rsidP="00E347B4">
      <w:pPr>
        <w:rPr>
          <w:rFonts w:eastAsia="Calibri"/>
        </w:rPr>
      </w:pPr>
    </w:p>
    <w:p w14:paraId="2CA05C1D" w14:textId="081E1BF4" w:rsidR="00CA19B1" w:rsidRDefault="00670F15" w:rsidP="00F147A0">
      <w:pPr>
        <w:pStyle w:val="ListParagraph"/>
        <w:numPr>
          <w:ilvl w:val="0"/>
          <w:numId w:val="47"/>
        </w:numPr>
        <w:spacing w:line="240" w:lineRule="auto"/>
        <w:rPr>
          <w:rFonts w:eastAsia="Calibri"/>
          <w:sz w:val="24"/>
          <w:szCs w:val="24"/>
        </w:rPr>
      </w:pPr>
      <w:r w:rsidRPr="00A8486E">
        <w:rPr>
          <w:rFonts w:eastAsia="Calibri"/>
          <w:sz w:val="24"/>
          <w:szCs w:val="24"/>
        </w:rPr>
        <w:t>Need to maintain</w:t>
      </w:r>
      <w:r w:rsidR="00CA19B1">
        <w:rPr>
          <w:rFonts w:eastAsia="Calibri"/>
          <w:sz w:val="24"/>
          <w:szCs w:val="24"/>
        </w:rPr>
        <w:t xml:space="preserve"> and improve</w:t>
      </w:r>
      <w:r w:rsidRPr="00A8486E">
        <w:rPr>
          <w:rFonts w:eastAsia="Calibri"/>
          <w:sz w:val="24"/>
          <w:szCs w:val="24"/>
        </w:rPr>
        <w:t xml:space="preserve"> </w:t>
      </w:r>
      <w:r w:rsidR="00CA19B1">
        <w:rPr>
          <w:rFonts w:eastAsia="Calibri"/>
          <w:sz w:val="24"/>
          <w:szCs w:val="24"/>
        </w:rPr>
        <w:t>access to ASC services for SDS’s patients in light of the retirement of the SDS physician</w:t>
      </w:r>
      <w:r w:rsidR="00BE6462">
        <w:rPr>
          <w:rFonts w:eastAsia="Calibri"/>
          <w:sz w:val="24"/>
          <w:szCs w:val="24"/>
        </w:rPr>
        <w:t xml:space="preserve"> </w:t>
      </w:r>
      <w:r w:rsidR="00C63F24">
        <w:rPr>
          <w:rFonts w:eastAsia="Calibri"/>
          <w:sz w:val="24"/>
          <w:szCs w:val="24"/>
        </w:rPr>
        <w:t>s</w:t>
      </w:r>
      <w:r w:rsidR="00BE6462">
        <w:rPr>
          <w:rFonts w:eastAsia="Calibri"/>
          <w:sz w:val="24"/>
          <w:szCs w:val="24"/>
        </w:rPr>
        <w:t>hareholders and other medical staff</w:t>
      </w:r>
    </w:p>
    <w:p w14:paraId="002D8D6F" w14:textId="6A79572F" w:rsidR="00BE6462" w:rsidRPr="006C551E" w:rsidRDefault="00BE6462" w:rsidP="00F147A0">
      <w:pPr>
        <w:pStyle w:val="ListParagraph"/>
        <w:numPr>
          <w:ilvl w:val="0"/>
          <w:numId w:val="47"/>
        </w:numPr>
        <w:spacing w:line="240" w:lineRule="auto"/>
        <w:rPr>
          <w:rFonts w:eastAsia="Calibri"/>
          <w:sz w:val="24"/>
          <w:szCs w:val="24"/>
        </w:rPr>
      </w:pPr>
      <w:r w:rsidRPr="006C551E">
        <w:rPr>
          <w:rFonts w:eastAsia="Calibri"/>
          <w:sz w:val="24"/>
          <w:szCs w:val="24"/>
        </w:rPr>
        <w:t>Need for financial resources to replace clinical staff, and upgrade equipment</w:t>
      </w:r>
    </w:p>
    <w:p w14:paraId="293277AE" w14:textId="6C90514F" w:rsidR="006C551E" w:rsidRPr="006C551E" w:rsidRDefault="006C551E" w:rsidP="00941A5E">
      <w:pPr>
        <w:pStyle w:val="ListParagraph"/>
        <w:numPr>
          <w:ilvl w:val="0"/>
          <w:numId w:val="47"/>
        </w:numPr>
        <w:spacing w:line="240" w:lineRule="auto"/>
        <w:rPr>
          <w:rFonts w:ascii="Calibri" w:hAnsi="Calibri" w:cs="Calibri"/>
          <w:sz w:val="24"/>
          <w:szCs w:val="24"/>
        </w:rPr>
      </w:pPr>
      <w:r w:rsidRPr="006C551E">
        <w:rPr>
          <w:rFonts w:ascii="Calibri" w:hAnsi="Calibri" w:cs="Calibri"/>
          <w:sz w:val="24"/>
          <w:szCs w:val="24"/>
        </w:rPr>
        <w:t xml:space="preserve">Need access to </w:t>
      </w:r>
      <w:r w:rsidR="00A073B7">
        <w:rPr>
          <w:rFonts w:ascii="Calibri" w:hAnsi="Calibri" w:cs="Calibri"/>
          <w:sz w:val="24"/>
          <w:szCs w:val="24"/>
        </w:rPr>
        <w:t xml:space="preserve">lower cost </w:t>
      </w:r>
      <w:r>
        <w:rPr>
          <w:rFonts w:ascii="Calibri" w:hAnsi="Calibri" w:cs="Calibri"/>
          <w:sz w:val="24"/>
          <w:szCs w:val="24"/>
        </w:rPr>
        <w:t xml:space="preserve">ASC </w:t>
      </w:r>
      <w:r w:rsidRPr="006C551E">
        <w:rPr>
          <w:rFonts w:ascii="Calibri" w:hAnsi="Calibri" w:cs="Calibri"/>
          <w:sz w:val="24"/>
          <w:szCs w:val="24"/>
        </w:rPr>
        <w:t xml:space="preserve">services for </w:t>
      </w:r>
      <w:r>
        <w:rPr>
          <w:rFonts w:ascii="Calibri" w:hAnsi="Calibri" w:cs="Calibri"/>
          <w:sz w:val="24"/>
          <w:szCs w:val="24"/>
        </w:rPr>
        <w:t>SHS</w:t>
      </w:r>
      <w:r w:rsidRPr="006C551E">
        <w:rPr>
          <w:rFonts w:ascii="Calibri" w:hAnsi="Calibri" w:cs="Calibri"/>
          <w:sz w:val="24"/>
          <w:szCs w:val="24"/>
        </w:rPr>
        <w:t xml:space="preserve">’s patients whose procedures are currently performed in a hospital </w:t>
      </w:r>
      <w:r w:rsidR="00A073B7">
        <w:rPr>
          <w:rFonts w:ascii="Calibri" w:hAnsi="Calibri" w:cs="Calibri"/>
          <w:sz w:val="24"/>
          <w:szCs w:val="24"/>
        </w:rPr>
        <w:t xml:space="preserve">and are experiencing long wait times and </w:t>
      </w:r>
      <w:r w:rsidR="00F07BC7">
        <w:rPr>
          <w:rFonts w:ascii="Calibri" w:hAnsi="Calibri" w:cs="Calibri"/>
          <w:sz w:val="24"/>
          <w:szCs w:val="24"/>
        </w:rPr>
        <w:t xml:space="preserve">need access </w:t>
      </w:r>
      <w:r w:rsidR="00A073B7">
        <w:rPr>
          <w:rFonts w:ascii="Calibri" w:hAnsi="Calibri" w:cs="Calibri"/>
          <w:sz w:val="24"/>
          <w:szCs w:val="24"/>
        </w:rPr>
        <w:t>to address projected regional demand among all specialties going forward</w:t>
      </w:r>
    </w:p>
    <w:p w14:paraId="6C09ADD5" w14:textId="5DD9D267" w:rsidR="00F078C7" w:rsidRPr="006C551E" w:rsidRDefault="00F078C7" w:rsidP="00F147A0">
      <w:pPr>
        <w:pStyle w:val="ListParagraph"/>
        <w:numPr>
          <w:ilvl w:val="0"/>
          <w:numId w:val="47"/>
        </w:numPr>
        <w:spacing w:line="240" w:lineRule="auto"/>
        <w:rPr>
          <w:rFonts w:eastAsia="Calibri"/>
          <w:sz w:val="24"/>
          <w:szCs w:val="24"/>
        </w:rPr>
      </w:pPr>
      <w:r w:rsidRPr="006C551E">
        <w:rPr>
          <w:rFonts w:eastAsia="Calibri"/>
          <w:sz w:val="24"/>
          <w:szCs w:val="24"/>
        </w:rPr>
        <w:t>Need To Improve Access to and Management of Patients enrolled in ACO and Public Plans</w:t>
      </w:r>
    </w:p>
    <w:p w14:paraId="5733F49E" w14:textId="08699835" w:rsidR="00670F15" w:rsidRPr="00F078C7" w:rsidRDefault="00670F15" w:rsidP="00F147A0">
      <w:pPr>
        <w:pStyle w:val="ListParagraph"/>
        <w:numPr>
          <w:ilvl w:val="0"/>
          <w:numId w:val="47"/>
        </w:numPr>
        <w:spacing w:line="240" w:lineRule="auto"/>
        <w:rPr>
          <w:rFonts w:eastAsia="Calibri"/>
          <w:sz w:val="24"/>
          <w:szCs w:val="24"/>
        </w:rPr>
      </w:pPr>
      <w:r w:rsidRPr="006C551E">
        <w:rPr>
          <w:rFonts w:eastAsia="Calibri"/>
          <w:sz w:val="24"/>
          <w:szCs w:val="24"/>
        </w:rPr>
        <w:t>Need</w:t>
      </w:r>
      <w:r w:rsidRPr="00F078C7">
        <w:rPr>
          <w:rFonts w:eastAsia="Calibri"/>
          <w:sz w:val="24"/>
          <w:szCs w:val="24"/>
        </w:rPr>
        <w:t xml:space="preserve"> to address the increasing demands for ASC services by the aging population</w:t>
      </w:r>
      <w:r w:rsidR="00BB62B2">
        <w:rPr>
          <w:rFonts w:eastAsia="Calibri"/>
          <w:sz w:val="24"/>
          <w:szCs w:val="24"/>
        </w:rPr>
        <w:t>.</w:t>
      </w:r>
    </w:p>
    <w:p w14:paraId="4AE8484D" w14:textId="77777777" w:rsidR="00F078C7" w:rsidRDefault="00F078C7" w:rsidP="00864EB7">
      <w:pPr>
        <w:rPr>
          <w:rFonts w:ascii="Calibri" w:hAnsi="Calibri" w:cs="Calibri"/>
          <w:b/>
          <w:bCs/>
        </w:rPr>
      </w:pPr>
    </w:p>
    <w:p w14:paraId="1DC35CB8" w14:textId="4E60DB1C" w:rsidR="00CA19B1" w:rsidRPr="00F147A0" w:rsidRDefault="00CA19B1" w:rsidP="00941A5E">
      <w:pPr>
        <w:pStyle w:val="ListParagraph"/>
        <w:numPr>
          <w:ilvl w:val="0"/>
          <w:numId w:val="48"/>
        </w:numPr>
        <w:spacing w:line="240" w:lineRule="auto"/>
        <w:rPr>
          <w:rFonts w:eastAsia="Calibri"/>
          <w:b/>
          <w:bCs/>
        </w:rPr>
      </w:pPr>
      <w:r w:rsidRPr="00F147A0">
        <w:rPr>
          <w:rFonts w:eastAsia="Calibri"/>
          <w:b/>
          <w:bCs/>
          <w:sz w:val="24"/>
          <w:szCs w:val="24"/>
        </w:rPr>
        <w:lastRenderedPageBreak/>
        <w:t xml:space="preserve">Need </w:t>
      </w:r>
      <w:r w:rsidR="006C551E" w:rsidRPr="00F147A0">
        <w:rPr>
          <w:rFonts w:eastAsia="Calibri"/>
          <w:b/>
          <w:bCs/>
          <w:sz w:val="24"/>
          <w:szCs w:val="24"/>
        </w:rPr>
        <w:t xml:space="preserve">To Maintain </w:t>
      </w:r>
      <w:proofErr w:type="gramStart"/>
      <w:r w:rsidR="006C551E" w:rsidRPr="00F147A0">
        <w:rPr>
          <w:rFonts w:eastAsia="Calibri"/>
          <w:b/>
          <w:bCs/>
          <w:sz w:val="24"/>
          <w:szCs w:val="24"/>
        </w:rPr>
        <w:t>And</w:t>
      </w:r>
      <w:proofErr w:type="gramEnd"/>
      <w:r w:rsidR="006C551E" w:rsidRPr="00F147A0">
        <w:rPr>
          <w:rFonts w:eastAsia="Calibri"/>
          <w:b/>
          <w:bCs/>
          <w:sz w:val="24"/>
          <w:szCs w:val="24"/>
        </w:rPr>
        <w:t xml:space="preserve"> Improve Access To </w:t>
      </w:r>
      <w:r w:rsidRPr="00F147A0">
        <w:rPr>
          <w:rFonts w:eastAsia="Calibri"/>
          <w:b/>
          <w:bCs/>
          <w:sz w:val="24"/>
          <w:szCs w:val="24"/>
        </w:rPr>
        <w:t xml:space="preserve">ASC </w:t>
      </w:r>
      <w:r w:rsidR="006C551E" w:rsidRPr="00F147A0">
        <w:rPr>
          <w:rFonts w:eastAsia="Calibri"/>
          <w:b/>
          <w:bCs/>
          <w:sz w:val="24"/>
          <w:szCs w:val="24"/>
        </w:rPr>
        <w:t xml:space="preserve">Services For </w:t>
      </w:r>
      <w:r w:rsidRPr="00F147A0">
        <w:rPr>
          <w:rFonts w:eastAsia="Calibri"/>
          <w:b/>
          <w:bCs/>
          <w:sz w:val="24"/>
          <w:szCs w:val="24"/>
        </w:rPr>
        <w:t xml:space="preserve">SDS’s </w:t>
      </w:r>
      <w:r w:rsidR="006C551E" w:rsidRPr="00F147A0">
        <w:rPr>
          <w:rFonts w:eastAsia="Calibri"/>
          <w:b/>
          <w:bCs/>
          <w:sz w:val="24"/>
          <w:szCs w:val="24"/>
        </w:rPr>
        <w:t xml:space="preserve">Patients In Light Of The Retirement Of The </w:t>
      </w:r>
      <w:r w:rsidRPr="00F147A0">
        <w:rPr>
          <w:rFonts w:eastAsia="Calibri"/>
          <w:b/>
          <w:bCs/>
          <w:sz w:val="24"/>
          <w:szCs w:val="24"/>
        </w:rPr>
        <w:t xml:space="preserve">SDS </w:t>
      </w:r>
      <w:r w:rsidR="006C551E" w:rsidRPr="00F147A0">
        <w:rPr>
          <w:rFonts w:eastAsia="Calibri"/>
          <w:b/>
          <w:bCs/>
          <w:sz w:val="24"/>
          <w:szCs w:val="24"/>
        </w:rPr>
        <w:t>Physician Shareholders And Other Medical Staff</w:t>
      </w:r>
    </w:p>
    <w:p w14:paraId="619875D7" w14:textId="77777777" w:rsidR="00A331DA" w:rsidRPr="00A331DA" w:rsidRDefault="00A331DA" w:rsidP="00A331DA">
      <w:pPr>
        <w:rPr>
          <w:rFonts w:ascii="Calibri" w:hAnsi="Calibri" w:cs="Calibri"/>
          <w:b/>
          <w:bCs/>
        </w:rPr>
      </w:pPr>
    </w:p>
    <w:p w14:paraId="68902183" w14:textId="47A61E28" w:rsidR="008B629D" w:rsidRDefault="00A331DA" w:rsidP="00A331DA">
      <w:pPr>
        <w:rPr>
          <w:rFonts w:ascii="Calibri" w:hAnsi="Calibri" w:cs="Calibri"/>
        </w:rPr>
      </w:pPr>
      <w:r w:rsidRPr="00BE6462">
        <w:rPr>
          <w:rFonts w:ascii="Calibri" w:hAnsi="Calibri" w:cs="Calibri"/>
        </w:rPr>
        <w:t>Since 2019</w:t>
      </w:r>
      <w:r w:rsidR="00090508">
        <w:rPr>
          <w:rFonts w:ascii="Calibri" w:hAnsi="Calibri" w:cs="Calibri"/>
        </w:rPr>
        <w:t>,</w:t>
      </w:r>
      <w:r w:rsidRPr="00BE6462">
        <w:rPr>
          <w:rFonts w:ascii="Calibri" w:hAnsi="Calibri" w:cs="Calibri"/>
        </w:rPr>
        <w:t xml:space="preserve"> SDS has been affected by the national shortage of anesthesiology providers, </w:t>
      </w:r>
      <w:r w:rsidR="001253E0">
        <w:rPr>
          <w:rFonts w:ascii="Calibri" w:hAnsi="Calibri" w:cs="Calibri"/>
        </w:rPr>
        <w:t>reducing</w:t>
      </w:r>
      <w:r w:rsidRPr="00BE6462">
        <w:rPr>
          <w:rFonts w:ascii="Calibri" w:hAnsi="Calibri" w:cs="Calibri"/>
        </w:rPr>
        <w:t xml:space="preserve"> the volume of surgical procedures SDS can provide. SDS’s anesthesiologists declined from four to one and two part-time CRNAs. If the Project is approved, the parties anticipate that together they will recruit a full complement of anesthesia providers at SDS </w:t>
      </w:r>
      <w:r w:rsidR="001253E0">
        <w:rPr>
          <w:rFonts w:ascii="Calibri" w:hAnsi="Calibri" w:cs="Calibri"/>
        </w:rPr>
        <w:t xml:space="preserve">enabling </w:t>
      </w:r>
      <w:r w:rsidRPr="00BE6462">
        <w:rPr>
          <w:rFonts w:ascii="Calibri" w:hAnsi="Calibri" w:cs="Calibri"/>
        </w:rPr>
        <w:t xml:space="preserve">increased </w:t>
      </w:r>
      <w:r w:rsidR="001253E0">
        <w:rPr>
          <w:rFonts w:ascii="Calibri" w:hAnsi="Calibri" w:cs="Calibri"/>
        </w:rPr>
        <w:t xml:space="preserve">access to </w:t>
      </w:r>
      <w:r w:rsidRPr="00BE6462">
        <w:rPr>
          <w:rFonts w:ascii="Calibri" w:hAnsi="Calibri" w:cs="Calibri"/>
        </w:rPr>
        <w:t xml:space="preserve">surgical </w:t>
      </w:r>
      <w:r w:rsidR="001253E0">
        <w:rPr>
          <w:rFonts w:ascii="Calibri" w:hAnsi="Calibri" w:cs="Calibri"/>
        </w:rPr>
        <w:t>procedures</w:t>
      </w:r>
      <w:r w:rsidRPr="00BE6462">
        <w:rPr>
          <w:rFonts w:ascii="Calibri" w:hAnsi="Calibri" w:cs="Calibri"/>
        </w:rPr>
        <w:t>. Table</w:t>
      </w:r>
      <w:r w:rsidR="00C475BF">
        <w:rPr>
          <w:rFonts w:ascii="Calibri" w:hAnsi="Calibri" w:cs="Calibri"/>
        </w:rPr>
        <w:t>s</w:t>
      </w:r>
      <w:r w:rsidRPr="00BE6462">
        <w:rPr>
          <w:rFonts w:ascii="Calibri" w:hAnsi="Calibri" w:cs="Calibri"/>
        </w:rPr>
        <w:t xml:space="preserve"> </w:t>
      </w:r>
      <w:r w:rsidR="008B629D" w:rsidRPr="00BE6462">
        <w:rPr>
          <w:rFonts w:ascii="Calibri" w:hAnsi="Calibri" w:cs="Calibri"/>
        </w:rPr>
        <w:t>4</w:t>
      </w:r>
      <w:r w:rsidR="00840ED6">
        <w:rPr>
          <w:rFonts w:ascii="Calibri" w:hAnsi="Calibri" w:cs="Calibri"/>
        </w:rPr>
        <w:t xml:space="preserve"> </w:t>
      </w:r>
      <w:r w:rsidR="00C475BF">
        <w:rPr>
          <w:rFonts w:ascii="Calibri" w:hAnsi="Calibri" w:cs="Calibri"/>
        </w:rPr>
        <w:t>and 5</w:t>
      </w:r>
      <w:r w:rsidRPr="00BE6462">
        <w:rPr>
          <w:rFonts w:ascii="Calibri" w:hAnsi="Calibri" w:cs="Calibri"/>
        </w:rPr>
        <w:t xml:space="preserve"> show the impact of COVID 19 and physician departures on both the Applicant and SDS.</w:t>
      </w:r>
    </w:p>
    <w:p w14:paraId="0D706F2A" w14:textId="77777777" w:rsidR="008B629D" w:rsidRDefault="008B629D" w:rsidP="00A331DA">
      <w:pPr>
        <w:rPr>
          <w:rFonts w:ascii="Calibri" w:hAnsi="Calibri" w:cs="Calibri"/>
        </w:rPr>
      </w:pPr>
    </w:p>
    <w:p w14:paraId="353FC5FB" w14:textId="76865D2F" w:rsidR="008B629D" w:rsidRPr="00BE6462" w:rsidRDefault="008B629D" w:rsidP="00064726">
      <w:pPr>
        <w:jc w:val="center"/>
        <w:rPr>
          <w:rFonts w:ascii="Calibri" w:hAnsi="Calibri" w:cs="Calibri"/>
          <w:b/>
          <w:bCs/>
        </w:rPr>
      </w:pPr>
      <w:r w:rsidRPr="00BE6462">
        <w:rPr>
          <w:rFonts w:ascii="Calibri" w:hAnsi="Calibri" w:cs="Calibri"/>
          <w:b/>
          <w:bCs/>
        </w:rPr>
        <w:t xml:space="preserve">Table 4: Six years of Inpatient and Outpatient Surgical </w:t>
      </w:r>
      <w:r w:rsidR="00510F0A">
        <w:rPr>
          <w:rFonts w:ascii="Calibri" w:hAnsi="Calibri" w:cs="Calibri"/>
          <w:b/>
          <w:bCs/>
        </w:rPr>
        <w:t xml:space="preserve">Procedure </w:t>
      </w:r>
      <w:r w:rsidRPr="00BE6462">
        <w:rPr>
          <w:rFonts w:ascii="Calibri" w:hAnsi="Calibri" w:cs="Calibri"/>
          <w:b/>
          <w:bCs/>
        </w:rPr>
        <w:t>Volumes at SHS, Charlton, and SD</w:t>
      </w:r>
      <w:r>
        <w:rPr>
          <w:rFonts w:ascii="Calibri" w:hAnsi="Calibri" w:cs="Calibri"/>
          <w:b/>
          <w:bCs/>
        </w:rPr>
        <w:t>S</w:t>
      </w:r>
    </w:p>
    <w:p w14:paraId="25587F61" w14:textId="77777777" w:rsidR="008B629D" w:rsidRPr="00BE6462" w:rsidRDefault="008B629D" w:rsidP="00A331DA">
      <w:pPr>
        <w:rPr>
          <w:rFonts w:ascii="Calibri" w:hAnsi="Calibri" w:cs="Calibri"/>
        </w:rPr>
      </w:pPr>
    </w:p>
    <w:p w14:paraId="1B9EC5E8" w14:textId="77777777" w:rsidR="00A331DA" w:rsidRPr="00A331DA" w:rsidRDefault="00A331DA" w:rsidP="00A331DA">
      <w:pPr>
        <w:rPr>
          <w:rFonts w:ascii="Calibri" w:hAnsi="Calibri" w:cs="Calibri"/>
          <w:b/>
          <w:bCs/>
        </w:rPr>
      </w:pPr>
      <w:r w:rsidRPr="00A331DA">
        <w:rPr>
          <w:rFonts w:ascii="Calibri" w:hAnsi="Calibri" w:cs="Calibri"/>
          <w:b/>
          <w:bCs/>
        </w:rPr>
        <w:t xml:space="preserve"> </w:t>
      </w:r>
    </w:p>
    <w:tbl>
      <w:tblPr>
        <w:tblW w:w="9625" w:type="dxa"/>
        <w:tblLook w:val="04A0" w:firstRow="1" w:lastRow="0" w:firstColumn="1" w:lastColumn="0" w:noHBand="0" w:noVBand="1"/>
      </w:tblPr>
      <w:tblGrid>
        <w:gridCol w:w="1100"/>
        <w:gridCol w:w="1360"/>
        <w:gridCol w:w="963"/>
        <w:gridCol w:w="963"/>
        <w:gridCol w:w="963"/>
        <w:gridCol w:w="963"/>
        <w:gridCol w:w="963"/>
        <w:gridCol w:w="963"/>
        <w:gridCol w:w="1387"/>
      </w:tblGrid>
      <w:tr w:rsidR="008B629D" w:rsidRPr="00A331DA" w14:paraId="6171EFD3" w14:textId="77777777" w:rsidTr="00100B21">
        <w:trPr>
          <w:cantSplit/>
          <w:trHeight w:val="760"/>
          <w:tblHeader/>
        </w:trPr>
        <w:tc>
          <w:tcPr>
            <w:tcW w:w="1100" w:type="dxa"/>
            <w:tcBorders>
              <w:top w:val="single" w:sz="4" w:space="0" w:color="auto"/>
              <w:left w:val="single" w:sz="4" w:space="0" w:color="auto"/>
              <w:bottom w:val="single" w:sz="4" w:space="0" w:color="auto"/>
              <w:right w:val="single" w:sz="4" w:space="0" w:color="auto"/>
            </w:tcBorders>
            <w:shd w:val="clear" w:color="000000" w:fill="DDFFFF"/>
            <w:noWrap/>
            <w:vAlign w:val="center"/>
            <w:hideMark/>
          </w:tcPr>
          <w:p w14:paraId="351B0E74" w14:textId="77777777" w:rsidR="008B629D" w:rsidRPr="00A331DA" w:rsidRDefault="008B629D" w:rsidP="00A331DA">
            <w:pPr>
              <w:rPr>
                <w:rFonts w:ascii="Calibri" w:hAnsi="Calibri" w:cs="Calibri"/>
                <w:b/>
                <w:bCs/>
              </w:rPr>
            </w:pPr>
            <w:r w:rsidRPr="00A331DA">
              <w:rPr>
                <w:rFonts w:ascii="Calibri" w:hAnsi="Calibri" w:cs="Calibri"/>
                <w:b/>
                <w:bCs/>
              </w:rPr>
              <w:t>Site</w:t>
            </w:r>
          </w:p>
        </w:tc>
        <w:tc>
          <w:tcPr>
            <w:tcW w:w="1360" w:type="dxa"/>
            <w:tcBorders>
              <w:top w:val="single" w:sz="4" w:space="0" w:color="auto"/>
              <w:left w:val="nil"/>
              <w:bottom w:val="single" w:sz="4" w:space="0" w:color="auto"/>
              <w:right w:val="single" w:sz="4" w:space="0" w:color="auto"/>
            </w:tcBorders>
            <w:shd w:val="clear" w:color="000000" w:fill="DDFFFF"/>
            <w:vAlign w:val="center"/>
            <w:hideMark/>
          </w:tcPr>
          <w:p w14:paraId="6A064251" w14:textId="77777777" w:rsidR="008B629D" w:rsidRPr="00A331DA" w:rsidRDefault="008B629D" w:rsidP="00137728">
            <w:pPr>
              <w:jc w:val="center"/>
              <w:rPr>
                <w:rFonts w:ascii="Calibri" w:hAnsi="Calibri" w:cs="Calibri"/>
                <w:b/>
                <w:bCs/>
              </w:rPr>
            </w:pPr>
            <w:r w:rsidRPr="00A331DA">
              <w:rPr>
                <w:rFonts w:ascii="Calibri" w:hAnsi="Calibri" w:cs="Calibri"/>
                <w:b/>
                <w:bCs/>
              </w:rPr>
              <w:t>Surgical location</w:t>
            </w:r>
          </w:p>
        </w:tc>
        <w:tc>
          <w:tcPr>
            <w:tcW w:w="963" w:type="dxa"/>
            <w:tcBorders>
              <w:top w:val="single" w:sz="4" w:space="0" w:color="auto"/>
              <w:left w:val="nil"/>
              <w:bottom w:val="single" w:sz="4" w:space="0" w:color="auto"/>
              <w:right w:val="single" w:sz="4" w:space="0" w:color="auto"/>
            </w:tcBorders>
            <w:shd w:val="clear" w:color="000000" w:fill="DDFFFF"/>
            <w:vAlign w:val="center"/>
            <w:hideMark/>
          </w:tcPr>
          <w:p w14:paraId="0D2B16E3" w14:textId="0947E375" w:rsidR="008B629D" w:rsidRPr="00A331DA" w:rsidRDefault="008B629D" w:rsidP="00137728">
            <w:pPr>
              <w:jc w:val="center"/>
              <w:rPr>
                <w:rFonts w:ascii="Calibri" w:hAnsi="Calibri" w:cs="Calibri"/>
                <w:b/>
                <w:bCs/>
              </w:rPr>
            </w:pPr>
            <w:r w:rsidRPr="00A331DA">
              <w:rPr>
                <w:rFonts w:ascii="Calibri" w:hAnsi="Calibri" w:cs="Calibri"/>
                <w:b/>
                <w:bCs/>
              </w:rPr>
              <w:t>FY18</w:t>
            </w:r>
          </w:p>
        </w:tc>
        <w:tc>
          <w:tcPr>
            <w:tcW w:w="963" w:type="dxa"/>
            <w:tcBorders>
              <w:top w:val="single" w:sz="4" w:space="0" w:color="auto"/>
              <w:left w:val="nil"/>
              <w:bottom w:val="single" w:sz="4" w:space="0" w:color="auto"/>
              <w:right w:val="single" w:sz="4" w:space="0" w:color="auto"/>
            </w:tcBorders>
            <w:shd w:val="clear" w:color="000000" w:fill="DDFFFF"/>
            <w:vAlign w:val="center"/>
            <w:hideMark/>
          </w:tcPr>
          <w:p w14:paraId="4919C6CD" w14:textId="0766DCAB" w:rsidR="008B629D" w:rsidRPr="00A331DA" w:rsidRDefault="008B629D" w:rsidP="00137728">
            <w:pPr>
              <w:jc w:val="center"/>
              <w:rPr>
                <w:rFonts w:ascii="Calibri" w:hAnsi="Calibri" w:cs="Calibri"/>
                <w:b/>
                <w:bCs/>
              </w:rPr>
            </w:pPr>
            <w:r w:rsidRPr="00A331DA">
              <w:rPr>
                <w:rFonts w:ascii="Calibri" w:hAnsi="Calibri" w:cs="Calibri"/>
                <w:b/>
                <w:bCs/>
              </w:rPr>
              <w:t>FY19</w:t>
            </w:r>
          </w:p>
        </w:tc>
        <w:tc>
          <w:tcPr>
            <w:tcW w:w="963" w:type="dxa"/>
            <w:tcBorders>
              <w:top w:val="single" w:sz="4" w:space="0" w:color="auto"/>
              <w:left w:val="nil"/>
              <w:bottom w:val="single" w:sz="4" w:space="0" w:color="auto"/>
              <w:right w:val="single" w:sz="4" w:space="0" w:color="auto"/>
            </w:tcBorders>
            <w:shd w:val="clear" w:color="000000" w:fill="DDFFFF"/>
            <w:vAlign w:val="center"/>
            <w:hideMark/>
          </w:tcPr>
          <w:p w14:paraId="7CEC731F" w14:textId="7AB2ACCE" w:rsidR="008B629D" w:rsidRPr="00A331DA" w:rsidRDefault="008B629D" w:rsidP="00137728">
            <w:pPr>
              <w:jc w:val="center"/>
              <w:rPr>
                <w:rFonts w:ascii="Calibri" w:hAnsi="Calibri" w:cs="Calibri"/>
                <w:b/>
                <w:bCs/>
              </w:rPr>
            </w:pPr>
            <w:r w:rsidRPr="00A331DA">
              <w:rPr>
                <w:rFonts w:ascii="Calibri" w:hAnsi="Calibri" w:cs="Calibri"/>
                <w:b/>
                <w:bCs/>
              </w:rPr>
              <w:t>FY20</w:t>
            </w:r>
          </w:p>
        </w:tc>
        <w:tc>
          <w:tcPr>
            <w:tcW w:w="963" w:type="dxa"/>
            <w:tcBorders>
              <w:top w:val="single" w:sz="4" w:space="0" w:color="auto"/>
              <w:left w:val="nil"/>
              <w:bottom w:val="single" w:sz="4" w:space="0" w:color="auto"/>
              <w:right w:val="single" w:sz="4" w:space="0" w:color="auto"/>
            </w:tcBorders>
            <w:shd w:val="clear" w:color="000000" w:fill="DDFFFF"/>
            <w:vAlign w:val="center"/>
            <w:hideMark/>
          </w:tcPr>
          <w:p w14:paraId="16096580" w14:textId="51757391" w:rsidR="008B629D" w:rsidRPr="00A331DA" w:rsidRDefault="008B629D" w:rsidP="00137728">
            <w:pPr>
              <w:jc w:val="center"/>
              <w:rPr>
                <w:rFonts w:ascii="Calibri" w:hAnsi="Calibri" w:cs="Calibri"/>
                <w:b/>
                <w:bCs/>
              </w:rPr>
            </w:pPr>
            <w:r w:rsidRPr="00A331DA">
              <w:rPr>
                <w:rFonts w:ascii="Calibri" w:hAnsi="Calibri" w:cs="Calibri"/>
                <w:b/>
                <w:bCs/>
              </w:rPr>
              <w:t>FY21</w:t>
            </w:r>
          </w:p>
        </w:tc>
        <w:tc>
          <w:tcPr>
            <w:tcW w:w="963" w:type="dxa"/>
            <w:tcBorders>
              <w:top w:val="single" w:sz="4" w:space="0" w:color="auto"/>
              <w:left w:val="nil"/>
              <w:bottom w:val="single" w:sz="4" w:space="0" w:color="auto"/>
              <w:right w:val="single" w:sz="4" w:space="0" w:color="auto"/>
            </w:tcBorders>
            <w:shd w:val="clear" w:color="000000" w:fill="DDFFFF"/>
            <w:vAlign w:val="center"/>
            <w:hideMark/>
          </w:tcPr>
          <w:p w14:paraId="01878F15" w14:textId="781BA792" w:rsidR="008B629D" w:rsidRPr="00A331DA" w:rsidRDefault="008B629D" w:rsidP="00137728">
            <w:pPr>
              <w:jc w:val="center"/>
              <w:rPr>
                <w:rFonts w:ascii="Calibri" w:hAnsi="Calibri" w:cs="Calibri"/>
                <w:b/>
                <w:bCs/>
              </w:rPr>
            </w:pPr>
            <w:r w:rsidRPr="00A331DA">
              <w:rPr>
                <w:rFonts w:ascii="Calibri" w:hAnsi="Calibri" w:cs="Calibri"/>
                <w:b/>
                <w:bCs/>
              </w:rPr>
              <w:t>FY22</w:t>
            </w:r>
          </w:p>
        </w:tc>
        <w:tc>
          <w:tcPr>
            <w:tcW w:w="963" w:type="dxa"/>
            <w:tcBorders>
              <w:top w:val="single" w:sz="4" w:space="0" w:color="auto"/>
              <w:left w:val="nil"/>
              <w:bottom w:val="single" w:sz="4" w:space="0" w:color="auto"/>
              <w:right w:val="single" w:sz="4" w:space="0" w:color="auto"/>
            </w:tcBorders>
            <w:shd w:val="clear" w:color="000000" w:fill="DDFFFF"/>
            <w:vAlign w:val="center"/>
            <w:hideMark/>
          </w:tcPr>
          <w:p w14:paraId="4888D938" w14:textId="21FB1E6D" w:rsidR="008B629D" w:rsidRPr="00A331DA" w:rsidRDefault="008B629D" w:rsidP="00137728">
            <w:pPr>
              <w:jc w:val="center"/>
              <w:rPr>
                <w:rFonts w:ascii="Calibri" w:hAnsi="Calibri" w:cs="Calibri"/>
                <w:b/>
                <w:bCs/>
              </w:rPr>
            </w:pPr>
            <w:r w:rsidRPr="00A331DA">
              <w:rPr>
                <w:rFonts w:ascii="Calibri" w:hAnsi="Calibri" w:cs="Calibri"/>
                <w:b/>
                <w:bCs/>
              </w:rPr>
              <w:t>FY23</w:t>
            </w:r>
          </w:p>
        </w:tc>
        <w:tc>
          <w:tcPr>
            <w:tcW w:w="1387" w:type="dxa"/>
            <w:tcBorders>
              <w:top w:val="single" w:sz="4" w:space="0" w:color="auto"/>
              <w:left w:val="nil"/>
              <w:bottom w:val="single" w:sz="4" w:space="0" w:color="auto"/>
              <w:right w:val="single" w:sz="4" w:space="0" w:color="auto"/>
            </w:tcBorders>
            <w:shd w:val="clear" w:color="000000" w:fill="DDFFFF"/>
            <w:vAlign w:val="center"/>
            <w:hideMark/>
          </w:tcPr>
          <w:p w14:paraId="79342B66" w14:textId="7EBDEEAB" w:rsidR="008B629D" w:rsidRPr="00A331DA" w:rsidRDefault="008B629D" w:rsidP="00137728">
            <w:pPr>
              <w:jc w:val="center"/>
              <w:rPr>
                <w:rFonts w:ascii="Calibri" w:hAnsi="Calibri" w:cs="Calibri"/>
                <w:b/>
                <w:bCs/>
              </w:rPr>
            </w:pPr>
            <w:r w:rsidRPr="00A331DA">
              <w:rPr>
                <w:rFonts w:ascii="Calibri" w:hAnsi="Calibri" w:cs="Calibri"/>
                <w:b/>
                <w:bCs/>
              </w:rPr>
              <w:t xml:space="preserve">% Change </w:t>
            </w:r>
            <w:r w:rsidR="00137728">
              <w:rPr>
                <w:rFonts w:ascii="Calibri" w:hAnsi="Calibri" w:cs="Calibri"/>
                <w:b/>
                <w:bCs/>
              </w:rPr>
              <w:t xml:space="preserve">FY </w:t>
            </w:r>
            <w:r w:rsidRPr="00A331DA">
              <w:rPr>
                <w:rFonts w:ascii="Calibri" w:hAnsi="Calibri" w:cs="Calibri"/>
                <w:b/>
                <w:bCs/>
              </w:rPr>
              <w:t>2018</w:t>
            </w:r>
            <w:r w:rsidR="00137728">
              <w:rPr>
                <w:rFonts w:ascii="Calibri" w:hAnsi="Calibri" w:cs="Calibri"/>
                <w:b/>
                <w:bCs/>
              </w:rPr>
              <w:t>-23</w:t>
            </w:r>
          </w:p>
        </w:tc>
      </w:tr>
      <w:tr w:rsidR="008B629D" w:rsidRPr="00A331DA" w14:paraId="51188E6F" w14:textId="77777777" w:rsidTr="00100B21">
        <w:trPr>
          <w:cantSplit/>
          <w:trHeight w:val="31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B0A5096" w14:textId="77777777" w:rsidR="008B629D" w:rsidRPr="00A331DA" w:rsidRDefault="008B629D" w:rsidP="00A331DA">
            <w:pPr>
              <w:rPr>
                <w:rFonts w:ascii="Calibri" w:hAnsi="Calibri" w:cs="Calibri"/>
                <w:b/>
                <w:bCs/>
              </w:rPr>
            </w:pPr>
            <w:r w:rsidRPr="00A331DA">
              <w:rPr>
                <w:rFonts w:ascii="Calibri" w:hAnsi="Calibri" w:cs="Calibri"/>
                <w:b/>
                <w:bCs/>
              </w:rPr>
              <w:t>SHS</w:t>
            </w:r>
          </w:p>
        </w:tc>
        <w:tc>
          <w:tcPr>
            <w:tcW w:w="1360" w:type="dxa"/>
            <w:tcBorders>
              <w:top w:val="nil"/>
              <w:left w:val="nil"/>
              <w:bottom w:val="single" w:sz="4" w:space="0" w:color="auto"/>
              <w:right w:val="single" w:sz="4" w:space="0" w:color="auto"/>
            </w:tcBorders>
            <w:shd w:val="clear" w:color="auto" w:fill="auto"/>
            <w:noWrap/>
            <w:vAlign w:val="bottom"/>
            <w:hideMark/>
          </w:tcPr>
          <w:p w14:paraId="05C269A8" w14:textId="77777777" w:rsidR="008B629D" w:rsidRPr="00A331DA" w:rsidRDefault="008B629D" w:rsidP="00A331DA">
            <w:pPr>
              <w:rPr>
                <w:rFonts w:ascii="Calibri" w:hAnsi="Calibri" w:cs="Calibri"/>
                <w:b/>
                <w:bCs/>
              </w:rPr>
            </w:pPr>
            <w:r w:rsidRPr="00A331DA">
              <w:rPr>
                <w:rFonts w:ascii="Calibri" w:hAnsi="Calibri" w:cs="Calibri"/>
                <w:b/>
                <w:bCs/>
              </w:rPr>
              <w:t>Inpatient</w:t>
            </w:r>
          </w:p>
        </w:tc>
        <w:tc>
          <w:tcPr>
            <w:tcW w:w="963" w:type="dxa"/>
            <w:tcBorders>
              <w:top w:val="nil"/>
              <w:left w:val="nil"/>
              <w:bottom w:val="single" w:sz="4" w:space="0" w:color="auto"/>
              <w:right w:val="single" w:sz="4" w:space="0" w:color="auto"/>
            </w:tcBorders>
            <w:shd w:val="clear" w:color="auto" w:fill="auto"/>
            <w:noWrap/>
            <w:vAlign w:val="bottom"/>
            <w:hideMark/>
          </w:tcPr>
          <w:p w14:paraId="0E5BF986" w14:textId="77777777" w:rsidR="008B629D" w:rsidRPr="00BE6462" w:rsidRDefault="008B629D" w:rsidP="00BE6462">
            <w:pPr>
              <w:jc w:val="right"/>
              <w:rPr>
                <w:rFonts w:ascii="Calibri" w:hAnsi="Calibri" w:cs="Calibri"/>
              </w:rPr>
            </w:pPr>
            <w:r w:rsidRPr="00BE6462">
              <w:rPr>
                <w:rFonts w:ascii="Calibri" w:hAnsi="Calibri" w:cs="Calibri"/>
              </w:rPr>
              <w:t>11,361</w:t>
            </w:r>
          </w:p>
        </w:tc>
        <w:tc>
          <w:tcPr>
            <w:tcW w:w="963" w:type="dxa"/>
            <w:tcBorders>
              <w:top w:val="nil"/>
              <w:left w:val="nil"/>
              <w:bottom w:val="single" w:sz="4" w:space="0" w:color="auto"/>
              <w:right w:val="single" w:sz="4" w:space="0" w:color="auto"/>
            </w:tcBorders>
            <w:shd w:val="clear" w:color="auto" w:fill="auto"/>
            <w:noWrap/>
            <w:vAlign w:val="bottom"/>
            <w:hideMark/>
          </w:tcPr>
          <w:p w14:paraId="79803296" w14:textId="77777777" w:rsidR="008B629D" w:rsidRPr="00BE6462" w:rsidRDefault="008B629D" w:rsidP="00BE6462">
            <w:pPr>
              <w:jc w:val="right"/>
              <w:rPr>
                <w:rFonts w:ascii="Calibri" w:hAnsi="Calibri" w:cs="Calibri"/>
              </w:rPr>
            </w:pPr>
            <w:r w:rsidRPr="00BE6462">
              <w:rPr>
                <w:rFonts w:ascii="Calibri" w:hAnsi="Calibri" w:cs="Calibri"/>
              </w:rPr>
              <w:t>11,722</w:t>
            </w:r>
          </w:p>
        </w:tc>
        <w:tc>
          <w:tcPr>
            <w:tcW w:w="963" w:type="dxa"/>
            <w:tcBorders>
              <w:top w:val="nil"/>
              <w:left w:val="nil"/>
              <w:bottom w:val="single" w:sz="4" w:space="0" w:color="auto"/>
              <w:right w:val="single" w:sz="4" w:space="0" w:color="auto"/>
            </w:tcBorders>
            <w:shd w:val="clear" w:color="auto" w:fill="auto"/>
            <w:noWrap/>
            <w:vAlign w:val="bottom"/>
            <w:hideMark/>
          </w:tcPr>
          <w:p w14:paraId="4621AB70" w14:textId="77777777" w:rsidR="008B629D" w:rsidRPr="00BE6462" w:rsidRDefault="008B629D" w:rsidP="00BE6462">
            <w:pPr>
              <w:jc w:val="right"/>
              <w:rPr>
                <w:rFonts w:ascii="Calibri" w:hAnsi="Calibri" w:cs="Calibri"/>
              </w:rPr>
            </w:pPr>
            <w:r w:rsidRPr="00BE6462">
              <w:rPr>
                <w:rFonts w:ascii="Calibri" w:hAnsi="Calibri" w:cs="Calibri"/>
              </w:rPr>
              <w:t>10,381</w:t>
            </w:r>
          </w:p>
        </w:tc>
        <w:tc>
          <w:tcPr>
            <w:tcW w:w="963" w:type="dxa"/>
            <w:tcBorders>
              <w:top w:val="nil"/>
              <w:left w:val="nil"/>
              <w:bottom w:val="single" w:sz="4" w:space="0" w:color="auto"/>
              <w:right w:val="single" w:sz="4" w:space="0" w:color="auto"/>
            </w:tcBorders>
            <w:shd w:val="clear" w:color="auto" w:fill="auto"/>
            <w:noWrap/>
            <w:vAlign w:val="bottom"/>
            <w:hideMark/>
          </w:tcPr>
          <w:p w14:paraId="14BAC6C6" w14:textId="77777777" w:rsidR="008B629D" w:rsidRPr="00BE6462" w:rsidRDefault="008B629D" w:rsidP="00BE6462">
            <w:pPr>
              <w:jc w:val="right"/>
              <w:rPr>
                <w:rFonts w:ascii="Calibri" w:hAnsi="Calibri" w:cs="Calibri"/>
              </w:rPr>
            </w:pPr>
            <w:r w:rsidRPr="00BE6462">
              <w:rPr>
                <w:rFonts w:ascii="Calibri" w:hAnsi="Calibri" w:cs="Calibri"/>
              </w:rPr>
              <w:t>10,744</w:t>
            </w:r>
          </w:p>
        </w:tc>
        <w:tc>
          <w:tcPr>
            <w:tcW w:w="963" w:type="dxa"/>
            <w:tcBorders>
              <w:top w:val="nil"/>
              <w:left w:val="nil"/>
              <w:bottom w:val="single" w:sz="4" w:space="0" w:color="auto"/>
              <w:right w:val="single" w:sz="4" w:space="0" w:color="auto"/>
            </w:tcBorders>
            <w:shd w:val="clear" w:color="auto" w:fill="auto"/>
            <w:noWrap/>
            <w:vAlign w:val="bottom"/>
            <w:hideMark/>
          </w:tcPr>
          <w:p w14:paraId="5C6860A9" w14:textId="77777777" w:rsidR="008B629D" w:rsidRPr="00BE6462" w:rsidRDefault="008B629D" w:rsidP="00BE6462">
            <w:pPr>
              <w:jc w:val="right"/>
              <w:rPr>
                <w:rFonts w:ascii="Calibri" w:hAnsi="Calibri" w:cs="Calibri"/>
              </w:rPr>
            </w:pPr>
            <w:r w:rsidRPr="00BE6462">
              <w:rPr>
                <w:rFonts w:ascii="Calibri" w:hAnsi="Calibri" w:cs="Calibri"/>
              </w:rPr>
              <w:t>10,239</w:t>
            </w:r>
          </w:p>
        </w:tc>
        <w:tc>
          <w:tcPr>
            <w:tcW w:w="963" w:type="dxa"/>
            <w:tcBorders>
              <w:top w:val="nil"/>
              <w:left w:val="nil"/>
              <w:bottom w:val="single" w:sz="4" w:space="0" w:color="auto"/>
              <w:right w:val="single" w:sz="4" w:space="0" w:color="auto"/>
            </w:tcBorders>
            <w:shd w:val="clear" w:color="auto" w:fill="auto"/>
            <w:noWrap/>
            <w:vAlign w:val="bottom"/>
            <w:hideMark/>
          </w:tcPr>
          <w:p w14:paraId="2B511F38" w14:textId="77777777" w:rsidR="008B629D" w:rsidRPr="00BE6462" w:rsidRDefault="008B629D" w:rsidP="00BE6462">
            <w:pPr>
              <w:jc w:val="right"/>
              <w:rPr>
                <w:rFonts w:ascii="Calibri" w:hAnsi="Calibri" w:cs="Calibri"/>
              </w:rPr>
            </w:pPr>
            <w:r w:rsidRPr="00BE6462">
              <w:rPr>
                <w:rFonts w:ascii="Calibri" w:hAnsi="Calibri" w:cs="Calibri"/>
              </w:rPr>
              <w:t>10,476</w:t>
            </w:r>
          </w:p>
        </w:tc>
        <w:tc>
          <w:tcPr>
            <w:tcW w:w="1387" w:type="dxa"/>
            <w:tcBorders>
              <w:top w:val="nil"/>
              <w:left w:val="nil"/>
              <w:bottom w:val="single" w:sz="4" w:space="0" w:color="auto"/>
              <w:right w:val="single" w:sz="4" w:space="0" w:color="auto"/>
            </w:tcBorders>
            <w:shd w:val="clear" w:color="auto" w:fill="auto"/>
            <w:noWrap/>
            <w:vAlign w:val="bottom"/>
            <w:hideMark/>
          </w:tcPr>
          <w:p w14:paraId="1D0482BF" w14:textId="77777777" w:rsidR="008B629D" w:rsidRPr="00BE6462" w:rsidRDefault="008B629D" w:rsidP="00BE6462">
            <w:pPr>
              <w:jc w:val="right"/>
              <w:rPr>
                <w:rFonts w:ascii="Calibri" w:hAnsi="Calibri" w:cs="Calibri"/>
              </w:rPr>
            </w:pPr>
            <w:r w:rsidRPr="00BE6462">
              <w:rPr>
                <w:rFonts w:ascii="Calibri" w:hAnsi="Calibri" w:cs="Calibri"/>
              </w:rPr>
              <w:t>-7.8%</w:t>
            </w:r>
          </w:p>
        </w:tc>
      </w:tr>
      <w:tr w:rsidR="008B629D" w:rsidRPr="00A331DA" w14:paraId="22D10229" w14:textId="77777777" w:rsidTr="00100B21">
        <w:trPr>
          <w:cantSplit/>
          <w:trHeight w:val="31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61D293E" w14:textId="77777777" w:rsidR="008B629D" w:rsidRPr="00A331DA" w:rsidRDefault="008B629D" w:rsidP="00A331DA">
            <w:pPr>
              <w:rPr>
                <w:rFonts w:ascii="Calibri" w:hAnsi="Calibri" w:cs="Calibri"/>
                <w:b/>
                <w:bCs/>
              </w:rPr>
            </w:pPr>
            <w:r w:rsidRPr="00A331DA">
              <w:rPr>
                <w:rFonts w:ascii="Calibri" w:hAnsi="Calibri" w:cs="Calibri"/>
                <w:b/>
                <w:bCs/>
              </w:rPr>
              <w:t>Charlton</w:t>
            </w:r>
          </w:p>
        </w:tc>
        <w:tc>
          <w:tcPr>
            <w:tcW w:w="1360" w:type="dxa"/>
            <w:tcBorders>
              <w:top w:val="nil"/>
              <w:left w:val="nil"/>
              <w:bottom w:val="single" w:sz="4" w:space="0" w:color="auto"/>
              <w:right w:val="single" w:sz="4" w:space="0" w:color="auto"/>
            </w:tcBorders>
            <w:shd w:val="clear" w:color="auto" w:fill="auto"/>
            <w:noWrap/>
            <w:vAlign w:val="bottom"/>
            <w:hideMark/>
          </w:tcPr>
          <w:p w14:paraId="17C3FF1A" w14:textId="77777777" w:rsidR="008B629D" w:rsidRPr="00A331DA" w:rsidRDefault="008B629D" w:rsidP="00A331DA">
            <w:pPr>
              <w:rPr>
                <w:rFonts w:ascii="Calibri" w:hAnsi="Calibri" w:cs="Calibri"/>
                <w:b/>
                <w:bCs/>
              </w:rPr>
            </w:pPr>
            <w:r w:rsidRPr="00A331DA">
              <w:rPr>
                <w:rFonts w:ascii="Calibri" w:hAnsi="Calibri" w:cs="Calibri"/>
                <w:b/>
                <w:bCs/>
              </w:rPr>
              <w:t>Inpatient</w:t>
            </w:r>
          </w:p>
        </w:tc>
        <w:tc>
          <w:tcPr>
            <w:tcW w:w="963" w:type="dxa"/>
            <w:tcBorders>
              <w:top w:val="nil"/>
              <w:left w:val="nil"/>
              <w:bottom w:val="single" w:sz="4" w:space="0" w:color="auto"/>
              <w:right w:val="single" w:sz="4" w:space="0" w:color="auto"/>
            </w:tcBorders>
            <w:shd w:val="clear" w:color="auto" w:fill="auto"/>
            <w:noWrap/>
            <w:vAlign w:val="bottom"/>
            <w:hideMark/>
          </w:tcPr>
          <w:p w14:paraId="551E382C" w14:textId="77777777" w:rsidR="008B629D" w:rsidRPr="00BE6462" w:rsidRDefault="008B629D" w:rsidP="00BE6462">
            <w:pPr>
              <w:jc w:val="right"/>
              <w:rPr>
                <w:rFonts w:ascii="Calibri" w:hAnsi="Calibri" w:cs="Calibri"/>
              </w:rPr>
            </w:pPr>
            <w:r w:rsidRPr="00BE6462">
              <w:rPr>
                <w:rFonts w:ascii="Calibri" w:hAnsi="Calibri" w:cs="Calibri"/>
              </w:rPr>
              <w:t>5,772</w:t>
            </w:r>
          </w:p>
        </w:tc>
        <w:tc>
          <w:tcPr>
            <w:tcW w:w="963" w:type="dxa"/>
            <w:tcBorders>
              <w:top w:val="nil"/>
              <w:left w:val="nil"/>
              <w:bottom w:val="single" w:sz="4" w:space="0" w:color="auto"/>
              <w:right w:val="single" w:sz="4" w:space="0" w:color="auto"/>
            </w:tcBorders>
            <w:shd w:val="clear" w:color="auto" w:fill="auto"/>
            <w:noWrap/>
            <w:vAlign w:val="bottom"/>
            <w:hideMark/>
          </w:tcPr>
          <w:p w14:paraId="035DE4E0" w14:textId="77777777" w:rsidR="008B629D" w:rsidRPr="00BE6462" w:rsidRDefault="008B629D" w:rsidP="00BE6462">
            <w:pPr>
              <w:jc w:val="right"/>
              <w:rPr>
                <w:rFonts w:ascii="Calibri" w:hAnsi="Calibri" w:cs="Calibri"/>
              </w:rPr>
            </w:pPr>
            <w:r w:rsidRPr="00BE6462">
              <w:rPr>
                <w:rFonts w:ascii="Calibri" w:hAnsi="Calibri" w:cs="Calibri"/>
              </w:rPr>
              <w:t>6,272</w:t>
            </w:r>
          </w:p>
        </w:tc>
        <w:tc>
          <w:tcPr>
            <w:tcW w:w="963" w:type="dxa"/>
            <w:tcBorders>
              <w:top w:val="nil"/>
              <w:left w:val="nil"/>
              <w:bottom w:val="single" w:sz="4" w:space="0" w:color="auto"/>
              <w:right w:val="single" w:sz="4" w:space="0" w:color="auto"/>
            </w:tcBorders>
            <w:shd w:val="clear" w:color="auto" w:fill="auto"/>
            <w:noWrap/>
            <w:vAlign w:val="bottom"/>
            <w:hideMark/>
          </w:tcPr>
          <w:p w14:paraId="442226A3" w14:textId="77777777" w:rsidR="008B629D" w:rsidRPr="00BE6462" w:rsidRDefault="008B629D" w:rsidP="00BE6462">
            <w:pPr>
              <w:jc w:val="right"/>
              <w:rPr>
                <w:rFonts w:ascii="Calibri" w:hAnsi="Calibri" w:cs="Calibri"/>
              </w:rPr>
            </w:pPr>
            <w:r w:rsidRPr="00BE6462">
              <w:rPr>
                <w:rFonts w:ascii="Calibri" w:hAnsi="Calibri" w:cs="Calibri"/>
              </w:rPr>
              <w:t>5,461</w:t>
            </w:r>
          </w:p>
        </w:tc>
        <w:tc>
          <w:tcPr>
            <w:tcW w:w="963" w:type="dxa"/>
            <w:tcBorders>
              <w:top w:val="nil"/>
              <w:left w:val="nil"/>
              <w:bottom w:val="single" w:sz="4" w:space="0" w:color="auto"/>
              <w:right w:val="single" w:sz="4" w:space="0" w:color="auto"/>
            </w:tcBorders>
            <w:shd w:val="clear" w:color="auto" w:fill="auto"/>
            <w:noWrap/>
            <w:vAlign w:val="bottom"/>
            <w:hideMark/>
          </w:tcPr>
          <w:p w14:paraId="6D311D12" w14:textId="77777777" w:rsidR="008B629D" w:rsidRPr="00BE6462" w:rsidRDefault="008B629D" w:rsidP="00BE6462">
            <w:pPr>
              <w:jc w:val="right"/>
              <w:rPr>
                <w:rFonts w:ascii="Calibri" w:hAnsi="Calibri" w:cs="Calibri"/>
              </w:rPr>
            </w:pPr>
            <w:r w:rsidRPr="00BE6462">
              <w:rPr>
                <w:rFonts w:ascii="Calibri" w:hAnsi="Calibri" w:cs="Calibri"/>
              </w:rPr>
              <w:t>5,640</w:t>
            </w:r>
          </w:p>
        </w:tc>
        <w:tc>
          <w:tcPr>
            <w:tcW w:w="963" w:type="dxa"/>
            <w:tcBorders>
              <w:top w:val="nil"/>
              <w:left w:val="nil"/>
              <w:bottom w:val="single" w:sz="4" w:space="0" w:color="auto"/>
              <w:right w:val="single" w:sz="4" w:space="0" w:color="auto"/>
            </w:tcBorders>
            <w:shd w:val="clear" w:color="auto" w:fill="auto"/>
            <w:noWrap/>
            <w:vAlign w:val="bottom"/>
            <w:hideMark/>
          </w:tcPr>
          <w:p w14:paraId="10351DEC" w14:textId="77777777" w:rsidR="008B629D" w:rsidRPr="00BE6462" w:rsidRDefault="008B629D" w:rsidP="00BE6462">
            <w:pPr>
              <w:jc w:val="right"/>
              <w:rPr>
                <w:rFonts w:ascii="Calibri" w:hAnsi="Calibri" w:cs="Calibri"/>
              </w:rPr>
            </w:pPr>
            <w:r w:rsidRPr="00BE6462">
              <w:rPr>
                <w:rFonts w:ascii="Calibri" w:hAnsi="Calibri" w:cs="Calibri"/>
              </w:rPr>
              <w:t>5,398</w:t>
            </w:r>
          </w:p>
        </w:tc>
        <w:tc>
          <w:tcPr>
            <w:tcW w:w="963" w:type="dxa"/>
            <w:tcBorders>
              <w:top w:val="nil"/>
              <w:left w:val="nil"/>
              <w:bottom w:val="single" w:sz="4" w:space="0" w:color="auto"/>
              <w:right w:val="single" w:sz="4" w:space="0" w:color="auto"/>
            </w:tcBorders>
            <w:shd w:val="clear" w:color="auto" w:fill="auto"/>
            <w:noWrap/>
            <w:vAlign w:val="bottom"/>
            <w:hideMark/>
          </w:tcPr>
          <w:p w14:paraId="60C9AD3D" w14:textId="77777777" w:rsidR="008B629D" w:rsidRPr="00BE6462" w:rsidRDefault="008B629D" w:rsidP="00BE6462">
            <w:pPr>
              <w:jc w:val="right"/>
              <w:rPr>
                <w:rFonts w:ascii="Calibri" w:hAnsi="Calibri" w:cs="Calibri"/>
              </w:rPr>
            </w:pPr>
            <w:r w:rsidRPr="00BE6462">
              <w:rPr>
                <w:rFonts w:ascii="Calibri" w:hAnsi="Calibri" w:cs="Calibri"/>
              </w:rPr>
              <w:t>5,579</w:t>
            </w:r>
          </w:p>
        </w:tc>
        <w:tc>
          <w:tcPr>
            <w:tcW w:w="1387" w:type="dxa"/>
            <w:tcBorders>
              <w:top w:val="nil"/>
              <w:left w:val="nil"/>
              <w:bottom w:val="single" w:sz="4" w:space="0" w:color="auto"/>
              <w:right w:val="single" w:sz="4" w:space="0" w:color="auto"/>
            </w:tcBorders>
            <w:shd w:val="clear" w:color="auto" w:fill="auto"/>
            <w:noWrap/>
            <w:vAlign w:val="bottom"/>
            <w:hideMark/>
          </w:tcPr>
          <w:p w14:paraId="311F8F80" w14:textId="77777777" w:rsidR="008B629D" w:rsidRPr="00BE6462" w:rsidRDefault="008B629D" w:rsidP="00BE6462">
            <w:pPr>
              <w:jc w:val="right"/>
              <w:rPr>
                <w:rFonts w:ascii="Calibri" w:hAnsi="Calibri" w:cs="Calibri"/>
              </w:rPr>
            </w:pPr>
            <w:r w:rsidRPr="00BE6462">
              <w:rPr>
                <w:rFonts w:ascii="Calibri" w:hAnsi="Calibri" w:cs="Calibri"/>
              </w:rPr>
              <w:t>-3.3%</w:t>
            </w:r>
          </w:p>
        </w:tc>
      </w:tr>
      <w:tr w:rsidR="008B629D" w:rsidRPr="00A331DA" w14:paraId="466EA794" w14:textId="77777777" w:rsidTr="00100B21">
        <w:trPr>
          <w:cantSplit/>
          <w:trHeight w:val="31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74C9E82" w14:textId="77777777" w:rsidR="008B629D" w:rsidRPr="00A331DA" w:rsidRDefault="008B629D" w:rsidP="00A331DA">
            <w:pPr>
              <w:rPr>
                <w:rFonts w:ascii="Calibri" w:hAnsi="Calibri" w:cs="Calibri"/>
                <w:b/>
                <w:bCs/>
              </w:rPr>
            </w:pPr>
            <w:r w:rsidRPr="00A331DA">
              <w:rPr>
                <w:rFonts w:ascii="Calibri" w:hAnsi="Calibri" w:cs="Calibri"/>
                <w:b/>
                <w:bCs/>
              </w:rPr>
              <w:t> </w:t>
            </w:r>
          </w:p>
        </w:tc>
        <w:tc>
          <w:tcPr>
            <w:tcW w:w="1360" w:type="dxa"/>
            <w:tcBorders>
              <w:top w:val="nil"/>
              <w:left w:val="nil"/>
              <w:bottom w:val="single" w:sz="4" w:space="0" w:color="auto"/>
              <w:right w:val="single" w:sz="4" w:space="0" w:color="auto"/>
            </w:tcBorders>
            <w:shd w:val="clear" w:color="auto" w:fill="auto"/>
            <w:noWrap/>
            <w:vAlign w:val="bottom"/>
            <w:hideMark/>
          </w:tcPr>
          <w:p w14:paraId="6169C33B" w14:textId="77777777" w:rsidR="008B629D" w:rsidRPr="00A331DA" w:rsidRDefault="008B629D" w:rsidP="00A331DA">
            <w:pPr>
              <w:rPr>
                <w:rFonts w:ascii="Calibri" w:hAnsi="Calibri" w:cs="Calibri"/>
                <w:b/>
                <w:bCs/>
              </w:rPr>
            </w:pPr>
            <w:r w:rsidRPr="00A331DA">
              <w:rPr>
                <w:rFonts w:ascii="Calibri" w:hAnsi="Calibri" w:cs="Calibri"/>
                <w:b/>
                <w:bCs/>
              </w:rPr>
              <w:t> </w:t>
            </w:r>
          </w:p>
        </w:tc>
        <w:tc>
          <w:tcPr>
            <w:tcW w:w="963" w:type="dxa"/>
            <w:tcBorders>
              <w:top w:val="nil"/>
              <w:left w:val="nil"/>
              <w:bottom w:val="single" w:sz="4" w:space="0" w:color="auto"/>
              <w:right w:val="single" w:sz="4" w:space="0" w:color="auto"/>
            </w:tcBorders>
            <w:shd w:val="clear" w:color="auto" w:fill="auto"/>
            <w:noWrap/>
            <w:vAlign w:val="bottom"/>
            <w:hideMark/>
          </w:tcPr>
          <w:p w14:paraId="31739EC1" w14:textId="77777777" w:rsidR="008B629D" w:rsidRPr="00BE6462" w:rsidRDefault="008B629D" w:rsidP="00BE6462">
            <w:pPr>
              <w:jc w:val="right"/>
              <w:rPr>
                <w:rFonts w:ascii="Calibri" w:hAnsi="Calibri" w:cs="Calibri"/>
              </w:rPr>
            </w:pPr>
            <w:r w:rsidRPr="00BE6462">
              <w:rPr>
                <w:rFonts w:ascii="Calibri" w:hAnsi="Calibri" w:cs="Calibri"/>
              </w:rPr>
              <w:t> </w:t>
            </w:r>
          </w:p>
        </w:tc>
        <w:tc>
          <w:tcPr>
            <w:tcW w:w="963" w:type="dxa"/>
            <w:tcBorders>
              <w:top w:val="nil"/>
              <w:left w:val="nil"/>
              <w:bottom w:val="single" w:sz="4" w:space="0" w:color="auto"/>
              <w:right w:val="single" w:sz="4" w:space="0" w:color="auto"/>
            </w:tcBorders>
            <w:shd w:val="clear" w:color="auto" w:fill="auto"/>
            <w:noWrap/>
            <w:vAlign w:val="bottom"/>
            <w:hideMark/>
          </w:tcPr>
          <w:p w14:paraId="3B9E104E" w14:textId="77777777" w:rsidR="008B629D" w:rsidRPr="00BE6462" w:rsidRDefault="008B629D" w:rsidP="00BE6462">
            <w:pPr>
              <w:jc w:val="right"/>
              <w:rPr>
                <w:rFonts w:ascii="Calibri" w:hAnsi="Calibri" w:cs="Calibri"/>
              </w:rPr>
            </w:pPr>
            <w:r w:rsidRPr="00BE6462">
              <w:rPr>
                <w:rFonts w:ascii="Calibri" w:hAnsi="Calibri" w:cs="Calibri"/>
              </w:rPr>
              <w:t> </w:t>
            </w:r>
          </w:p>
        </w:tc>
        <w:tc>
          <w:tcPr>
            <w:tcW w:w="963" w:type="dxa"/>
            <w:tcBorders>
              <w:top w:val="nil"/>
              <w:left w:val="nil"/>
              <w:bottom w:val="single" w:sz="4" w:space="0" w:color="auto"/>
              <w:right w:val="single" w:sz="4" w:space="0" w:color="auto"/>
            </w:tcBorders>
            <w:shd w:val="clear" w:color="auto" w:fill="auto"/>
            <w:noWrap/>
            <w:vAlign w:val="bottom"/>
            <w:hideMark/>
          </w:tcPr>
          <w:p w14:paraId="39E45109" w14:textId="77777777" w:rsidR="008B629D" w:rsidRPr="00BE6462" w:rsidRDefault="008B629D" w:rsidP="00BE6462">
            <w:pPr>
              <w:jc w:val="right"/>
              <w:rPr>
                <w:rFonts w:ascii="Calibri" w:hAnsi="Calibri" w:cs="Calibri"/>
              </w:rPr>
            </w:pPr>
            <w:r w:rsidRPr="00BE6462">
              <w:rPr>
                <w:rFonts w:ascii="Calibri" w:hAnsi="Calibri" w:cs="Calibri"/>
              </w:rPr>
              <w:t> </w:t>
            </w:r>
          </w:p>
        </w:tc>
        <w:tc>
          <w:tcPr>
            <w:tcW w:w="963" w:type="dxa"/>
            <w:tcBorders>
              <w:top w:val="nil"/>
              <w:left w:val="nil"/>
              <w:bottom w:val="single" w:sz="4" w:space="0" w:color="auto"/>
              <w:right w:val="single" w:sz="4" w:space="0" w:color="auto"/>
            </w:tcBorders>
            <w:shd w:val="clear" w:color="auto" w:fill="auto"/>
            <w:noWrap/>
            <w:vAlign w:val="bottom"/>
            <w:hideMark/>
          </w:tcPr>
          <w:p w14:paraId="070591CD" w14:textId="77777777" w:rsidR="008B629D" w:rsidRPr="00BE6462" w:rsidRDefault="008B629D" w:rsidP="00BE6462">
            <w:pPr>
              <w:jc w:val="right"/>
              <w:rPr>
                <w:rFonts w:ascii="Calibri" w:hAnsi="Calibri" w:cs="Calibri"/>
              </w:rPr>
            </w:pPr>
            <w:r w:rsidRPr="00BE6462">
              <w:rPr>
                <w:rFonts w:ascii="Calibri" w:hAnsi="Calibri" w:cs="Calibri"/>
              </w:rPr>
              <w:t> </w:t>
            </w:r>
          </w:p>
        </w:tc>
        <w:tc>
          <w:tcPr>
            <w:tcW w:w="963" w:type="dxa"/>
            <w:tcBorders>
              <w:top w:val="nil"/>
              <w:left w:val="nil"/>
              <w:bottom w:val="single" w:sz="4" w:space="0" w:color="auto"/>
              <w:right w:val="single" w:sz="4" w:space="0" w:color="auto"/>
            </w:tcBorders>
            <w:shd w:val="clear" w:color="auto" w:fill="auto"/>
            <w:noWrap/>
            <w:vAlign w:val="bottom"/>
            <w:hideMark/>
          </w:tcPr>
          <w:p w14:paraId="7BB71C8B" w14:textId="77777777" w:rsidR="008B629D" w:rsidRPr="00BE6462" w:rsidRDefault="008B629D" w:rsidP="00BE6462">
            <w:pPr>
              <w:jc w:val="right"/>
              <w:rPr>
                <w:rFonts w:ascii="Calibri" w:hAnsi="Calibri" w:cs="Calibri"/>
              </w:rPr>
            </w:pPr>
            <w:r w:rsidRPr="00BE6462">
              <w:rPr>
                <w:rFonts w:ascii="Calibri" w:hAnsi="Calibri" w:cs="Calibri"/>
              </w:rPr>
              <w:t> </w:t>
            </w:r>
          </w:p>
        </w:tc>
        <w:tc>
          <w:tcPr>
            <w:tcW w:w="963" w:type="dxa"/>
            <w:tcBorders>
              <w:top w:val="nil"/>
              <w:left w:val="nil"/>
              <w:bottom w:val="single" w:sz="4" w:space="0" w:color="auto"/>
              <w:right w:val="single" w:sz="4" w:space="0" w:color="auto"/>
            </w:tcBorders>
            <w:shd w:val="clear" w:color="auto" w:fill="auto"/>
            <w:noWrap/>
            <w:vAlign w:val="bottom"/>
            <w:hideMark/>
          </w:tcPr>
          <w:p w14:paraId="3ACEEDBE" w14:textId="77777777" w:rsidR="008B629D" w:rsidRPr="00BE6462" w:rsidRDefault="008B629D" w:rsidP="00BE6462">
            <w:pPr>
              <w:jc w:val="right"/>
              <w:rPr>
                <w:rFonts w:ascii="Calibri" w:hAnsi="Calibri" w:cs="Calibri"/>
              </w:rPr>
            </w:pPr>
            <w:r w:rsidRPr="00BE6462">
              <w:rPr>
                <w:rFonts w:ascii="Calibri" w:hAnsi="Calibri" w:cs="Calibri"/>
              </w:rPr>
              <w:t> </w:t>
            </w:r>
          </w:p>
        </w:tc>
        <w:tc>
          <w:tcPr>
            <w:tcW w:w="1387" w:type="dxa"/>
            <w:tcBorders>
              <w:top w:val="nil"/>
              <w:left w:val="nil"/>
              <w:bottom w:val="single" w:sz="4" w:space="0" w:color="auto"/>
              <w:right w:val="single" w:sz="4" w:space="0" w:color="auto"/>
            </w:tcBorders>
            <w:shd w:val="clear" w:color="auto" w:fill="auto"/>
            <w:noWrap/>
            <w:vAlign w:val="bottom"/>
            <w:hideMark/>
          </w:tcPr>
          <w:p w14:paraId="5EDC59D2" w14:textId="77777777" w:rsidR="008B629D" w:rsidRPr="00BE6462" w:rsidRDefault="008B629D" w:rsidP="00BE6462">
            <w:pPr>
              <w:jc w:val="right"/>
              <w:rPr>
                <w:rFonts w:ascii="Calibri" w:hAnsi="Calibri" w:cs="Calibri"/>
              </w:rPr>
            </w:pPr>
            <w:r w:rsidRPr="00BE6462">
              <w:rPr>
                <w:rFonts w:ascii="Calibri" w:hAnsi="Calibri" w:cs="Calibri"/>
              </w:rPr>
              <w:t> </w:t>
            </w:r>
          </w:p>
        </w:tc>
      </w:tr>
      <w:tr w:rsidR="008B629D" w:rsidRPr="00A331DA" w14:paraId="7ACDED07" w14:textId="77777777" w:rsidTr="00100B21">
        <w:trPr>
          <w:cantSplit/>
          <w:trHeight w:val="31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E1FADE3" w14:textId="77777777" w:rsidR="008B629D" w:rsidRPr="00A331DA" w:rsidRDefault="008B629D" w:rsidP="00A331DA">
            <w:pPr>
              <w:rPr>
                <w:rFonts w:ascii="Calibri" w:hAnsi="Calibri" w:cs="Calibri"/>
                <w:b/>
                <w:bCs/>
              </w:rPr>
            </w:pPr>
            <w:r w:rsidRPr="00A331DA">
              <w:rPr>
                <w:rFonts w:ascii="Calibri" w:hAnsi="Calibri" w:cs="Calibri"/>
                <w:b/>
                <w:bCs/>
              </w:rPr>
              <w:t>SHS</w:t>
            </w:r>
          </w:p>
        </w:tc>
        <w:tc>
          <w:tcPr>
            <w:tcW w:w="1360" w:type="dxa"/>
            <w:tcBorders>
              <w:top w:val="nil"/>
              <w:left w:val="nil"/>
              <w:bottom w:val="single" w:sz="4" w:space="0" w:color="auto"/>
              <w:right w:val="single" w:sz="4" w:space="0" w:color="auto"/>
            </w:tcBorders>
            <w:shd w:val="clear" w:color="auto" w:fill="auto"/>
            <w:noWrap/>
            <w:vAlign w:val="bottom"/>
            <w:hideMark/>
          </w:tcPr>
          <w:p w14:paraId="405E9E21" w14:textId="77777777" w:rsidR="008B629D" w:rsidRPr="00A331DA" w:rsidRDefault="008B629D" w:rsidP="00A331DA">
            <w:pPr>
              <w:rPr>
                <w:rFonts w:ascii="Calibri" w:hAnsi="Calibri" w:cs="Calibri"/>
                <w:b/>
                <w:bCs/>
              </w:rPr>
            </w:pPr>
            <w:r w:rsidRPr="00A331DA">
              <w:rPr>
                <w:rFonts w:ascii="Calibri" w:hAnsi="Calibri" w:cs="Calibri"/>
                <w:b/>
                <w:bCs/>
              </w:rPr>
              <w:t>Outpatient</w:t>
            </w:r>
          </w:p>
        </w:tc>
        <w:tc>
          <w:tcPr>
            <w:tcW w:w="963" w:type="dxa"/>
            <w:tcBorders>
              <w:top w:val="nil"/>
              <w:left w:val="nil"/>
              <w:bottom w:val="single" w:sz="4" w:space="0" w:color="auto"/>
              <w:right w:val="single" w:sz="4" w:space="0" w:color="auto"/>
            </w:tcBorders>
            <w:shd w:val="clear" w:color="auto" w:fill="auto"/>
            <w:noWrap/>
            <w:vAlign w:val="bottom"/>
            <w:hideMark/>
          </w:tcPr>
          <w:p w14:paraId="08E52877" w14:textId="77777777" w:rsidR="008B629D" w:rsidRPr="00BE6462" w:rsidRDefault="008B629D" w:rsidP="00BE6462">
            <w:pPr>
              <w:jc w:val="right"/>
              <w:rPr>
                <w:rFonts w:ascii="Calibri" w:hAnsi="Calibri" w:cs="Calibri"/>
              </w:rPr>
            </w:pPr>
            <w:r w:rsidRPr="00BE6462">
              <w:rPr>
                <w:rFonts w:ascii="Calibri" w:hAnsi="Calibri" w:cs="Calibri"/>
              </w:rPr>
              <w:t>30,775</w:t>
            </w:r>
          </w:p>
        </w:tc>
        <w:tc>
          <w:tcPr>
            <w:tcW w:w="963" w:type="dxa"/>
            <w:tcBorders>
              <w:top w:val="nil"/>
              <w:left w:val="nil"/>
              <w:bottom w:val="single" w:sz="4" w:space="0" w:color="auto"/>
              <w:right w:val="single" w:sz="4" w:space="0" w:color="auto"/>
            </w:tcBorders>
            <w:shd w:val="clear" w:color="auto" w:fill="auto"/>
            <w:noWrap/>
            <w:vAlign w:val="bottom"/>
            <w:hideMark/>
          </w:tcPr>
          <w:p w14:paraId="5A4E13DA" w14:textId="77777777" w:rsidR="008B629D" w:rsidRPr="00BE6462" w:rsidRDefault="008B629D" w:rsidP="00BE6462">
            <w:pPr>
              <w:jc w:val="right"/>
              <w:rPr>
                <w:rFonts w:ascii="Calibri" w:hAnsi="Calibri" w:cs="Calibri"/>
              </w:rPr>
            </w:pPr>
            <w:r w:rsidRPr="00BE6462">
              <w:rPr>
                <w:rFonts w:ascii="Calibri" w:hAnsi="Calibri" w:cs="Calibri"/>
              </w:rPr>
              <w:t>30,249</w:t>
            </w:r>
          </w:p>
        </w:tc>
        <w:tc>
          <w:tcPr>
            <w:tcW w:w="963" w:type="dxa"/>
            <w:tcBorders>
              <w:top w:val="nil"/>
              <w:left w:val="nil"/>
              <w:bottom w:val="single" w:sz="4" w:space="0" w:color="auto"/>
              <w:right w:val="single" w:sz="4" w:space="0" w:color="auto"/>
            </w:tcBorders>
            <w:shd w:val="clear" w:color="auto" w:fill="auto"/>
            <w:noWrap/>
            <w:vAlign w:val="bottom"/>
            <w:hideMark/>
          </w:tcPr>
          <w:p w14:paraId="005C7C00" w14:textId="77777777" w:rsidR="008B629D" w:rsidRPr="00BE6462" w:rsidRDefault="008B629D" w:rsidP="00BE6462">
            <w:pPr>
              <w:jc w:val="right"/>
              <w:rPr>
                <w:rFonts w:ascii="Calibri" w:hAnsi="Calibri" w:cs="Calibri"/>
              </w:rPr>
            </w:pPr>
            <w:r w:rsidRPr="00BE6462">
              <w:rPr>
                <w:rFonts w:ascii="Calibri" w:hAnsi="Calibri" w:cs="Calibri"/>
              </w:rPr>
              <w:t>24,301</w:t>
            </w:r>
          </w:p>
        </w:tc>
        <w:tc>
          <w:tcPr>
            <w:tcW w:w="963" w:type="dxa"/>
            <w:tcBorders>
              <w:top w:val="nil"/>
              <w:left w:val="nil"/>
              <w:bottom w:val="single" w:sz="4" w:space="0" w:color="auto"/>
              <w:right w:val="single" w:sz="4" w:space="0" w:color="auto"/>
            </w:tcBorders>
            <w:shd w:val="clear" w:color="auto" w:fill="auto"/>
            <w:noWrap/>
            <w:vAlign w:val="bottom"/>
            <w:hideMark/>
          </w:tcPr>
          <w:p w14:paraId="770DAB64" w14:textId="77777777" w:rsidR="008B629D" w:rsidRPr="00BE6462" w:rsidRDefault="008B629D" w:rsidP="00BE6462">
            <w:pPr>
              <w:jc w:val="right"/>
              <w:rPr>
                <w:rFonts w:ascii="Calibri" w:hAnsi="Calibri" w:cs="Calibri"/>
              </w:rPr>
            </w:pPr>
            <w:r w:rsidRPr="00BE6462">
              <w:rPr>
                <w:rFonts w:ascii="Calibri" w:hAnsi="Calibri" w:cs="Calibri"/>
              </w:rPr>
              <w:t>27,902</w:t>
            </w:r>
          </w:p>
        </w:tc>
        <w:tc>
          <w:tcPr>
            <w:tcW w:w="963" w:type="dxa"/>
            <w:tcBorders>
              <w:top w:val="nil"/>
              <w:left w:val="nil"/>
              <w:bottom w:val="single" w:sz="4" w:space="0" w:color="auto"/>
              <w:right w:val="single" w:sz="4" w:space="0" w:color="auto"/>
            </w:tcBorders>
            <w:shd w:val="clear" w:color="auto" w:fill="auto"/>
            <w:noWrap/>
            <w:vAlign w:val="bottom"/>
            <w:hideMark/>
          </w:tcPr>
          <w:p w14:paraId="62751FA7" w14:textId="77777777" w:rsidR="008B629D" w:rsidRPr="00BE6462" w:rsidRDefault="008B629D" w:rsidP="00BE6462">
            <w:pPr>
              <w:jc w:val="right"/>
              <w:rPr>
                <w:rFonts w:ascii="Calibri" w:hAnsi="Calibri" w:cs="Calibri"/>
              </w:rPr>
            </w:pPr>
            <w:r w:rsidRPr="00BE6462">
              <w:rPr>
                <w:rFonts w:ascii="Calibri" w:hAnsi="Calibri" w:cs="Calibri"/>
              </w:rPr>
              <w:t>28,655</w:t>
            </w:r>
          </w:p>
        </w:tc>
        <w:tc>
          <w:tcPr>
            <w:tcW w:w="963" w:type="dxa"/>
            <w:tcBorders>
              <w:top w:val="nil"/>
              <w:left w:val="nil"/>
              <w:bottom w:val="single" w:sz="4" w:space="0" w:color="auto"/>
              <w:right w:val="single" w:sz="4" w:space="0" w:color="auto"/>
            </w:tcBorders>
            <w:shd w:val="clear" w:color="auto" w:fill="auto"/>
            <w:noWrap/>
            <w:vAlign w:val="bottom"/>
            <w:hideMark/>
          </w:tcPr>
          <w:p w14:paraId="424C295A" w14:textId="77777777" w:rsidR="008B629D" w:rsidRPr="00BE6462" w:rsidRDefault="008B629D" w:rsidP="00BE6462">
            <w:pPr>
              <w:jc w:val="right"/>
              <w:rPr>
                <w:rFonts w:ascii="Calibri" w:hAnsi="Calibri" w:cs="Calibri"/>
              </w:rPr>
            </w:pPr>
            <w:r w:rsidRPr="00BE6462">
              <w:rPr>
                <w:rFonts w:ascii="Calibri" w:hAnsi="Calibri" w:cs="Calibri"/>
              </w:rPr>
              <w:t>30,468</w:t>
            </w:r>
          </w:p>
        </w:tc>
        <w:tc>
          <w:tcPr>
            <w:tcW w:w="1387" w:type="dxa"/>
            <w:tcBorders>
              <w:top w:val="nil"/>
              <w:left w:val="nil"/>
              <w:bottom w:val="single" w:sz="4" w:space="0" w:color="auto"/>
              <w:right w:val="single" w:sz="4" w:space="0" w:color="auto"/>
            </w:tcBorders>
            <w:shd w:val="clear" w:color="auto" w:fill="auto"/>
            <w:noWrap/>
            <w:vAlign w:val="bottom"/>
            <w:hideMark/>
          </w:tcPr>
          <w:p w14:paraId="3B45AB6B" w14:textId="77777777" w:rsidR="008B629D" w:rsidRPr="00BE6462" w:rsidRDefault="008B629D" w:rsidP="00BE6462">
            <w:pPr>
              <w:jc w:val="right"/>
              <w:rPr>
                <w:rFonts w:ascii="Calibri" w:hAnsi="Calibri" w:cs="Calibri"/>
              </w:rPr>
            </w:pPr>
            <w:r w:rsidRPr="00BE6462">
              <w:rPr>
                <w:rFonts w:ascii="Calibri" w:hAnsi="Calibri" w:cs="Calibri"/>
              </w:rPr>
              <w:t>-1.0%</w:t>
            </w:r>
          </w:p>
        </w:tc>
      </w:tr>
      <w:tr w:rsidR="008B629D" w:rsidRPr="00A331DA" w14:paraId="06A9220B" w14:textId="77777777" w:rsidTr="00100B21">
        <w:trPr>
          <w:cantSplit/>
          <w:trHeight w:val="31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90B187C" w14:textId="77777777" w:rsidR="008B629D" w:rsidRPr="00A331DA" w:rsidRDefault="008B629D" w:rsidP="00A331DA">
            <w:pPr>
              <w:rPr>
                <w:rFonts w:ascii="Calibri" w:hAnsi="Calibri" w:cs="Calibri"/>
                <w:b/>
                <w:bCs/>
              </w:rPr>
            </w:pPr>
            <w:r w:rsidRPr="00A331DA">
              <w:rPr>
                <w:rFonts w:ascii="Calibri" w:hAnsi="Calibri" w:cs="Calibri"/>
                <w:b/>
                <w:bCs/>
              </w:rPr>
              <w:t>Charlton</w:t>
            </w:r>
          </w:p>
        </w:tc>
        <w:tc>
          <w:tcPr>
            <w:tcW w:w="1360" w:type="dxa"/>
            <w:tcBorders>
              <w:top w:val="nil"/>
              <w:left w:val="nil"/>
              <w:bottom w:val="single" w:sz="4" w:space="0" w:color="auto"/>
              <w:right w:val="single" w:sz="4" w:space="0" w:color="auto"/>
            </w:tcBorders>
            <w:shd w:val="clear" w:color="auto" w:fill="auto"/>
            <w:noWrap/>
            <w:vAlign w:val="bottom"/>
            <w:hideMark/>
          </w:tcPr>
          <w:p w14:paraId="49B71919" w14:textId="77777777" w:rsidR="008B629D" w:rsidRPr="00A331DA" w:rsidRDefault="008B629D" w:rsidP="00A331DA">
            <w:pPr>
              <w:rPr>
                <w:rFonts w:ascii="Calibri" w:hAnsi="Calibri" w:cs="Calibri"/>
                <w:b/>
                <w:bCs/>
              </w:rPr>
            </w:pPr>
            <w:r w:rsidRPr="00A331DA">
              <w:rPr>
                <w:rFonts w:ascii="Calibri" w:hAnsi="Calibri" w:cs="Calibri"/>
                <w:b/>
                <w:bCs/>
              </w:rPr>
              <w:t>Outpatient</w:t>
            </w:r>
          </w:p>
        </w:tc>
        <w:tc>
          <w:tcPr>
            <w:tcW w:w="963" w:type="dxa"/>
            <w:tcBorders>
              <w:top w:val="nil"/>
              <w:left w:val="nil"/>
              <w:bottom w:val="single" w:sz="4" w:space="0" w:color="auto"/>
              <w:right w:val="single" w:sz="4" w:space="0" w:color="auto"/>
            </w:tcBorders>
            <w:shd w:val="clear" w:color="auto" w:fill="auto"/>
            <w:noWrap/>
            <w:vAlign w:val="bottom"/>
            <w:hideMark/>
          </w:tcPr>
          <w:p w14:paraId="104ABBF0" w14:textId="77777777" w:rsidR="008B629D" w:rsidRPr="00BE6462" w:rsidRDefault="008B629D" w:rsidP="00BE6462">
            <w:pPr>
              <w:jc w:val="right"/>
              <w:rPr>
                <w:rFonts w:ascii="Calibri" w:hAnsi="Calibri" w:cs="Calibri"/>
              </w:rPr>
            </w:pPr>
            <w:r w:rsidRPr="00BE6462">
              <w:rPr>
                <w:rFonts w:ascii="Calibri" w:hAnsi="Calibri" w:cs="Calibri"/>
              </w:rPr>
              <w:t>11,447</w:t>
            </w:r>
          </w:p>
        </w:tc>
        <w:tc>
          <w:tcPr>
            <w:tcW w:w="963" w:type="dxa"/>
            <w:tcBorders>
              <w:top w:val="nil"/>
              <w:left w:val="nil"/>
              <w:bottom w:val="single" w:sz="4" w:space="0" w:color="auto"/>
              <w:right w:val="single" w:sz="4" w:space="0" w:color="auto"/>
            </w:tcBorders>
            <w:shd w:val="clear" w:color="auto" w:fill="auto"/>
            <w:noWrap/>
            <w:vAlign w:val="bottom"/>
            <w:hideMark/>
          </w:tcPr>
          <w:p w14:paraId="1E18903A" w14:textId="77777777" w:rsidR="008B629D" w:rsidRPr="00BE6462" w:rsidRDefault="008B629D" w:rsidP="00BE6462">
            <w:pPr>
              <w:jc w:val="right"/>
              <w:rPr>
                <w:rFonts w:ascii="Calibri" w:hAnsi="Calibri" w:cs="Calibri"/>
              </w:rPr>
            </w:pPr>
            <w:r w:rsidRPr="00BE6462">
              <w:rPr>
                <w:rFonts w:ascii="Calibri" w:hAnsi="Calibri" w:cs="Calibri"/>
              </w:rPr>
              <w:t>10,251</w:t>
            </w:r>
          </w:p>
        </w:tc>
        <w:tc>
          <w:tcPr>
            <w:tcW w:w="963" w:type="dxa"/>
            <w:tcBorders>
              <w:top w:val="nil"/>
              <w:left w:val="nil"/>
              <w:bottom w:val="single" w:sz="4" w:space="0" w:color="auto"/>
              <w:right w:val="single" w:sz="4" w:space="0" w:color="auto"/>
            </w:tcBorders>
            <w:shd w:val="clear" w:color="auto" w:fill="auto"/>
            <w:noWrap/>
            <w:vAlign w:val="bottom"/>
            <w:hideMark/>
          </w:tcPr>
          <w:p w14:paraId="2F61B0BA" w14:textId="77777777" w:rsidR="008B629D" w:rsidRPr="00BE6462" w:rsidRDefault="008B629D" w:rsidP="00BE6462">
            <w:pPr>
              <w:jc w:val="right"/>
              <w:rPr>
                <w:rFonts w:ascii="Calibri" w:hAnsi="Calibri" w:cs="Calibri"/>
              </w:rPr>
            </w:pPr>
            <w:r w:rsidRPr="00BE6462">
              <w:rPr>
                <w:rFonts w:ascii="Calibri" w:hAnsi="Calibri" w:cs="Calibri"/>
              </w:rPr>
              <w:t>8,109</w:t>
            </w:r>
          </w:p>
        </w:tc>
        <w:tc>
          <w:tcPr>
            <w:tcW w:w="963" w:type="dxa"/>
            <w:tcBorders>
              <w:top w:val="nil"/>
              <w:left w:val="nil"/>
              <w:bottom w:val="single" w:sz="4" w:space="0" w:color="auto"/>
              <w:right w:val="single" w:sz="4" w:space="0" w:color="auto"/>
            </w:tcBorders>
            <w:shd w:val="clear" w:color="auto" w:fill="auto"/>
            <w:noWrap/>
            <w:vAlign w:val="bottom"/>
            <w:hideMark/>
          </w:tcPr>
          <w:p w14:paraId="51C59720" w14:textId="77777777" w:rsidR="008B629D" w:rsidRPr="00BE6462" w:rsidRDefault="008B629D" w:rsidP="00BE6462">
            <w:pPr>
              <w:jc w:val="right"/>
              <w:rPr>
                <w:rFonts w:ascii="Calibri" w:hAnsi="Calibri" w:cs="Calibri"/>
              </w:rPr>
            </w:pPr>
            <w:r w:rsidRPr="00BE6462">
              <w:rPr>
                <w:rFonts w:ascii="Calibri" w:hAnsi="Calibri" w:cs="Calibri"/>
              </w:rPr>
              <w:t>9,104</w:t>
            </w:r>
          </w:p>
        </w:tc>
        <w:tc>
          <w:tcPr>
            <w:tcW w:w="963" w:type="dxa"/>
            <w:tcBorders>
              <w:top w:val="nil"/>
              <w:left w:val="nil"/>
              <w:bottom w:val="single" w:sz="4" w:space="0" w:color="auto"/>
              <w:right w:val="single" w:sz="4" w:space="0" w:color="auto"/>
            </w:tcBorders>
            <w:shd w:val="clear" w:color="auto" w:fill="auto"/>
            <w:noWrap/>
            <w:vAlign w:val="bottom"/>
            <w:hideMark/>
          </w:tcPr>
          <w:p w14:paraId="24439260" w14:textId="77777777" w:rsidR="008B629D" w:rsidRPr="00BE6462" w:rsidRDefault="008B629D" w:rsidP="00BE6462">
            <w:pPr>
              <w:jc w:val="right"/>
              <w:rPr>
                <w:rFonts w:ascii="Calibri" w:hAnsi="Calibri" w:cs="Calibri"/>
              </w:rPr>
            </w:pPr>
            <w:r w:rsidRPr="00BE6462">
              <w:rPr>
                <w:rFonts w:ascii="Calibri" w:hAnsi="Calibri" w:cs="Calibri"/>
              </w:rPr>
              <w:t>8,986</w:t>
            </w:r>
          </w:p>
        </w:tc>
        <w:tc>
          <w:tcPr>
            <w:tcW w:w="963" w:type="dxa"/>
            <w:tcBorders>
              <w:top w:val="nil"/>
              <w:left w:val="nil"/>
              <w:bottom w:val="single" w:sz="4" w:space="0" w:color="auto"/>
              <w:right w:val="single" w:sz="4" w:space="0" w:color="auto"/>
            </w:tcBorders>
            <w:shd w:val="clear" w:color="auto" w:fill="auto"/>
            <w:noWrap/>
            <w:vAlign w:val="bottom"/>
            <w:hideMark/>
          </w:tcPr>
          <w:p w14:paraId="4F5327FE" w14:textId="77777777" w:rsidR="008B629D" w:rsidRPr="00BE6462" w:rsidRDefault="008B629D" w:rsidP="00BE6462">
            <w:pPr>
              <w:jc w:val="right"/>
              <w:rPr>
                <w:rFonts w:ascii="Calibri" w:hAnsi="Calibri" w:cs="Calibri"/>
              </w:rPr>
            </w:pPr>
            <w:r w:rsidRPr="00BE6462">
              <w:rPr>
                <w:rFonts w:ascii="Calibri" w:hAnsi="Calibri" w:cs="Calibri"/>
              </w:rPr>
              <w:t>9,505</w:t>
            </w:r>
          </w:p>
        </w:tc>
        <w:tc>
          <w:tcPr>
            <w:tcW w:w="1387" w:type="dxa"/>
            <w:tcBorders>
              <w:top w:val="nil"/>
              <w:left w:val="nil"/>
              <w:bottom w:val="single" w:sz="4" w:space="0" w:color="auto"/>
              <w:right w:val="single" w:sz="4" w:space="0" w:color="auto"/>
            </w:tcBorders>
            <w:shd w:val="clear" w:color="auto" w:fill="auto"/>
            <w:noWrap/>
            <w:vAlign w:val="bottom"/>
            <w:hideMark/>
          </w:tcPr>
          <w:p w14:paraId="522F9662" w14:textId="77777777" w:rsidR="008B629D" w:rsidRPr="00BE6462" w:rsidRDefault="008B629D" w:rsidP="00BE6462">
            <w:pPr>
              <w:jc w:val="right"/>
              <w:rPr>
                <w:rFonts w:ascii="Calibri" w:hAnsi="Calibri" w:cs="Calibri"/>
              </w:rPr>
            </w:pPr>
            <w:r w:rsidRPr="00BE6462">
              <w:rPr>
                <w:rFonts w:ascii="Calibri" w:hAnsi="Calibri" w:cs="Calibri"/>
              </w:rPr>
              <w:t>-17.0%</w:t>
            </w:r>
          </w:p>
        </w:tc>
      </w:tr>
      <w:tr w:rsidR="008B629D" w:rsidRPr="00A331DA" w14:paraId="4BFA6D7C" w14:textId="77777777" w:rsidTr="00100B21">
        <w:trPr>
          <w:cantSplit/>
          <w:trHeight w:val="31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18BBDD0" w14:textId="77777777" w:rsidR="008B629D" w:rsidRPr="00A331DA" w:rsidRDefault="008B629D" w:rsidP="00A331DA">
            <w:pPr>
              <w:rPr>
                <w:rFonts w:ascii="Calibri" w:hAnsi="Calibri" w:cs="Calibri"/>
                <w:b/>
                <w:bCs/>
              </w:rPr>
            </w:pPr>
            <w:r w:rsidRPr="00A331DA">
              <w:rPr>
                <w:rFonts w:ascii="Calibri" w:hAnsi="Calibri" w:cs="Calibri"/>
                <w:b/>
                <w:bCs/>
              </w:rPr>
              <w:t>SDS</w:t>
            </w:r>
          </w:p>
        </w:tc>
        <w:tc>
          <w:tcPr>
            <w:tcW w:w="1360" w:type="dxa"/>
            <w:tcBorders>
              <w:top w:val="nil"/>
              <w:left w:val="nil"/>
              <w:bottom w:val="single" w:sz="4" w:space="0" w:color="auto"/>
              <w:right w:val="single" w:sz="4" w:space="0" w:color="auto"/>
            </w:tcBorders>
            <w:shd w:val="clear" w:color="auto" w:fill="auto"/>
            <w:noWrap/>
            <w:vAlign w:val="bottom"/>
            <w:hideMark/>
          </w:tcPr>
          <w:p w14:paraId="08FDA8C9" w14:textId="77777777" w:rsidR="008B629D" w:rsidRPr="00A331DA" w:rsidRDefault="008B629D" w:rsidP="00A331DA">
            <w:pPr>
              <w:rPr>
                <w:rFonts w:ascii="Calibri" w:hAnsi="Calibri" w:cs="Calibri"/>
                <w:b/>
                <w:bCs/>
              </w:rPr>
            </w:pPr>
            <w:r w:rsidRPr="00A331DA">
              <w:rPr>
                <w:rFonts w:ascii="Calibri" w:hAnsi="Calibri" w:cs="Calibri"/>
                <w:b/>
                <w:bCs/>
              </w:rPr>
              <w:t>ASC</w:t>
            </w:r>
          </w:p>
        </w:tc>
        <w:tc>
          <w:tcPr>
            <w:tcW w:w="963" w:type="dxa"/>
            <w:tcBorders>
              <w:top w:val="nil"/>
              <w:left w:val="nil"/>
              <w:bottom w:val="single" w:sz="4" w:space="0" w:color="auto"/>
              <w:right w:val="single" w:sz="4" w:space="0" w:color="auto"/>
            </w:tcBorders>
            <w:shd w:val="clear" w:color="auto" w:fill="auto"/>
            <w:noWrap/>
            <w:vAlign w:val="bottom"/>
            <w:hideMark/>
          </w:tcPr>
          <w:p w14:paraId="0640E0CB" w14:textId="77777777" w:rsidR="008B629D" w:rsidRPr="00BE6462" w:rsidRDefault="008B629D" w:rsidP="00BE6462">
            <w:pPr>
              <w:jc w:val="right"/>
              <w:rPr>
                <w:rFonts w:ascii="Calibri" w:hAnsi="Calibri" w:cs="Calibri"/>
              </w:rPr>
            </w:pPr>
            <w:r w:rsidRPr="00BE6462">
              <w:rPr>
                <w:rFonts w:ascii="Calibri" w:hAnsi="Calibri" w:cs="Calibri"/>
              </w:rPr>
              <w:t>9,576</w:t>
            </w:r>
          </w:p>
        </w:tc>
        <w:tc>
          <w:tcPr>
            <w:tcW w:w="963" w:type="dxa"/>
            <w:tcBorders>
              <w:top w:val="nil"/>
              <w:left w:val="nil"/>
              <w:bottom w:val="single" w:sz="4" w:space="0" w:color="auto"/>
              <w:right w:val="single" w:sz="4" w:space="0" w:color="auto"/>
            </w:tcBorders>
            <w:shd w:val="clear" w:color="auto" w:fill="auto"/>
            <w:noWrap/>
            <w:vAlign w:val="bottom"/>
            <w:hideMark/>
          </w:tcPr>
          <w:p w14:paraId="01FC80F3" w14:textId="77777777" w:rsidR="008B629D" w:rsidRPr="00BE6462" w:rsidRDefault="008B629D" w:rsidP="00BE6462">
            <w:pPr>
              <w:jc w:val="right"/>
              <w:rPr>
                <w:rFonts w:ascii="Calibri" w:hAnsi="Calibri" w:cs="Calibri"/>
              </w:rPr>
            </w:pPr>
            <w:r w:rsidRPr="00BE6462">
              <w:rPr>
                <w:rFonts w:ascii="Calibri" w:hAnsi="Calibri" w:cs="Calibri"/>
              </w:rPr>
              <w:t>7,781</w:t>
            </w:r>
          </w:p>
        </w:tc>
        <w:tc>
          <w:tcPr>
            <w:tcW w:w="963" w:type="dxa"/>
            <w:tcBorders>
              <w:top w:val="nil"/>
              <w:left w:val="nil"/>
              <w:bottom w:val="single" w:sz="4" w:space="0" w:color="auto"/>
              <w:right w:val="single" w:sz="4" w:space="0" w:color="auto"/>
            </w:tcBorders>
            <w:shd w:val="clear" w:color="auto" w:fill="auto"/>
            <w:noWrap/>
            <w:vAlign w:val="bottom"/>
            <w:hideMark/>
          </w:tcPr>
          <w:p w14:paraId="4EEB9C67" w14:textId="77777777" w:rsidR="008B629D" w:rsidRPr="00BE6462" w:rsidRDefault="008B629D" w:rsidP="00BE6462">
            <w:pPr>
              <w:jc w:val="right"/>
              <w:rPr>
                <w:rFonts w:ascii="Calibri" w:hAnsi="Calibri" w:cs="Calibri"/>
              </w:rPr>
            </w:pPr>
            <w:r w:rsidRPr="00BE6462">
              <w:rPr>
                <w:rFonts w:ascii="Calibri" w:hAnsi="Calibri" w:cs="Calibri"/>
              </w:rPr>
              <w:t>4,155</w:t>
            </w:r>
          </w:p>
        </w:tc>
        <w:tc>
          <w:tcPr>
            <w:tcW w:w="963" w:type="dxa"/>
            <w:tcBorders>
              <w:top w:val="nil"/>
              <w:left w:val="nil"/>
              <w:bottom w:val="single" w:sz="4" w:space="0" w:color="auto"/>
              <w:right w:val="single" w:sz="4" w:space="0" w:color="auto"/>
            </w:tcBorders>
            <w:shd w:val="clear" w:color="auto" w:fill="auto"/>
            <w:noWrap/>
            <w:vAlign w:val="bottom"/>
            <w:hideMark/>
          </w:tcPr>
          <w:p w14:paraId="3FDC091E" w14:textId="77777777" w:rsidR="008B629D" w:rsidRPr="00BE6462" w:rsidRDefault="008B629D" w:rsidP="00BE6462">
            <w:pPr>
              <w:jc w:val="right"/>
              <w:rPr>
                <w:rFonts w:ascii="Calibri" w:hAnsi="Calibri" w:cs="Calibri"/>
              </w:rPr>
            </w:pPr>
            <w:r w:rsidRPr="00BE6462">
              <w:rPr>
                <w:rFonts w:ascii="Calibri" w:hAnsi="Calibri" w:cs="Calibri"/>
              </w:rPr>
              <w:t>5,673</w:t>
            </w:r>
          </w:p>
        </w:tc>
        <w:tc>
          <w:tcPr>
            <w:tcW w:w="963" w:type="dxa"/>
            <w:tcBorders>
              <w:top w:val="nil"/>
              <w:left w:val="nil"/>
              <w:bottom w:val="single" w:sz="4" w:space="0" w:color="auto"/>
              <w:right w:val="single" w:sz="4" w:space="0" w:color="auto"/>
            </w:tcBorders>
            <w:shd w:val="clear" w:color="auto" w:fill="auto"/>
            <w:noWrap/>
            <w:vAlign w:val="bottom"/>
            <w:hideMark/>
          </w:tcPr>
          <w:p w14:paraId="77568B61" w14:textId="77777777" w:rsidR="008B629D" w:rsidRPr="00BE6462" w:rsidRDefault="008B629D" w:rsidP="00BE6462">
            <w:pPr>
              <w:jc w:val="right"/>
              <w:rPr>
                <w:rFonts w:ascii="Calibri" w:hAnsi="Calibri" w:cs="Calibri"/>
              </w:rPr>
            </w:pPr>
            <w:r w:rsidRPr="00BE6462">
              <w:rPr>
                <w:rFonts w:ascii="Calibri" w:hAnsi="Calibri" w:cs="Calibri"/>
              </w:rPr>
              <w:t>5,820</w:t>
            </w:r>
          </w:p>
        </w:tc>
        <w:tc>
          <w:tcPr>
            <w:tcW w:w="963" w:type="dxa"/>
            <w:tcBorders>
              <w:top w:val="nil"/>
              <w:left w:val="nil"/>
              <w:bottom w:val="single" w:sz="4" w:space="0" w:color="auto"/>
              <w:right w:val="single" w:sz="4" w:space="0" w:color="auto"/>
            </w:tcBorders>
            <w:shd w:val="clear" w:color="auto" w:fill="auto"/>
            <w:noWrap/>
            <w:vAlign w:val="bottom"/>
            <w:hideMark/>
          </w:tcPr>
          <w:p w14:paraId="4E2DED04" w14:textId="77777777" w:rsidR="008B629D" w:rsidRPr="00BE6462" w:rsidRDefault="008B629D" w:rsidP="00BE6462">
            <w:pPr>
              <w:jc w:val="right"/>
              <w:rPr>
                <w:rFonts w:ascii="Calibri" w:hAnsi="Calibri" w:cs="Calibri"/>
              </w:rPr>
            </w:pPr>
            <w:r w:rsidRPr="00BE6462">
              <w:rPr>
                <w:rFonts w:ascii="Calibri" w:hAnsi="Calibri" w:cs="Calibri"/>
              </w:rPr>
              <w:t>6,138</w:t>
            </w:r>
          </w:p>
        </w:tc>
        <w:tc>
          <w:tcPr>
            <w:tcW w:w="1387" w:type="dxa"/>
            <w:tcBorders>
              <w:top w:val="nil"/>
              <w:left w:val="nil"/>
              <w:bottom w:val="single" w:sz="4" w:space="0" w:color="auto"/>
              <w:right w:val="single" w:sz="4" w:space="0" w:color="auto"/>
            </w:tcBorders>
            <w:shd w:val="clear" w:color="auto" w:fill="auto"/>
            <w:noWrap/>
            <w:vAlign w:val="bottom"/>
            <w:hideMark/>
          </w:tcPr>
          <w:p w14:paraId="0CDB167D" w14:textId="77777777" w:rsidR="008B629D" w:rsidRPr="00BE6462" w:rsidRDefault="008B629D" w:rsidP="00BE6462">
            <w:pPr>
              <w:jc w:val="right"/>
              <w:rPr>
                <w:rFonts w:ascii="Calibri" w:hAnsi="Calibri" w:cs="Calibri"/>
              </w:rPr>
            </w:pPr>
            <w:r w:rsidRPr="00BE6462">
              <w:rPr>
                <w:rFonts w:ascii="Calibri" w:hAnsi="Calibri" w:cs="Calibri"/>
              </w:rPr>
              <w:t>-35.9%</w:t>
            </w:r>
          </w:p>
        </w:tc>
      </w:tr>
    </w:tbl>
    <w:p w14:paraId="6147111A" w14:textId="77777777" w:rsidR="00A331DA" w:rsidRPr="00A331DA" w:rsidRDefault="00A331DA" w:rsidP="00A331DA">
      <w:pPr>
        <w:rPr>
          <w:rFonts w:ascii="Calibri" w:hAnsi="Calibri" w:cs="Calibri"/>
          <w:b/>
          <w:bCs/>
        </w:rPr>
      </w:pPr>
    </w:p>
    <w:p w14:paraId="0C476DD6" w14:textId="003FDD55" w:rsidR="00C475BF" w:rsidRDefault="00A331DA" w:rsidP="00A331DA">
      <w:pPr>
        <w:rPr>
          <w:rFonts w:ascii="Calibri" w:hAnsi="Calibri" w:cs="Calibri"/>
        </w:rPr>
      </w:pPr>
      <w:r w:rsidRPr="00BE6462">
        <w:rPr>
          <w:rFonts w:ascii="Calibri" w:hAnsi="Calibri" w:cs="Calibri"/>
        </w:rPr>
        <w:t>Also, from 2019 through 2021, S</w:t>
      </w:r>
      <w:r w:rsidR="001253E0">
        <w:rPr>
          <w:rFonts w:ascii="Calibri" w:hAnsi="Calibri" w:cs="Calibri"/>
        </w:rPr>
        <w:t>D</w:t>
      </w:r>
      <w:r w:rsidRPr="00BE6462">
        <w:rPr>
          <w:rFonts w:ascii="Calibri" w:hAnsi="Calibri" w:cs="Calibri"/>
        </w:rPr>
        <w:t xml:space="preserve">S experienced the post-COVID departures of surgeons, proceduralists and support staff. Certain departures were related to retirements and others were related to changes in practice or location. Seven SDS shareholders retired in the last four years. The retired physicians include 1 ENT surgeon, 2 plastic surgeons, 2 general surgeons, and 2 orthopedic surgeons. SDS states that two more retirements are expected late summer </w:t>
      </w:r>
      <w:r w:rsidR="00290057">
        <w:rPr>
          <w:rFonts w:ascii="Calibri" w:hAnsi="Calibri" w:cs="Calibri"/>
        </w:rPr>
        <w:t xml:space="preserve">or </w:t>
      </w:r>
      <w:r w:rsidRPr="00BE6462">
        <w:rPr>
          <w:rFonts w:ascii="Calibri" w:hAnsi="Calibri" w:cs="Calibri"/>
        </w:rPr>
        <w:t>early fall</w:t>
      </w:r>
      <w:r w:rsidR="00290057">
        <w:rPr>
          <w:rFonts w:ascii="Calibri" w:hAnsi="Calibri" w:cs="Calibri"/>
        </w:rPr>
        <w:t xml:space="preserve"> of 2024</w:t>
      </w:r>
      <w:r w:rsidRPr="00BE6462">
        <w:rPr>
          <w:rFonts w:ascii="Calibri" w:hAnsi="Calibri" w:cs="Calibri"/>
        </w:rPr>
        <w:t>. Further, 4 gastroenterology</w:t>
      </w:r>
      <w:r w:rsidR="001253E0">
        <w:rPr>
          <w:rFonts w:ascii="Calibri" w:hAnsi="Calibri" w:cs="Calibri"/>
        </w:rPr>
        <w:t xml:space="preserve"> (“GI”)</w:t>
      </w:r>
      <w:r w:rsidRPr="00BE6462">
        <w:rPr>
          <w:rFonts w:ascii="Calibri" w:hAnsi="Calibri" w:cs="Calibri"/>
        </w:rPr>
        <w:t xml:space="preserve"> physicians built out their office-based surgery capacity and discontinued performing surgeries at SDS, which was a loss of ~3,000 procedures. </w:t>
      </w:r>
    </w:p>
    <w:p w14:paraId="43E06EB6" w14:textId="77777777" w:rsidR="001C5F70" w:rsidRDefault="001C5F70" w:rsidP="00A331DA">
      <w:pPr>
        <w:rPr>
          <w:rFonts w:ascii="Calibri" w:hAnsi="Calibri" w:cs="Calibri"/>
        </w:rPr>
      </w:pPr>
    </w:p>
    <w:p w14:paraId="7E67F13A" w14:textId="4867742B" w:rsidR="00A331DA" w:rsidRPr="00BE6462" w:rsidRDefault="00953094" w:rsidP="00A331DA">
      <w:pPr>
        <w:rPr>
          <w:rFonts w:ascii="Calibri" w:hAnsi="Calibri" w:cs="Calibri"/>
        </w:rPr>
      </w:pPr>
      <w:r>
        <w:rPr>
          <w:rFonts w:ascii="Calibri" w:hAnsi="Calibri" w:cs="Calibri"/>
        </w:rPr>
        <w:t xml:space="preserve">As a result of these losses, </w:t>
      </w:r>
      <w:r w:rsidR="0094428B">
        <w:rPr>
          <w:rFonts w:ascii="Calibri" w:hAnsi="Calibri" w:cs="Calibri"/>
        </w:rPr>
        <w:t xml:space="preserve">and </w:t>
      </w:r>
      <w:r w:rsidR="001253E0">
        <w:rPr>
          <w:rFonts w:ascii="Calibri" w:hAnsi="Calibri" w:cs="Calibri"/>
        </w:rPr>
        <w:t xml:space="preserve">recognizing </w:t>
      </w:r>
      <w:r w:rsidR="0094428B">
        <w:rPr>
          <w:rFonts w:ascii="Calibri" w:hAnsi="Calibri" w:cs="Calibri"/>
        </w:rPr>
        <w:t xml:space="preserve">the need </w:t>
      </w:r>
      <w:r w:rsidR="001253E0">
        <w:rPr>
          <w:rFonts w:ascii="Calibri" w:hAnsi="Calibri" w:cs="Calibri"/>
        </w:rPr>
        <w:t>for its patients</w:t>
      </w:r>
      <w:r w:rsidR="0094428B">
        <w:rPr>
          <w:rFonts w:ascii="Calibri" w:hAnsi="Calibri" w:cs="Calibri"/>
        </w:rPr>
        <w:t xml:space="preserve">, </w:t>
      </w:r>
      <w:r w:rsidR="00244E6A">
        <w:rPr>
          <w:rFonts w:ascii="Calibri" w:hAnsi="Calibri" w:cs="Calibri"/>
        </w:rPr>
        <w:t xml:space="preserve">SDS </w:t>
      </w:r>
      <w:r w:rsidR="001253E0">
        <w:rPr>
          <w:rFonts w:ascii="Calibri" w:hAnsi="Calibri" w:cs="Calibri"/>
        </w:rPr>
        <w:t xml:space="preserve">determined </w:t>
      </w:r>
      <w:r w:rsidR="00244E6A">
        <w:rPr>
          <w:rFonts w:ascii="Calibri" w:hAnsi="Calibri" w:cs="Calibri"/>
        </w:rPr>
        <w:t>it needed the reso</w:t>
      </w:r>
      <w:r w:rsidR="001255D1">
        <w:rPr>
          <w:rFonts w:ascii="Calibri" w:hAnsi="Calibri" w:cs="Calibri"/>
        </w:rPr>
        <w:t>urces and expertise of a larger entity</w:t>
      </w:r>
      <w:r w:rsidR="00872978">
        <w:rPr>
          <w:rFonts w:ascii="Calibri" w:hAnsi="Calibri" w:cs="Calibri"/>
        </w:rPr>
        <w:t xml:space="preserve"> to continue operations</w:t>
      </w:r>
      <w:r w:rsidR="000B13F2">
        <w:rPr>
          <w:rFonts w:ascii="Calibri" w:hAnsi="Calibri" w:cs="Calibri"/>
        </w:rPr>
        <w:t xml:space="preserve">; and </w:t>
      </w:r>
      <w:r w:rsidR="00872978">
        <w:rPr>
          <w:rFonts w:ascii="Calibri" w:hAnsi="Calibri" w:cs="Calibri"/>
        </w:rPr>
        <w:t xml:space="preserve">because of their </w:t>
      </w:r>
      <w:r w:rsidR="000C631D">
        <w:rPr>
          <w:rFonts w:ascii="Calibri" w:hAnsi="Calibri" w:cs="Calibri"/>
        </w:rPr>
        <w:t xml:space="preserve">proximity and existing </w:t>
      </w:r>
      <w:r w:rsidR="00872978">
        <w:rPr>
          <w:rFonts w:ascii="Calibri" w:hAnsi="Calibri" w:cs="Calibri"/>
        </w:rPr>
        <w:t>rela</w:t>
      </w:r>
      <w:r w:rsidR="000C631D">
        <w:rPr>
          <w:rFonts w:ascii="Calibri" w:hAnsi="Calibri" w:cs="Calibri"/>
        </w:rPr>
        <w:t>tionships</w:t>
      </w:r>
      <w:r w:rsidR="001253E0">
        <w:rPr>
          <w:rFonts w:ascii="Calibri" w:hAnsi="Calibri" w:cs="Calibri"/>
        </w:rPr>
        <w:t>,</w:t>
      </w:r>
      <w:r w:rsidR="000C631D">
        <w:rPr>
          <w:rFonts w:ascii="Calibri" w:hAnsi="Calibri" w:cs="Calibri"/>
        </w:rPr>
        <w:t xml:space="preserve"> </w:t>
      </w:r>
      <w:r w:rsidR="000375FB">
        <w:rPr>
          <w:rFonts w:ascii="Calibri" w:hAnsi="Calibri" w:cs="Calibri"/>
        </w:rPr>
        <w:t xml:space="preserve">the </w:t>
      </w:r>
      <w:r w:rsidR="007D4B9E">
        <w:rPr>
          <w:rFonts w:ascii="Calibri" w:hAnsi="Calibri" w:cs="Calibri"/>
        </w:rPr>
        <w:t>acquisition</w:t>
      </w:r>
      <w:r w:rsidR="0054176B">
        <w:rPr>
          <w:rFonts w:ascii="Calibri" w:hAnsi="Calibri" w:cs="Calibri"/>
        </w:rPr>
        <w:t xml:space="preserve"> by SHS was approved by the SDS </w:t>
      </w:r>
      <w:r w:rsidR="001253E0">
        <w:rPr>
          <w:rFonts w:ascii="Calibri" w:hAnsi="Calibri" w:cs="Calibri"/>
        </w:rPr>
        <w:t>board</w:t>
      </w:r>
      <w:r w:rsidR="006B6788">
        <w:rPr>
          <w:rFonts w:ascii="Calibri" w:hAnsi="Calibri" w:cs="Calibri"/>
        </w:rPr>
        <w:t>.</w:t>
      </w:r>
    </w:p>
    <w:p w14:paraId="749E35A7" w14:textId="77777777" w:rsidR="00A331DA" w:rsidRPr="00BE6462" w:rsidRDefault="00A331DA" w:rsidP="00A331DA">
      <w:pPr>
        <w:rPr>
          <w:rFonts w:ascii="Calibri" w:hAnsi="Calibri" w:cs="Calibri"/>
        </w:rPr>
      </w:pPr>
    </w:p>
    <w:p w14:paraId="747D43F9" w14:textId="4FAC4D3B" w:rsidR="00A331DA" w:rsidRDefault="00A331DA" w:rsidP="00A331DA">
      <w:pPr>
        <w:rPr>
          <w:rFonts w:ascii="Calibri" w:hAnsi="Calibri" w:cs="Calibri"/>
        </w:rPr>
      </w:pPr>
      <w:r w:rsidRPr="00BE6462">
        <w:rPr>
          <w:rFonts w:ascii="Calibri" w:hAnsi="Calibri" w:cs="Calibri"/>
        </w:rPr>
        <w:t xml:space="preserve">Working together the parties </w:t>
      </w:r>
      <w:r w:rsidR="00EC0D30">
        <w:rPr>
          <w:rFonts w:ascii="Calibri" w:hAnsi="Calibri" w:cs="Calibri"/>
        </w:rPr>
        <w:t xml:space="preserve">initially </w:t>
      </w:r>
      <w:r w:rsidRPr="00BE6462">
        <w:rPr>
          <w:rFonts w:ascii="Calibri" w:hAnsi="Calibri" w:cs="Calibri"/>
        </w:rPr>
        <w:t>plan to increase G</w:t>
      </w:r>
      <w:r w:rsidR="001253E0">
        <w:rPr>
          <w:rFonts w:ascii="Calibri" w:hAnsi="Calibri" w:cs="Calibri"/>
        </w:rPr>
        <w:t>ynecology (“GYN”)</w:t>
      </w:r>
      <w:r w:rsidRPr="00BE6462">
        <w:rPr>
          <w:rFonts w:ascii="Calibri" w:hAnsi="Calibri" w:cs="Calibri"/>
        </w:rPr>
        <w:t>, Pain Management and Orthopedics procedures and to transfer appropriate GI patients to SDS in order to reduce wait times and provide access to care in a lower cost setting.</w:t>
      </w:r>
      <w:r w:rsidR="00953094">
        <w:rPr>
          <w:rFonts w:ascii="Calibri" w:hAnsi="Calibri" w:cs="Calibri"/>
        </w:rPr>
        <w:t xml:space="preserve"> </w:t>
      </w:r>
      <w:r w:rsidR="00E8063B">
        <w:rPr>
          <w:rFonts w:ascii="Calibri" w:hAnsi="Calibri" w:cs="Calibri"/>
        </w:rPr>
        <w:t>Due to antitrust concerns</w:t>
      </w:r>
      <w:r w:rsidR="00E8063B" w:rsidRPr="00E8063B">
        <w:rPr>
          <w:rFonts w:ascii="Calibri" w:hAnsi="Calibri" w:cs="Calibri"/>
        </w:rPr>
        <w:t xml:space="preserve">, </w:t>
      </w:r>
      <w:r w:rsidR="00E8063B">
        <w:rPr>
          <w:rFonts w:ascii="Calibri" w:hAnsi="Calibri" w:cs="Calibri"/>
        </w:rPr>
        <w:t>prior to</w:t>
      </w:r>
      <w:r w:rsidR="00EC0D30">
        <w:rPr>
          <w:rFonts w:ascii="Calibri" w:hAnsi="Calibri" w:cs="Calibri"/>
        </w:rPr>
        <w:t xml:space="preserve"> </w:t>
      </w:r>
      <w:r w:rsidR="00B01693">
        <w:rPr>
          <w:rFonts w:ascii="Calibri" w:hAnsi="Calibri" w:cs="Calibri"/>
        </w:rPr>
        <w:t>clos</w:t>
      </w:r>
      <w:r w:rsidR="00EC0D30">
        <w:rPr>
          <w:rFonts w:ascii="Calibri" w:hAnsi="Calibri" w:cs="Calibri"/>
        </w:rPr>
        <w:t xml:space="preserve">ing </w:t>
      </w:r>
      <w:r w:rsidR="00E8063B">
        <w:rPr>
          <w:rFonts w:ascii="Calibri" w:hAnsi="Calibri" w:cs="Calibri"/>
        </w:rPr>
        <w:t xml:space="preserve">the </w:t>
      </w:r>
      <w:r w:rsidR="009E5934">
        <w:rPr>
          <w:rFonts w:ascii="Calibri" w:hAnsi="Calibri" w:cs="Calibri"/>
        </w:rPr>
        <w:t xml:space="preserve">acquisition, </w:t>
      </w:r>
      <w:r w:rsidR="00E8063B">
        <w:rPr>
          <w:rFonts w:ascii="Calibri" w:hAnsi="Calibri" w:cs="Calibri"/>
        </w:rPr>
        <w:t xml:space="preserve">planning for the </w:t>
      </w:r>
      <w:r w:rsidR="00E8063B" w:rsidRPr="00E8063B">
        <w:rPr>
          <w:rFonts w:ascii="Calibri" w:hAnsi="Calibri" w:cs="Calibri"/>
        </w:rPr>
        <w:t xml:space="preserve">complement of specialties being offered </w:t>
      </w:r>
      <w:r w:rsidR="00E8063B">
        <w:rPr>
          <w:rFonts w:ascii="Calibri" w:hAnsi="Calibri" w:cs="Calibri"/>
        </w:rPr>
        <w:t>has not been</w:t>
      </w:r>
      <w:r w:rsidR="00EC0D30">
        <w:rPr>
          <w:rFonts w:ascii="Calibri" w:hAnsi="Calibri" w:cs="Calibri"/>
        </w:rPr>
        <w:t xml:space="preserve"> f</w:t>
      </w:r>
      <w:r w:rsidR="00840ED6">
        <w:rPr>
          <w:rFonts w:ascii="Calibri" w:hAnsi="Calibri" w:cs="Calibri"/>
        </w:rPr>
        <w:t>inalized</w:t>
      </w:r>
      <w:r w:rsidR="00E8063B">
        <w:rPr>
          <w:rFonts w:ascii="Calibri" w:hAnsi="Calibri" w:cs="Calibri"/>
        </w:rPr>
        <w:t xml:space="preserve">. </w:t>
      </w:r>
      <w:r w:rsidR="009E5934">
        <w:rPr>
          <w:rFonts w:ascii="Calibri" w:hAnsi="Calibri" w:cs="Calibri"/>
        </w:rPr>
        <w:t xml:space="preserve">Staff notes that the Holder will report utilization by specialty to the Department as part of post-DoN reporting. Staff further notes </w:t>
      </w:r>
      <w:r w:rsidR="00840ED6">
        <w:rPr>
          <w:rFonts w:ascii="Calibri" w:hAnsi="Calibri" w:cs="Calibri"/>
        </w:rPr>
        <w:t>that</w:t>
      </w:r>
      <w:r w:rsidR="009E5934">
        <w:rPr>
          <w:rFonts w:ascii="Calibri" w:hAnsi="Calibri" w:cs="Calibri"/>
        </w:rPr>
        <w:t xml:space="preserve"> the list of procedures approved for payment </w:t>
      </w:r>
      <w:r w:rsidR="009E5934">
        <w:rPr>
          <w:rFonts w:ascii="Calibri" w:hAnsi="Calibri" w:cs="Calibri"/>
        </w:rPr>
        <w:lastRenderedPageBreak/>
        <w:t>by the Center for Medicare and Medicaid (“CMS”) changes</w:t>
      </w:r>
      <w:r w:rsidR="00EC0D30">
        <w:rPr>
          <w:rFonts w:ascii="Calibri" w:hAnsi="Calibri" w:cs="Calibri"/>
        </w:rPr>
        <w:t xml:space="preserve"> annually and thus could result in changes in procedures being offered at ASCs including this one</w:t>
      </w:r>
      <w:r w:rsidR="009E5934">
        <w:rPr>
          <w:rFonts w:ascii="Calibri" w:hAnsi="Calibri" w:cs="Calibri"/>
        </w:rPr>
        <w:t xml:space="preserve">. </w:t>
      </w:r>
    </w:p>
    <w:p w14:paraId="710088B3" w14:textId="77777777" w:rsidR="00B01693" w:rsidRPr="00BE6462" w:rsidRDefault="00B01693" w:rsidP="00A331DA">
      <w:pPr>
        <w:rPr>
          <w:rFonts w:ascii="Calibri" w:hAnsi="Calibri" w:cs="Calibri"/>
        </w:rPr>
      </w:pPr>
    </w:p>
    <w:p w14:paraId="11018415" w14:textId="379CF79C" w:rsidR="00E22614" w:rsidRDefault="00E22614" w:rsidP="00B01693">
      <w:pPr>
        <w:jc w:val="center"/>
        <w:rPr>
          <w:rFonts w:ascii="Calibri" w:hAnsi="Calibri" w:cs="Calibri"/>
        </w:rPr>
      </w:pPr>
      <w:r w:rsidRPr="00E22614">
        <w:rPr>
          <w:rFonts w:ascii="Calibri" w:hAnsi="Calibri" w:cs="Calibri"/>
          <w:b/>
          <w:bCs/>
        </w:rPr>
        <w:t xml:space="preserve">Table </w:t>
      </w:r>
      <w:r w:rsidR="00BE6462">
        <w:rPr>
          <w:rFonts w:ascii="Calibri" w:hAnsi="Calibri" w:cs="Calibri"/>
          <w:b/>
          <w:bCs/>
        </w:rPr>
        <w:t>5</w:t>
      </w:r>
      <w:r w:rsidRPr="00E22614">
        <w:rPr>
          <w:rFonts w:ascii="Calibri" w:hAnsi="Calibri" w:cs="Calibri"/>
          <w:b/>
          <w:bCs/>
        </w:rPr>
        <w:t>: SDS</w:t>
      </w:r>
      <w:r w:rsidR="00637972">
        <w:rPr>
          <w:rFonts w:ascii="Calibri" w:hAnsi="Calibri" w:cs="Calibri"/>
          <w:b/>
          <w:bCs/>
        </w:rPr>
        <w:t>’s</w:t>
      </w:r>
      <w:r w:rsidRPr="00E22614">
        <w:rPr>
          <w:rFonts w:ascii="Calibri" w:hAnsi="Calibri" w:cs="Calibri"/>
          <w:b/>
          <w:bCs/>
        </w:rPr>
        <w:t xml:space="preserve"> </w:t>
      </w:r>
      <w:r w:rsidR="009E5934" w:rsidRPr="009E5934">
        <w:rPr>
          <w:rFonts w:ascii="Calibri" w:hAnsi="Calibri" w:cs="Calibri"/>
          <w:b/>
          <w:bCs/>
        </w:rPr>
        <w:t xml:space="preserve">Historical </w:t>
      </w:r>
      <w:r w:rsidR="00E37EA9">
        <w:rPr>
          <w:rFonts w:ascii="Calibri" w:hAnsi="Calibri" w:cs="Calibri"/>
          <w:b/>
          <w:bCs/>
        </w:rPr>
        <w:t>Procedure</w:t>
      </w:r>
      <w:r w:rsidR="009E5934" w:rsidRPr="009E5934">
        <w:rPr>
          <w:rFonts w:ascii="Calibri" w:hAnsi="Calibri" w:cs="Calibri"/>
          <w:b/>
          <w:bCs/>
        </w:rPr>
        <w:t xml:space="preserve"> Volume</w:t>
      </w:r>
      <w:r w:rsidR="009E5934">
        <w:rPr>
          <w:rFonts w:ascii="Calibri" w:hAnsi="Calibri" w:cs="Calibri"/>
          <w:b/>
          <w:bCs/>
        </w:rPr>
        <w:t xml:space="preserve"> </w:t>
      </w:r>
      <w:proofErr w:type="gramStart"/>
      <w:r w:rsidR="00E37EA9">
        <w:rPr>
          <w:rFonts w:ascii="Calibri" w:hAnsi="Calibri" w:cs="Calibri"/>
          <w:b/>
          <w:bCs/>
        </w:rPr>
        <w:t>By</w:t>
      </w:r>
      <w:proofErr w:type="gramEnd"/>
      <w:r w:rsidR="00E37EA9">
        <w:rPr>
          <w:rFonts w:ascii="Calibri" w:hAnsi="Calibri" w:cs="Calibri"/>
          <w:b/>
          <w:bCs/>
        </w:rPr>
        <w:t xml:space="preserve"> Specialty </w:t>
      </w:r>
    </w:p>
    <w:p w14:paraId="423C9C3F" w14:textId="77777777" w:rsidR="00E22614" w:rsidRPr="00BE6462" w:rsidRDefault="00E22614" w:rsidP="00A331DA">
      <w:pPr>
        <w:rPr>
          <w:rFonts w:ascii="Calibri" w:hAnsi="Calibri" w:cs="Calibri"/>
        </w:rPr>
      </w:pPr>
    </w:p>
    <w:tbl>
      <w:tblPr>
        <w:tblW w:w="9810" w:type="dxa"/>
        <w:jc w:val="center"/>
        <w:tblLook w:val="04A0" w:firstRow="1" w:lastRow="0" w:firstColumn="1" w:lastColumn="0" w:noHBand="0" w:noVBand="1"/>
      </w:tblPr>
      <w:tblGrid>
        <w:gridCol w:w="1965"/>
        <w:gridCol w:w="949"/>
        <w:gridCol w:w="949"/>
        <w:gridCol w:w="949"/>
        <w:gridCol w:w="949"/>
        <w:gridCol w:w="949"/>
        <w:gridCol w:w="949"/>
        <w:gridCol w:w="965"/>
        <w:gridCol w:w="1214"/>
      </w:tblGrid>
      <w:tr w:rsidR="00A331DA" w:rsidRPr="00A331DA" w14:paraId="1559551B" w14:textId="77777777" w:rsidTr="00681A28">
        <w:trPr>
          <w:cantSplit/>
          <w:trHeight w:val="678"/>
          <w:tblHeader/>
          <w:jc w:val="center"/>
        </w:trPr>
        <w:tc>
          <w:tcPr>
            <w:tcW w:w="1937" w:type="dxa"/>
            <w:tcBorders>
              <w:top w:val="single" w:sz="4" w:space="0" w:color="auto"/>
              <w:left w:val="single" w:sz="4" w:space="0" w:color="auto"/>
              <w:bottom w:val="single" w:sz="4" w:space="0" w:color="auto"/>
              <w:right w:val="single" w:sz="4" w:space="0" w:color="auto"/>
            </w:tcBorders>
            <w:shd w:val="clear" w:color="000000" w:fill="DDFFFF"/>
            <w:noWrap/>
            <w:vAlign w:val="center"/>
            <w:hideMark/>
          </w:tcPr>
          <w:p w14:paraId="5E57FB98" w14:textId="77777777" w:rsidR="00A331DA" w:rsidRPr="00A331DA" w:rsidRDefault="00A331DA" w:rsidP="00A331DA">
            <w:pPr>
              <w:rPr>
                <w:rFonts w:ascii="Calibri" w:hAnsi="Calibri" w:cs="Calibri"/>
                <w:b/>
                <w:bCs/>
              </w:rPr>
            </w:pPr>
            <w:r w:rsidRPr="00A331DA">
              <w:rPr>
                <w:rFonts w:ascii="Calibri" w:hAnsi="Calibri" w:cs="Calibri"/>
                <w:b/>
                <w:bCs/>
              </w:rPr>
              <w:t>Surgical Specialty</w:t>
            </w:r>
          </w:p>
        </w:tc>
        <w:tc>
          <w:tcPr>
            <w:tcW w:w="949" w:type="dxa"/>
            <w:tcBorders>
              <w:top w:val="single" w:sz="4" w:space="0" w:color="auto"/>
              <w:left w:val="nil"/>
              <w:bottom w:val="single" w:sz="4" w:space="0" w:color="auto"/>
              <w:right w:val="single" w:sz="4" w:space="0" w:color="auto"/>
            </w:tcBorders>
            <w:shd w:val="clear" w:color="000000" w:fill="DDFFFF"/>
            <w:vAlign w:val="center"/>
            <w:hideMark/>
          </w:tcPr>
          <w:p w14:paraId="705BDA2C" w14:textId="28F1738A" w:rsidR="00A331DA" w:rsidRPr="00A331DA" w:rsidRDefault="00A331DA" w:rsidP="00564A03">
            <w:pPr>
              <w:jc w:val="center"/>
              <w:rPr>
                <w:rFonts w:ascii="Calibri" w:hAnsi="Calibri" w:cs="Calibri"/>
                <w:b/>
                <w:bCs/>
              </w:rPr>
            </w:pPr>
            <w:r w:rsidRPr="00A331DA">
              <w:rPr>
                <w:rFonts w:ascii="Calibri" w:hAnsi="Calibri" w:cs="Calibri"/>
                <w:b/>
                <w:bCs/>
              </w:rPr>
              <w:t>FY18</w:t>
            </w:r>
          </w:p>
        </w:tc>
        <w:tc>
          <w:tcPr>
            <w:tcW w:w="949" w:type="dxa"/>
            <w:tcBorders>
              <w:top w:val="single" w:sz="4" w:space="0" w:color="auto"/>
              <w:left w:val="nil"/>
              <w:bottom w:val="single" w:sz="4" w:space="0" w:color="auto"/>
              <w:right w:val="single" w:sz="4" w:space="0" w:color="auto"/>
            </w:tcBorders>
            <w:shd w:val="clear" w:color="000000" w:fill="DDFFFF"/>
            <w:vAlign w:val="center"/>
            <w:hideMark/>
          </w:tcPr>
          <w:p w14:paraId="0ECDAFAA" w14:textId="5442DB6F" w:rsidR="00A331DA" w:rsidRPr="00A331DA" w:rsidRDefault="00A331DA" w:rsidP="00564A03">
            <w:pPr>
              <w:jc w:val="center"/>
              <w:rPr>
                <w:rFonts w:ascii="Calibri" w:hAnsi="Calibri" w:cs="Calibri"/>
                <w:b/>
                <w:bCs/>
              </w:rPr>
            </w:pPr>
            <w:r w:rsidRPr="00A331DA">
              <w:rPr>
                <w:rFonts w:ascii="Calibri" w:hAnsi="Calibri" w:cs="Calibri"/>
                <w:b/>
                <w:bCs/>
              </w:rPr>
              <w:t>FY19</w:t>
            </w:r>
          </w:p>
        </w:tc>
        <w:tc>
          <w:tcPr>
            <w:tcW w:w="949" w:type="dxa"/>
            <w:tcBorders>
              <w:top w:val="single" w:sz="4" w:space="0" w:color="auto"/>
              <w:left w:val="nil"/>
              <w:bottom w:val="single" w:sz="4" w:space="0" w:color="auto"/>
              <w:right w:val="single" w:sz="4" w:space="0" w:color="auto"/>
            </w:tcBorders>
            <w:shd w:val="clear" w:color="000000" w:fill="DDFFFF"/>
            <w:vAlign w:val="center"/>
            <w:hideMark/>
          </w:tcPr>
          <w:p w14:paraId="03D8D2F8" w14:textId="36040604" w:rsidR="00A331DA" w:rsidRPr="00A331DA" w:rsidRDefault="00A331DA" w:rsidP="00564A03">
            <w:pPr>
              <w:jc w:val="center"/>
              <w:rPr>
                <w:rFonts w:ascii="Calibri" w:hAnsi="Calibri" w:cs="Calibri"/>
                <w:b/>
                <w:bCs/>
              </w:rPr>
            </w:pPr>
            <w:r w:rsidRPr="00A331DA">
              <w:rPr>
                <w:rFonts w:ascii="Calibri" w:hAnsi="Calibri" w:cs="Calibri"/>
                <w:b/>
                <w:bCs/>
              </w:rPr>
              <w:t>FY20</w:t>
            </w:r>
          </w:p>
        </w:tc>
        <w:tc>
          <w:tcPr>
            <w:tcW w:w="949" w:type="dxa"/>
            <w:tcBorders>
              <w:top w:val="single" w:sz="4" w:space="0" w:color="auto"/>
              <w:left w:val="nil"/>
              <w:bottom w:val="single" w:sz="4" w:space="0" w:color="auto"/>
              <w:right w:val="single" w:sz="4" w:space="0" w:color="auto"/>
            </w:tcBorders>
            <w:shd w:val="clear" w:color="000000" w:fill="DDFFFF"/>
            <w:vAlign w:val="center"/>
            <w:hideMark/>
          </w:tcPr>
          <w:p w14:paraId="30222F23" w14:textId="1D77F03B" w:rsidR="00A331DA" w:rsidRPr="00A331DA" w:rsidRDefault="00A331DA" w:rsidP="00564A03">
            <w:pPr>
              <w:jc w:val="center"/>
              <w:rPr>
                <w:rFonts w:ascii="Calibri" w:hAnsi="Calibri" w:cs="Calibri"/>
                <w:b/>
                <w:bCs/>
              </w:rPr>
            </w:pPr>
            <w:r w:rsidRPr="00A331DA">
              <w:rPr>
                <w:rFonts w:ascii="Calibri" w:hAnsi="Calibri" w:cs="Calibri"/>
                <w:b/>
                <w:bCs/>
              </w:rPr>
              <w:t>FY21</w:t>
            </w:r>
          </w:p>
        </w:tc>
        <w:tc>
          <w:tcPr>
            <w:tcW w:w="949" w:type="dxa"/>
            <w:tcBorders>
              <w:top w:val="single" w:sz="4" w:space="0" w:color="auto"/>
              <w:left w:val="nil"/>
              <w:bottom w:val="single" w:sz="4" w:space="0" w:color="auto"/>
              <w:right w:val="single" w:sz="4" w:space="0" w:color="auto"/>
            </w:tcBorders>
            <w:shd w:val="clear" w:color="000000" w:fill="DDFFFF"/>
            <w:vAlign w:val="center"/>
            <w:hideMark/>
          </w:tcPr>
          <w:p w14:paraId="2A7730A7" w14:textId="5E41C0D4" w:rsidR="00A331DA" w:rsidRPr="00A331DA" w:rsidRDefault="00A331DA" w:rsidP="00564A03">
            <w:pPr>
              <w:jc w:val="center"/>
              <w:rPr>
                <w:rFonts w:ascii="Calibri" w:hAnsi="Calibri" w:cs="Calibri"/>
                <w:b/>
                <w:bCs/>
              </w:rPr>
            </w:pPr>
            <w:r w:rsidRPr="00A331DA">
              <w:rPr>
                <w:rFonts w:ascii="Calibri" w:hAnsi="Calibri" w:cs="Calibri"/>
                <w:b/>
                <w:bCs/>
              </w:rPr>
              <w:t>FY22</w:t>
            </w:r>
          </w:p>
        </w:tc>
        <w:tc>
          <w:tcPr>
            <w:tcW w:w="949" w:type="dxa"/>
            <w:tcBorders>
              <w:top w:val="single" w:sz="4" w:space="0" w:color="auto"/>
              <w:left w:val="nil"/>
              <w:bottom w:val="single" w:sz="4" w:space="0" w:color="auto"/>
              <w:right w:val="single" w:sz="4" w:space="0" w:color="auto"/>
            </w:tcBorders>
            <w:shd w:val="clear" w:color="000000" w:fill="DDFFFF"/>
            <w:vAlign w:val="center"/>
            <w:hideMark/>
          </w:tcPr>
          <w:p w14:paraId="39922F77" w14:textId="0B26716E" w:rsidR="00A331DA" w:rsidRPr="00A331DA" w:rsidRDefault="00A331DA" w:rsidP="00564A03">
            <w:pPr>
              <w:jc w:val="center"/>
              <w:rPr>
                <w:rFonts w:ascii="Calibri" w:hAnsi="Calibri" w:cs="Calibri"/>
                <w:b/>
                <w:bCs/>
              </w:rPr>
            </w:pPr>
            <w:r w:rsidRPr="00A331DA">
              <w:rPr>
                <w:rFonts w:ascii="Calibri" w:hAnsi="Calibri" w:cs="Calibri"/>
                <w:b/>
                <w:bCs/>
              </w:rPr>
              <w:t>FY23</w:t>
            </w:r>
          </w:p>
        </w:tc>
        <w:tc>
          <w:tcPr>
            <w:tcW w:w="965" w:type="dxa"/>
            <w:tcBorders>
              <w:top w:val="single" w:sz="4" w:space="0" w:color="auto"/>
              <w:left w:val="nil"/>
              <w:bottom w:val="single" w:sz="4" w:space="0" w:color="auto"/>
              <w:right w:val="single" w:sz="4" w:space="0" w:color="auto"/>
            </w:tcBorders>
            <w:shd w:val="clear" w:color="000000" w:fill="DDFFFF"/>
            <w:vAlign w:val="center"/>
            <w:hideMark/>
          </w:tcPr>
          <w:p w14:paraId="3833B5EF" w14:textId="427755E5" w:rsidR="00A331DA" w:rsidRPr="00A331DA" w:rsidRDefault="00A331DA" w:rsidP="00564A03">
            <w:pPr>
              <w:jc w:val="center"/>
              <w:rPr>
                <w:rFonts w:ascii="Calibri" w:hAnsi="Calibri" w:cs="Calibri"/>
                <w:b/>
                <w:bCs/>
              </w:rPr>
            </w:pPr>
            <w:r w:rsidRPr="00A331DA">
              <w:rPr>
                <w:rFonts w:ascii="Calibri" w:hAnsi="Calibri" w:cs="Calibri"/>
                <w:b/>
                <w:bCs/>
              </w:rPr>
              <w:t>FY24TD</w:t>
            </w:r>
          </w:p>
        </w:tc>
        <w:tc>
          <w:tcPr>
            <w:tcW w:w="1214" w:type="dxa"/>
            <w:tcBorders>
              <w:top w:val="single" w:sz="4" w:space="0" w:color="auto"/>
              <w:left w:val="nil"/>
              <w:bottom w:val="single" w:sz="4" w:space="0" w:color="auto"/>
              <w:right w:val="single" w:sz="4" w:space="0" w:color="auto"/>
            </w:tcBorders>
            <w:shd w:val="clear" w:color="C0E6F5" w:fill="DDFFFF"/>
            <w:vAlign w:val="center"/>
          </w:tcPr>
          <w:p w14:paraId="32D7532A" w14:textId="77777777" w:rsidR="00A331DA" w:rsidRPr="00A331DA" w:rsidRDefault="00A331DA" w:rsidP="00564A03">
            <w:pPr>
              <w:jc w:val="center"/>
              <w:rPr>
                <w:rFonts w:ascii="Calibri" w:hAnsi="Calibri" w:cs="Calibri"/>
                <w:b/>
                <w:bCs/>
              </w:rPr>
            </w:pPr>
            <w:r w:rsidRPr="00A331DA">
              <w:rPr>
                <w:rFonts w:ascii="Calibri" w:hAnsi="Calibri" w:cs="Calibri"/>
                <w:b/>
                <w:bCs/>
              </w:rPr>
              <w:t>% Change</w:t>
            </w:r>
          </w:p>
          <w:p w14:paraId="099E34B9" w14:textId="77777777" w:rsidR="00A331DA" w:rsidRPr="00A331DA" w:rsidRDefault="00A331DA" w:rsidP="00564A03">
            <w:pPr>
              <w:jc w:val="center"/>
              <w:rPr>
                <w:rFonts w:ascii="Calibri" w:hAnsi="Calibri" w:cs="Calibri"/>
                <w:b/>
                <w:bCs/>
              </w:rPr>
            </w:pPr>
            <w:r w:rsidRPr="00A331DA">
              <w:rPr>
                <w:rFonts w:ascii="Calibri" w:hAnsi="Calibri" w:cs="Calibri"/>
                <w:b/>
                <w:bCs/>
              </w:rPr>
              <w:t>FY 18-23</w:t>
            </w:r>
          </w:p>
        </w:tc>
      </w:tr>
      <w:tr w:rsidR="00A331DA" w:rsidRPr="00A331DA" w14:paraId="006588CB" w14:textId="77777777" w:rsidTr="00681A28">
        <w:trPr>
          <w:cantSplit/>
          <w:trHeight w:val="338"/>
          <w:jc w:val="center"/>
        </w:trPr>
        <w:tc>
          <w:tcPr>
            <w:tcW w:w="1937" w:type="dxa"/>
            <w:tcBorders>
              <w:top w:val="nil"/>
              <w:left w:val="single" w:sz="4" w:space="0" w:color="auto"/>
              <w:bottom w:val="single" w:sz="4" w:space="0" w:color="auto"/>
              <w:right w:val="single" w:sz="4" w:space="0" w:color="auto"/>
            </w:tcBorders>
            <w:shd w:val="clear" w:color="auto" w:fill="auto"/>
            <w:noWrap/>
            <w:vAlign w:val="center"/>
            <w:hideMark/>
          </w:tcPr>
          <w:p w14:paraId="1F22B39E" w14:textId="77777777" w:rsidR="00A331DA" w:rsidRPr="00A331DA" w:rsidRDefault="00A331DA" w:rsidP="00A331DA">
            <w:pPr>
              <w:rPr>
                <w:rFonts w:ascii="Calibri" w:hAnsi="Calibri" w:cs="Calibri"/>
                <w:b/>
                <w:bCs/>
              </w:rPr>
            </w:pPr>
            <w:r w:rsidRPr="00A331DA">
              <w:rPr>
                <w:rFonts w:ascii="Calibri" w:hAnsi="Calibri" w:cs="Calibri"/>
                <w:b/>
                <w:bCs/>
              </w:rPr>
              <w:t>Gastroenterology</w:t>
            </w:r>
          </w:p>
        </w:tc>
        <w:tc>
          <w:tcPr>
            <w:tcW w:w="949" w:type="dxa"/>
            <w:tcBorders>
              <w:top w:val="nil"/>
              <w:left w:val="nil"/>
              <w:bottom w:val="single" w:sz="4" w:space="0" w:color="auto"/>
              <w:right w:val="single" w:sz="4" w:space="0" w:color="auto"/>
            </w:tcBorders>
            <w:shd w:val="clear" w:color="auto" w:fill="auto"/>
            <w:noWrap/>
            <w:vAlign w:val="center"/>
            <w:hideMark/>
          </w:tcPr>
          <w:p w14:paraId="115180D4" w14:textId="77777777" w:rsidR="00A331DA" w:rsidRPr="00BE6462" w:rsidRDefault="00A331DA" w:rsidP="00A331DA">
            <w:r w:rsidRPr="00BE6462">
              <w:t>7,456</w:t>
            </w:r>
          </w:p>
        </w:tc>
        <w:tc>
          <w:tcPr>
            <w:tcW w:w="949" w:type="dxa"/>
            <w:tcBorders>
              <w:top w:val="nil"/>
              <w:left w:val="nil"/>
              <w:bottom w:val="single" w:sz="4" w:space="0" w:color="auto"/>
              <w:right w:val="single" w:sz="4" w:space="0" w:color="auto"/>
            </w:tcBorders>
            <w:shd w:val="clear" w:color="auto" w:fill="auto"/>
            <w:noWrap/>
            <w:vAlign w:val="center"/>
            <w:hideMark/>
          </w:tcPr>
          <w:p w14:paraId="7EC802FA" w14:textId="77777777" w:rsidR="00A331DA" w:rsidRPr="00BE6462" w:rsidRDefault="00A331DA" w:rsidP="00A331DA">
            <w:r w:rsidRPr="00BE6462">
              <w:t>5,775</w:t>
            </w:r>
          </w:p>
        </w:tc>
        <w:tc>
          <w:tcPr>
            <w:tcW w:w="949" w:type="dxa"/>
            <w:tcBorders>
              <w:top w:val="nil"/>
              <w:left w:val="nil"/>
              <w:bottom w:val="single" w:sz="4" w:space="0" w:color="auto"/>
              <w:right w:val="single" w:sz="4" w:space="0" w:color="auto"/>
            </w:tcBorders>
            <w:shd w:val="clear" w:color="auto" w:fill="auto"/>
            <w:noWrap/>
            <w:vAlign w:val="center"/>
            <w:hideMark/>
          </w:tcPr>
          <w:p w14:paraId="5A273957" w14:textId="77777777" w:rsidR="00A331DA" w:rsidRPr="00BE6462" w:rsidRDefault="00A331DA" w:rsidP="00A331DA">
            <w:r w:rsidRPr="00BE6462">
              <w:t>2,550</w:t>
            </w:r>
          </w:p>
        </w:tc>
        <w:tc>
          <w:tcPr>
            <w:tcW w:w="949" w:type="dxa"/>
            <w:tcBorders>
              <w:top w:val="nil"/>
              <w:left w:val="nil"/>
              <w:bottom w:val="single" w:sz="4" w:space="0" w:color="auto"/>
              <w:right w:val="single" w:sz="4" w:space="0" w:color="auto"/>
            </w:tcBorders>
            <w:shd w:val="clear" w:color="auto" w:fill="auto"/>
            <w:noWrap/>
            <w:vAlign w:val="center"/>
            <w:hideMark/>
          </w:tcPr>
          <w:p w14:paraId="2DCF96A6" w14:textId="77777777" w:rsidR="00A331DA" w:rsidRPr="00BE6462" w:rsidRDefault="00A331DA" w:rsidP="00A331DA">
            <w:r w:rsidRPr="00BE6462">
              <w:t>3,417</w:t>
            </w:r>
          </w:p>
        </w:tc>
        <w:tc>
          <w:tcPr>
            <w:tcW w:w="949" w:type="dxa"/>
            <w:tcBorders>
              <w:top w:val="nil"/>
              <w:left w:val="nil"/>
              <w:bottom w:val="single" w:sz="4" w:space="0" w:color="auto"/>
              <w:right w:val="single" w:sz="4" w:space="0" w:color="auto"/>
            </w:tcBorders>
            <w:shd w:val="clear" w:color="auto" w:fill="auto"/>
            <w:noWrap/>
            <w:vAlign w:val="center"/>
            <w:hideMark/>
          </w:tcPr>
          <w:p w14:paraId="0FD32231" w14:textId="77777777" w:rsidR="00A331DA" w:rsidRPr="00BE6462" w:rsidRDefault="00A331DA" w:rsidP="00A331DA">
            <w:r w:rsidRPr="00BE6462">
              <w:t>3,862</w:t>
            </w:r>
          </w:p>
        </w:tc>
        <w:tc>
          <w:tcPr>
            <w:tcW w:w="949" w:type="dxa"/>
            <w:tcBorders>
              <w:top w:val="nil"/>
              <w:left w:val="nil"/>
              <w:bottom w:val="single" w:sz="4" w:space="0" w:color="auto"/>
              <w:right w:val="single" w:sz="4" w:space="0" w:color="auto"/>
            </w:tcBorders>
            <w:shd w:val="clear" w:color="auto" w:fill="auto"/>
            <w:noWrap/>
            <w:vAlign w:val="center"/>
            <w:hideMark/>
          </w:tcPr>
          <w:p w14:paraId="31D37B02" w14:textId="77777777" w:rsidR="00A331DA" w:rsidRPr="00BE6462" w:rsidRDefault="00A331DA" w:rsidP="00A331DA">
            <w:r w:rsidRPr="00BE6462">
              <w:t>4,478</w:t>
            </w:r>
          </w:p>
        </w:tc>
        <w:tc>
          <w:tcPr>
            <w:tcW w:w="965" w:type="dxa"/>
            <w:tcBorders>
              <w:top w:val="nil"/>
              <w:left w:val="nil"/>
              <w:bottom w:val="single" w:sz="4" w:space="0" w:color="auto"/>
              <w:right w:val="single" w:sz="4" w:space="0" w:color="auto"/>
            </w:tcBorders>
            <w:shd w:val="clear" w:color="auto" w:fill="auto"/>
            <w:noWrap/>
            <w:vAlign w:val="center"/>
            <w:hideMark/>
          </w:tcPr>
          <w:p w14:paraId="1922C0F7" w14:textId="77777777" w:rsidR="00A331DA" w:rsidRPr="00BE6462" w:rsidRDefault="00A331DA" w:rsidP="00A331DA">
            <w:r w:rsidRPr="00BE6462">
              <w:t>1,079</w:t>
            </w:r>
          </w:p>
        </w:tc>
        <w:tc>
          <w:tcPr>
            <w:tcW w:w="1214" w:type="dxa"/>
            <w:tcBorders>
              <w:top w:val="nil"/>
              <w:left w:val="nil"/>
              <w:bottom w:val="single" w:sz="4" w:space="0" w:color="auto"/>
              <w:right w:val="single" w:sz="4" w:space="0" w:color="auto"/>
            </w:tcBorders>
            <w:shd w:val="clear" w:color="auto" w:fill="auto"/>
            <w:noWrap/>
            <w:vAlign w:val="center"/>
            <w:hideMark/>
          </w:tcPr>
          <w:p w14:paraId="655170E9" w14:textId="77777777" w:rsidR="00A331DA" w:rsidRPr="00BE6462" w:rsidRDefault="00A331DA" w:rsidP="00A331DA">
            <w:r w:rsidRPr="00BE6462">
              <w:t>-39.9%</w:t>
            </w:r>
          </w:p>
        </w:tc>
      </w:tr>
      <w:tr w:rsidR="00A331DA" w:rsidRPr="00A331DA" w14:paraId="7D5B3568" w14:textId="77777777" w:rsidTr="00681A28">
        <w:trPr>
          <w:cantSplit/>
          <w:trHeight w:val="338"/>
          <w:jc w:val="center"/>
        </w:trPr>
        <w:tc>
          <w:tcPr>
            <w:tcW w:w="1937" w:type="dxa"/>
            <w:tcBorders>
              <w:top w:val="nil"/>
              <w:left w:val="single" w:sz="4" w:space="0" w:color="auto"/>
              <w:bottom w:val="single" w:sz="4" w:space="0" w:color="auto"/>
              <w:right w:val="single" w:sz="4" w:space="0" w:color="auto"/>
            </w:tcBorders>
            <w:shd w:val="clear" w:color="auto" w:fill="auto"/>
            <w:noWrap/>
            <w:vAlign w:val="center"/>
            <w:hideMark/>
          </w:tcPr>
          <w:p w14:paraId="523D87AC" w14:textId="77777777" w:rsidR="00A331DA" w:rsidRPr="00A331DA" w:rsidRDefault="00A331DA" w:rsidP="00A331DA">
            <w:pPr>
              <w:rPr>
                <w:rFonts w:ascii="Calibri" w:hAnsi="Calibri" w:cs="Calibri"/>
                <w:b/>
                <w:bCs/>
              </w:rPr>
            </w:pPr>
            <w:r w:rsidRPr="00A331DA">
              <w:rPr>
                <w:rFonts w:ascii="Calibri" w:hAnsi="Calibri" w:cs="Calibri"/>
                <w:b/>
                <w:bCs/>
              </w:rPr>
              <w:t>Ophthalmology</w:t>
            </w:r>
          </w:p>
        </w:tc>
        <w:tc>
          <w:tcPr>
            <w:tcW w:w="949" w:type="dxa"/>
            <w:tcBorders>
              <w:top w:val="nil"/>
              <w:left w:val="nil"/>
              <w:bottom w:val="single" w:sz="4" w:space="0" w:color="auto"/>
              <w:right w:val="single" w:sz="4" w:space="0" w:color="auto"/>
            </w:tcBorders>
            <w:shd w:val="clear" w:color="auto" w:fill="auto"/>
            <w:noWrap/>
            <w:vAlign w:val="center"/>
            <w:hideMark/>
          </w:tcPr>
          <w:p w14:paraId="1D8AA69B" w14:textId="77777777" w:rsidR="00A331DA" w:rsidRPr="00BE6462" w:rsidRDefault="00A331DA" w:rsidP="00A331DA">
            <w:r w:rsidRPr="00BE6462">
              <w:t>83</w:t>
            </w:r>
          </w:p>
        </w:tc>
        <w:tc>
          <w:tcPr>
            <w:tcW w:w="949" w:type="dxa"/>
            <w:tcBorders>
              <w:top w:val="nil"/>
              <w:left w:val="nil"/>
              <w:bottom w:val="single" w:sz="4" w:space="0" w:color="auto"/>
              <w:right w:val="single" w:sz="4" w:space="0" w:color="auto"/>
            </w:tcBorders>
            <w:shd w:val="clear" w:color="auto" w:fill="auto"/>
            <w:noWrap/>
            <w:vAlign w:val="center"/>
            <w:hideMark/>
          </w:tcPr>
          <w:p w14:paraId="6B26575B" w14:textId="77777777" w:rsidR="00A331DA" w:rsidRPr="00BE6462" w:rsidRDefault="00A331DA" w:rsidP="00A331DA">
            <w:r w:rsidRPr="00BE6462">
              <w:t>91</w:t>
            </w:r>
          </w:p>
        </w:tc>
        <w:tc>
          <w:tcPr>
            <w:tcW w:w="949" w:type="dxa"/>
            <w:tcBorders>
              <w:top w:val="nil"/>
              <w:left w:val="nil"/>
              <w:bottom w:val="single" w:sz="4" w:space="0" w:color="auto"/>
              <w:right w:val="single" w:sz="4" w:space="0" w:color="auto"/>
            </w:tcBorders>
            <w:shd w:val="clear" w:color="auto" w:fill="auto"/>
            <w:noWrap/>
            <w:vAlign w:val="center"/>
            <w:hideMark/>
          </w:tcPr>
          <w:p w14:paraId="38F2301A" w14:textId="77777777" w:rsidR="00A331DA" w:rsidRPr="00BE6462" w:rsidRDefault="00A331DA" w:rsidP="00A331DA">
            <w:r w:rsidRPr="00BE6462">
              <w:t>396</w:t>
            </w:r>
          </w:p>
        </w:tc>
        <w:tc>
          <w:tcPr>
            <w:tcW w:w="949" w:type="dxa"/>
            <w:tcBorders>
              <w:top w:val="nil"/>
              <w:left w:val="nil"/>
              <w:bottom w:val="single" w:sz="4" w:space="0" w:color="auto"/>
              <w:right w:val="single" w:sz="4" w:space="0" w:color="auto"/>
            </w:tcBorders>
            <w:shd w:val="clear" w:color="auto" w:fill="auto"/>
            <w:noWrap/>
            <w:vAlign w:val="center"/>
            <w:hideMark/>
          </w:tcPr>
          <w:p w14:paraId="3E2C1A9B" w14:textId="77777777" w:rsidR="00A331DA" w:rsidRPr="00BE6462" w:rsidRDefault="00A331DA" w:rsidP="00A331DA">
            <w:r w:rsidRPr="00BE6462">
              <w:t>770</w:t>
            </w:r>
          </w:p>
        </w:tc>
        <w:tc>
          <w:tcPr>
            <w:tcW w:w="949" w:type="dxa"/>
            <w:tcBorders>
              <w:top w:val="nil"/>
              <w:left w:val="nil"/>
              <w:bottom w:val="single" w:sz="4" w:space="0" w:color="auto"/>
              <w:right w:val="single" w:sz="4" w:space="0" w:color="auto"/>
            </w:tcBorders>
            <w:shd w:val="clear" w:color="auto" w:fill="auto"/>
            <w:noWrap/>
            <w:vAlign w:val="center"/>
            <w:hideMark/>
          </w:tcPr>
          <w:p w14:paraId="3D0578E3" w14:textId="77777777" w:rsidR="00A331DA" w:rsidRPr="00BE6462" w:rsidRDefault="00A331DA" w:rsidP="00A331DA">
            <w:r w:rsidRPr="00BE6462">
              <w:t>658</w:t>
            </w:r>
          </w:p>
        </w:tc>
        <w:tc>
          <w:tcPr>
            <w:tcW w:w="949" w:type="dxa"/>
            <w:tcBorders>
              <w:top w:val="nil"/>
              <w:left w:val="nil"/>
              <w:bottom w:val="single" w:sz="4" w:space="0" w:color="auto"/>
              <w:right w:val="single" w:sz="4" w:space="0" w:color="auto"/>
            </w:tcBorders>
            <w:shd w:val="clear" w:color="auto" w:fill="auto"/>
            <w:noWrap/>
            <w:vAlign w:val="center"/>
            <w:hideMark/>
          </w:tcPr>
          <w:p w14:paraId="15FB685F" w14:textId="77777777" w:rsidR="00A331DA" w:rsidRPr="00BE6462" w:rsidRDefault="00A331DA" w:rsidP="00A331DA">
            <w:r w:rsidRPr="00BE6462">
              <w:t>523</w:t>
            </w:r>
          </w:p>
        </w:tc>
        <w:tc>
          <w:tcPr>
            <w:tcW w:w="965" w:type="dxa"/>
            <w:tcBorders>
              <w:top w:val="nil"/>
              <w:left w:val="nil"/>
              <w:bottom w:val="single" w:sz="4" w:space="0" w:color="auto"/>
              <w:right w:val="single" w:sz="4" w:space="0" w:color="auto"/>
            </w:tcBorders>
            <w:shd w:val="clear" w:color="auto" w:fill="auto"/>
            <w:noWrap/>
            <w:vAlign w:val="center"/>
            <w:hideMark/>
          </w:tcPr>
          <w:p w14:paraId="68DFB80F" w14:textId="77777777" w:rsidR="00A331DA" w:rsidRPr="00BE6462" w:rsidRDefault="00A331DA" w:rsidP="00A331DA">
            <w:r w:rsidRPr="00BE6462">
              <w:t>43</w:t>
            </w:r>
          </w:p>
        </w:tc>
        <w:tc>
          <w:tcPr>
            <w:tcW w:w="1214" w:type="dxa"/>
            <w:tcBorders>
              <w:top w:val="nil"/>
              <w:left w:val="nil"/>
              <w:bottom w:val="single" w:sz="4" w:space="0" w:color="auto"/>
              <w:right w:val="single" w:sz="4" w:space="0" w:color="auto"/>
            </w:tcBorders>
            <w:shd w:val="clear" w:color="auto" w:fill="auto"/>
            <w:noWrap/>
            <w:vAlign w:val="center"/>
            <w:hideMark/>
          </w:tcPr>
          <w:p w14:paraId="69A51673" w14:textId="77777777" w:rsidR="00A331DA" w:rsidRPr="00BE6462" w:rsidRDefault="00A331DA" w:rsidP="00A331DA">
            <w:r w:rsidRPr="00BE6462">
              <w:t>530.1%</w:t>
            </w:r>
          </w:p>
        </w:tc>
      </w:tr>
      <w:tr w:rsidR="00A331DA" w:rsidRPr="00A331DA" w14:paraId="7A40045B" w14:textId="77777777" w:rsidTr="00681A28">
        <w:trPr>
          <w:cantSplit/>
          <w:trHeight w:val="338"/>
          <w:jc w:val="center"/>
        </w:trPr>
        <w:tc>
          <w:tcPr>
            <w:tcW w:w="1937" w:type="dxa"/>
            <w:tcBorders>
              <w:top w:val="nil"/>
              <w:left w:val="single" w:sz="4" w:space="0" w:color="auto"/>
              <w:bottom w:val="single" w:sz="4" w:space="0" w:color="auto"/>
              <w:right w:val="single" w:sz="4" w:space="0" w:color="auto"/>
            </w:tcBorders>
            <w:shd w:val="clear" w:color="auto" w:fill="auto"/>
            <w:noWrap/>
            <w:vAlign w:val="center"/>
            <w:hideMark/>
          </w:tcPr>
          <w:p w14:paraId="2F1CCBBF" w14:textId="77777777" w:rsidR="00A331DA" w:rsidRPr="00A331DA" w:rsidRDefault="00A331DA" w:rsidP="00A331DA">
            <w:pPr>
              <w:rPr>
                <w:rFonts w:ascii="Calibri" w:hAnsi="Calibri" w:cs="Calibri"/>
                <w:b/>
                <w:bCs/>
              </w:rPr>
            </w:pPr>
            <w:r w:rsidRPr="00A331DA">
              <w:rPr>
                <w:rFonts w:ascii="Calibri" w:hAnsi="Calibri" w:cs="Calibri"/>
                <w:b/>
                <w:bCs/>
              </w:rPr>
              <w:t>Plastic/</w:t>
            </w:r>
            <w:proofErr w:type="spellStart"/>
            <w:r w:rsidRPr="00A331DA">
              <w:rPr>
                <w:rFonts w:ascii="Calibri" w:hAnsi="Calibri" w:cs="Calibri"/>
                <w:b/>
                <w:bCs/>
              </w:rPr>
              <w:t>Reconst</w:t>
            </w:r>
            <w:proofErr w:type="spellEnd"/>
            <w:r w:rsidRPr="00A331DA">
              <w:rPr>
                <w:rFonts w:ascii="Calibri" w:hAnsi="Calibri" w:cs="Calibri"/>
                <w:b/>
                <w:bCs/>
              </w:rPr>
              <w:t>.</w:t>
            </w:r>
          </w:p>
        </w:tc>
        <w:tc>
          <w:tcPr>
            <w:tcW w:w="949" w:type="dxa"/>
            <w:tcBorders>
              <w:top w:val="nil"/>
              <w:left w:val="nil"/>
              <w:bottom w:val="single" w:sz="4" w:space="0" w:color="auto"/>
              <w:right w:val="single" w:sz="4" w:space="0" w:color="auto"/>
            </w:tcBorders>
            <w:shd w:val="clear" w:color="auto" w:fill="auto"/>
            <w:noWrap/>
            <w:vAlign w:val="center"/>
            <w:hideMark/>
          </w:tcPr>
          <w:p w14:paraId="7EC126B0" w14:textId="77777777" w:rsidR="00A331DA" w:rsidRPr="00BE6462" w:rsidRDefault="00A331DA" w:rsidP="00A331DA">
            <w:r w:rsidRPr="00BE6462">
              <w:t>704</w:t>
            </w:r>
          </w:p>
        </w:tc>
        <w:tc>
          <w:tcPr>
            <w:tcW w:w="949" w:type="dxa"/>
            <w:tcBorders>
              <w:top w:val="nil"/>
              <w:left w:val="nil"/>
              <w:bottom w:val="single" w:sz="4" w:space="0" w:color="auto"/>
              <w:right w:val="single" w:sz="4" w:space="0" w:color="auto"/>
            </w:tcBorders>
            <w:shd w:val="clear" w:color="auto" w:fill="auto"/>
            <w:noWrap/>
            <w:vAlign w:val="center"/>
            <w:hideMark/>
          </w:tcPr>
          <w:p w14:paraId="52F63901" w14:textId="77777777" w:rsidR="00A331DA" w:rsidRPr="00BE6462" w:rsidRDefault="00A331DA" w:rsidP="00A331DA">
            <w:r w:rsidRPr="00BE6462">
              <w:t>717</w:t>
            </w:r>
          </w:p>
        </w:tc>
        <w:tc>
          <w:tcPr>
            <w:tcW w:w="949" w:type="dxa"/>
            <w:tcBorders>
              <w:top w:val="nil"/>
              <w:left w:val="nil"/>
              <w:bottom w:val="single" w:sz="4" w:space="0" w:color="auto"/>
              <w:right w:val="single" w:sz="4" w:space="0" w:color="auto"/>
            </w:tcBorders>
            <w:shd w:val="clear" w:color="auto" w:fill="auto"/>
            <w:noWrap/>
            <w:vAlign w:val="center"/>
            <w:hideMark/>
          </w:tcPr>
          <w:p w14:paraId="4AF5B9FF" w14:textId="77777777" w:rsidR="00A331DA" w:rsidRPr="00BE6462" w:rsidRDefault="00A331DA" w:rsidP="00A331DA">
            <w:r w:rsidRPr="00BE6462">
              <w:t>524</w:t>
            </w:r>
          </w:p>
        </w:tc>
        <w:tc>
          <w:tcPr>
            <w:tcW w:w="949" w:type="dxa"/>
            <w:tcBorders>
              <w:top w:val="nil"/>
              <w:left w:val="nil"/>
              <w:bottom w:val="single" w:sz="4" w:space="0" w:color="auto"/>
              <w:right w:val="single" w:sz="4" w:space="0" w:color="auto"/>
            </w:tcBorders>
            <w:shd w:val="clear" w:color="auto" w:fill="auto"/>
            <w:noWrap/>
            <w:vAlign w:val="center"/>
            <w:hideMark/>
          </w:tcPr>
          <w:p w14:paraId="4FED5549" w14:textId="77777777" w:rsidR="00A331DA" w:rsidRPr="00BE6462" w:rsidRDefault="00A331DA" w:rsidP="00A331DA">
            <w:r w:rsidRPr="00BE6462">
              <w:t>682</w:t>
            </w:r>
          </w:p>
        </w:tc>
        <w:tc>
          <w:tcPr>
            <w:tcW w:w="949" w:type="dxa"/>
            <w:tcBorders>
              <w:top w:val="nil"/>
              <w:left w:val="nil"/>
              <w:bottom w:val="single" w:sz="4" w:space="0" w:color="auto"/>
              <w:right w:val="single" w:sz="4" w:space="0" w:color="auto"/>
            </w:tcBorders>
            <w:shd w:val="clear" w:color="auto" w:fill="auto"/>
            <w:noWrap/>
            <w:vAlign w:val="center"/>
            <w:hideMark/>
          </w:tcPr>
          <w:p w14:paraId="5EEDAFB4" w14:textId="77777777" w:rsidR="00A331DA" w:rsidRPr="00BE6462" w:rsidRDefault="00A331DA" w:rsidP="00A331DA">
            <w:r w:rsidRPr="00BE6462">
              <w:t>598</w:t>
            </w:r>
          </w:p>
        </w:tc>
        <w:tc>
          <w:tcPr>
            <w:tcW w:w="949" w:type="dxa"/>
            <w:tcBorders>
              <w:top w:val="nil"/>
              <w:left w:val="nil"/>
              <w:bottom w:val="single" w:sz="4" w:space="0" w:color="auto"/>
              <w:right w:val="single" w:sz="4" w:space="0" w:color="auto"/>
            </w:tcBorders>
            <w:shd w:val="clear" w:color="auto" w:fill="auto"/>
            <w:noWrap/>
            <w:vAlign w:val="center"/>
            <w:hideMark/>
          </w:tcPr>
          <w:p w14:paraId="5F7A7297" w14:textId="77777777" w:rsidR="00A331DA" w:rsidRPr="00BE6462" w:rsidRDefault="00A331DA" w:rsidP="00A331DA">
            <w:r w:rsidRPr="00BE6462">
              <w:t>441</w:t>
            </w:r>
          </w:p>
        </w:tc>
        <w:tc>
          <w:tcPr>
            <w:tcW w:w="965" w:type="dxa"/>
            <w:tcBorders>
              <w:top w:val="nil"/>
              <w:left w:val="nil"/>
              <w:bottom w:val="single" w:sz="4" w:space="0" w:color="auto"/>
              <w:right w:val="single" w:sz="4" w:space="0" w:color="auto"/>
            </w:tcBorders>
            <w:shd w:val="clear" w:color="auto" w:fill="auto"/>
            <w:noWrap/>
            <w:vAlign w:val="center"/>
            <w:hideMark/>
          </w:tcPr>
          <w:p w14:paraId="778B01C3" w14:textId="77777777" w:rsidR="00A331DA" w:rsidRPr="00BE6462" w:rsidRDefault="00A331DA" w:rsidP="00A331DA">
            <w:r w:rsidRPr="00BE6462">
              <w:t>71</w:t>
            </w:r>
          </w:p>
        </w:tc>
        <w:tc>
          <w:tcPr>
            <w:tcW w:w="1214" w:type="dxa"/>
            <w:tcBorders>
              <w:top w:val="nil"/>
              <w:left w:val="nil"/>
              <w:bottom w:val="single" w:sz="4" w:space="0" w:color="auto"/>
              <w:right w:val="single" w:sz="4" w:space="0" w:color="auto"/>
            </w:tcBorders>
            <w:shd w:val="clear" w:color="auto" w:fill="auto"/>
            <w:noWrap/>
            <w:vAlign w:val="center"/>
            <w:hideMark/>
          </w:tcPr>
          <w:p w14:paraId="2ACFA029" w14:textId="77777777" w:rsidR="00A331DA" w:rsidRPr="00BE6462" w:rsidRDefault="00A331DA" w:rsidP="00A331DA">
            <w:r w:rsidRPr="00BE6462">
              <w:t>-37.4%</w:t>
            </w:r>
          </w:p>
        </w:tc>
      </w:tr>
      <w:tr w:rsidR="00A331DA" w:rsidRPr="00A331DA" w14:paraId="1447C608" w14:textId="77777777" w:rsidTr="00681A28">
        <w:trPr>
          <w:cantSplit/>
          <w:trHeight w:val="338"/>
          <w:jc w:val="center"/>
        </w:trPr>
        <w:tc>
          <w:tcPr>
            <w:tcW w:w="1937" w:type="dxa"/>
            <w:tcBorders>
              <w:top w:val="nil"/>
              <w:left w:val="single" w:sz="4" w:space="0" w:color="auto"/>
              <w:bottom w:val="single" w:sz="4" w:space="0" w:color="auto"/>
              <w:right w:val="single" w:sz="4" w:space="0" w:color="auto"/>
            </w:tcBorders>
            <w:shd w:val="clear" w:color="auto" w:fill="auto"/>
            <w:noWrap/>
            <w:vAlign w:val="center"/>
            <w:hideMark/>
          </w:tcPr>
          <w:p w14:paraId="04F4117F" w14:textId="77777777" w:rsidR="00A331DA" w:rsidRPr="00A331DA" w:rsidRDefault="00A331DA" w:rsidP="00A331DA">
            <w:pPr>
              <w:rPr>
                <w:rFonts w:ascii="Calibri" w:hAnsi="Calibri" w:cs="Calibri"/>
                <w:b/>
                <w:bCs/>
              </w:rPr>
            </w:pPr>
            <w:r w:rsidRPr="00A331DA">
              <w:rPr>
                <w:rFonts w:ascii="Calibri" w:hAnsi="Calibri" w:cs="Calibri"/>
                <w:b/>
                <w:bCs/>
              </w:rPr>
              <w:t>Gynecology</w:t>
            </w:r>
          </w:p>
        </w:tc>
        <w:tc>
          <w:tcPr>
            <w:tcW w:w="949" w:type="dxa"/>
            <w:tcBorders>
              <w:top w:val="nil"/>
              <w:left w:val="nil"/>
              <w:bottom w:val="single" w:sz="4" w:space="0" w:color="auto"/>
              <w:right w:val="single" w:sz="4" w:space="0" w:color="auto"/>
            </w:tcBorders>
            <w:shd w:val="clear" w:color="auto" w:fill="auto"/>
            <w:noWrap/>
            <w:vAlign w:val="center"/>
            <w:hideMark/>
          </w:tcPr>
          <w:p w14:paraId="224FE11F" w14:textId="77777777" w:rsidR="00A331DA" w:rsidRPr="00BE6462" w:rsidRDefault="00A331DA" w:rsidP="00A331DA">
            <w:r w:rsidRPr="00BE6462">
              <w:t>373</w:t>
            </w:r>
          </w:p>
        </w:tc>
        <w:tc>
          <w:tcPr>
            <w:tcW w:w="949" w:type="dxa"/>
            <w:tcBorders>
              <w:top w:val="nil"/>
              <w:left w:val="nil"/>
              <w:bottom w:val="single" w:sz="4" w:space="0" w:color="auto"/>
              <w:right w:val="single" w:sz="4" w:space="0" w:color="auto"/>
            </w:tcBorders>
            <w:shd w:val="clear" w:color="auto" w:fill="auto"/>
            <w:noWrap/>
            <w:vAlign w:val="center"/>
            <w:hideMark/>
          </w:tcPr>
          <w:p w14:paraId="6D7C2DA3" w14:textId="77777777" w:rsidR="00A331DA" w:rsidRPr="00BE6462" w:rsidRDefault="00A331DA" w:rsidP="00A331DA">
            <w:r w:rsidRPr="00BE6462">
              <w:t>410</w:t>
            </w:r>
          </w:p>
        </w:tc>
        <w:tc>
          <w:tcPr>
            <w:tcW w:w="949" w:type="dxa"/>
            <w:tcBorders>
              <w:top w:val="nil"/>
              <w:left w:val="nil"/>
              <w:bottom w:val="single" w:sz="4" w:space="0" w:color="auto"/>
              <w:right w:val="single" w:sz="4" w:space="0" w:color="auto"/>
            </w:tcBorders>
            <w:shd w:val="clear" w:color="auto" w:fill="auto"/>
            <w:noWrap/>
            <w:vAlign w:val="center"/>
            <w:hideMark/>
          </w:tcPr>
          <w:p w14:paraId="4FEFBC14" w14:textId="77777777" w:rsidR="00A331DA" w:rsidRPr="00BE6462" w:rsidRDefault="00A331DA" w:rsidP="00A331DA">
            <w:r w:rsidRPr="00BE6462">
              <w:t>298</w:t>
            </w:r>
          </w:p>
        </w:tc>
        <w:tc>
          <w:tcPr>
            <w:tcW w:w="949" w:type="dxa"/>
            <w:tcBorders>
              <w:top w:val="nil"/>
              <w:left w:val="nil"/>
              <w:bottom w:val="single" w:sz="4" w:space="0" w:color="auto"/>
              <w:right w:val="single" w:sz="4" w:space="0" w:color="auto"/>
            </w:tcBorders>
            <w:shd w:val="clear" w:color="auto" w:fill="auto"/>
            <w:noWrap/>
            <w:vAlign w:val="center"/>
            <w:hideMark/>
          </w:tcPr>
          <w:p w14:paraId="3B0F1A77" w14:textId="77777777" w:rsidR="00A331DA" w:rsidRPr="00BE6462" w:rsidRDefault="00A331DA" w:rsidP="00A331DA">
            <w:r w:rsidRPr="00BE6462">
              <w:t>405</w:t>
            </w:r>
          </w:p>
        </w:tc>
        <w:tc>
          <w:tcPr>
            <w:tcW w:w="949" w:type="dxa"/>
            <w:tcBorders>
              <w:top w:val="nil"/>
              <w:left w:val="nil"/>
              <w:bottom w:val="single" w:sz="4" w:space="0" w:color="auto"/>
              <w:right w:val="single" w:sz="4" w:space="0" w:color="auto"/>
            </w:tcBorders>
            <w:shd w:val="clear" w:color="auto" w:fill="auto"/>
            <w:noWrap/>
            <w:vAlign w:val="center"/>
            <w:hideMark/>
          </w:tcPr>
          <w:p w14:paraId="4D7720D8" w14:textId="77777777" w:rsidR="00A331DA" w:rsidRPr="00BE6462" w:rsidRDefault="00A331DA" w:rsidP="00A331DA">
            <w:r w:rsidRPr="00BE6462">
              <w:t>436</w:t>
            </w:r>
          </w:p>
        </w:tc>
        <w:tc>
          <w:tcPr>
            <w:tcW w:w="949" w:type="dxa"/>
            <w:tcBorders>
              <w:top w:val="nil"/>
              <w:left w:val="nil"/>
              <w:bottom w:val="single" w:sz="4" w:space="0" w:color="auto"/>
              <w:right w:val="single" w:sz="4" w:space="0" w:color="auto"/>
            </w:tcBorders>
            <w:shd w:val="clear" w:color="auto" w:fill="auto"/>
            <w:noWrap/>
            <w:vAlign w:val="center"/>
            <w:hideMark/>
          </w:tcPr>
          <w:p w14:paraId="6E33E199" w14:textId="77777777" w:rsidR="00A331DA" w:rsidRPr="00BE6462" w:rsidRDefault="00A331DA" w:rsidP="00A331DA">
            <w:r w:rsidRPr="00BE6462">
              <w:t>518</w:t>
            </w:r>
          </w:p>
        </w:tc>
        <w:tc>
          <w:tcPr>
            <w:tcW w:w="965" w:type="dxa"/>
            <w:tcBorders>
              <w:top w:val="nil"/>
              <w:left w:val="nil"/>
              <w:bottom w:val="single" w:sz="4" w:space="0" w:color="auto"/>
              <w:right w:val="single" w:sz="4" w:space="0" w:color="auto"/>
            </w:tcBorders>
            <w:shd w:val="clear" w:color="auto" w:fill="auto"/>
            <w:noWrap/>
            <w:vAlign w:val="center"/>
            <w:hideMark/>
          </w:tcPr>
          <w:p w14:paraId="57629055" w14:textId="77777777" w:rsidR="00A331DA" w:rsidRPr="00BE6462" w:rsidRDefault="00A331DA" w:rsidP="00A331DA">
            <w:r w:rsidRPr="00BE6462">
              <w:t>110</w:t>
            </w:r>
          </w:p>
        </w:tc>
        <w:tc>
          <w:tcPr>
            <w:tcW w:w="1214" w:type="dxa"/>
            <w:tcBorders>
              <w:top w:val="nil"/>
              <w:left w:val="nil"/>
              <w:bottom w:val="single" w:sz="4" w:space="0" w:color="auto"/>
              <w:right w:val="single" w:sz="4" w:space="0" w:color="auto"/>
            </w:tcBorders>
            <w:shd w:val="clear" w:color="auto" w:fill="auto"/>
            <w:noWrap/>
            <w:vAlign w:val="center"/>
            <w:hideMark/>
          </w:tcPr>
          <w:p w14:paraId="7B48007D" w14:textId="77777777" w:rsidR="00A331DA" w:rsidRPr="00BE6462" w:rsidRDefault="00A331DA" w:rsidP="00A331DA">
            <w:r w:rsidRPr="00BE6462">
              <w:t>38.9%</w:t>
            </w:r>
          </w:p>
        </w:tc>
      </w:tr>
      <w:tr w:rsidR="00A331DA" w:rsidRPr="00A331DA" w14:paraId="75F63208" w14:textId="77777777" w:rsidTr="00681A28">
        <w:trPr>
          <w:cantSplit/>
          <w:trHeight w:val="338"/>
          <w:jc w:val="center"/>
        </w:trPr>
        <w:tc>
          <w:tcPr>
            <w:tcW w:w="1937" w:type="dxa"/>
            <w:tcBorders>
              <w:top w:val="nil"/>
              <w:left w:val="single" w:sz="4" w:space="0" w:color="auto"/>
              <w:bottom w:val="single" w:sz="4" w:space="0" w:color="auto"/>
              <w:right w:val="single" w:sz="4" w:space="0" w:color="auto"/>
            </w:tcBorders>
            <w:shd w:val="clear" w:color="auto" w:fill="auto"/>
            <w:noWrap/>
            <w:vAlign w:val="center"/>
            <w:hideMark/>
          </w:tcPr>
          <w:p w14:paraId="2084D5E2" w14:textId="77777777" w:rsidR="00A331DA" w:rsidRPr="00A331DA" w:rsidRDefault="00A331DA" w:rsidP="00A331DA">
            <w:pPr>
              <w:rPr>
                <w:rFonts w:ascii="Calibri" w:hAnsi="Calibri" w:cs="Calibri"/>
                <w:b/>
                <w:bCs/>
              </w:rPr>
            </w:pPr>
            <w:r w:rsidRPr="00A331DA">
              <w:rPr>
                <w:rFonts w:ascii="Calibri" w:hAnsi="Calibri" w:cs="Calibri"/>
                <w:b/>
                <w:bCs/>
              </w:rPr>
              <w:t>Pain Mgmt.</w:t>
            </w:r>
          </w:p>
        </w:tc>
        <w:tc>
          <w:tcPr>
            <w:tcW w:w="949" w:type="dxa"/>
            <w:tcBorders>
              <w:top w:val="nil"/>
              <w:left w:val="nil"/>
              <w:bottom w:val="single" w:sz="4" w:space="0" w:color="auto"/>
              <w:right w:val="single" w:sz="4" w:space="0" w:color="auto"/>
            </w:tcBorders>
            <w:shd w:val="clear" w:color="auto" w:fill="auto"/>
            <w:noWrap/>
            <w:vAlign w:val="center"/>
            <w:hideMark/>
          </w:tcPr>
          <w:p w14:paraId="230E02B0" w14:textId="77777777" w:rsidR="00A331DA" w:rsidRPr="00BE6462" w:rsidRDefault="00A331DA" w:rsidP="00A331DA">
            <w:r w:rsidRPr="00BE6462">
              <w:t>440</w:t>
            </w:r>
          </w:p>
        </w:tc>
        <w:tc>
          <w:tcPr>
            <w:tcW w:w="949" w:type="dxa"/>
            <w:tcBorders>
              <w:top w:val="nil"/>
              <w:left w:val="nil"/>
              <w:bottom w:val="single" w:sz="4" w:space="0" w:color="auto"/>
              <w:right w:val="single" w:sz="4" w:space="0" w:color="auto"/>
            </w:tcBorders>
            <w:shd w:val="clear" w:color="auto" w:fill="auto"/>
            <w:noWrap/>
            <w:vAlign w:val="center"/>
            <w:hideMark/>
          </w:tcPr>
          <w:p w14:paraId="6B89EDA1" w14:textId="77777777" w:rsidR="00A331DA" w:rsidRPr="00BE6462" w:rsidRDefault="00A331DA" w:rsidP="00A331DA">
            <w:r w:rsidRPr="00BE6462">
              <w:t>384</w:t>
            </w:r>
          </w:p>
        </w:tc>
        <w:tc>
          <w:tcPr>
            <w:tcW w:w="949" w:type="dxa"/>
            <w:tcBorders>
              <w:top w:val="nil"/>
              <w:left w:val="nil"/>
              <w:bottom w:val="single" w:sz="4" w:space="0" w:color="auto"/>
              <w:right w:val="single" w:sz="4" w:space="0" w:color="auto"/>
            </w:tcBorders>
            <w:shd w:val="clear" w:color="auto" w:fill="auto"/>
            <w:noWrap/>
            <w:vAlign w:val="center"/>
            <w:hideMark/>
          </w:tcPr>
          <w:p w14:paraId="256E3592" w14:textId="77777777" w:rsidR="00A331DA" w:rsidRPr="00BE6462" w:rsidRDefault="00A331DA" w:rsidP="00A331DA">
            <w:r w:rsidRPr="00BE6462">
              <w:t>282</w:t>
            </w:r>
          </w:p>
        </w:tc>
        <w:tc>
          <w:tcPr>
            <w:tcW w:w="949" w:type="dxa"/>
            <w:tcBorders>
              <w:top w:val="nil"/>
              <w:left w:val="nil"/>
              <w:bottom w:val="single" w:sz="4" w:space="0" w:color="auto"/>
              <w:right w:val="single" w:sz="4" w:space="0" w:color="auto"/>
            </w:tcBorders>
            <w:shd w:val="clear" w:color="auto" w:fill="auto"/>
            <w:noWrap/>
            <w:vAlign w:val="center"/>
            <w:hideMark/>
          </w:tcPr>
          <w:p w14:paraId="1009F417" w14:textId="77777777" w:rsidR="00A331DA" w:rsidRPr="00BE6462" w:rsidRDefault="00A331DA" w:rsidP="00A331DA">
            <w:r w:rsidRPr="00BE6462">
              <w:t>250</w:t>
            </w:r>
          </w:p>
        </w:tc>
        <w:tc>
          <w:tcPr>
            <w:tcW w:w="949" w:type="dxa"/>
            <w:tcBorders>
              <w:top w:val="nil"/>
              <w:left w:val="nil"/>
              <w:bottom w:val="single" w:sz="4" w:space="0" w:color="auto"/>
              <w:right w:val="single" w:sz="4" w:space="0" w:color="auto"/>
            </w:tcBorders>
            <w:shd w:val="clear" w:color="auto" w:fill="auto"/>
            <w:noWrap/>
            <w:vAlign w:val="center"/>
            <w:hideMark/>
          </w:tcPr>
          <w:p w14:paraId="68E5C5DC" w14:textId="77777777" w:rsidR="00A331DA" w:rsidRPr="00BE6462" w:rsidRDefault="00A331DA" w:rsidP="00A331DA">
            <w:r w:rsidRPr="00BE6462">
              <w:t>159</w:t>
            </w:r>
          </w:p>
        </w:tc>
        <w:tc>
          <w:tcPr>
            <w:tcW w:w="949" w:type="dxa"/>
            <w:tcBorders>
              <w:top w:val="nil"/>
              <w:left w:val="nil"/>
              <w:bottom w:val="single" w:sz="4" w:space="0" w:color="auto"/>
              <w:right w:val="single" w:sz="4" w:space="0" w:color="auto"/>
            </w:tcBorders>
            <w:shd w:val="clear" w:color="auto" w:fill="auto"/>
            <w:noWrap/>
            <w:vAlign w:val="center"/>
            <w:hideMark/>
          </w:tcPr>
          <w:p w14:paraId="51E468E7" w14:textId="77777777" w:rsidR="00A331DA" w:rsidRPr="00BE6462" w:rsidRDefault="00A331DA" w:rsidP="00A331DA">
            <w:r w:rsidRPr="00BE6462">
              <w:t>134</w:t>
            </w:r>
          </w:p>
        </w:tc>
        <w:tc>
          <w:tcPr>
            <w:tcW w:w="965" w:type="dxa"/>
            <w:tcBorders>
              <w:top w:val="nil"/>
              <w:left w:val="nil"/>
              <w:bottom w:val="single" w:sz="4" w:space="0" w:color="auto"/>
              <w:right w:val="single" w:sz="4" w:space="0" w:color="auto"/>
            </w:tcBorders>
            <w:shd w:val="clear" w:color="auto" w:fill="auto"/>
            <w:noWrap/>
            <w:vAlign w:val="center"/>
            <w:hideMark/>
          </w:tcPr>
          <w:p w14:paraId="429959E8" w14:textId="77777777" w:rsidR="00A331DA" w:rsidRPr="00BE6462" w:rsidRDefault="00A331DA" w:rsidP="00A331DA">
            <w:r w:rsidRPr="00BE6462">
              <w:t>17</w:t>
            </w:r>
          </w:p>
        </w:tc>
        <w:tc>
          <w:tcPr>
            <w:tcW w:w="1214" w:type="dxa"/>
            <w:tcBorders>
              <w:top w:val="nil"/>
              <w:left w:val="nil"/>
              <w:bottom w:val="single" w:sz="4" w:space="0" w:color="auto"/>
              <w:right w:val="single" w:sz="4" w:space="0" w:color="auto"/>
            </w:tcBorders>
            <w:shd w:val="clear" w:color="auto" w:fill="auto"/>
            <w:noWrap/>
            <w:vAlign w:val="center"/>
            <w:hideMark/>
          </w:tcPr>
          <w:p w14:paraId="101AFA04" w14:textId="77777777" w:rsidR="00A331DA" w:rsidRPr="00BE6462" w:rsidRDefault="00A331DA" w:rsidP="00A331DA">
            <w:r w:rsidRPr="00BE6462">
              <w:t>-69.5%</w:t>
            </w:r>
          </w:p>
        </w:tc>
      </w:tr>
      <w:tr w:rsidR="00A331DA" w:rsidRPr="00A331DA" w14:paraId="7F71B456" w14:textId="77777777" w:rsidTr="00681A28">
        <w:trPr>
          <w:cantSplit/>
          <w:trHeight w:val="338"/>
          <w:jc w:val="center"/>
        </w:trPr>
        <w:tc>
          <w:tcPr>
            <w:tcW w:w="1937" w:type="dxa"/>
            <w:tcBorders>
              <w:top w:val="nil"/>
              <w:left w:val="single" w:sz="4" w:space="0" w:color="auto"/>
              <w:bottom w:val="single" w:sz="4" w:space="0" w:color="auto"/>
              <w:right w:val="single" w:sz="4" w:space="0" w:color="auto"/>
            </w:tcBorders>
            <w:shd w:val="clear" w:color="auto" w:fill="auto"/>
            <w:noWrap/>
            <w:vAlign w:val="center"/>
            <w:hideMark/>
          </w:tcPr>
          <w:p w14:paraId="00EA6129" w14:textId="77777777" w:rsidR="00A331DA" w:rsidRPr="00A331DA" w:rsidRDefault="00A331DA" w:rsidP="00A331DA">
            <w:pPr>
              <w:rPr>
                <w:rFonts w:ascii="Calibri" w:hAnsi="Calibri" w:cs="Calibri"/>
                <w:b/>
                <w:bCs/>
              </w:rPr>
            </w:pPr>
            <w:r w:rsidRPr="00A331DA">
              <w:rPr>
                <w:rFonts w:ascii="Calibri" w:hAnsi="Calibri" w:cs="Calibri"/>
                <w:b/>
                <w:bCs/>
              </w:rPr>
              <w:t>ENT</w:t>
            </w:r>
          </w:p>
        </w:tc>
        <w:tc>
          <w:tcPr>
            <w:tcW w:w="949" w:type="dxa"/>
            <w:tcBorders>
              <w:top w:val="nil"/>
              <w:left w:val="nil"/>
              <w:bottom w:val="single" w:sz="4" w:space="0" w:color="auto"/>
              <w:right w:val="single" w:sz="4" w:space="0" w:color="auto"/>
            </w:tcBorders>
            <w:shd w:val="clear" w:color="auto" w:fill="auto"/>
            <w:noWrap/>
            <w:vAlign w:val="center"/>
            <w:hideMark/>
          </w:tcPr>
          <w:p w14:paraId="3A9E05F0" w14:textId="77777777" w:rsidR="00A331DA" w:rsidRPr="00BE6462" w:rsidRDefault="00A331DA" w:rsidP="00A331DA">
            <w:r w:rsidRPr="00BE6462">
              <w:t>156</w:t>
            </w:r>
          </w:p>
        </w:tc>
        <w:tc>
          <w:tcPr>
            <w:tcW w:w="949" w:type="dxa"/>
            <w:tcBorders>
              <w:top w:val="nil"/>
              <w:left w:val="nil"/>
              <w:bottom w:val="single" w:sz="4" w:space="0" w:color="auto"/>
              <w:right w:val="single" w:sz="4" w:space="0" w:color="auto"/>
            </w:tcBorders>
            <w:shd w:val="clear" w:color="auto" w:fill="auto"/>
            <w:noWrap/>
            <w:vAlign w:val="center"/>
            <w:hideMark/>
          </w:tcPr>
          <w:p w14:paraId="5B5689D3" w14:textId="77777777" w:rsidR="00A331DA" w:rsidRPr="00BE6462" w:rsidRDefault="00A331DA" w:rsidP="00A331DA">
            <w:r w:rsidRPr="00BE6462">
              <w:t>235</w:t>
            </w:r>
          </w:p>
        </w:tc>
        <w:tc>
          <w:tcPr>
            <w:tcW w:w="949" w:type="dxa"/>
            <w:tcBorders>
              <w:top w:val="nil"/>
              <w:left w:val="nil"/>
              <w:bottom w:val="single" w:sz="4" w:space="0" w:color="auto"/>
              <w:right w:val="single" w:sz="4" w:space="0" w:color="auto"/>
            </w:tcBorders>
            <w:shd w:val="clear" w:color="auto" w:fill="auto"/>
            <w:noWrap/>
            <w:vAlign w:val="center"/>
            <w:hideMark/>
          </w:tcPr>
          <w:p w14:paraId="21F24D74" w14:textId="77777777" w:rsidR="00A331DA" w:rsidRPr="00BE6462" w:rsidRDefault="00A331DA" w:rsidP="00A331DA">
            <w:r w:rsidRPr="00BE6462">
              <w:t>89</w:t>
            </w:r>
          </w:p>
        </w:tc>
        <w:tc>
          <w:tcPr>
            <w:tcW w:w="949" w:type="dxa"/>
            <w:tcBorders>
              <w:top w:val="nil"/>
              <w:left w:val="nil"/>
              <w:bottom w:val="single" w:sz="4" w:space="0" w:color="auto"/>
              <w:right w:val="single" w:sz="4" w:space="0" w:color="auto"/>
            </w:tcBorders>
            <w:shd w:val="clear" w:color="auto" w:fill="auto"/>
            <w:noWrap/>
            <w:vAlign w:val="center"/>
            <w:hideMark/>
          </w:tcPr>
          <w:p w14:paraId="679220E6" w14:textId="77777777" w:rsidR="00A331DA" w:rsidRPr="00BE6462" w:rsidRDefault="00A331DA" w:rsidP="00A331DA">
            <w:r w:rsidRPr="00BE6462">
              <w:t>91</w:t>
            </w:r>
          </w:p>
        </w:tc>
        <w:tc>
          <w:tcPr>
            <w:tcW w:w="949" w:type="dxa"/>
            <w:tcBorders>
              <w:top w:val="nil"/>
              <w:left w:val="nil"/>
              <w:bottom w:val="single" w:sz="4" w:space="0" w:color="auto"/>
              <w:right w:val="single" w:sz="4" w:space="0" w:color="auto"/>
            </w:tcBorders>
            <w:shd w:val="clear" w:color="auto" w:fill="auto"/>
            <w:noWrap/>
            <w:vAlign w:val="center"/>
            <w:hideMark/>
          </w:tcPr>
          <w:p w14:paraId="6C04F583" w14:textId="77777777" w:rsidR="00A331DA" w:rsidRPr="00BE6462" w:rsidRDefault="00A331DA" w:rsidP="00A331DA">
            <w:r w:rsidRPr="00BE6462">
              <w:t>60</w:t>
            </w:r>
          </w:p>
        </w:tc>
        <w:tc>
          <w:tcPr>
            <w:tcW w:w="949" w:type="dxa"/>
            <w:tcBorders>
              <w:top w:val="nil"/>
              <w:left w:val="nil"/>
              <w:bottom w:val="single" w:sz="4" w:space="0" w:color="auto"/>
              <w:right w:val="single" w:sz="4" w:space="0" w:color="auto"/>
            </w:tcBorders>
            <w:shd w:val="clear" w:color="auto" w:fill="auto"/>
            <w:noWrap/>
            <w:vAlign w:val="center"/>
            <w:hideMark/>
          </w:tcPr>
          <w:p w14:paraId="154B9A41" w14:textId="77777777" w:rsidR="00A331DA" w:rsidRPr="00BE6462" w:rsidRDefault="00A331DA" w:rsidP="00A331DA">
            <w:r w:rsidRPr="00BE6462">
              <w:t>0</w:t>
            </w:r>
          </w:p>
        </w:tc>
        <w:tc>
          <w:tcPr>
            <w:tcW w:w="965" w:type="dxa"/>
            <w:tcBorders>
              <w:top w:val="nil"/>
              <w:left w:val="nil"/>
              <w:bottom w:val="single" w:sz="4" w:space="0" w:color="auto"/>
              <w:right w:val="single" w:sz="4" w:space="0" w:color="auto"/>
            </w:tcBorders>
            <w:shd w:val="clear" w:color="auto" w:fill="auto"/>
            <w:noWrap/>
            <w:vAlign w:val="center"/>
            <w:hideMark/>
          </w:tcPr>
          <w:p w14:paraId="1069663D" w14:textId="77777777" w:rsidR="00A331DA" w:rsidRPr="00BE6462" w:rsidRDefault="00A331DA" w:rsidP="00A331DA">
            <w:r w:rsidRPr="00BE6462">
              <w:t>0</w:t>
            </w:r>
          </w:p>
        </w:tc>
        <w:tc>
          <w:tcPr>
            <w:tcW w:w="1214" w:type="dxa"/>
            <w:tcBorders>
              <w:top w:val="nil"/>
              <w:left w:val="nil"/>
              <w:bottom w:val="single" w:sz="4" w:space="0" w:color="auto"/>
              <w:right w:val="single" w:sz="4" w:space="0" w:color="auto"/>
            </w:tcBorders>
            <w:shd w:val="clear" w:color="auto" w:fill="auto"/>
            <w:noWrap/>
            <w:vAlign w:val="center"/>
            <w:hideMark/>
          </w:tcPr>
          <w:p w14:paraId="3683F599" w14:textId="77777777" w:rsidR="00A331DA" w:rsidRPr="00BE6462" w:rsidRDefault="00A331DA" w:rsidP="00A331DA">
            <w:r w:rsidRPr="00BE6462">
              <w:t>-100.0%</w:t>
            </w:r>
          </w:p>
        </w:tc>
      </w:tr>
      <w:tr w:rsidR="00A331DA" w:rsidRPr="00A331DA" w14:paraId="5B3274DD" w14:textId="77777777" w:rsidTr="00681A28">
        <w:trPr>
          <w:cantSplit/>
          <w:trHeight w:val="338"/>
          <w:jc w:val="center"/>
        </w:trPr>
        <w:tc>
          <w:tcPr>
            <w:tcW w:w="1937" w:type="dxa"/>
            <w:tcBorders>
              <w:top w:val="nil"/>
              <w:left w:val="single" w:sz="4" w:space="0" w:color="auto"/>
              <w:bottom w:val="single" w:sz="4" w:space="0" w:color="auto"/>
              <w:right w:val="single" w:sz="4" w:space="0" w:color="auto"/>
            </w:tcBorders>
            <w:shd w:val="clear" w:color="auto" w:fill="auto"/>
            <w:noWrap/>
            <w:vAlign w:val="center"/>
            <w:hideMark/>
          </w:tcPr>
          <w:p w14:paraId="48204B91" w14:textId="77777777" w:rsidR="00A331DA" w:rsidRPr="00A331DA" w:rsidRDefault="00A331DA" w:rsidP="00A331DA">
            <w:pPr>
              <w:rPr>
                <w:rFonts w:ascii="Calibri" w:hAnsi="Calibri" w:cs="Calibri"/>
                <w:b/>
                <w:bCs/>
              </w:rPr>
            </w:pPr>
            <w:r w:rsidRPr="00A331DA">
              <w:rPr>
                <w:rFonts w:ascii="Calibri" w:hAnsi="Calibri" w:cs="Calibri"/>
                <w:b/>
                <w:bCs/>
              </w:rPr>
              <w:t>All Other</w:t>
            </w:r>
          </w:p>
        </w:tc>
        <w:tc>
          <w:tcPr>
            <w:tcW w:w="949" w:type="dxa"/>
            <w:tcBorders>
              <w:top w:val="nil"/>
              <w:left w:val="nil"/>
              <w:bottom w:val="single" w:sz="4" w:space="0" w:color="auto"/>
              <w:right w:val="single" w:sz="4" w:space="0" w:color="auto"/>
            </w:tcBorders>
            <w:shd w:val="clear" w:color="auto" w:fill="auto"/>
            <w:noWrap/>
            <w:vAlign w:val="center"/>
            <w:hideMark/>
          </w:tcPr>
          <w:p w14:paraId="19FFCB20" w14:textId="77777777" w:rsidR="00A331DA" w:rsidRPr="00BE6462" w:rsidRDefault="00A331DA" w:rsidP="00A331DA">
            <w:r w:rsidRPr="00BE6462">
              <w:t>364</w:t>
            </w:r>
          </w:p>
        </w:tc>
        <w:tc>
          <w:tcPr>
            <w:tcW w:w="949" w:type="dxa"/>
            <w:tcBorders>
              <w:top w:val="nil"/>
              <w:left w:val="nil"/>
              <w:bottom w:val="single" w:sz="4" w:space="0" w:color="auto"/>
              <w:right w:val="single" w:sz="4" w:space="0" w:color="auto"/>
            </w:tcBorders>
            <w:shd w:val="clear" w:color="auto" w:fill="auto"/>
            <w:noWrap/>
            <w:vAlign w:val="center"/>
            <w:hideMark/>
          </w:tcPr>
          <w:p w14:paraId="05204F1D" w14:textId="77777777" w:rsidR="00A331DA" w:rsidRPr="00BE6462" w:rsidRDefault="00A331DA" w:rsidP="00A331DA">
            <w:r w:rsidRPr="00BE6462">
              <w:t>169</w:t>
            </w:r>
          </w:p>
        </w:tc>
        <w:tc>
          <w:tcPr>
            <w:tcW w:w="949" w:type="dxa"/>
            <w:tcBorders>
              <w:top w:val="nil"/>
              <w:left w:val="nil"/>
              <w:bottom w:val="single" w:sz="4" w:space="0" w:color="auto"/>
              <w:right w:val="single" w:sz="4" w:space="0" w:color="auto"/>
            </w:tcBorders>
            <w:shd w:val="clear" w:color="auto" w:fill="auto"/>
            <w:noWrap/>
            <w:vAlign w:val="center"/>
            <w:hideMark/>
          </w:tcPr>
          <w:p w14:paraId="4387BFC3" w14:textId="77777777" w:rsidR="00A331DA" w:rsidRPr="00BE6462" w:rsidRDefault="00A331DA" w:rsidP="00A331DA">
            <w:r w:rsidRPr="00BE6462">
              <w:t>16</w:t>
            </w:r>
          </w:p>
        </w:tc>
        <w:tc>
          <w:tcPr>
            <w:tcW w:w="949" w:type="dxa"/>
            <w:tcBorders>
              <w:top w:val="nil"/>
              <w:left w:val="nil"/>
              <w:bottom w:val="single" w:sz="4" w:space="0" w:color="auto"/>
              <w:right w:val="single" w:sz="4" w:space="0" w:color="auto"/>
            </w:tcBorders>
            <w:shd w:val="clear" w:color="auto" w:fill="auto"/>
            <w:noWrap/>
            <w:vAlign w:val="center"/>
            <w:hideMark/>
          </w:tcPr>
          <w:p w14:paraId="49D46678" w14:textId="77777777" w:rsidR="00A331DA" w:rsidRPr="00BE6462" w:rsidRDefault="00A331DA" w:rsidP="00A331DA">
            <w:r w:rsidRPr="00BE6462">
              <w:t>58</w:t>
            </w:r>
          </w:p>
        </w:tc>
        <w:tc>
          <w:tcPr>
            <w:tcW w:w="949" w:type="dxa"/>
            <w:tcBorders>
              <w:top w:val="nil"/>
              <w:left w:val="nil"/>
              <w:bottom w:val="single" w:sz="4" w:space="0" w:color="auto"/>
              <w:right w:val="single" w:sz="4" w:space="0" w:color="auto"/>
            </w:tcBorders>
            <w:shd w:val="clear" w:color="auto" w:fill="auto"/>
            <w:noWrap/>
            <w:vAlign w:val="center"/>
            <w:hideMark/>
          </w:tcPr>
          <w:p w14:paraId="746BE022" w14:textId="77777777" w:rsidR="00A331DA" w:rsidRPr="00BE6462" w:rsidRDefault="00A331DA" w:rsidP="00A331DA">
            <w:r w:rsidRPr="00BE6462">
              <w:t>47</w:t>
            </w:r>
          </w:p>
        </w:tc>
        <w:tc>
          <w:tcPr>
            <w:tcW w:w="949" w:type="dxa"/>
            <w:tcBorders>
              <w:top w:val="nil"/>
              <w:left w:val="nil"/>
              <w:bottom w:val="single" w:sz="4" w:space="0" w:color="auto"/>
              <w:right w:val="single" w:sz="4" w:space="0" w:color="auto"/>
            </w:tcBorders>
            <w:shd w:val="clear" w:color="auto" w:fill="auto"/>
            <w:noWrap/>
            <w:vAlign w:val="center"/>
            <w:hideMark/>
          </w:tcPr>
          <w:p w14:paraId="698270AF" w14:textId="77777777" w:rsidR="00A331DA" w:rsidRPr="00BE6462" w:rsidRDefault="00A331DA" w:rsidP="00A331DA">
            <w:r w:rsidRPr="00BE6462">
              <w:t>44</w:t>
            </w:r>
          </w:p>
        </w:tc>
        <w:tc>
          <w:tcPr>
            <w:tcW w:w="965" w:type="dxa"/>
            <w:tcBorders>
              <w:top w:val="nil"/>
              <w:left w:val="nil"/>
              <w:bottom w:val="single" w:sz="4" w:space="0" w:color="auto"/>
              <w:right w:val="single" w:sz="4" w:space="0" w:color="auto"/>
            </w:tcBorders>
            <w:shd w:val="clear" w:color="auto" w:fill="auto"/>
            <w:noWrap/>
            <w:vAlign w:val="center"/>
            <w:hideMark/>
          </w:tcPr>
          <w:p w14:paraId="4C29DEFD" w14:textId="77777777" w:rsidR="00A331DA" w:rsidRPr="00BE6462" w:rsidRDefault="00A331DA" w:rsidP="00A331DA">
            <w:r w:rsidRPr="00BE6462">
              <w:t>6</w:t>
            </w:r>
          </w:p>
        </w:tc>
        <w:tc>
          <w:tcPr>
            <w:tcW w:w="1214" w:type="dxa"/>
            <w:tcBorders>
              <w:top w:val="nil"/>
              <w:left w:val="nil"/>
              <w:bottom w:val="single" w:sz="4" w:space="0" w:color="auto"/>
              <w:right w:val="single" w:sz="4" w:space="0" w:color="auto"/>
            </w:tcBorders>
            <w:shd w:val="clear" w:color="auto" w:fill="auto"/>
            <w:noWrap/>
            <w:vAlign w:val="center"/>
            <w:hideMark/>
          </w:tcPr>
          <w:p w14:paraId="7D5C5B96" w14:textId="77777777" w:rsidR="00A331DA" w:rsidRPr="00BE6462" w:rsidRDefault="00A331DA" w:rsidP="00A331DA">
            <w:r w:rsidRPr="00BE6462">
              <w:t>-87.9%</w:t>
            </w:r>
          </w:p>
        </w:tc>
      </w:tr>
      <w:tr w:rsidR="00A331DA" w:rsidRPr="00A331DA" w14:paraId="557BB6FB" w14:textId="77777777" w:rsidTr="00681A28">
        <w:trPr>
          <w:cantSplit/>
          <w:trHeight w:val="338"/>
          <w:jc w:val="center"/>
        </w:trPr>
        <w:tc>
          <w:tcPr>
            <w:tcW w:w="1937" w:type="dxa"/>
            <w:tcBorders>
              <w:top w:val="nil"/>
              <w:left w:val="single" w:sz="4" w:space="0" w:color="auto"/>
              <w:bottom w:val="single" w:sz="4" w:space="0" w:color="auto"/>
              <w:right w:val="single" w:sz="4" w:space="0" w:color="auto"/>
            </w:tcBorders>
            <w:shd w:val="clear" w:color="auto" w:fill="auto"/>
            <w:noWrap/>
            <w:vAlign w:val="center"/>
            <w:hideMark/>
          </w:tcPr>
          <w:p w14:paraId="39BA275D" w14:textId="77777777" w:rsidR="00A331DA" w:rsidRPr="00A331DA" w:rsidRDefault="00A331DA" w:rsidP="00A331DA">
            <w:pPr>
              <w:rPr>
                <w:rFonts w:ascii="Calibri" w:hAnsi="Calibri" w:cs="Calibri"/>
                <w:b/>
                <w:bCs/>
              </w:rPr>
            </w:pPr>
            <w:r w:rsidRPr="00A331DA">
              <w:rPr>
                <w:rFonts w:ascii="Calibri" w:hAnsi="Calibri" w:cs="Calibri"/>
                <w:b/>
                <w:bCs/>
              </w:rPr>
              <w:t>Total</w:t>
            </w:r>
          </w:p>
        </w:tc>
        <w:tc>
          <w:tcPr>
            <w:tcW w:w="949" w:type="dxa"/>
            <w:tcBorders>
              <w:top w:val="nil"/>
              <w:left w:val="nil"/>
              <w:bottom w:val="single" w:sz="4" w:space="0" w:color="auto"/>
              <w:right w:val="single" w:sz="4" w:space="0" w:color="auto"/>
            </w:tcBorders>
            <w:shd w:val="clear" w:color="auto" w:fill="auto"/>
            <w:noWrap/>
            <w:vAlign w:val="center"/>
            <w:hideMark/>
          </w:tcPr>
          <w:p w14:paraId="3584F5E6" w14:textId="77777777" w:rsidR="00A331DA" w:rsidRPr="00BE6462" w:rsidRDefault="00A331DA" w:rsidP="00A331DA">
            <w:r w:rsidRPr="00BE6462">
              <w:t>9,576</w:t>
            </w:r>
          </w:p>
        </w:tc>
        <w:tc>
          <w:tcPr>
            <w:tcW w:w="949" w:type="dxa"/>
            <w:tcBorders>
              <w:top w:val="nil"/>
              <w:left w:val="nil"/>
              <w:bottom w:val="single" w:sz="4" w:space="0" w:color="auto"/>
              <w:right w:val="single" w:sz="4" w:space="0" w:color="auto"/>
            </w:tcBorders>
            <w:shd w:val="clear" w:color="auto" w:fill="auto"/>
            <w:noWrap/>
            <w:vAlign w:val="center"/>
            <w:hideMark/>
          </w:tcPr>
          <w:p w14:paraId="48DA4D99" w14:textId="77777777" w:rsidR="00A331DA" w:rsidRPr="00BE6462" w:rsidRDefault="00A331DA" w:rsidP="00A331DA">
            <w:r w:rsidRPr="00BE6462">
              <w:t>7,781</w:t>
            </w:r>
          </w:p>
        </w:tc>
        <w:tc>
          <w:tcPr>
            <w:tcW w:w="949" w:type="dxa"/>
            <w:tcBorders>
              <w:top w:val="nil"/>
              <w:left w:val="nil"/>
              <w:bottom w:val="single" w:sz="4" w:space="0" w:color="auto"/>
              <w:right w:val="single" w:sz="4" w:space="0" w:color="auto"/>
            </w:tcBorders>
            <w:shd w:val="clear" w:color="auto" w:fill="auto"/>
            <w:noWrap/>
            <w:vAlign w:val="center"/>
            <w:hideMark/>
          </w:tcPr>
          <w:p w14:paraId="79DFC6A3" w14:textId="77777777" w:rsidR="00A331DA" w:rsidRPr="00BE6462" w:rsidRDefault="00A331DA" w:rsidP="00A331DA">
            <w:r w:rsidRPr="00BE6462">
              <w:t>4,155</w:t>
            </w:r>
          </w:p>
        </w:tc>
        <w:tc>
          <w:tcPr>
            <w:tcW w:w="949" w:type="dxa"/>
            <w:tcBorders>
              <w:top w:val="nil"/>
              <w:left w:val="nil"/>
              <w:bottom w:val="single" w:sz="4" w:space="0" w:color="auto"/>
              <w:right w:val="single" w:sz="4" w:space="0" w:color="auto"/>
            </w:tcBorders>
            <w:shd w:val="clear" w:color="auto" w:fill="auto"/>
            <w:noWrap/>
            <w:vAlign w:val="center"/>
            <w:hideMark/>
          </w:tcPr>
          <w:p w14:paraId="18D4562D" w14:textId="77777777" w:rsidR="00A331DA" w:rsidRPr="00BE6462" w:rsidRDefault="00A331DA" w:rsidP="00A331DA">
            <w:r w:rsidRPr="00BE6462">
              <w:t>5,673</w:t>
            </w:r>
          </w:p>
        </w:tc>
        <w:tc>
          <w:tcPr>
            <w:tcW w:w="949" w:type="dxa"/>
            <w:tcBorders>
              <w:top w:val="nil"/>
              <w:left w:val="nil"/>
              <w:bottom w:val="single" w:sz="4" w:space="0" w:color="auto"/>
              <w:right w:val="single" w:sz="4" w:space="0" w:color="auto"/>
            </w:tcBorders>
            <w:shd w:val="clear" w:color="auto" w:fill="auto"/>
            <w:noWrap/>
            <w:vAlign w:val="center"/>
            <w:hideMark/>
          </w:tcPr>
          <w:p w14:paraId="24FAB2AC" w14:textId="77777777" w:rsidR="00A331DA" w:rsidRPr="00BE6462" w:rsidRDefault="00A331DA" w:rsidP="00A331DA">
            <w:r w:rsidRPr="00BE6462">
              <w:t>5,820</w:t>
            </w:r>
          </w:p>
        </w:tc>
        <w:tc>
          <w:tcPr>
            <w:tcW w:w="949" w:type="dxa"/>
            <w:tcBorders>
              <w:top w:val="nil"/>
              <w:left w:val="nil"/>
              <w:bottom w:val="single" w:sz="4" w:space="0" w:color="auto"/>
              <w:right w:val="single" w:sz="4" w:space="0" w:color="auto"/>
            </w:tcBorders>
            <w:shd w:val="clear" w:color="auto" w:fill="auto"/>
            <w:noWrap/>
            <w:vAlign w:val="center"/>
            <w:hideMark/>
          </w:tcPr>
          <w:p w14:paraId="40A53E69" w14:textId="77777777" w:rsidR="00A331DA" w:rsidRPr="00BE6462" w:rsidRDefault="00A331DA" w:rsidP="00A331DA">
            <w:r w:rsidRPr="00BE6462">
              <w:t>6,138</w:t>
            </w:r>
          </w:p>
        </w:tc>
        <w:tc>
          <w:tcPr>
            <w:tcW w:w="965" w:type="dxa"/>
            <w:tcBorders>
              <w:top w:val="nil"/>
              <w:left w:val="nil"/>
              <w:bottom w:val="single" w:sz="4" w:space="0" w:color="auto"/>
              <w:right w:val="single" w:sz="4" w:space="0" w:color="auto"/>
            </w:tcBorders>
            <w:shd w:val="clear" w:color="auto" w:fill="auto"/>
            <w:noWrap/>
            <w:vAlign w:val="center"/>
            <w:hideMark/>
          </w:tcPr>
          <w:p w14:paraId="1E581864" w14:textId="77777777" w:rsidR="00A331DA" w:rsidRPr="00BE6462" w:rsidRDefault="00A331DA" w:rsidP="00A331DA">
            <w:r w:rsidRPr="00BE6462">
              <w:t>1,326</w:t>
            </w:r>
          </w:p>
        </w:tc>
        <w:tc>
          <w:tcPr>
            <w:tcW w:w="1214" w:type="dxa"/>
            <w:tcBorders>
              <w:top w:val="nil"/>
              <w:left w:val="nil"/>
              <w:bottom w:val="single" w:sz="4" w:space="0" w:color="auto"/>
              <w:right w:val="single" w:sz="4" w:space="0" w:color="auto"/>
            </w:tcBorders>
            <w:shd w:val="clear" w:color="auto" w:fill="auto"/>
            <w:noWrap/>
            <w:vAlign w:val="center"/>
            <w:hideMark/>
          </w:tcPr>
          <w:p w14:paraId="34AC6A6D" w14:textId="77777777" w:rsidR="00A331DA" w:rsidRPr="00BE6462" w:rsidRDefault="00A331DA" w:rsidP="00A331DA">
            <w:r w:rsidRPr="00BE6462">
              <w:t>-35.9%</w:t>
            </w:r>
          </w:p>
        </w:tc>
      </w:tr>
    </w:tbl>
    <w:p w14:paraId="06279DCB" w14:textId="77777777" w:rsidR="00A331DA" w:rsidRPr="00A331DA" w:rsidRDefault="00A331DA" w:rsidP="00A331DA">
      <w:pPr>
        <w:rPr>
          <w:rFonts w:ascii="Calibri" w:hAnsi="Calibri" w:cs="Calibri"/>
          <w:b/>
          <w:bCs/>
        </w:rPr>
      </w:pPr>
    </w:p>
    <w:p w14:paraId="38DD29B9" w14:textId="1E436BD4" w:rsidR="00A331DA" w:rsidRPr="00F66F97" w:rsidRDefault="00A331DA" w:rsidP="00941A5E">
      <w:pPr>
        <w:pStyle w:val="ListParagraph"/>
        <w:numPr>
          <w:ilvl w:val="0"/>
          <w:numId w:val="48"/>
        </w:numPr>
        <w:spacing w:line="240" w:lineRule="auto"/>
        <w:rPr>
          <w:rFonts w:ascii="Calibri" w:hAnsi="Calibri" w:cs="Calibri"/>
          <w:b/>
          <w:bCs/>
        </w:rPr>
      </w:pPr>
      <w:r w:rsidRPr="00F66F97">
        <w:rPr>
          <w:rFonts w:ascii="Calibri" w:hAnsi="Calibri" w:cs="Calibri"/>
          <w:b/>
          <w:bCs/>
          <w:sz w:val="24"/>
          <w:szCs w:val="24"/>
        </w:rPr>
        <w:t xml:space="preserve">Need </w:t>
      </w:r>
      <w:r w:rsidR="00F66F97">
        <w:rPr>
          <w:rFonts w:ascii="Calibri" w:hAnsi="Calibri" w:cs="Calibri"/>
          <w:b/>
          <w:bCs/>
          <w:sz w:val="24"/>
          <w:szCs w:val="24"/>
        </w:rPr>
        <w:t>f</w:t>
      </w:r>
      <w:r w:rsidR="006C551E" w:rsidRPr="00F66F97">
        <w:rPr>
          <w:rFonts w:ascii="Calibri" w:hAnsi="Calibri" w:cs="Calibri"/>
          <w:b/>
          <w:bCs/>
          <w:sz w:val="24"/>
          <w:szCs w:val="24"/>
        </w:rPr>
        <w:t xml:space="preserve">or Financial Resources </w:t>
      </w:r>
      <w:r w:rsidR="00F66F97">
        <w:rPr>
          <w:rFonts w:ascii="Calibri" w:hAnsi="Calibri" w:cs="Calibri"/>
          <w:b/>
          <w:bCs/>
          <w:sz w:val="24"/>
          <w:szCs w:val="24"/>
        </w:rPr>
        <w:t>t</w:t>
      </w:r>
      <w:r w:rsidR="006C551E" w:rsidRPr="00F66F97">
        <w:rPr>
          <w:rFonts w:ascii="Calibri" w:hAnsi="Calibri" w:cs="Calibri"/>
          <w:b/>
          <w:bCs/>
          <w:sz w:val="24"/>
          <w:szCs w:val="24"/>
        </w:rPr>
        <w:t>o Replace Clinical Staff</w:t>
      </w:r>
      <w:r w:rsidR="00F66F97">
        <w:rPr>
          <w:rFonts w:ascii="Calibri" w:hAnsi="Calibri" w:cs="Calibri"/>
          <w:b/>
          <w:bCs/>
          <w:sz w:val="24"/>
          <w:szCs w:val="24"/>
        </w:rPr>
        <w:t xml:space="preserve"> a</w:t>
      </w:r>
      <w:r w:rsidR="006C551E" w:rsidRPr="00F66F97">
        <w:rPr>
          <w:rFonts w:ascii="Calibri" w:hAnsi="Calibri" w:cs="Calibri"/>
          <w:b/>
          <w:bCs/>
          <w:sz w:val="24"/>
          <w:szCs w:val="24"/>
        </w:rPr>
        <w:t>nd Upgrade Equipment</w:t>
      </w:r>
    </w:p>
    <w:p w14:paraId="179661CC" w14:textId="77777777" w:rsidR="00A331DA" w:rsidRPr="00A331DA" w:rsidRDefault="00A331DA" w:rsidP="00A331DA">
      <w:pPr>
        <w:rPr>
          <w:rFonts w:ascii="Calibri" w:hAnsi="Calibri" w:cs="Calibri"/>
          <w:b/>
          <w:bCs/>
        </w:rPr>
      </w:pPr>
    </w:p>
    <w:p w14:paraId="7F327C70" w14:textId="5E1911B1" w:rsidR="00A331DA" w:rsidRPr="006C551E" w:rsidRDefault="00A331DA" w:rsidP="00A331DA">
      <w:pPr>
        <w:rPr>
          <w:rFonts w:ascii="Calibri" w:hAnsi="Calibri" w:cs="Calibri"/>
        </w:rPr>
      </w:pPr>
      <w:r w:rsidRPr="006C551E">
        <w:rPr>
          <w:rFonts w:ascii="Calibri" w:hAnsi="Calibri" w:cs="Calibri"/>
        </w:rPr>
        <w:t xml:space="preserve">The Applicant reports that independently, SDS cannot afford to </w:t>
      </w:r>
      <w:r w:rsidR="001253E0">
        <w:rPr>
          <w:rFonts w:ascii="Calibri" w:hAnsi="Calibri" w:cs="Calibri"/>
        </w:rPr>
        <w:t>recruit</w:t>
      </w:r>
      <w:r w:rsidRPr="006C551E">
        <w:rPr>
          <w:rFonts w:ascii="Calibri" w:hAnsi="Calibri" w:cs="Calibri"/>
        </w:rPr>
        <w:t xml:space="preserve"> </w:t>
      </w:r>
      <w:r w:rsidR="001253E0">
        <w:rPr>
          <w:rFonts w:ascii="Calibri" w:hAnsi="Calibri" w:cs="Calibri"/>
        </w:rPr>
        <w:t>a</w:t>
      </w:r>
      <w:r w:rsidRPr="006C551E">
        <w:rPr>
          <w:rFonts w:ascii="Calibri" w:hAnsi="Calibri" w:cs="Calibri"/>
        </w:rPr>
        <w:t xml:space="preserve"> full complement of anesthesia, surgical and clinical providers. The Applicant anticipates that with project approval </w:t>
      </w:r>
      <w:r w:rsidR="00221013">
        <w:rPr>
          <w:rFonts w:ascii="Calibri" w:hAnsi="Calibri" w:cs="Calibri"/>
        </w:rPr>
        <w:t xml:space="preserve">and </w:t>
      </w:r>
      <w:r w:rsidRPr="006C551E">
        <w:rPr>
          <w:rFonts w:ascii="Calibri" w:hAnsi="Calibri" w:cs="Calibri"/>
        </w:rPr>
        <w:t>as the integration plans develop more fully, that certain specialty surgeons will operate at SDS and at SHS facilities. SHS notes that it has hired additional providers to grow specialty areas like general surgery, orthopedics, and gastroenterology and has worked to attract and retain clinicians to support surgical/procedural service lines by increasing compensation, remaining current with market trends, and by creating more flexible options for providers. It anticipate</w:t>
      </w:r>
      <w:r w:rsidR="001253E0">
        <w:rPr>
          <w:rFonts w:ascii="Calibri" w:hAnsi="Calibri" w:cs="Calibri"/>
        </w:rPr>
        <w:t>s</w:t>
      </w:r>
      <w:r w:rsidRPr="006C551E">
        <w:rPr>
          <w:rFonts w:ascii="Calibri" w:hAnsi="Calibri" w:cs="Calibri"/>
        </w:rPr>
        <w:t xml:space="preserve"> that these models will be applicable to SDS following project implementation. </w:t>
      </w:r>
    </w:p>
    <w:p w14:paraId="4EDCD0C5" w14:textId="77777777" w:rsidR="00A331DA" w:rsidRPr="006C551E" w:rsidRDefault="00A331DA" w:rsidP="00A331DA">
      <w:pPr>
        <w:rPr>
          <w:rFonts w:ascii="Calibri" w:hAnsi="Calibri" w:cs="Calibri"/>
        </w:rPr>
      </w:pPr>
    </w:p>
    <w:p w14:paraId="0841E79E" w14:textId="517C811B" w:rsidR="00A331DA" w:rsidRDefault="001253E0" w:rsidP="00A331DA">
      <w:pPr>
        <w:rPr>
          <w:rFonts w:ascii="Calibri" w:hAnsi="Calibri" w:cs="Calibri"/>
        </w:rPr>
      </w:pPr>
      <w:r>
        <w:rPr>
          <w:rFonts w:ascii="Calibri" w:hAnsi="Calibri" w:cs="Calibri"/>
        </w:rPr>
        <w:t xml:space="preserve">Additionally, </w:t>
      </w:r>
      <w:proofErr w:type="gramStart"/>
      <w:r>
        <w:rPr>
          <w:rFonts w:ascii="Calibri" w:hAnsi="Calibri" w:cs="Calibri"/>
        </w:rPr>
        <w:t>a</w:t>
      </w:r>
      <w:r w:rsidR="00A331DA" w:rsidRPr="006C551E">
        <w:rPr>
          <w:rFonts w:ascii="Calibri" w:hAnsi="Calibri" w:cs="Calibri"/>
        </w:rPr>
        <w:t>s a result of</w:t>
      </w:r>
      <w:proofErr w:type="gramEnd"/>
      <w:r w:rsidR="00A331DA" w:rsidRPr="006C551E">
        <w:rPr>
          <w:rFonts w:ascii="Calibri" w:hAnsi="Calibri" w:cs="Calibri"/>
        </w:rPr>
        <w:t xml:space="preserve"> the loss of general surgery and orthopedic cases, the surgical equipment and instruments at SDS have not been upgraded and </w:t>
      </w:r>
      <w:r w:rsidR="005F3A91">
        <w:rPr>
          <w:rFonts w:ascii="Calibri" w:hAnsi="Calibri" w:cs="Calibri"/>
        </w:rPr>
        <w:t>SDS</w:t>
      </w:r>
      <w:r w:rsidR="00A331DA" w:rsidRPr="006C551E">
        <w:rPr>
          <w:rFonts w:ascii="Calibri" w:hAnsi="Calibri" w:cs="Calibri"/>
        </w:rPr>
        <w:t xml:space="preserve"> does not independently have the resources to invest in upgrades for both general surgery and orthopedics. The parties expect that the Project will allow them to make necessary investments in surgical equipment and instruments to appropriately meet the needs of patients and meet the demand for ASC surgical cases for its patient panels.</w:t>
      </w:r>
    </w:p>
    <w:p w14:paraId="1939557A" w14:textId="77777777" w:rsidR="005F3A91" w:rsidRPr="006C551E" w:rsidRDefault="005F3A91" w:rsidP="00A331DA">
      <w:pPr>
        <w:rPr>
          <w:rFonts w:ascii="Calibri" w:hAnsi="Calibri" w:cs="Calibri"/>
        </w:rPr>
      </w:pPr>
    </w:p>
    <w:p w14:paraId="635F47E7" w14:textId="174E5E5D" w:rsidR="00A331DA" w:rsidRPr="006C551E" w:rsidRDefault="00A331DA" w:rsidP="00A331DA">
      <w:pPr>
        <w:rPr>
          <w:rFonts w:ascii="Calibri" w:hAnsi="Calibri" w:cs="Calibri"/>
        </w:rPr>
      </w:pPr>
      <w:r w:rsidRPr="006C551E">
        <w:rPr>
          <w:rFonts w:ascii="Calibri" w:hAnsi="Calibri" w:cs="Calibri"/>
        </w:rPr>
        <w:t xml:space="preserve">Finally, as more fully discussed under Factor 1(c) with project approval, there will be full integration of all services and patient records through expansion of SHS’s electronic </w:t>
      </w:r>
      <w:r w:rsidR="00532733">
        <w:rPr>
          <w:rFonts w:ascii="Calibri" w:hAnsi="Calibri" w:cs="Calibri"/>
        </w:rPr>
        <w:t xml:space="preserve">medical </w:t>
      </w:r>
      <w:r w:rsidRPr="006C551E">
        <w:rPr>
          <w:rFonts w:ascii="Calibri" w:hAnsi="Calibri" w:cs="Calibri"/>
        </w:rPr>
        <w:t>records system (“E</w:t>
      </w:r>
      <w:r w:rsidR="00532733">
        <w:rPr>
          <w:rFonts w:ascii="Calibri" w:hAnsi="Calibri" w:cs="Calibri"/>
        </w:rPr>
        <w:t>M</w:t>
      </w:r>
      <w:r w:rsidRPr="006C551E">
        <w:rPr>
          <w:rFonts w:ascii="Calibri" w:hAnsi="Calibri" w:cs="Calibri"/>
        </w:rPr>
        <w:t>R”) to SDS.</w:t>
      </w:r>
    </w:p>
    <w:p w14:paraId="71E10C47" w14:textId="77777777" w:rsidR="00A331DA" w:rsidRDefault="00A331DA" w:rsidP="00864EB7">
      <w:pPr>
        <w:rPr>
          <w:rFonts w:ascii="Calibri" w:hAnsi="Calibri" w:cs="Calibri"/>
          <w:b/>
          <w:bCs/>
        </w:rPr>
      </w:pPr>
    </w:p>
    <w:p w14:paraId="33957E3A" w14:textId="59CB40D1" w:rsidR="00A073B7" w:rsidRPr="004573F1" w:rsidRDefault="00864EB7" w:rsidP="00941A5E">
      <w:pPr>
        <w:pStyle w:val="ListParagraph"/>
        <w:numPr>
          <w:ilvl w:val="0"/>
          <w:numId w:val="48"/>
        </w:numPr>
        <w:spacing w:line="240" w:lineRule="auto"/>
        <w:rPr>
          <w:rFonts w:ascii="Calibri" w:hAnsi="Calibri" w:cs="Calibri"/>
          <w:b/>
          <w:bCs/>
        </w:rPr>
      </w:pPr>
      <w:r w:rsidRPr="004573F1">
        <w:rPr>
          <w:rFonts w:ascii="Calibri" w:hAnsi="Calibri" w:cs="Calibri"/>
          <w:b/>
          <w:bCs/>
          <w:sz w:val="24"/>
          <w:szCs w:val="24"/>
        </w:rPr>
        <w:t xml:space="preserve">Need Access </w:t>
      </w:r>
      <w:r w:rsidR="004573F1">
        <w:rPr>
          <w:rFonts w:ascii="Calibri" w:hAnsi="Calibri" w:cs="Calibri"/>
          <w:b/>
          <w:bCs/>
          <w:sz w:val="24"/>
          <w:szCs w:val="24"/>
        </w:rPr>
        <w:t>t</w:t>
      </w:r>
      <w:r w:rsidR="006C551E" w:rsidRPr="004573F1">
        <w:rPr>
          <w:rFonts w:ascii="Calibri" w:hAnsi="Calibri" w:cs="Calibri"/>
          <w:b/>
          <w:bCs/>
          <w:sz w:val="24"/>
          <w:szCs w:val="24"/>
        </w:rPr>
        <w:t xml:space="preserve">o </w:t>
      </w:r>
      <w:r w:rsidR="00F07BC7" w:rsidRPr="004573F1">
        <w:rPr>
          <w:rFonts w:ascii="Calibri" w:hAnsi="Calibri" w:cs="Calibri"/>
          <w:b/>
          <w:bCs/>
          <w:sz w:val="24"/>
          <w:szCs w:val="24"/>
        </w:rPr>
        <w:t xml:space="preserve">Lower Cost </w:t>
      </w:r>
      <w:r w:rsidRPr="004573F1">
        <w:rPr>
          <w:rFonts w:ascii="Calibri" w:hAnsi="Calibri" w:cs="Calibri"/>
          <w:b/>
          <w:bCs/>
          <w:sz w:val="24"/>
          <w:szCs w:val="24"/>
        </w:rPr>
        <w:t xml:space="preserve">ASC </w:t>
      </w:r>
      <w:r w:rsidR="006C551E" w:rsidRPr="004573F1">
        <w:rPr>
          <w:rFonts w:ascii="Calibri" w:hAnsi="Calibri" w:cs="Calibri"/>
          <w:b/>
          <w:bCs/>
          <w:sz w:val="24"/>
          <w:szCs w:val="24"/>
        </w:rPr>
        <w:t xml:space="preserve">Services </w:t>
      </w:r>
      <w:r w:rsidR="004573F1">
        <w:rPr>
          <w:rFonts w:ascii="Calibri" w:hAnsi="Calibri" w:cs="Calibri"/>
          <w:b/>
          <w:bCs/>
          <w:sz w:val="24"/>
          <w:szCs w:val="24"/>
        </w:rPr>
        <w:t>f</w:t>
      </w:r>
      <w:r w:rsidR="006C551E" w:rsidRPr="004573F1">
        <w:rPr>
          <w:rFonts w:ascii="Calibri" w:hAnsi="Calibri" w:cs="Calibri"/>
          <w:b/>
          <w:bCs/>
          <w:sz w:val="24"/>
          <w:szCs w:val="24"/>
        </w:rPr>
        <w:t xml:space="preserve">or </w:t>
      </w:r>
      <w:r w:rsidR="001B02F3" w:rsidRPr="004573F1">
        <w:rPr>
          <w:rFonts w:ascii="Calibri" w:hAnsi="Calibri" w:cs="Calibri"/>
          <w:b/>
          <w:bCs/>
          <w:sz w:val="24"/>
          <w:szCs w:val="24"/>
        </w:rPr>
        <w:t>SHS’s</w:t>
      </w:r>
      <w:r w:rsidRPr="004573F1">
        <w:rPr>
          <w:rFonts w:ascii="Calibri" w:hAnsi="Calibri" w:cs="Calibri"/>
          <w:b/>
          <w:bCs/>
          <w:sz w:val="24"/>
          <w:szCs w:val="24"/>
        </w:rPr>
        <w:t xml:space="preserve"> </w:t>
      </w:r>
      <w:r w:rsidR="006C551E" w:rsidRPr="004573F1">
        <w:rPr>
          <w:rFonts w:ascii="Calibri" w:hAnsi="Calibri" w:cs="Calibri"/>
          <w:b/>
          <w:bCs/>
          <w:sz w:val="24"/>
          <w:szCs w:val="24"/>
        </w:rPr>
        <w:t xml:space="preserve">Patients Whose Procedures </w:t>
      </w:r>
      <w:r w:rsidR="004573F1">
        <w:rPr>
          <w:rFonts w:ascii="Calibri" w:hAnsi="Calibri" w:cs="Calibri"/>
          <w:b/>
          <w:bCs/>
          <w:sz w:val="24"/>
          <w:szCs w:val="24"/>
        </w:rPr>
        <w:t>a</w:t>
      </w:r>
      <w:r w:rsidR="006C551E" w:rsidRPr="004573F1">
        <w:rPr>
          <w:rFonts w:ascii="Calibri" w:hAnsi="Calibri" w:cs="Calibri"/>
          <w:b/>
          <w:bCs/>
          <w:sz w:val="24"/>
          <w:szCs w:val="24"/>
        </w:rPr>
        <w:t xml:space="preserve">re Currently Performed </w:t>
      </w:r>
      <w:r w:rsidR="004573F1">
        <w:rPr>
          <w:rFonts w:ascii="Calibri" w:hAnsi="Calibri" w:cs="Calibri"/>
          <w:b/>
          <w:bCs/>
          <w:sz w:val="24"/>
          <w:szCs w:val="24"/>
        </w:rPr>
        <w:t>i</w:t>
      </w:r>
      <w:r w:rsidR="006C551E" w:rsidRPr="004573F1">
        <w:rPr>
          <w:rFonts w:ascii="Calibri" w:hAnsi="Calibri" w:cs="Calibri"/>
          <w:b/>
          <w:bCs/>
          <w:sz w:val="24"/>
          <w:szCs w:val="24"/>
        </w:rPr>
        <w:t xml:space="preserve">n </w:t>
      </w:r>
      <w:r w:rsidR="004573F1">
        <w:rPr>
          <w:rFonts w:ascii="Calibri" w:hAnsi="Calibri" w:cs="Calibri"/>
          <w:b/>
          <w:bCs/>
          <w:sz w:val="24"/>
          <w:szCs w:val="24"/>
        </w:rPr>
        <w:t>a</w:t>
      </w:r>
      <w:r w:rsidR="006C551E" w:rsidRPr="004573F1">
        <w:rPr>
          <w:rFonts w:ascii="Calibri" w:hAnsi="Calibri" w:cs="Calibri"/>
          <w:b/>
          <w:bCs/>
          <w:sz w:val="24"/>
          <w:szCs w:val="24"/>
        </w:rPr>
        <w:t xml:space="preserve"> Hospital </w:t>
      </w:r>
      <w:r w:rsidR="004573F1">
        <w:rPr>
          <w:rFonts w:ascii="Calibri" w:hAnsi="Calibri" w:cs="Calibri"/>
          <w:b/>
          <w:bCs/>
          <w:sz w:val="24"/>
          <w:szCs w:val="24"/>
        </w:rPr>
        <w:t>a</w:t>
      </w:r>
      <w:r w:rsidR="00A073B7" w:rsidRPr="004573F1">
        <w:rPr>
          <w:rFonts w:ascii="Calibri" w:hAnsi="Calibri" w:cs="Calibri"/>
          <w:b/>
          <w:bCs/>
          <w:sz w:val="24"/>
          <w:szCs w:val="24"/>
        </w:rPr>
        <w:t xml:space="preserve">nd </w:t>
      </w:r>
      <w:r w:rsidR="004573F1">
        <w:rPr>
          <w:rFonts w:ascii="Calibri" w:hAnsi="Calibri" w:cs="Calibri"/>
          <w:b/>
          <w:bCs/>
          <w:sz w:val="24"/>
          <w:szCs w:val="24"/>
        </w:rPr>
        <w:t>a</w:t>
      </w:r>
      <w:r w:rsidR="00A073B7" w:rsidRPr="004573F1">
        <w:rPr>
          <w:rFonts w:ascii="Calibri" w:hAnsi="Calibri" w:cs="Calibri"/>
          <w:b/>
          <w:bCs/>
          <w:sz w:val="24"/>
          <w:szCs w:val="24"/>
        </w:rPr>
        <w:t xml:space="preserve">re Experiencing Long Wait Times </w:t>
      </w:r>
      <w:r w:rsidR="004573F1">
        <w:rPr>
          <w:rFonts w:ascii="Calibri" w:hAnsi="Calibri" w:cs="Calibri"/>
          <w:b/>
          <w:bCs/>
          <w:sz w:val="24"/>
          <w:szCs w:val="24"/>
        </w:rPr>
        <w:t>a</w:t>
      </w:r>
      <w:r w:rsidR="00A073B7" w:rsidRPr="004573F1">
        <w:rPr>
          <w:rFonts w:ascii="Calibri" w:hAnsi="Calibri" w:cs="Calibri"/>
          <w:b/>
          <w:bCs/>
          <w:sz w:val="24"/>
          <w:szCs w:val="24"/>
        </w:rPr>
        <w:t xml:space="preserve">nd </w:t>
      </w:r>
      <w:r w:rsidR="00F07BC7" w:rsidRPr="004573F1">
        <w:rPr>
          <w:rFonts w:ascii="Calibri" w:hAnsi="Calibri" w:cs="Calibri"/>
          <w:b/>
          <w:bCs/>
          <w:sz w:val="24"/>
          <w:szCs w:val="24"/>
        </w:rPr>
        <w:t xml:space="preserve">Need Access </w:t>
      </w:r>
      <w:r w:rsidR="00637972">
        <w:rPr>
          <w:rFonts w:ascii="Calibri" w:hAnsi="Calibri" w:cs="Calibri"/>
          <w:b/>
          <w:bCs/>
          <w:sz w:val="24"/>
          <w:szCs w:val="24"/>
        </w:rPr>
        <w:t>t</w:t>
      </w:r>
      <w:r w:rsidR="00A073B7" w:rsidRPr="004573F1">
        <w:rPr>
          <w:rFonts w:ascii="Calibri" w:hAnsi="Calibri" w:cs="Calibri"/>
          <w:b/>
          <w:bCs/>
          <w:sz w:val="24"/>
          <w:szCs w:val="24"/>
        </w:rPr>
        <w:t>o Address Projected Regional Demand Among All Specialties Going Forward</w:t>
      </w:r>
    </w:p>
    <w:p w14:paraId="3DB86210" w14:textId="51485171" w:rsidR="00864EB7" w:rsidRDefault="00864EB7" w:rsidP="00864EB7">
      <w:pPr>
        <w:rPr>
          <w:rFonts w:eastAsia="Arial"/>
          <w:color w:val="000000"/>
          <w:spacing w:val="-1"/>
        </w:rPr>
      </w:pPr>
      <w:r w:rsidRPr="00253F08">
        <w:rPr>
          <w:rFonts w:eastAsia="Arial"/>
          <w:color w:val="000000"/>
          <w:spacing w:val="-1"/>
        </w:rPr>
        <w:lastRenderedPageBreak/>
        <w:t>The SHS 2022 CHNA revealed that 55% of respondents cited long wait times for appointments as their top concern.</w:t>
      </w:r>
      <w:r w:rsidRPr="00253F08">
        <w:rPr>
          <w:rFonts w:eastAsia="Arial"/>
          <w:b/>
          <w:i/>
          <w:color w:val="000000"/>
          <w:spacing w:val="-1"/>
        </w:rPr>
        <w:t xml:space="preserve"> </w:t>
      </w:r>
      <w:r w:rsidRPr="00253F08">
        <w:rPr>
          <w:rFonts w:eastAsia="Arial"/>
          <w:color w:val="000000"/>
          <w:spacing w:val="-1"/>
        </w:rPr>
        <w:t xml:space="preserve">The current scheduled wait time for elective outpatient surgery </w:t>
      </w:r>
      <w:r>
        <w:rPr>
          <w:rFonts w:eastAsia="Arial"/>
          <w:color w:val="000000"/>
          <w:spacing w:val="-1"/>
        </w:rPr>
        <w:t xml:space="preserve">at SHS </w:t>
      </w:r>
      <w:r w:rsidRPr="00253F08">
        <w:rPr>
          <w:rFonts w:eastAsia="Arial"/>
          <w:color w:val="000000"/>
          <w:spacing w:val="-1"/>
        </w:rPr>
        <w:t>is approximately 1-3 months, depending on the specialty</w:t>
      </w:r>
      <w:r>
        <w:rPr>
          <w:rFonts w:eastAsia="Arial"/>
          <w:color w:val="000000"/>
          <w:spacing w:val="-1"/>
        </w:rPr>
        <w:t xml:space="preserve">. With project approval, the Applicant </w:t>
      </w:r>
      <w:r w:rsidRPr="00253F08">
        <w:rPr>
          <w:rFonts w:eastAsia="Arial"/>
          <w:color w:val="000000"/>
          <w:spacing w:val="-1"/>
        </w:rPr>
        <w:t>anticipates that the wait time will be improved as SDS will provide additional</w:t>
      </w:r>
      <w:r>
        <w:rPr>
          <w:rFonts w:eastAsia="Arial"/>
          <w:color w:val="000000"/>
          <w:spacing w:val="-1"/>
        </w:rPr>
        <w:t xml:space="preserve"> timely</w:t>
      </w:r>
      <w:r w:rsidRPr="00253F08">
        <w:rPr>
          <w:rFonts w:eastAsia="Arial"/>
          <w:color w:val="000000"/>
          <w:spacing w:val="-1"/>
        </w:rPr>
        <w:t xml:space="preserve"> </w:t>
      </w:r>
      <w:r>
        <w:rPr>
          <w:rFonts w:eastAsia="Arial"/>
          <w:color w:val="000000"/>
          <w:spacing w:val="-1"/>
        </w:rPr>
        <w:t>access to ASC services.</w:t>
      </w:r>
      <w:r w:rsidRPr="00253F08">
        <w:rPr>
          <w:rFonts w:eastAsia="Arial"/>
          <w:color w:val="000000"/>
          <w:spacing w:val="-1"/>
        </w:rPr>
        <w:t xml:space="preserve"> </w:t>
      </w:r>
      <w:r w:rsidR="005F3A91">
        <w:rPr>
          <w:rFonts w:eastAsia="Arial"/>
          <w:color w:val="000000"/>
          <w:spacing w:val="-1"/>
        </w:rPr>
        <w:t>(</w:t>
      </w:r>
      <w:r>
        <w:rPr>
          <w:rFonts w:eastAsia="Arial"/>
          <w:color w:val="000000"/>
          <w:spacing w:val="-1"/>
        </w:rPr>
        <w:t xml:space="preserve">SDS does not </w:t>
      </w:r>
      <w:r w:rsidR="005F3A91">
        <w:rPr>
          <w:rFonts w:eastAsia="Arial"/>
          <w:color w:val="000000"/>
          <w:spacing w:val="-1"/>
        </w:rPr>
        <w:t xml:space="preserve">currently </w:t>
      </w:r>
      <w:r>
        <w:rPr>
          <w:rFonts w:eastAsia="Arial"/>
          <w:color w:val="000000"/>
          <w:spacing w:val="-1"/>
        </w:rPr>
        <w:t>maintain a wait list and there is no national standard for wait times.</w:t>
      </w:r>
      <w:r w:rsidR="005F3A91">
        <w:rPr>
          <w:rFonts w:eastAsia="Arial"/>
          <w:color w:val="000000"/>
          <w:spacing w:val="-1"/>
        </w:rPr>
        <w:t>)</w:t>
      </w:r>
    </w:p>
    <w:p w14:paraId="08C827A7" w14:textId="77777777" w:rsidR="00A331DA" w:rsidRDefault="00A331DA" w:rsidP="00864EB7">
      <w:pPr>
        <w:rPr>
          <w:rFonts w:eastAsia="Arial"/>
          <w:color w:val="000000"/>
          <w:spacing w:val="-1"/>
        </w:rPr>
      </w:pPr>
    </w:p>
    <w:p w14:paraId="6596D454" w14:textId="236E1FF8" w:rsidR="00864EB7" w:rsidRDefault="00864EB7" w:rsidP="00864EB7">
      <w:pPr>
        <w:rPr>
          <w:rFonts w:ascii="Calibri" w:eastAsia="Arial" w:hAnsi="Calibri" w:cs="Calibri"/>
          <w:color w:val="000000"/>
          <w:spacing w:val="-1"/>
        </w:rPr>
      </w:pPr>
      <w:r w:rsidRPr="00A25103">
        <w:rPr>
          <w:rFonts w:ascii="Calibri" w:eastAsia="Arial" w:hAnsi="Calibri" w:cs="Calibri"/>
          <w:color w:val="000000"/>
          <w:spacing w:val="-1"/>
        </w:rPr>
        <w:t>In planning the Proposed Project, the Applicant reports it reviewed three years of its hospitals’ historical outpatient procedure volumes to identify the lower-acuity and less-invasive procedures that SDS performs; as a result of that analysis, it estimates that more than 33,000 patients (9,000 in FY21, in 11,400 FY22, and 12,600 in FY23) may have been eligible to have their surgical procedure at an outpatient facility, such as SDS.</w:t>
      </w:r>
      <w:r w:rsidR="00585D0A">
        <w:rPr>
          <w:rFonts w:ascii="Calibri" w:eastAsia="Arial" w:hAnsi="Calibri" w:cs="Calibri"/>
          <w:color w:val="000000"/>
          <w:spacing w:val="-1"/>
        </w:rPr>
        <w:t xml:space="preserve"> </w:t>
      </w:r>
    </w:p>
    <w:p w14:paraId="03D13CC3" w14:textId="77777777" w:rsidR="00A331DA" w:rsidRPr="00A25103" w:rsidRDefault="00A331DA" w:rsidP="00864EB7">
      <w:pPr>
        <w:rPr>
          <w:rFonts w:ascii="Calibri" w:eastAsia="Arial" w:hAnsi="Calibri" w:cs="Calibri"/>
          <w:color w:val="000000"/>
          <w:spacing w:val="-1"/>
        </w:rPr>
      </w:pPr>
    </w:p>
    <w:p w14:paraId="665C9685" w14:textId="1CF4A1D2" w:rsidR="00864EB7" w:rsidRPr="00A25103" w:rsidRDefault="00864EB7" w:rsidP="00864EB7">
      <w:pPr>
        <w:spacing w:after="160"/>
        <w:rPr>
          <w:rFonts w:ascii="Calibri" w:hAnsi="Calibri" w:cs="Calibri"/>
        </w:rPr>
      </w:pPr>
      <w:r w:rsidRPr="00A25103">
        <w:rPr>
          <w:rFonts w:ascii="Calibri" w:eastAsia="Arial" w:hAnsi="Calibri" w:cs="Calibri"/>
          <w:color w:val="000000"/>
          <w:spacing w:val="-2"/>
        </w:rPr>
        <w:t>The Applicant used the Advisory Board projections for the SHS</w:t>
      </w:r>
      <w:r w:rsidR="005F3A91">
        <w:rPr>
          <w:rFonts w:ascii="Calibri" w:eastAsia="Arial" w:hAnsi="Calibri" w:cs="Calibri"/>
          <w:color w:val="000000"/>
          <w:spacing w:val="-2"/>
        </w:rPr>
        <w:t xml:space="preserve">-SDS </w:t>
      </w:r>
      <w:r w:rsidRPr="00A25103">
        <w:rPr>
          <w:rFonts w:ascii="Calibri" w:eastAsia="Arial" w:hAnsi="Calibri" w:cs="Calibri"/>
          <w:color w:val="000000"/>
          <w:spacing w:val="-2"/>
        </w:rPr>
        <w:t>PSA which take into consideration demographic factors such as age, population growth and population movement; it also consider</w:t>
      </w:r>
      <w:r w:rsidR="00221013">
        <w:rPr>
          <w:rFonts w:ascii="Calibri" w:eastAsia="Arial" w:hAnsi="Calibri" w:cs="Calibri"/>
          <w:color w:val="000000"/>
          <w:spacing w:val="-2"/>
        </w:rPr>
        <w:t>s</w:t>
      </w:r>
      <w:r w:rsidRPr="00A25103">
        <w:rPr>
          <w:rFonts w:ascii="Calibri" w:eastAsia="Arial" w:hAnsi="Calibri" w:cs="Calibri"/>
          <w:color w:val="000000"/>
          <w:spacing w:val="-2"/>
        </w:rPr>
        <w:t xml:space="preserve"> market drivers such as service line, and sub-service line, and factors that impact </w:t>
      </w:r>
      <w:r w:rsidR="005F3A91">
        <w:rPr>
          <w:rFonts w:ascii="Calibri" w:eastAsia="Arial" w:hAnsi="Calibri" w:cs="Calibri"/>
          <w:color w:val="000000"/>
          <w:spacing w:val="-2"/>
        </w:rPr>
        <w:t xml:space="preserve">transitions </w:t>
      </w:r>
      <w:r w:rsidRPr="00A25103">
        <w:rPr>
          <w:rFonts w:ascii="Calibri" w:eastAsia="Arial" w:hAnsi="Calibri" w:cs="Calibri"/>
          <w:color w:val="000000"/>
          <w:spacing w:val="-2"/>
        </w:rPr>
        <w:t>to the ASC setting</w:t>
      </w:r>
      <w:r w:rsidR="005F3A91">
        <w:rPr>
          <w:rFonts w:ascii="Calibri" w:eastAsia="Arial" w:hAnsi="Calibri" w:cs="Calibri"/>
          <w:color w:val="000000"/>
          <w:spacing w:val="-2"/>
        </w:rPr>
        <w:t xml:space="preserve"> (such as reimbursement)</w:t>
      </w:r>
      <w:r w:rsidRPr="00A25103">
        <w:rPr>
          <w:rFonts w:ascii="Calibri" w:eastAsia="Arial" w:hAnsi="Calibri" w:cs="Calibri"/>
          <w:color w:val="000000"/>
          <w:spacing w:val="-2"/>
        </w:rPr>
        <w:t xml:space="preserve">. </w:t>
      </w:r>
      <w:r w:rsidRPr="006C551E">
        <w:rPr>
          <w:rFonts w:ascii="Calibri" w:eastAsia="Arial" w:hAnsi="Calibri" w:cs="Calibri"/>
          <w:color w:val="000000"/>
          <w:spacing w:val="-2"/>
        </w:rPr>
        <w:t xml:space="preserve">Table </w:t>
      </w:r>
      <w:r w:rsidR="00BE6462" w:rsidRPr="00BE6462">
        <w:rPr>
          <w:rFonts w:ascii="Calibri" w:eastAsia="Arial" w:hAnsi="Calibri" w:cs="Calibri"/>
          <w:color w:val="000000"/>
          <w:spacing w:val="-2"/>
        </w:rPr>
        <w:t>6</w:t>
      </w:r>
      <w:r w:rsidRPr="00A25103">
        <w:rPr>
          <w:rFonts w:ascii="Calibri" w:eastAsia="Arial" w:hAnsi="Calibri" w:cs="Calibri"/>
          <w:color w:val="000000"/>
          <w:spacing w:val="-2"/>
        </w:rPr>
        <w:t xml:space="preserve"> shows </w:t>
      </w:r>
      <w:r w:rsidR="00DC781E">
        <w:rPr>
          <w:rFonts w:ascii="Calibri" w:eastAsia="Arial" w:hAnsi="Calibri" w:cs="Calibri"/>
          <w:color w:val="000000"/>
          <w:spacing w:val="-2"/>
        </w:rPr>
        <w:t xml:space="preserve">that </w:t>
      </w:r>
      <w:r w:rsidRPr="00A25103">
        <w:rPr>
          <w:rFonts w:ascii="Calibri" w:eastAsia="Arial" w:hAnsi="Calibri" w:cs="Calibri"/>
          <w:color w:val="000000"/>
          <w:spacing w:val="-2"/>
        </w:rPr>
        <w:t>5 and 10-year projected growth</w:t>
      </w:r>
      <w:r w:rsidR="005F3A91">
        <w:rPr>
          <w:rFonts w:ascii="Calibri" w:eastAsia="Arial" w:hAnsi="Calibri" w:cs="Calibri"/>
          <w:color w:val="000000"/>
          <w:spacing w:val="-2"/>
        </w:rPr>
        <w:t xml:space="preserve"> within the PSA</w:t>
      </w:r>
      <w:r w:rsidRPr="00A25103">
        <w:rPr>
          <w:rFonts w:ascii="Calibri" w:eastAsia="Arial" w:hAnsi="Calibri" w:cs="Calibri"/>
          <w:color w:val="000000"/>
          <w:spacing w:val="-1"/>
        </w:rPr>
        <w:t xml:space="preserve"> and therefore SHS seeks to provide patients with convenient</w:t>
      </w:r>
      <w:r>
        <w:rPr>
          <w:rFonts w:ascii="Calibri" w:eastAsia="Arial" w:hAnsi="Calibri" w:cs="Calibri"/>
          <w:color w:val="000000"/>
          <w:spacing w:val="-1"/>
        </w:rPr>
        <w:t>,</w:t>
      </w:r>
      <w:r w:rsidRPr="00A25103">
        <w:rPr>
          <w:rFonts w:ascii="Calibri" w:eastAsia="Arial" w:hAnsi="Calibri" w:cs="Calibri"/>
          <w:color w:val="000000"/>
          <w:spacing w:val="-1"/>
        </w:rPr>
        <w:t xml:space="preserve"> </w:t>
      </w:r>
      <w:r>
        <w:rPr>
          <w:rFonts w:ascii="Calibri" w:eastAsia="Arial" w:hAnsi="Calibri" w:cs="Calibri"/>
          <w:color w:val="000000"/>
          <w:spacing w:val="-1"/>
        </w:rPr>
        <w:t xml:space="preserve">timely, </w:t>
      </w:r>
      <w:r w:rsidRPr="00A25103">
        <w:rPr>
          <w:rFonts w:ascii="Calibri" w:eastAsia="Arial" w:hAnsi="Calibri" w:cs="Calibri"/>
          <w:color w:val="000000"/>
          <w:spacing w:val="-1"/>
        </w:rPr>
        <w:t>access to surgical services outside of the main hospital campuses</w:t>
      </w:r>
      <w:r>
        <w:rPr>
          <w:rFonts w:ascii="Calibri" w:eastAsia="Arial" w:hAnsi="Calibri" w:cs="Calibri"/>
          <w:color w:val="000000"/>
          <w:spacing w:val="-1"/>
        </w:rPr>
        <w:t>,</w:t>
      </w:r>
      <w:r w:rsidRPr="00A25103">
        <w:rPr>
          <w:rFonts w:ascii="Calibri" w:eastAsia="Arial" w:hAnsi="Calibri" w:cs="Calibri"/>
          <w:color w:val="000000"/>
          <w:spacing w:val="-1"/>
        </w:rPr>
        <w:t xml:space="preserve"> </w:t>
      </w:r>
      <w:r>
        <w:rPr>
          <w:rFonts w:ascii="Calibri" w:eastAsia="Arial" w:hAnsi="Calibri" w:cs="Calibri"/>
          <w:color w:val="000000"/>
          <w:spacing w:val="-1"/>
        </w:rPr>
        <w:t xml:space="preserve">in a lower cost ASC setting, </w:t>
      </w:r>
      <w:r w:rsidRPr="00A25103">
        <w:rPr>
          <w:rFonts w:ascii="Calibri" w:eastAsia="Arial" w:hAnsi="Calibri" w:cs="Calibri"/>
          <w:color w:val="000000"/>
          <w:spacing w:val="-1"/>
        </w:rPr>
        <w:t xml:space="preserve">through the Proposed Project. </w:t>
      </w:r>
    </w:p>
    <w:p w14:paraId="09075DC3" w14:textId="1294BAA7" w:rsidR="00864EB7" w:rsidRPr="00A25103" w:rsidRDefault="00864EB7" w:rsidP="00864EB7">
      <w:pPr>
        <w:autoSpaceDE w:val="0"/>
        <w:autoSpaceDN w:val="0"/>
        <w:spacing w:after="240"/>
        <w:jc w:val="center"/>
        <w:rPr>
          <w:rFonts w:ascii="Calibri" w:eastAsia="Arial" w:hAnsi="Calibri" w:cs="Calibri"/>
          <w:b/>
          <w:bCs/>
          <w:color w:val="000000"/>
          <w:spacing w:val="-2"/>
        </w:rPr>
      </w:pPr>
      <w:r w:rsidRPr="00A25103">
        <w:rPr>
          <w:rFonts w:ascii="Calibri" w:eastAsia="Arial" w:hAnsi="Calibri" w:cs="Calibri"/>
          <w:b/>
          <w:bCs/>
          <w:color w:val="000000"/>
          <w:spacing w:val="-2"/>
        </w:rPr>
        <w:t>Table</w:t>
      </w:r>
      <w:r w:rsidR="00BE6462">
        <w:rPr>
          <w:rFonts w:ascii="Calibri" w:eastAsia="Arial" w:hAnsi="Calibri" w:cs="Calibri"/>
          <w:b/>
          <w:bCs/>
          <w:color w:val="000000"/>
          <w:spacing w:val="-2"/>
        </w:rPr>
        <w:t xml:space="preserve"> 6</w:t>
      </w:r>
      <w:r w:rsidRPr="00A25103">
        <w:rPr>
          <w:rFonts w:ascii="Calibri" w:eastAsia="Arial" w:hAnsi="Calibri" w:cs="Calibri"/>
          <w:b/>
          <w:bCs/>
          <w:color w:val="000000"/>
          <w:spacing w:val="-2"/>
        </w:rPr>
        <w:t>: Projected Growth in Ambulatory Surgery in the PSA of SHC and SDS Over 2022</w:t>
      </w:r>
    </w:p>
    <w:tbl>
      <w:tblPr>
        <w:tblW w:w="7230" w:type="dxa"/>
        <w:jc w:val="center"/>
        <w:tblLook w:val="04A0" w:firstRow="1" w:lastRow="0" w:firstColumn="1" w:lastColumn="0" w:noHBand="0" w:noVBand="1"/>
      </w:tblPr>
      <w:tblGrid>
        <w:gridCol w:w="2430"/>
        <w:gridCol w:w="1170"/>
        <w:gridCol w:w="1080"/>
        <w:gridCol w:w="1147"/>
        <w:gridCol w:w="1167"/>
        <w:gridCol w:w="975"/>
      </w:tblGrid>
      <w:tr w:rsidR="00864EB7" w:rsidRPr="00A25103" w14:paraId="0B05E166" w14:textId="77777777" w:rsidTr="00FA01E3">
        <w:trPr>
          <w:cantSplit/>
          <w:trHeight w:val="620"/>
          <w:tblHeader/>
          <w:jc w:val="center"/>
        </w:trPr>
        <w:tc>
          <w:tcPr>
            <w:tcW w:w="2430" w:type="dxa"/>
            <w:tcBorders>
              <w:top w:val="single" w:sz="4" w:space="0" w:color="auto"/>
              <w:left w:val="single" w:sz="4" w:space="0" w:color="auto"/>
              <w:bottom w:val="single" w:sz="4" w:space="0" w:color="auto"/>
              <w:right w:val="single" w:sz="4" w:space="0" w:color="auto"/>
            </w:tcBorders>
            <w:shd w:val="clear" w:color="auto" w:fill="DDFFFF"/>
            <w:noWrap/>
            <w:vAlign w:val="center"/>
            <w:hideMark/>
          </w:tcPr>
          <w:p w14:paraId="7AA4B576" w14:textId="77777777" w:rsidR="00864EB7" w:rsidRPr="00A25103" w:rsidRDefault="00864EB7" w:rsidP="005F5060">
            <w:pPr>
              <w:rPr>
                <w:rFonts w:ascii="Calibri" w:eastAsia="Times New Roman" w:hAnsi="Calibri" w:cs="Calibri"/>
                <w:b/>
                <w:bCs/>
                <w:color w:val="000000"/>
              </w:rPr>
            </w:pPr>
            <w:r w:rsidRPr="00A25103">
              <w:rPr>
                <w:rFonts w:ascii="Calibri" w:eastAsia="Times New Roman" w:hAnsi="Calibri" w:cs="Calibri"/>
                <w:b/>
                <w:bCs/>
                <w:color w:val="000000"/>
              </w:rPr>
              <w:t>Service Line</w:t>
            </w:r>
          </w:p>
        </w:tc>
        <w:tc>
          <w:tcPr>
            <w:tcW w:w="1170" w:type="dxa"/>
            <w:tcBorders>
              <w:top w:val="single" w:sz="4" w:space="0" w:color="auto"/>
              <w:left w:val="nil"/>
              <w:bottom w:val="single" w:sz="4" w:space="0" w:color="auto"/>
              <w:right w:val="single" w:sz="4" w:space="0" w:color="auto"/>
            </w:tcBorders>
            <w:shd w:val="clear" w:color="auto" w:fill="DDFFFF"/>
            <w:vAlign w:val="center"/>
            <w:hideMark/>
          </w:tcPr>
          <w:p w14:paraId="1BD275D7" w14:textId="77777777" w:rsidR="00864EB7" w:rsidRPr="00A25103" w:rsidRDefault="00864EB7" w:rsidP="005F5060">
            <w:pPr>
              <w:jc w:val="center"/>
              <w:rPr>
                <w:rFonts w:ascii="Calibri" w:eastAsia="Times New Roman" w:hAnsi="Calibri" w:cs="Calibri"/>
                <w:b/>
                <w:bCs/>
                <w:color w:val="000000"/>
              </w:rPr>
            </w:pPr>
            <w:r w:rsidRPr="00A25103">
              <w:rPr>
                <w:rFonts w:ascii="Calibri" w:eastAsia="Times New Roman" w:hAnsi="Calibri" w:cs="Calibri"/>
                <w:b/>
                <w:bCs/>
                <w:color w:val="000000"/>
              </w:rPr>
              <w:t>2022 Volume</w:t>
            </w:r>
          </w:p>
        </w:tc>
        <w:tc>
          <w:tcPr>
            <w:tcW w:w="1080" w:type="dxa"/>
            <w:tcBorders>
              <w:top w:val="single" w:sz="4" w:space="0" w:color="auto"/>
              <w:left w:val="nil"/>
              <w:bottom w:val="single" w:sz="4" w:space="0" w:color="auto"/>
              <w:right w:val="single" w:sz="4" w:space="0" w:color="auto"/>
            </w:tcBorders>
            <w:shd w:val="clear" w:color="auto" w:fill="DDFFFF"/>
            <w:vAlign w:val="center"/>
            <w:hideMark/>
          </w:tcPr>
          <w:p w14:paraId="73FF8A40" w14:textId="77777777" w:rsidR="00864EB7" w:rsidRPr="00A25103" w:rsidRDefault="00864EB7" w:rsidP="005F5060">
            <w:pPr>
              <w:jc w:val="center"/>
              <w:rPr>
                <w:rFonts w:ascii="Calibri" w:eastAsia="Times New Roman" w:hAnsi="Calibri" w:cs="Calibri"/>
                <w:b/>
                <w:bCs/>
                <w:color w:val="000000"/>
              </w:rPr>
            </w:pPr>
            <w:r w:rsidRPr="00A25103">
              <w:rPr>
                <w:rFonts w:ascii="Calibri" w:eastAsia="Times New Roman" w:hAnsi="Calibri" w:cs="Calibri"/>
                <w:b/>
                <w:bCs/>
                <w:color w:val="000000"/>
              </w:rPr>
              <w:t>2027 Volume</w:t>
            </w:r>
          </w:p>
        </w:tc>
        <w:tc>
          <w:tcPr>
            <w:tcW w:w="1147" w:type="dxa"/>
            <w:tcBorders>
              <w:top w:val="single" w:sz="4" w:space="0" w:color="auto"/>
              <w:left w:val="nil"/>
              <w:bottom w:val="single" w:sz="4" w:space="0" w:color="auto"/>
              <w:right w:val="single" w:sz="4" w:space="0" w:color="auto"/>
            </w:tcBorders>
            <w:shd w:val="clear" w:color="auto" w:fill="DDFFFF"/>
            <w:vAlign w:val="center"/>
            <w:hideMark/>
          </w:tcPr>
          <w:p w14:paraId="2D67AE97" w14:textId="77777777" w:rsidR="00864EB7" w:rsidRPr="00A25103" w:rsidRDefault="00864EB7" w:rsidP="005F5060">
            <w:pPr>
              <w:jc w:val="center"/>
              <w:rPr>
                <w:rFonts w:ascii="Calibri" w:eastAsia="Times New Roman" w:hAnsi="Calibri" w:cs="Calibri"/>
                <w:b/>
                <w:bCs/>
                <w:color w:val="000000"/>
              </w:rPr>
            </w:pPr>
            <w:r w:rsidRPr="00A25103">
              <w:rPr>
                <w:rFonts w:ascii="Calibri" w:eastAsia="Times New Roman" w:hAnsi="Calibri" w:cs="Calibri"/>
                <w:b/>
                <w:bCs/>
                <w:color w:val="000000"/>
              </w:rPr>
              <w:t>2032 Volume</w:t>
            </w:r>
          </w:p>
        </w:tc>
        <w:tc>
          <w:tcPr>
            <w:tcW w:w="1167" w:type="dxa"/>
            <w:tcBorders>
              <w:top w:val="single" w:sz="4" w:space="0" w:color="auto"/>
              <w:left w:val="nil"/>
              <w:bottom w:val="single" w:sz="4" w:space="0" w:color="auto"/>
              <w:right w:val="single" w:sz="4" w:space="0" w:color="auto"/>
            </w:tcBorders>
            <w:shd w:val="clear" w:color="auto" w:fill="DDFFFF"/>
            <w:vAlign w:val="center"/>
            <w:hideMark/>
          </w:tcPr>
          <w:p w14:paraId="7DA19BB6" w14:textId="77777777" w:rsidR="00864EB7" w:rsidRPr="00A25103" w:rsidRDefault="00864EB7" w:rsidP="005F5060">
            <w:pPr>
              <w:jc w:val="center"/>
              <w:rPr>
                <w:rFonts w:ascii="Calibri" w:eastAsia="Times New Roman" w:hAnsi="Calibri" w:cs="Calibri"/>
                <w:b/>
                <w:bCs/>
                <w:color w:val="000000"/>
              </w:rPr>
            </w:pPr>
            <w:r w:rsidRPr="00A25103">
              <w:rPr>
                <w:rFonts w:ascii="Calibri" w:eastAsia="Times New Roman" w:hAnsi="Calibri" w:cs="Calibri"/>
                <w:b/>
                <w:bCs/>
                <w:color w:val="000000"/>
              </w:rPr>
              <w:t>5 Yr. Growth</w:t>
            </w:r>
          </w:p>
        </w:tc>
        <w:tc>
          <w:tcPr>
            <w:tcW w:w="236" w:type="dxa"/>
            <w:tcBorders>
              <w:top w:val="single" w:sz="4" w:space="0" w:color="auto"/>
              <w:left w:val="nil"/>
              <w:bottom w:val="single" w:sz="4" w:space="0" w:color="auto"/>
              <w:right w:val="single" w:sz="4" w:space="0" w:color="auto"/>
            </w:tcBorders>
            <w:shd w:val="clear" w:color="auto" w:fill="DDFFFF"/>
            <w:vAlign w:val="center"/>
            <w:hideMark/>
          </w:tcPr>
          <w:p w14:paraId="3BDF928C" w14:textId="77777777" w:rsidR="00864EB7" w:rsidRPr="00A25103" w:rsidRDefault="00864EB7" w:rsidP="005F5060">
            <w:pPr>
              <w:jc w:val="center"/>
              <w:rPr>
                <w:rFonts w:ascii="Calibri" w:eastAsia="Times New Roman" w:hAnsi="Calibri" w:cs="Calibri"/>
                <w:b/>
                <w:bCs/>
                <w:color w:val="000000"/>
              </w:rPr>
            </w:pPr>
            <w:r w:rsidRPr="00A25103">
              <w:rPr>
                <w:rFonts w:ascii="Calibri" w:eastAsia="Times New Roman" w:hAnsi="Calibri" w:cs="Calibri"/>
                <w:b/>
                <w:bCs/>
                <w:color w:val="000000"/>
              </w:rPr>
              <w:t>10 Yr. Growth</w:t>
            </w:r>
          </w:p>
        </w:tc>
      </w:tr>
      <w:tr w:rsidR="00864EB7" w:rsidRPr="00A25103" w14:paraId="2DC627E5"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7BA4C60A"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Spine</w:t>
            </w:r>
          </w:p>
        </w:tc>
        <w:tc>
          <w:tcPr>
            <w:tcW w:w="1170" w:type="dxa"/>
            <w:tcBorders>
              <w:top w:val="nil"/>
              <w:left w:val="nil"/>
              <w:bottom w:val="single" w:sz="4" w:space="0" w:color="auto"/>
              <w:right w:val="single" w:sz="4" w:space="0" w:color="auto"/>
            </w:tcBorders>
            <w:shd w:val="clear" w:color="auto" w:fill="auto"/>
            <w:noWrap/>
            <w:hideMark/>
          </w:tcPr>
          <w:p w14:paraId="7B4E727A"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443</w:t>
            </w:r>
          </w:p>
        </w:tc>
        <w:tc>
          <w:tcPr>
            <w:tcW w:w="1080" w:type="dxa"/>
            <w:tcBorders>
              <w:top w:val="nil"/>
              <w:left w:val="nil"/>
              <w:bottom w:val="single" w:sz="4" w:space="0" w:color="auto"/>
              <w:right w:val="single" w:sz="4" w:space="0" w:color="auto"/>
            </w:tcBorders>
            <w:shd w:val="clear" w:color="auto" w:fill="auto"/>
            <w:noWrap/>
            <w:hideMark/>
          </w:tcPr>
          <w:p w14:paraId="0B8AB479"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656</w:t>
            </w:r>
          </w:p>
        </w:tc>
        <w:tc>
          <w:tcPr>
            <w:tcW w:w="1147" w:type="dxa"/>
            <w:tcBorders>
              <w:top w:val="nil"/>
              <w:left w:val="nil"/>
              <w:bottom w:val="single" w:sz="4" w:space="0" w:color="auto"/>
              <w:right w:val="single" w:sz="4" w:space="0" w:color="auto"/>
            </w:tcBorders>
            <w:shd w:val="clear" w:color="auto" w:fill="auto"/>
            <w:noWrap/>
            <w:hideMark/>
          </w:tcPr>
          <w:p w14:paraId="633A4D10"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866</w:t>
            </w:r>
          </w:p>
        </w:tc>
        <w:tc>
          <w:tcPr>
            <w:tcW w:w="1167" w:type="dxa"/>
            <w:tcBorders>
              <w:top w:val="nil"/>
              <w:left w:val="nil"/>
              <w:bottom w:val="single" w:sz="4" w:space="0" w:color="auto"/>
              <w:right w:val="single" w:sz="4" w:space="0" w:color="auto"/>
            </w:tcBorders>
            <w:shd w:val="clear" w:color="auto" w:fill="auto"/>
            <w:noWrap/>
            <w:hideMark/>
          </w:tcPr>
          <w:p w14:paraId="4EAB471D"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48.0%</w:t>
            </w:r>
          </w:p>
        </w:tc>
        <w:tc>
          <w:tcPr>
            <w:tcW w:w="236" w:type="dxa"/>
            <w:tcBorders>
              <w:top w:val="nil"/>
              <w:left w:val="nil"/>
              <w:bottom w:val="single" w:sz="4" w:space="0" w:color="auto"/>
              <w:right w:val="single" w:sz="4" w:space="0" w:color="auto"/>
            </w:tcBorders>
            <w:shd w:val="clear" w:color="auto" w:fill="auto"/>
            <w:noWrap/>
            <w:hideMark/>
          </w:tcPr>
          <w:p w14:paraId="1BD3F762"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95.4%</w:t>
            </w:r>
          </w:p>
        </w:tc>
      </w:tr>
      <w:tr w:rsidR="00864EB7" w:rsidRPr="00A25103" w14:paraId="420B21C1"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25F545FF"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Pain Management</w:t>
            </w:r>
          </w:p>
        </w:tc>
        <w:tc>
          <w:tcPr>
            <w:tcW w:w="1170" w:type="dxa"/>
            <w:tcBorders>
              <w:top w:val="nil"/>
              <w:left w:val="nil"/>
              <w:bottom w:val="single" w:sz="4" w:space="0" w:color="auto"/>
              <w:right w:val="single" w:sz="4" w:space="0" w:color="auto"/>
            </w:tcBorders>
            <w:shd w:val="clear" w:color="auto" w:fill="auto"/>
            <w:noWrap/>
            <w:hideMark/>
          </w:tcPr>
          <w:p w14:paraId="4D8B1E41"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2,812</w:t>
            </w:r>
          </w:p>
        </w:tc>
        <w:tc>
          <w:tcPr>
            <w:tcW w:w="1080" w:type="dxa"/>
            <w:tcBorders>
              <w:top w:val="nil"/>
              <w:left w:val="nil"/>
              <w:bottom w:val="single" w:sz="4" w:space="0" w:color="auto"/>
              <w:right w:val="single" w:sz="4" w:space="0" w:color="auto"/>
            </w:tcBorders>
            <w:shd w:val="clear" w:color="auto" w:fill="auto"/>
            <w:noWrap/>
            <w:hideMark/>
          </w:tcPr>
          <w:p w14:paraId="6D147C8D"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3,529</w:t>
            </w:r>
          </w:p>
        </w:tc>
        <w:tc>
          <w:tcPr>
            <w:tcW w:w="1147" w:type="dxa"/>
            <w:tcBorders>
              <w:top w:val="nil"/>
              <w:left w:val="nil"/>
              <w:bottom w:val="single" w:sz="4" w:space="0" w:color="auto"/>
              <w:right w:val="single" w:sz="4" w:space="0" w:color="auto"/>
            </w:tcBorders>
            <w:shd w:val="clear" w:color="auto" w:fill="auto"/>
            <w:noWrap/>
            <w:hideMark/>
          </w:tcPr>
          <w:p w14:paraId="45FB1E5D"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4,099</w:t>
            </w:r>
          </w:p>
        </w:tc>
        <w:tc>
          <w:tcPr>
            <w:tcW w:w="1167" w:type="dxa"/>
            <w:tcBorders>
              <w:top w:val="nil"/>
              <w:left w:val="nil"/>
              <w:bottom w:val="single" w:sz="4" w:space="0" w:color="auto"/>
              <w:right w:val="single" w:sz="4" w:space="0" w:color="auto"/>
            </w:tcBorders>
            <w:shd w:val="clear" w:color="auto" w:fill="auto"/>
            <w:noWrap/>
            <w:hideMark/>
          </w:tcPr>
          <w:p w14:paraId="4DC8BA6A"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25.5%</w:t>
            </w:r>
          </w:p>
        </w:tc>
        <w:tc>
          <w:tcPr>
            <w:tcW w:w="236" w:type="dxa"/>
            <w:tcBorders>
              <w:top w:val="nil"/>
              <w:left w:val="nil"/>
              <w:bottom w:val="single" w:sz="4" w:space="0" w:color="auto"/>
              <w:right w:val="single" w:sz="4" w:space="0" w:color="auto"/>
            </w:tcBorders>
            <w:shd w:val="clear" w:color="auto" w:fill="auto"/>
            <w:noWrap/>
            <w:hideMark/>
          </w:tcPr>
          <w:p w14:paraId="28A44C2D"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45.7%</w:t>
            </w:r>
          </w:p>
        </w:tc>
      </w:tr>
      <w:tr w:rsidR="00864EB7" w:rsidRPr="00A25103" w14:paraId="4F2C8426"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401AC6EC"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Orthopedics</w:t>
            </w:r>
          </w:p>
        </w:tc>
        <w:tc>
          <w:tcPr>
            <w:tcW w:w="1170" w:type="dxa"/>
            <w:tcBorders>
              <w:top w:val="nil"/>
              <w:left w:val="nil"/>
              <w:bottom w:val="single" w:sz="4" w:space="0" w:color="auto"/>
              <w:right w:val="single" w:sz="4" w:space="0" w:color="auto"/>
            </w:tcBorders>
            <w:shd w:val="clear" w:color="auto" w:fill="auto"/>
            <w:noWrap/>
            <w:hideMark/>
          </w:tcPr>
          <w:p w14:paraId="5E4E3575"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12,632</w:t>
            </w:r>
          </w:p>
        </w:tc>
        <w:tc>
          <w:tcPr>
            <w:tcW w:w="1080" w:type="dxa"/>
            <w:tcBorders>
              <w:top w:val="nil"/>
              <w:left w:val="nil"/>
              <w:bottom w:val="single" w:sz="4" w:space="0" w:color="auto"/>
              <w:right w:val="single" w:sz="4" w:space="0" w:color="auto"/>
            </w:tcBorders>
            <w:shd w:val="clear" w:color="auto" w:fill="auto"/>
            <w:noWrap/>
            <w:hideMark/>
          </w:tcPr>
          <w:p w14:paraId="7965AEA7"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14,587</w:t>
            </w:r>
          </w:p>
        </w:tc>
        <w:tc>
          <w:tcPr>
            <w:tcW w:w="1147" w:type="dxa"/>
            <w:tcBorders>
              <w:top w:val="nil"/>
              <w:left w:val="nil"/>
              <w:bottom w:val="single" w:sz="4" w:space="0" w:color="auto"/>
              <w:right w:val="single" w:sz="4" w:space="0" w:color="auto"/>
            </w:tcBorders>
            <w:shd w:val="clear" w:color="auto" w:fill="auto"/>
            <w:noWrap/>
            <w:hideMark/>
          </w:tcPr>
          <w:p w14:paraId="4CEA451D"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16,286</w:t>
            </w:r>
          </w:p>
        </w:tc>
        <w:tc>
          <w:tcPr>
            <w:tcW w:w="1167" w:type="dxa"/>
            <w:tcBorders>
              <w:top w:val="nil"/>
              <w:left w:val="nil"/>
              <w:bottom w:val="single" w:sz="4" w:space="0" w:color="auto"/>
              <w:right w:val="single" w:sz="4" w:space="0" w:color="auto"/>
            </w:tcBorders>
            <w:shd w:val="clear" w:color="auto" w:fill="auto"/>
            <w:noWrap/>
            <w:hideMark/>
          </w:tcPr>
          <w:p w14:paraId="526A3A88"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15.5%</w:t>
            </w:r>
          </w:p>
        </w:tc>
        <w:tc>
          <w:tcPr>
            <w:tcW w:w="236" w:type="dxa"/>
            <w:tcBorders>
              <w:top w:val="nil"/>
              <w:left w:val="nil"/>
              <w:bottom w:val="single" w:sz="4" w:space="0" w:color="auto"/>
              <w:right w:val="single" w:sz="4" w:space="0" w:color="auto"/>
            </w:tcBorders>
            <w:shd w:val="clear" w:color="auto" w:fill="auto"/>
            <w:noWrap/>
            <w:hideMark/>
          </w:tcPr>
          <w:p w14:paraId="50545ACE"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28.9%</w:t>
            </w:r>
          </w:p>
        </w:tc>
      </w:tr>
      <w:tr w:rsidR="00864EB7" w:rsidRPr="00A25103" w14:paraId="5072D1D2"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79D6948C"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Vascular</w:t>
            </w:r>
          </w:p>
        </w:tc>
        <w:tc>
          <w:tcPr>
            <w:tcW w:w="1170" w:type="dxa"/>
            <w:tcBorders>
              <w:top w:val="nil"/>
              <w:left w:val="nil"/>
              <w:bottom w:val="single" w:sz="4" w:space="0" w:color="auto"/>
              <w:right w:val="single" w:sz="4" w:space="0" w:color="auto"/>
            </w:tcBorders>
            <w:shd w:val="clear" w:color="auto" w:fill="auto"/>
            <w:noWrap/>
            <w:hideMark/>
          </w:tcPr>
          <w:p w14:paraId="380DAA88"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3,201</w:t>
            </w:r>
          </w:p>
        </w:tc>
        <w:tc>
          <w:tcPr>
            <w:tcW w:w="1080" w:type="dxa"/>
            <w:tcBorders>
              <w:top w:val="nil"/>
              <w:left w:val="nil"/>
              <w:bottom w:val="single" w:sz="4" w:space="0" w:color="auto"/>
              <w:right w:val="single" w:sz="4" w:space="0" w:color="auto"/>
            </w:tcBorders>
            <w:shd w:val="clear" w:color="auto" w:fill="auto"/>
            <w:noWrap/>
            <w:hideMark/>
          </w:tcPr>
          <w:p w14:paraId="7F53FDFE"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3,704</w:t>
            </w:r>
          </w:p>
        </w:tc>
        <w:tc>
          <w:tcPr>
            <w:tcW w:w="1147" w:type="dxa"/>
            <w:tcBorders>
              <w:top w:val="nil"/>
              <w:left w:val="nil"/>
              <w:bottom w:val="single" w:sz="4" w:space="0" w:color="auto"/>
              <w:right w:val="single" w:sz="4" w:space="0" w:color="auto"/>
            </w:tcBorders>
            <w:shd w:val="clear" w:color="auto" w:fill="auto"/>
            <w:noWrap/>
            <w:hideMark/>
          </w:tcPr>
          <w:p w14:paraId="5443EA44"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4,112</w:t>
            </w:r>
          </w:p>
        </w:tc>
        <w:tc>
          <w:tcPr>
            <w:tcW w:w="1167" w:type="dxa"/>
            <w:tcBorders>
              <w:top w:val="nil"/>
              <w:left w:val="nil"/>
              <w:bottom w:val="single" w:sz="4" w:space="0" w:color="auto"/>
              <w:right w:val="single" w:sz="4" w:space="0" w:color="auto"/>
            </w:tcBorders>
            <w:shd w:val="clear" w:color="auto" w:fill="auto"/>
            <w:noWrap/>
            <w:hideMark/>
          </w:tcPr>
          <w:p w14:paraId="4C7F093F"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15.7%</w:t>
            </w:r>
          </w:p>
        </w:tc>
        <w:tc>
          <w:tcPr>
            <w:tcW w:w="236" w:type="dxa"/>
            <w:tcBorders>
              <w:top w:val="nil"/>
              <w:left w:val="nil"/>
              <w:bottom w:val="single" w:sz="4" w:space="0" w:color="auto"/>
              <w:right w:val="single" w:sz="4" w:space="0" w:color="auto"/>
            </w:tcBorders>
            <w:shd w:val="clear" w:color="auto" w:fill="auto"/>
            <w:noWrap/>
            <w:hideMark/>
          </w:tcPr>
          <w:p w14:paraId="409287DC"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28.5%</w:t>
            </w:r>
          </w:p>
        </w:tc>
      </w:tr>
      <w:tr w:rsidR="00864EB7" w:rsidRPr="00A25103" w14:paraId="39AA37DA"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5FE84964"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Ophthalmology</w:t>
            </w:r>
          </w:p>
        </w:tc>
        <w:tc>
          <w:tcPr>
            <w:tcW w:w="1170" w:type="dxa"/>
            <w:tcBorders>
              <w:top w:val="nil"/>
              <w:left w:val="nil"/>
              <w:bottom w:val="single" w:sz="4" w:space="0" w:color="auto"/>
              <w:right w:val="single" w:sz="4" w:space="0" w:color="auto"/>
            </w:tcBorders>
            <w:shd w:val="clear" w:color="auto" w:fill="auto"/>
            <w:noWrap/>
            <w:hideMark/>
          </w:tcPr>
          <w:p w14:paraId="6D5474F1"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8,286</w:t>
            </w:r>
          </w:p>
        </w:tc>
        <w:tc>
          <w:tcPr>
            <w:tcW w:w="1080" w:type="dxa"/>
            <w:tcBorders>
              <w:top w:val="nil"/>
              <w:left w:val="nil"/>
              <w:bottom w:val="single" w:sz="4" w:space="0" w:color="auto"/>
              <w:right w:val="single" w:sz="4" w:space="0" w:color="auto"/>
            </w:tcBorders>
            <w:shd w:val="clear" w:color="auto" w:fill="auto"/>
            <w:noWrap/>
            <w:hideMark/>
          </w:tcPr>
          <w:p w14:paraId="5C1725CE"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9,511</w:t>
            </w:r>
          </w:p>
        </w:tc>
        <w:tc>
          <w:tcPr>
            <w:tcW w:w="1147" w:type="dxa"/>
            <w:tcBorders>
              <w:top w:val="nil"/>
              <w:left w:val="nil"/>
              <w:bottom w:val="single" w:sz="4" w:space="0" w:color="auto"/>
              <w:right w:val="single" w:sz="4" w:space="0" w:color="auto"/>
            </w:tcBorders>
            <w:shd w:val="clear" w:color="auto" w:fill="auto"/>
            <w:noWrap/>
            <w:hideMark/>
          </w:tcPr>
          <w:p w14:paraId="7F122B2C"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10,581</w:t>
            </w:r>
          </w:p>
        </w:tc>
        <w:tc>
          <w:tcPr>
            <w:tcW w:w="1167" w:type="dxa"/>
            <w:tcBorders>
              <w:top w:val="nil"/>
              <w:left w:val="nil"/>
              <w:bottom w:val="single" w:sz="4" w:space="0" w:color="auto"/>
              <w:right w:val="single" w:sz="4" w:space="0" w:color="auto"/>
            </w:tcBorders>
            <w:shd w:val="clear" w:color="auto" w:fill="auto"/>
            <w:noWrap/>
            <w:hideMark/>
          </w:tcPr>
          <w:p w14:paraId="770F20EE"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14.8%</w:t>
            </w:r>
          </w:p>
        </w:tc>
        <w:tc>
          <w:tcPr>
            <w:tcW w:w="236" w:type="dxa"/>
            <w:tcBorders>
              <w:top w:val="nil"/>
              <w:left w:val="nil"/>
              <w:bottom w:val="single" w:sz="4" w:space="0" w:color="auto"/>
              <w:right w:val="single" w:sz="4" w:space="0" w:color="auto"/>
            </w:tcBorders>
            <w:shd w:val="clear" w:color="auto" w:fill="auto"/>
            <w:noWrap/>
            <w:hideMark/>
          </w:tcPr>
          <w:p w14:paraId="1A6F44AC"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27.7%</w:t>
            </w:r>
          </w:p>
        </w:tc>
      </w:tr>
      <w:tr w:rsidR="00864EB7" w:rsidRPr="00A25103" w14:paraId="2E2A0670"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522D76F8"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General Surgery</w:t>
            </w:r>
          </w:p>
        </w:tc>
        <w:tc>
          <w:tcPr>
            <w:tcW w:w="1170" w:type="dxa"/>
            <w:tcBorders>
              <w:top w:val="nil"/>
              <w:left w:val="nil"/>
              <w:bottom w:val="single" w:sz="4" w:space="0" w:color="auto"/>
              <w:right w:val="single" w:sz="4" w:space="0" w:color="auto"/>
            </w:tcBorders>
            <w:shd w:val="clear" w:color="auto" w:fill="auto"/>
            <w:noWrap/>
            <w:hideMark/>
          </w:tcPr>
          <w:p w14:paraId="3539DA97"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1,484</w:t>
            </w:r>
          </w:p>
        </w:tc>
        <w:tc>
          <w:tcPr>
            <w:tcW w:w="1080" w:type="dxa"/>
            <w:tcBorders>
              <w:top w:val="nil"/>
              <w:left w:val="nil"/>
              <w:bottom w:val="single" w:sz="4" w:space="0" w:color="auto"/>
              <w:right w:val="single" w:sz="4" w:space="0" w:color="auto"/>
            </w:tcBorders>
            <w:shd w:val="clear" w:color="auto" w:fill="auto"/>
            <w:noWrap/>
            <w:hideMark/>
          </w:tcPr>
          <w:p w14:paraId="0783AC2C"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1,684</w:t>
            </w:r>
          </w:p>
        </w:tc>
        <w:tc>
          <w:tcPr>
            <w:tcW w:w="1147" w:type="dxa"/>
            <w:tcBorders>
              <w:top w:val="nil"/>
              <w:left w:val="nil"/>
              <w:bottom w:val="single" w:sz="4" w:space="0" w:color="auto"/>
              <w:right w:val="single" w:sz="4" w:space="0" w:color="auto"/>
            </w:tcBorders>
            <w:shd w:val="clear" w:color="auto" w:fill="auto"/>
            <w:noWrap/>
            <w:hideMark/>
          </w:tcPr>
          <w:p w14:paraId="6170DB3D"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1,868</w:t>
            </w:r>
          </w:p>
        </w:tc>
        <w:tc>
          <w:tcPr>
            <w:tcW w:w="1167" w:type="dxa"/>
            <w:tcBorders>
              <w:top w:val="nil"/>
              <w:left w:val="nil"/>
              <w:bottom w:val="single" w:sz="4" w:space="0" w:color="auto"/>
              <w:right w:val="single" w:sz="4" w:space="0" w:color="auto"/>
            </w:tcBorders>
            <w:shd w:val="clear" w:color="auto" w:fill="auto"/>
            <w:noWrap/>
            <w:hideMark/>
          </w:tcPr>
          <w:p w14:paraId="4197A966"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13.5%</w:t>
            </w:r>
          </w:p>
        </w:tc>
        <w:tc>
          <w:tcPr>
            <w:tcW w:w="236" w:type="dxa"/>
            <w:tcBorders>
              <w:top w:val="nil"/>
              <w:left w:val="nil"/>
              <w:bottom w:val="single" w:sz="4" w:space="0" w:color="auto"/>
              <w:right w:val="single" w:sz="4" w:space="0" w:color="auto"/>
            </w:tcBorders>
            <w:shd w:val="clear" w:color="auto" w:fill="auto"/>
            <w:noWrap/>
            <w:hideMark/>
          </w:tcPr>
          <w:p w14:paraId="724A79A8"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25.9%</w:t>
            </w:r>
          </w:p>
        </w:tc>
      </w:tr>
      <w:tr w:rsidR="00864EB7" w:rsidRPr="00A25103" w14:paraId="163DE5DC"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1D45B973"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Gastroenterology</w:t>
            </w:r>
          </w:p>
        </w:tc>
        <w:tc>
          <w:tcPr>
            <w:tcW w:w="1170" w:type="dxa"/>
            <w:tcBorders>
              <w:top w:val="nil"/>
              <w:left w:val="nil"/>
              <w:bottom w:val="single" w:sz="4" w:space="0" w:color="auto"/>
              <w:right w:val="single" w:sz="4" w:space="0" w:color="auto"/>
            </w:tcBorders>
            <w:shd w:val="clear" w:color="auto" w:fill="auto"/>
            <w:noWrap/>
            <w:hideMark/>
          </w:tcPr>
          <w:p w14:paraId="16E8448D"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4,437</w:t>
            </w:r>
          </w:p>
        </w:tc>
        <w:tc>
          <w:tcPr>
            <w:tcW w:w="1080" w:type="dxa"/>
            <w:tcBorders>
              <w:top w:val="nil"/>
              <w:left w:val="nil"/>
              <w:bottom w:val="single" w:sz="4" w:space="0" w:color="auto"/>
              <w:right w:val="single" w:sz="4" w:space="0" w:color="auto"/>
            </w:tcBorders>
            <w:shd w:val="clear" w:color="auto" w:fill="auto"/>
            <w:noWrap/>
            <w:hideMark/>
          </w:tcPr>
          <w:p w14:paraId="679A8B8B"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4,960</w:t>
            </w:r>
          </w:p>
        </w:tc>
        <w:tc>
          <w:tcPr>
            <w:tcW w:w="1147" w:type="dxa"/>
            <w:tcBorders>
              <w:top w:val="nil"/>
              <w:left w:val="nil"/>
              <w:bottom w:val="single" w:sz="4" w:space="0" w:color="auto"/>
              <w:right w:val="single" w:sz="4" w:space="0" w:color="auto"/>
            </w:tcBorders>
            <w:shd w:val="clear" w:color="auto" w:fill="auto"/>
            <w:noWrap/>
            <w:hideMark/>
          </w:tcPr>
          <w:p w14:paraId="2EE847C9"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5,326</w:t>
            </w:r>
          </w:p>
        </w:tc>
        <w:tc>
          <w:tcPr>
            <w:tcW w:w="1167" w:type="dxa"/>
            <w:tcBorders>
              <w:top w:val="nil"/>
              <w:left w:val="nil"/>
              <w:bottom w:val="single" w:sz="4" w:space="0" w:color="auto"/>
              <w:right w:val="single" w:sz="4" w:space="0" w:color="auto"/>
            </w:tcBorders>
            <w:shd w:val="clear" w:color="auto" w:fill="auto"/>
            <w:noWrap/>
            <w:hideMark/>
          </w:tcPr>
          <w:p w14:paraId="2016C044"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11.8%</w:t>
            </w:r>
          </w:p>
        </w:tc>
        <w:tc>
          <w:tcPr>
            <w:tcW w:w="236" w:type="dxa"/>
            <w:tcBorders>
              <w:top w:val="nil"/>
              <w:left w:val="nil"/>
              <w:bottom w:val="single" w:sz="4" w:space="0" w:color="auto"/>
              <w:right w:val="single" w:sz="4" w:space="0" w:color="auto"/>
            </w:tcBorders>
            <w:shd w:val="clear" w:color="auto" w:fill="auto"/>
            <w:noWrap/>
            <w:hideMark/>
          </w:tcPr>
          <w:p w14:paraId="23DAA6CE"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20.0%</w:t>
            </w:r>
          </w:p>
        </w:tc>
      </w:tr>
      <w:tr w:rsidR="00864EB7" w:rsidRPr="00A25103" w14:paraId="6FC44047"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5FA7E52A"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Podiatry</w:t>
            </w:r>
          </w:p>
        </w:tc>
        <w:tc>
          <w:tcPr>
            <w:tcW w:w="1170" w:type="dxa"/>
            <w:tcBorders>
              <w:top w:val="nil"/>
              <w:left w:val="nil"/>
              <w:bottom w:val="single" w:sz="4" w:space="0" w:color="auto"/>
              <w:right w:val="single" w:sz="4" w:space="0" w:color="auto"/>
            </w:tcBorders>
            <w:shd w:val="clear" w:color="auto" w:fill="auto"/>
            <w:noWrap/>
            <w:hideMark/>
          </w:tcPr>
          <w:p w14:paraId="470F5798"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1,513</w:t>
            </w:r>
          </w:p>
        </w:tc>
        <w:tc>
          <w:tcPr>
            <w:tcW w:w="1080" w:type="dxa"/>
            <w:tcBorders>
              <w:top w:val="nil"/>
              <w:left w:val="nil"/>
              <w:bottom w:val="single" w:sz="4" w:space="0" w:color="auto"/>
              <w:right w:val="single" w:sz="4" w:space="0" w:color="auto"/>
            </w:tcBorders>
            <w:shd w:val="clear" w:color="auto" w:fill="auto"/>
            <w:noWrap/>
            <w:hideMark/>
          </w:tcPr>
          <w:p w14:paraId="32A04C2B"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1,658</w:t>
            </w:r>
          </w:p>
        </w:tc>
        <w:tc>
          <w:tcPr>
            <w:tcW w:w="1147" w:type="dxa"/>
            <w:tcBorders>
              <w:top w:val="nil"/>
              <w:left w:val="nil"/>
              <w:bottom w:val="single" w:sz="4" w:space="0" w:color="auto"/>
              <w:right w:val="single" w:sz="4" w:space="0" w:color="auto"/>
            </w:tcBorders>
            <w:shd w:val="clear" w:color="auto" w:fill="auto"/>
            <w:noWrap/>
            <w:hideMark/>
          </w:tcPr>
          <w:p w14:paraId="4A96E151"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1,790</w:t>
            </w:r>
          </w:p>
        </w:tc>
        <w:tc>
          <w:tcPr>
            <w:tcW w:w="1167" w:type="dxa"/>
            <w:tcBorders>
              <w:top w:val="nil"/>
              <w:left w:val="nil"/>
              <w:bottom w:val="single" w:sz="4" w:space="0" w:color="auto"/>
              <w:right w:val="single" w:sz="4" w:space="0" w:color="auto"/>
            </w:tcBorders>
            <w:shd w:val="clear" w:color="auto" w:fill="auto"/>
            <w:noWrap/>
            <w:hideMark/>
          </w:tcPr>
          <w:p w14:paraId="194EB625"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9.6%</w:t>
            </w:r>
          </w:p>
        </w:tc>
        <w:tc>
          <w:tcPr>
            <w:tcW w:w="236" w:type="dxa"/>
            <w:tcBorders>
              <w:top w:val="nil"/>
              <w:left w:val="nil"/>
              <w:bottom w:val="single" w:sz="4" w:space="0" w:color="auto"/>
              <w:right w:val="single" w:sz="4" w:space="0" w:color="auto"/>
            </w:tcBorders>
            <w:shd w:val="clear" w:color="auto" w:fill="auto"/>
            <w:noWrap/>
            <w:hideMark/>
          </w:tcPr>
          <w:p w14:paraId="7BAE7B7C"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18.3%</w:t>
            </w:r>
          </w:p>
        </w:tc>
      </w:tr>
      <w:tr w:rsidR="00864EB7" w:rsidRPr="00A25103" w14:paraId="2A6A7CF3"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56E2C3ED"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Neurosurgery</w:t>
            </w:r>
          </w:p>
        </w:tc>
        <w:tc>
          <w:tcPr>
            <w:tcW w:w="1170" w:type="dxa"/>
            <w:tcBorders>
              <w:top w:val="nil"/>
              <w:left w:val="nil"/>
              <w:bottom w:val="single" w:sz="4" w:space="0" w:color="auto"/>
              <w:right w:val="single" w:sz="4" w:space="0" w:color="auto"/>
            </w:tcBorders>
            <w:shd w:val="clear" w:color="auto" w:fill="auto"/>
            <w:noWrap/>
            <w:hideMark/>
          </w:tcPr>
          <w:p w14:paraId="548336BC"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362</w:t>
            </w:r>
          </w:p>
        </w:tc>
        <w:tc>
          <w:tcPr>
            <w:tcW w:w="1080" w:type="dxa"/>
            <w:tcBorders>
              <w:top w:val="nil"/>
              <w:left w:val="nil"/>
              <w:bottom w:val="single" w:sz="4" w:space="0" w:color="auto"/>
              <w:right w:val="single" w:sz="4" w:space="0" w:color="auto"/>
            </w:tcBorders>
            <w:shd w:val="clear" w:color="auto" w:fill="auto"/>
            <w:noWrap/>
            <w:hideMark/>
          </w:tcPr>
          <w:p w14:paraId="48D7A9C1"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386</w:t>
            </w:r>
          </w:p>
        </w:tc>
        <w:tc>
          <w:tcPr>
            <w:tcW w:w="1147" w:type="dxa"/>
            <w:tcBorders>
              <w:top w:val="nil"/>
              <w:left w:val="nil"/>
              <w:bottom w:val="single" w:sz="4" w:space="0" w:color="auto"/>
              <w:right w:val="single" w:sz="4" w:space="0" w:color="auto"/>
            </w:tcBorders>
            <w:shd w:val="clear" w:color="auto" w:fill="auto"/>
            <w:noWrap/>
            <w:hideMark/>
          </w:tcPr>
          <w:p w14:paraId="14983AB1"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417</w:t>
            </w:r>
          </w:p>
        </w:tc>
        <w:tc>
          <w:tcPr>
            <w:tcW w:w="1167" w:type="dxa"/>
            <w:tcBorders>
              <w:top w:val="nil"/>
              <w:left w:val="nil"/>
              <w:bottom w:val="single" w:sz="4" w:space="0" w:color="auto"/>
              <w:right w:val="single" w:sz="4" w:space="0" w:color="auto"/>
            </w:tcBorders>
            <w:shd w:val="clear" w:color="auto" w:fill="auto"/>
            <w:noWrap/>
            <w:hideMark/>
          </w:tcPr>
          <w:p w14:paraId="2F104928"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6.5%</w:t>
            </w:r>
          </w:p>
        </w:tc>
        <w:tc>
          <w:tcPr>
            <w:tcW w:w="236" w:type="dxa"/>
            <w:tcBorders>
              <w:top w:val="nil"/>
              <w:left w:val="nil"/>
              <w:bottom w:val="single" w:sz="4" w:space="0" w:color="auto"/>
              <w:right w:val="single" w:sz="4" w:space="0" w:color="auto"/>
            </w:tcBorders>
            <w:shd w:val="clear" w:color="auto" w:fill="auto"/>
            <w:noWrap/>
            <w:hideMark/>
          </w:tcPr>
          <w:p w14:paraId="1ED3477E"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15.2%</w:t>
            </w:r>
          </w:p>
        </w:tc>
      </w:tr>
      <w:tr w:rsidR="00864EB7" w:rsidRPr="00A25103" w14:paraId="54D18834"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52483764"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Trauma</w:t>
            </w:r>
          </w:p>
        </w:tc>
        <w:tc>
          <w:tcPr>
            <w:tcW w:w="1170" w:type="dxa"/>
            <w:tcBorders>
              <w:top w:val="nil"/>
              <w:left w:val="nil"/>
              <w:bottom w:val="single" w:sz="4" w:space="0" w:color="auto"/>
              <w:right w:val="single" w:sz="4" w:space="0" w:color="auto"/>
            </w:tcBorders>
            <w:shd w:val="clear" w:color="auto" w:fill="auto"/>
            <w:noWrap/>
            <w:hideMark/>
          </w:tcPr>
          <w:p w14:paraId="3781CB40"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895</w:t>
            </w:r>
          </w:p>
        </w:tc>
        <w:tc>
          <w:tcPr>
            <w:tcW w:w="1080" w:type="dxa"/>
            <w:tcBorders>
              <w:top w:val="nil"/>
              <w:left w:val="nil"/>
              <w:bottom w:val="single" w:sz="4" w:space="0" w:color="auto"/>
              <w:right w:val="single" w:sz="4" w:space="0" w:color="auto"/>
            </w:tcBorders>
            <w:shd w:val="clear" w:color="auto" w:fill="auto"/>
            <w:noWrap/>
            <w:hideMark/>
          </w:tcPr>
          <w:p w14:paraId="095F1A83"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944</w:t>
            </w:r>
          </w:p>
        </w:tc>
        <w:tc>
          <w:tcPr>
            <w:tcW w:w="1147" w:type="dxa"/>
            <w:tcBorders>
              <w:top w:val="nil"/>
              <w:left w:val="nil"/>
              <w:bottom w:val="single" w:sz="4" w:space="0" w:color="auto"/>
              <w:right w:val="single" w:sz="4" w:space="0" w:color="auto"/>
            </w:tcBorders>
            <w:shd w:val="clear" w:color="auto" w:fill="auto"/>
            <w:noWrap/>
            <w:hideMark/>
          </w:tcPr>
          <w:p w14:paraId="2088D947"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998</w:t>
            </w:r>
          </w:p>
        </w:tc>
        <w:tc>
          <w:tcPr>
            <w:tcW w:w="1167" w:type="dxa"/>
            <w:tcBorders>
              <w:top w:val="nil"/>
              <w:left w:val="nil"/>
              <w:bottom w:val="single" w:sz="4" w:space="0" w:color="auto"/>
              <w:right w:val="single" w:sz="4" w:space="0" w:color="auto"/>
            </w:tcBorders>
            <w:shd w:val="clear" w:color="auto" w:fill="auto"/>
            <w:noWrap/>
            <w:hideMark/>
          </w:tcPr>
          <w:p w14:paraId="3D04296C"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5.5%</w:t>
            </w:r>
          </w:p>
        </w:tc>
        <w:tc>
          <w:tcPr>
            <w:tcW w:w="236" w:type="dxa"/>
            <w:tcBorders>
              <w:top w:val="nil"/>
              <w:left w:val="nil"/>
              <w:bottom w:val="single" w:sz="4" w:space="0" w:color="auto"/>
              <w:right w:val="single" w:sz="4" w:space="0" w:color="auto"/>
            </w:tcBorders>
            <w:shd w:val="clear" w:color="auto" w:fill="auto"/>
            <w:noWrap/>
            <w:hideMark/>
          </w:tcPr>
          <w:p w14:paraId="63B5E9A7"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11.4%</w:t>
            </w:r>
          </w:p>
        </w:tc>
      </w:tr>
      <w:tr w:rsidR="00864EB7" w:rsidRPr="00A25103" w14:paraId="1887904E"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0563193F"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ENT</w:t>
            </w:r>
          </w:p>
        </w:tc>
        <w:tc>
          <w:tcPr>
            <w:tcW w:w="1170" w:type="dxa"/>
            <w:tcBorders>
              <w:top w:val="nil"/>
              <w:left w:val="nil"/>
              <w:bottom w:val="single" w:sz="4" w:space="0" w:color="auto"/>
              <w:right w:val="single" w:sz="4" w:space="0" w:color="auto"/>
            </w:tcBorders>
            <w:shd w:val="clear" w:color="auto" w:fill="auto"/>
            <w:noWrap/>
            <w:hideMark/>
          </w:tcPr>
          <w:p w14:paraId="45CC3E02"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10,379</w:t>
            </w:r>
          </w:p>
        </w:tc>
        <w:tc>
          <w:tcPr>
            <w:tcW w:w="1080" w:type="dxa"/>
            <w:tcBorders>
              <w:top w:val="nil"/>
              <w:left w:val="nil"/>
              <w:bottom w:val="single" w:sz="4" w:space="0" w:color="auto"/>
              <w:right w:val="single" w:sz="4" w:space="0" w:color="auto"/>
            </w:tcBorders>
            <w:shd w:val="clear" w:color="auto" w:fill="auto"/>
            <w:noWrap/>
            <w:hideMark/>
          </w:tcPr>
          <w:p w14:paraId="4773AE70"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10,810</w:t>
            </w:r>
          </w:p>
        </w:tc>
        <w:tc>
          <w:tcPr>
            <w:tcW w:w="1147" w:type="dxa"/>
            <w:tcBorders>
              <w:top w:val="nil"/>
              <w:left w:val="nil"/>
              <w:bottom w:val="single" w:sz="4" w:space="0" w:color="auto"/>
              <w:right w:val="single" w:sz="4" w:space="0" w:color="auto"/>
            </w:tcBorders>
            <w:shd w:val="clear" w:color="auto" w:fill="auto"/>
            <w:noWrap/>
            <w:hideMark/>
          </w:tcPr>
          <w:p w14:paraId="3BF7E51D"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11,246</w:t>
            </w:r>
          </w:p>
        </w:tc>
        <w:tc>
          <w:tcPr>
            <w:tcW w:w="1167" w:type="dxa"/>
            <w:tcBorders>
              <w:top w:val="nil"/>
              <w:left w:val="nil"/>
              <w:bottom w:val="single" w:sz="4" w:space="0" w:color="auto"/>
              <w:right w:val="single" w:sz="4" w:space="0" w:color="auto"/>
            </w:tcBorders>
            <w:shd w:val="clear" w:color="auto" w:fill="auto"/>
            <w:noWrap/>
            <w:hideMark/>
          </w:tcPr>
          <w:p w14:paraId="301D6EFD"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4.1%</w:t>
            </w:r>
          </w:p>
        </w:tc>
        <w:tc>
          <w:tcPr>
            <w:tcW w:w="236" w:type="dxa"/>
            <w:tcBorders>
              <w:top w:val="nil"/>
              <w:left w:val="nil"/>
              <w:bottom w:val="single" w:sz="4" w:space="0" w:color="auto"/>
              <w:right w:val="single" w:sz="4" w:space="0" w:color="auto"/>
            </w:tcBorders>
            <w:shd w:val="clear" w:color="auto" w:fill="auto"/>
            <w:noWrap/>
            <w:hideMark/>
          </w:tcPr>
          <w:p w14:paraId="7437B780"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8.4%</w:t>
            </w:r>
          </w:p>
        </w:tc>
      </w:tr>
      <w:tr w:rsidR="00864EB7" w:rsidRPr="00A25103" w14:paraId="02ADA83E"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23B7BBE8"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Dermatology</w:t>
            </w:r>
          </w:p>
        </w:tc>
        <w:tc>
          <w:tcPr>
            <w:tcW w:w="1170" w:type="dxa"/>
            <w:tcBorders>
              <w:top w:val="nil"/>
              <w:left w:val="nil"/>
              <w:bottom w:val="single" w:sz="4" w:space="0" w:color="auto"/>
              <w:right w:val="single" w:sz="4" w:space="0" w:color="auto"/>
            </w:tcBorders>
            <w:shd w:val="clear" w:color="auto" w:fill="auto"/>
            <w:noWrap/>
            <w:hideMark/>
          </w:tcPr>
          <w:p w14:paraId="5AB07644"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5,515</w:t>
            </w:r>
          </w:p>
        </w:tc>
        <w:tc>
          <w:tcPr>
            <w:tcW w:w="1080" w:type="dxa"/>
            <w:tcBorders>
              <w:top w:val="nil"/>
              <w:left w:val="nil"/>
              <w:bottom w:val="single" w:sz="4" w:space="0" w:color="auto"/>
              <w:right w:val="single" w:sz="4" w:space="0" w:color="auto"/>
            </w:tcBorders>
            <w:shd w:val="clear" w:color="auto" w:fill="auto"/>
            <w:noWrap/>
            <w:hideMark/>
          </w:tcPr>
          <w:p w14:paraId="3EB5F761"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5,743</w:t>
            </w:r>
          </w:p>
        </w:tc>
        <w:tc>
          <w:tcPr>
            <w:tcW w:w="1147" w:type="dxa"/>
            <w:tcBorders>
              <w:top w:val="nil"/>
              <w:left w:val="nil"/>
              <w:bottom w:val="single" w:sz="4" w:space="0" w:color="auto"/>
              <w:right w:val="single" w:sz="4" w:space="0" w:color="auto"/>
            </w:tcBorders>
            <w:shd w:val="clear" w:color="auto" w:fill="auto"/>
            <w:noWrap/>
            <w:hideMark/>
          </w:tcPr>
          <w:p w14:paraId="65E0148F"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5,934</w:t>
            </w:r>
          </w:p>
        </w:tc>
        <w:tc>
          <w:tcPr>
            <w:tcW w:w="1167" w:type="dxa"/>
            <w:tcBorders>
              <w:top w:val="nil"/>
              <w:left w:val="nil"/>
              <w:bottom w:val="single" w:sz="4" w:space="0" w:color="auto"/>
              <w:right w:val="single" w:sz="4" w:space="0" w:color="auto"/>
            </w:tcBorders>
            <w:shd w:val="clear" w:color="auto" w:fill="auto"/>
            <w:noWrap/>
            <w:hideMark/>
          </w:tcPr>
          <w:p w14:paraId="6081A75C"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4.1%</w:t>
            </w:r>
          </w:p>
        </w:tc>
        <w:tc>
          <w:tcPr>
            <w:tcW w:w="236" w:type="dxa"/>
            <w:tcBorders>
              <w:top w:val="nil"/>
              <w:left w:val="nil"/>
              <w:bottom w:val="single" w:sz="4" w:space="0" w:color="auto"/>
              <w:right w:val="single" w:sz="4" w:space="0" w:color="auto"/>
            </w:tcBorders>
            <w:shd w:val="clear" w:color="auto" w:fill="auto"/>
            <w:noWrap/>
            <w:hideMark/>
          </w:tcPr>
          <w:p w14:paraId="68FE6676"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7.6%</w:t>
            </w:r>
          </w:p>
        </w:tc>
      </w:tr>
      <w:tr w:rsidR="00864EB7" w:rsidRPr="00A25103" w14:paraId="0A65BB8C"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5B1C112A"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Urology</w:t>
            </w:r>
          </w:p>
        </w:tc>
        <w:tc>
          <w:tcPr>
            <w:tcW w:w="1170" w:type="dxa"/>
            <w:tcBorders>
              <w:top w:val="nil"/>
              <w:left w:val="nil"/>
              <w:bottom w:val="single" w:sz="4" w:space="0" w:color="auto"/>
              <w:right w:val="single" w:sz="4" w:space="0" w:color="auto"/>
            </w:tcBorders>
            <w:shd w:val="clear" w:color="auto" w:fill="auto"/>
            <w:noWrap/>
            <w:hideMark/>
          </w:tcPr>
          <w:p w14:paraId="5ECB4C67"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6,328</w:t>
            </w:r>
          </w:p>
        </w:tc>
        <w:tc>
          <w:tcPr>
            <w:tcW w:w="1080" w:type="dxa"/>
            <w:tcBorders>
              <w:top w:val="nil"/>
              <w:left w:val="nil"/>
              <w:bottom w:val="single" w:sz="4" w:space="0" w:color="auto"/>
              <w:right w:val="single" w:sz="4" w:space="0" w:color="auto"/>
            </w:tcBorders>
            <w:shd w:val="clear" w:color="auto" w:fill="auto"/>
            <w:noWrap/>
            <w:hideMark/>
          </w:tcPr>
          <w:p w14:paraId="383EFB96"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6,596</w:t>
            </w:r>
          </w:p>
        </w:tc>
        <w:tc>
          <w:tcPr>
            <w:tcW w:w="1147" w:type="dxa"/>
            <w:tcBorders>
              <w:top w:val="nil"/>
              <w:left w:val="nil"/>
              <w:bottom w:val="single" w:sz="4" w:space="0" w:color="auto"/>
              <w:right w:val="single" w:sz="4" w:space="0" w:color="auto"/>
            </w:tcBorders>
            <w:shd w:val="clear" w:color="auto" w:fill="auto"/>
            <w:noWrap/>
            <w:hideMark/>
          </w:tcPr>
          <w:p w14:paraId="6346801C"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6,752</w:t>
            </w:r>
          </w:p>
        </w:tc>
        <w:tc>
          <w:tcPr>
            <w:tcW w:w="1167" w:type="dxa"/>
            <w:tcBorders>
              <w:top w:val="nil"/>
              <w:left w:val="nil"/>
              <w:bottom w:val="single" w:sz="4" w:space="0" w:color="auto"/>
              <w:right w:val="single" w:sz="4" w:space="0" w:color="auto"/>
            </w:tcBorders>
            <w:shd w:val="clear" w:color="auto" w:fill="auto"/>
            <w:noWrap/>
            <w:hideMark/>
          </w:tcPr>
          <w:p w14:paraId="22AD8B1D"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4.2%</w:t>
            </w:r>
          </w:p>
        </w:tc>
        <w:tc>
          <w:tcPr>
            <w:tcW w:w="236" w:type="dxa"/>
            <w:tcBorders>
              <w:top w:val="nil"/>
              <w:left w:val="nil"/>
              <w:bottom w:val="single" w:sz="4" w:space="0" w:color="auto"/>
              <w:right w:val="single" w:sz="4" w:space="0" w:color="auto"/>
            </w:tcBorders>
            <w:shd w:val="clear" w:color="auto" w:fill="auto"/>
            <w:noWrap/>
            <w:hideMark/>
          </w:tcPr>
          <w:p w14:paraId="76BEA250"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6.7%</w:t>
            </w:r>
          </w:p>
        </w:tc>
      </w:tr>
      <w:tr w:rsidR="00864EB7" w:rsidRPr="00A25103" w14:paraId="26288476"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7BD88D4C"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Cosmetic Procedures</w:t>
            </w:r>
          </w:p>
        </w:tc>
        <w:tc>
          <w:tcPr>
            <w:tcW w:w="1170" w:type="dxa"/>
            <w:tcBorders>
              <w:top w:val="nil"/>
              <w:left w:val="nil"/>
              <w:bottom w:val="single" w:sz="4" w:space="0" w:color="auto"/>
              <w:right w:val="single" w:sz="4" w:space="0" w:color="auto"/>
            </w:tcBorders>
            <w:shd w:val="clear" w:color="auto" w:fill="auto"/>
            <w:noWrap/>
            <w:hideMark/>
          </w:tcPr>
          <w:p w14:paraId="3DB19997"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4,173</w:t>
            </w:r>
          </w:p>
        </w:tc>
        <w:tc>
          <w:tcPr>
            <w:tcW w:w="1080" w:type="dxa"/>
            <w:tcBorders>
              <w:top w:val="nil"/>
              <w:left w:val="nil"/>
              <w:bottom w:val="single" w:sz="4" w:space="0" w:color="auto"/>
              <w:right w:val="single" w:sz="4" w:space="0" w:color="auto"/>
            </w:tcBorders>
            <w:shd w:val="clear" w:color="auto" w:fill="auto"/>
            <w:noWrap/>
            <w:hideMark/>
          </w:tcPr>
          <w:p w14:paraId="615E0ECB"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4,322</w:t>
            </w:r>
          </w:p>
        </w:tc>
        <w:tc>
          <w:tcPr>
            <w:tcW w:w="1147" w:type="dxa"/>
            <w:tcBorders>
              <w:top w:val="nil"/>
              <w:left w:val="nil"/>
              <w:bottom w:val="single" w:sz="4" w:space="0" w:color="auto"/>
              <w:right w:val="single" w:sz="4" w:space="0" w:color="auto"/>
            </w:tcBorders>
            <w:shd w:val="clear" w:color="auto" w:fill="auto"/>
            <w:noWrap/>
            <w:hideMark/>
          </w:tcPr>
          <w:p w14:paraId="706A72E3"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4,344</w:t>
            </w:r>
          </w:p>
        </w:tc>
        <w:tc>
          <w:tcPr>
            <w:tcW w:w="1167" w:type="dxa"/>
            <w:tcBorders>
              <w:top w:val="nil"/>
              <w:left w:val="nil"/>
              <w:bottom w:val="single" w:sz="4" w:space="0" w:color="auto"/>
              <w:right w:val="single" w:sz="4" w:space="0" w:color="auto"/>
            </w:tcBorders>
            <w:shd w:val="clear" w:color="auto" w:fill="auto"/>
            <w:noWrap/>
            <w:hideMark/>
          </w:tcPr>
          <w:p w14:paraId="3EC652F2"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3.6%</w:t>
            </w:r>
          </w:p>
        </w:tc>
        <w:tc>
          <w:tcPr>
            <w:tcW w:w="236" w:type="dxa"/>
            <w:tcBorders>
              <w:top w:val="nil"/>
              <w:left w:val="nil"/>
              <w:bottom w:val="single" w:sz="4" w:space="0" w:color="auto"/>
              <w:right w:val="single" w:sz="4" w:space="0" w:color="auto"/>
            </w:tcBorders>
            <w:shd w:val="clear" w:color="auto" w:fill="auto"/>
            <w:noWrap/>
            <w:hideMark/>
          </w:tcPr>
          <w:p w14:paraId="5968D7B8"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4.1%</w:t>
            </w:r>
          </w:p>
        </w:tc>
      </w:tr>
      <w:tr w:rsidR="00864EB7" w:rsidRPr="00A25103" w14:paraId="4D41F2CE"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7B6E7BCE"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Gynecology</w:t>
            </w:r>
          </w:p>
        </w:tc>
        <w:tc>
          <w:tcPr>
            <w:tcW w:w="1170" w:type="dxa"/>
            <w:tcBorders>
              <w:top w:val="nil"/>
              <w:left w:val="nil"/>
              <w:bottom w:val="single" w:sz="4" w:space="0" w:color="auto"/>
              <w:right w:val="single" w:sz="4" w:space="0" w:color="auto"/>
            </w:tcBorders>
            <w:shd w:val="clear" w:color="auto" w:fill="auto"/>
            <w:noWrap/>
            <w:hideMark/>
          </w:tcPr>
          <w:p w14:paraId="58907EFA"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2,567</w:t>
            </w:r>
          </w:p>
        </w:tc>
        <w:tc>
          <w:tcPr>
            <w:tcW w:w="1080" w:type="dxa"/>
            <w:tcBorders>
              <w:top w:val="nil"/>
              <w:left w:val="nil"/>
              <w:bottom w:val="single" w:sz="4" w:space="0" w:color="auto"/>
              <w:right w:val="single" w:sz="4" w:space="0" w:color="auto"/>
            </w:tcBorders>
            <w:shd w:val="clear" w:color="auto" w:fill="auto"/>
            <w:noWrap/>
            <w:hideMark/>
          </w:tcPr>
          <w:p w14:paraId="3A642173"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2,583</w:t>
            </w:r>
          </w:p>
        </w:tc>
        <w:tc>
          <w:tcPr>
            <w:tcW w:w="1147" w:type="dxa"/>
            <w:tcBorders>
              <w:top w:val="nil"/>
              <w:left w:val="nil"/>
              <w:bottom w:val="single" w:sz="4" w:space="0" w:color="auto"/>
              <w:right w:val="single" w:sz="4" w:space="0" w:color="auto"/>
            </w:tcBorders>
            <w:shd w:val="clear" w:color="auto" w:fill="auto"/>
            <w:noWrap/>
            <w:hideMark/>
          </w:tcPr>
          <w:p w14:paraId="2E641072"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2,644</w:t>
            </w:r>
          </w:p>
        </w:tc>
        <w:tc>
          <w:tcPr>
            <w:tcW w:w="1167" w:type="dxa"/>
            <w:tcBorders>
              <w:top w:val="nil"/>
              <w:left w:val="nil"/>
              <w:bottom w:val="single" w:sz="4" w:space="0" w:color="auto"/>
              <w:right w:val="single" w:sz="4" w:space="0" w:color="auto"/>
            </w:tcBorders>
            <w:shd w:val="clear" w:color="auto" w:fill="auto"/>
            <w:noWrap/>
            <w:hideMark/>
          </w:tcPr>
          <w:p w14:paraId="4FD7ACD2"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0.6%</w:t>
            </w:r>
          </w:p>
        </w:tc>
        <w:tc>
          <w:tcPr>
            <w:tcW w:w="236" w:type="dxa"/>
            <w:tcBorders>
              <w:top w:val="nil"/>
              <w:left w:val="nil"/>
              <w:bottom w:val="single" w:sz="4" w:space="0" w:color="auto"/>
              <w:right w:val="single" w:sz="4" w:space="0" w:color="auto"/>
            </w:tcBorders>
            <w:shd w:val="clear" w:color="auto" w:fill="auto"/>
            <w:noWrap/>
            <w:hideMark/>
          </w:tcPr>
          <w:p w14:paraId="200DD21A"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3.0%</w:t>
            </w:r>
          </w:p>
        </w:tc>
      </w:tr>
      <w:tr w:rsidR="00864EB7" w:rsidRPr="00A25103" w14:paraId="76FAA9D4" w14:textId="77777777" w:rsidTr="00FA01E3">
        <w:trPr>
          <w:cantSplit/>
          <w:trHeight w:val="310"/>
          <w:jc w:val="center"/>
        </w:trPr>
        <w:tc>
          <w:tcPr>
            <w:tcW w:w="2430" w:type="dxa"/>
            <w:tcBorders>
              <w:top w:val="nil"/>
              <w:left w:val="single" w:sz="4" w:space="0" w:color="auto"/>
              <w:bottom w:val="single" w:sz="4" w:space="0" w:color="auto"/>
              <w:right w:val="single" w:sz="4" w:space="0" w:color="auto"/>
            </w:tcBorders>
            <w:shd w:val="clear" w:color="auto" w:fill="auto"/>
            <w:noWrap/>
            <w:hideMark/>
          </w:tcPr>
          <w:p w14:paraId="760CADFC" w14:textId="77777777" w:rsidR="00864EB7" w:rsidRPr="00A25103" w:rsidRDefault="00864EB7" w:rsidP="005F5060">
            <w:pPr>
              <w:rPr>
                <w:rFonts w:ascii="Calibri" w:eastAsia="Times New Roman" w:hAnsi="Calibri" w:cs="Calibri"/>
                <w:color w:val="000000"/>
              </w:rPr>
            </w:pPr>
            <w:r w:rsidRPr="00A25103">
              <w:rPr>
                <w:rFonts w:ascii="Calibri" w:eastAsia="Times New Roman" w:hAnsi="Calibri" w:cs="Calibri"/>
                <w:color w:val="000000"/>
              </w:rPr>
              <w:t>Thoracic Surgery</w:t>
            </w:r>
          </w:p>
        </w:tc>
        <w:tc>
          <w:tcPr>
            <w:tcW w:w="1170" w:type="dxa"/>
            <w:tcBorders>
              <w:top w:val="nil"/>
              <w:left w:val="nil"/>
              <w:bottom w:val="single" w:sz="4" w:space="0" w:color="auto"/>
              <w:right w:val="single" w:sz="4" w:space="0" w:color="auto"/>
            </w:tcBorders>
            <w:shd w:val="clear" w:color="auto" w:fill="auto"/>
            <w:noWrap/>
            <w:hideMark/>
          </w:tcPr>
          <w:p w14:paraId="5F7BA4FD"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103</w:t>
            </w:r>
          </w:p>
        </w:tc>
        <w:tc>
          <w:tcPr>
            <w:tcW w:w="1080" w:type="dxa"/>
            <w:tcBorders>
              <w:top w:val="nil"/>
              <w:left w:val="nil"/>
              <w:bottom w:val="single" w:sz="4" w:space="0" w:color="auto"/>
              <w:right w:val="single" w:sz="4" w:space="0" w:color="auto"/>
            </w:tcBorders>
            <w:shd w:val="clear" w:color="auto" w:fill="auto"/>
            <w:noWrap/>
            <w:hideMark/>
          </w:tcPr>
          <w:p w14:paraId="25757546"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106</w:t>
            </w:r>
          </w:p>
        </w:tc>
        <w:tc>
          <w:tcPr>
            <w:tcW w:w="1147" w:type="dxa"/>
            <w:tcBorders>
              <w:top w:val="nil"/>
              <w:left w:val="nil"/>
              <w:bottom w:val="single" w:sz="4" w:space="0" w:color="auto"/>
              <w:right w:val="single" w:sz="4" w:space="0" w:color="auto"/>
            </w:tcBorders>
            <w:shd w:val="clear" w:color="auto" w:fill="auto"/>
            <w:noWrap/>
            <w:hideMark/>
          </w:tcPr>
          <w:p w14:paraId="2620BF78"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105</w:t>
            </w:r>
          </w:p>
        </w:tc>
        <w:tc>
          <w:tcPr>
            <w:tcW w:w="1167" w:type="dxa"/>
            <w:tcBorders>
              <w:top w:val="nil"/>
              <w:left w:val="nil"/>
              <w:bottom w:val="single" w:sz="4" w:space="0" w:color="auto"/>
              <w:right w:val="single" w:sz="4" w:space="0" w:color="auto"/>
            </w:tcBorders>
            <w:shd w:val="clear" w:color="auto" w:fill="auto"/>
            <w:noWrap/>
            <w:hideMark/>
          </w:tcPr>
          <w:p w14:paraId="515E2B8B"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3.3%</w:t>
            </w:r>
          </w:p>
        </w:tc>
        <w:tc>
          <w:tcPr>
            <w:tcW w:w="236" w:type="dxa"/>
            <w:tcBorders>
              <w:top w:val="nil"/>
              <w:left w:val="nil"/>
              <w:bottom w:val="single" w:sz="4" w:space="0" w:color="auto"/>
              <w:right w:val="single" w:sz="4" w:space="0" w:color="auto"/>
            </w:tcBorders>
            <w:shd w:val="clear" w:color="auto" w:fill="auto"/>
            <w:noWrap/>
            <w:hideMark/>
          </w:tcPr>
          <w:p w14:paraId="24B9623E" w14:textId="77777777" w:rsidR="00864EB7" w:rsidRPr="00A25103" w:rsidRDefault="00864EB7" w:rsidP="005F5060">
            <w:pPr>
              <w:jc w:val="right"/>
              <w:rPr>
                <w:rFonts w:ascii="Calibri" w:eastAsia="Times New Roman" w:hAnsi="Calibri" w:cs="Calibri"/>
                <w:color w:val="000000"/>
              </w:rPr>
            </w:pPr>
            <w:r w:rsidRPr="00A25103">
              <w:rPr>
                <w:rFonts w:ascii="Calibri" w:eastAsia="Times New Roman" w:hAnsi="Calibri" w:cs="Calibri"/>
                <w:color w:val="000000"/>
              </w:rPr>
              <w:t>2.0%</w:t>
            </w:r>
          </w:p>
        </w:tc>
      </w:tr>
    </w:tbl>
    <w:p w14:paraId="09522AE5" w14:textId="77777777" w:rsidR="00864EB7" w:rsidRDefault="00864EB7" w:rsidP="00864EB7">
      <w:pPr>
        <w:rPr>
          <w:rFonts w:ascii="Calibri" w:eastAsia="Arial" w:hAnsi="Calibri" w:cs="Calibri"/>
          <w:color w:val="000000"/>
          <w:spacing w:val="-1"/>
        </w:rPr>
      </w:pPr>
    </w:p>
    <w:p w14:paraId="4148E6FB" w14:textId="77777777" w:rsidR="00941A5E" w:rsidRDefault="00941A5E" w:rsidP="00864EB7">
      <w:pPr>
        <w:rPr>
          <w:rFonts w:ascii="Calibri" w:eastAsia="Arial" w:hAnsi="Calibri" w:cs="Calibri"/>
          <w:color w:val="000000"/>
          <w:spacing w:val="-1"/>
        </w:rPr>
      </w:pPr>
    </w:p>
    <w:p w14:paraId="2A1731D5" w14:textId="77777777" w:rsidR="00941A5E" w:rsidRDefault="00941A5E" w:rsidP="00864EB7">
      <w:pPr>
        <w:rPr>
          <w:rFonts w:ascii="Calibri" w:eastAsia="Arial" w:hAnsi="Calibri" w:cs="Calibri"/>
          <w:color w:val="000000"/>
          <w:spacing w:val="-1"/>
        </w:rPr>
      </w:pPr>
    </w:p>
    <w:p w14:paraId="5935C8CF" w14:textId="77777777" w:rsidR="00941A5E" w:rsidRPr="00A25103" w:rsidRDefault="00941A5E" w:rsidP="00864EB7">
      <w:pPr>
        <w:rPr>
          <w:rFonts w:ascii="Calibri" w:eastAsia="Arial" w:hAnsi="Calibri" w:cs="Calibri"/>
          <w:color w:val="000000"/>
          <w:spacing w:val="-1"/>
        </w:rPr>
      </w:pPr>
    </w:p>
    <w:p w14:paraId="30D3905C" w14:textId="08DD2A4A" w:rsidR="00E6441C" w:rsidRPr="00564A03" w:rsidRDefault="00253F08" w:rsidP="00941A5E">
      <w:pPr>
        <w:pStyle w:val="ListParagraph"/>
        <w:numPr>
          <w:ilvl w:val="0"/>
          <w:numId w:val="48"/>
        </w:numPr>
        <w:spacing w:after="0" w:line="240" w:lineRule="auto"/>
        <w:rPr>
          <w:rFonts w:eastAsia="Arial"/>
          <w:b/>
          <w:bCs/>
          <w:color w:val="000000"/>
          <w:spacing w:val="-1"/>
        </w:rPr>
      </w:pPr>
      <w:r w:rsidRPr="00564A03">
        <w:rPr>
          <w:rFonts w:eastAsia="Arial"/>
          <w:b/>
          <w:bCs/>
          <w:color w:val="000000"/>
          <w:spacing w:val="-1"/>
          <w:sz w:val="24"/>
          <w:szCs w:val="24"/>
        </w:rPr>
        <w:t xml:space="preserve">Need </w:t>
      </w:r>
      <w:r w:rsidR="00564A03">
        <w:rPr>
          <w:rFonts w:eastAsia="Arial"/>
          <w:b/>
          <w:bCs/>
          <w:color w:val="000000"/>
          <w:spacing w:val="-1"/>
          <w:sz w:val="24"/>
          <w:szCs w:val="24"/>
        </w:rPr>
        <w:t>t</w:t>
      </w:r>
      <w:r w:rsidR="00F5391E" w:rsidRPr="00564A03">
        <w:rPr>
          <w:rFonts w:eastAsia="Arial"/>
          <w:b/>
          <w:bCs/>
          <w:color w:val="000000"/>
          <w:spacing w:val="-1"/>
          <w:sz w:val="24"/>
          <w:szCs w:val="24"/>
        </w:rPr>
        <w:t xml:space="preserve">o Improve </w:t>
      </w:r>
      <w:r w:rsidR="00F23A7F" w:rsidRPr="00564A03">
        <w:rPr>
          <w:rFonts w:eastAsia="Arial"/>
          <w:b/>
          <w:bCs/>
          <w:color w:val="000000"/>
          <w:spacing w:val="-1"/>
          <w:sz w:val="24"/>
          <w:szCs w:val="24"/>
        </w:rPr>
        <w:t xml:space="preserve">Access to </w:t>
      </w:r>
      <w:r w:rsidR="00DC781E" w:rsidRPr="00564A03">
        <w:rPr>
          <w:rFonts w:eastAsia="Arial"/>
          <w:b/>
          <w:bCs/>
          <w:color w:val="000000"/>
          <w:spacing w:val="-1"/>
          <w:sz w:val="24"/>
          <w:szCs w:val="24"/>
        </w:rPr>
        <w:t>and Management</w:t>
      </w:r>
      <w:r w:rsidR="00F5391E" w:rsidRPr="00564A03">
        <w:rPr>
          <w:rFonts w:eastAsia="Arial"/>
          <w:b/>
          <w:bCs/>
          <w:color w:val="000000"/>
          <w:spacing w:val="-1"/>
          <w:sz w:val="24"/>
          <w:szCs w:val="24"/>
        </w:rPr>
        <w:t xml:space="preserve"> </w:t>
      </w:r>
      <w:r w:rsidR="006E7000" w:rsidRPr="00564A03">
        <w:rPr>
          <w:rFonts w:eastAsia="Arial"/>
          <w:b/>
          <w:bCs/>
          <w:color w:val="000000"/>
          <w:spacing w:val="-1"/>
          <w:sz w:val="24"/>
          <w:szCs w:val="24"/>
        </w:rPr>
        <w:t>of</w:t>
      </w:r>
      <w:r w:rsidR="00F5391E" w:rsidRPr="00564A03">
        <w:rPr>
          <w:rFonts w:eastAsia="Arial"/>
          <w:b/>
          <w:bCs/>
          <w:color w:val="000000"/>
          <w:spacing w:val="-1"/>
          <w:sz w:val="24"/>
          <w:szCs w:val="24"/>
        </w:rPr>
        <w:t xml:space="preserve"> </w:t>
      </w:r>
      <w:r w:rsidR="005F69E8" w:rsidRPr="00564A03">
        <w:rPr>
          <w:rFonts w:eastAsia="Arial"/>
          <w:b/>
          <w:bCs/>
          <w:color w:val="000000"/>
          <w:spacing w:val="-1"/>
          <w:sz w:val="24"/>
          <w:szCs w:val="24"/>
        </w:rPr>
        <w:t xml:space="preserve">Patients enrolled in </w:t>
      </w:r>
      <w:r w:rsidRPr="00564A03">
        <w:rPr>
          <w:rFonts w:eastAsia="Arial"/>
          <w:b/>
          <w:bCs/>
          <w:color w:val="000000"/>
          <w:spacing w:val="-1"/>
          <w:sz w:val="24"/>
          <w:szCs w:val="24"/>
        </w:rPr>
        <w:t xml:space="preserve">ACO </w:t>
      </w:r>
      <w:r w:rsidR="00F23A7F" w:rsidRPr="00564A03">
        <w:rPr>
          <w:rFonts w:eastAsia="Arial"/>
          <w:b/>
          <w:bCs/>
          <w:color w:val="000000"/>
          <w:spacing w:val="-1"/>
          <w:sz w:val="24"/>
          <w:szCs w:val="24"/>
        </w:rPr>
        <w:t xml:space="preserve">and Public </w:t>
      </w:r>
      <w:r w:rsidR="005F69E8" w:rsidRPr="00564A03">
        <w:rPr>
          <w:rFonts w:eastAsia="Arial"/>
          <w:b/>
          <w:bCs/>
          <w:color w:val="000000"/>
          <w:spacing w:val="-1"/>
          <w:sz w:val="24"/>
          <w:szCs w:val="24"/>
        </w:rPr>
        <w:t>Plans</w:t>
      </w:r>
    </w:p>
    <w:p w14:paraId="4B2BF277" w14:textId="77777777" w:rsidR="00F5391E" w:rsidRDefault="00F5391E" w:rsidP="00297417">
      <w:pPr>
        <w:rPr>
          <w:rFonts w:eastAsia="Arial"/>
          <w:b/>
          <w:bCs/>
          <w:color w:val="000000"/>
          <w:spacing w:val="-1"/>
        </w:rPr>
      </w:pPr>
    </w:p>
    <w:p w14:paraId="70C8FCAB" w14:textId="64FD6AA0" w:rsidR="00F5391E" w:rsidRPr="00F5391E" w:rsidRDefault="00F5391E" w:rsidP="00F5391E">
      <w:pPr>
        <w:autoSpaceDE w:val="0"/>
        <w:autoSpaceDN w:val="0"/>
        <w:spacing w:after="240"/>
        <w:rPr>
          <w:rFonts w:ascii="Calibri" w:eastAsia="Arial" w:hAnsi="Calibri" w:cs="Calibri"/>
          <w:color w:val="000000"/>
        </w:rPr>
      </w:pPr>
      <w:r>
        <w:rPr>
          <w:rFonts w:ascii="Calibri" w:eastAsia="Arial" w:hAnsi="Calibri" w:cs="Calibri"/>
          <w:color w:val="000000"/>
        </w:rPr>
        <w:t>T</w:t>
      </w:r>
      <w:r w:rsidRPr="00F5391E">
        <w:rPr>
          <w:rFonts w:ascii="Calibri" w:eastAsia="Arial" w:hAnsi="Calibri" w:cs="Calibri"/>
          <w:color w:val="000000"/>
        </w:rPr>
        <w:t xml:space="preserve">hrough its direct subsidiaries Southcoast Health Network, LLC (“SHN”) and Southcoast Accountable Care Organization, LLC (“SACO”), </w:t>
      </w:r>
      <w:r>
        <w:rPr>
          <w:rFonts w:ascii="Calibri" w:eastAsia="Arial" w:hAnsi="Calibri" w:cs="Calibri"/>
          <w:color w:val="000000"/>
        </w:rPr>
        <w:t>t</w:t>
      </w:r>
      <w:r w:rsidRPr="00F5391E">
        <w:rPr>
          <w:rFonts w:ascii="Calibri" w:eastAsia="Arial" w:hAnsi="Calibri" w:cs="Calibri"/>
          <w:color w:val="000000"/>
        </w:rPr>
        <w:t>he Applicant, is a Health Policy Commission (“HPC”) certified ACO</w:t>
      </w:r>
      <w:r w:rsidR="00DC781E">
        <w:rPr>
          <w:rFonts w:ascii="Calibri" w:eastAsia="Arial" w:hAnsi="Calibri" w:cs="Calibri"/>
          <w:color w:val="000000"/>
        </w:rPr>
        <w:t xml:space="preserve"> and </w:t>
      </w:r>
      <w:r w:rsidRPr="00F5391E">
        <w:rPr>
          <w:rFonts w:ascii="Calibri" w:eastAsia="Arial" w:hAnsi="Calibri" w:cs="Calibri"/>
          <w:color w:val="000000"/>
        </w:rPr>
        <w:t>provides population health support and resources to its members, including</w:t>
      </w:r>
      <w:r w:rsidR="00DC781E">
        <w:rPr>
          <w:rFonts w:ascii="Calibri" w:eastAsia="Arial" w:hAnsi="Calibri" w:cs="Calibri"/>
          <w:color w:val="000000"/>
        </w:rPr>
        <w:t>,</w:t>
      </w:r>
      <w:r w:rsidRPr="00F5391E">
        <w:rPr>
          <w:rFonts w:ascii="Calibri" w:eastAsia="Arial" w:hAnsi="Calibri" w:cs="Calibri"/>
          <w:color w:val="000000"/>
        </w:rPr>
        <w:t xml:space="preserve"> participation by SHN in the MassHealth Medicaid ACO program</w:t>
      </w:r>
      <w:r w:rsidR="00DC781E">
        <w:rPr>
          <w:rFonts w:ascii="Calibri" w:eastAsia="Arial" w:hAnsi="Calibri" w:cs="Calibri"/>
          <w:color w:val="000000"/>
        </w:rPr>
        <w:t>,</w:t>
      </w:r>
      <w:r w:rsidRPr="00F5391E">
        <w:rPr>
          <w:rFonts w:ascii="Calibri" w:eastAsia="Arial" w:hAnsi="Calibri" w:cs="Calibri"/>
          <w:color w:val="000000"/>
        </w:rPr>
        <w:t xml:space="preserve"> </w:t>
      </w:r>
      <w:proofErr w:type="spellStart"/>
      <w:r w:rsidRPr="00F5391E">
        <w:rPr>
          <w:rFonts w:ascii="Calibri" w:eastAsia="Arial" w:hAnsi="Calibri" w:cs="Calibri"/>
          <w:color w:val="000000"/>
        </w:rPr>
        <w:t>WellSense</w:t>
      </w:r>
      <w:proofErr w:type="spellEnd"/>
      <w:r w:rsidRPr="00F5391E">
        <w:rPr>
          <w:rFonts w:ascii="Calibri" w:eastAsia="Arial" w:hAnsi="Calibri" w:cs="Calibri"/>
          <w:color w:val="000000"/>
        </w:rPr>
        <w:t xml:space="preserve"> Health Plan </w:t>
      </w:r>
      <w:r w:rsidRPr="00F5391E">
        <w:rPr>
          <w:rFonts w:ascii="Calibri" w:eastAsia="Calibri" w:hAnsi="Calibri" w:cs="Times New Roman"/>
        </w:rPr>
        <w:t>f/k/a BMC HealthNet,</w:t>
      </w:r>
      <w:r w:rsidRPr="00F5391E">
        <w:rPr>
          <w:rFonts w:ascii="Calibri" w:eastAsia="Calibri" w:hAnsi="Calibri" w:cs="Times New Roman"/>
          <w:sz w:val="16"/>
          <w:szCs w:val="16"/>
        </w:rPr>
        <w:t xml:space="preserve"> </w:t>
      </w:r>
      <w:r w:rsidRPr="00F5391E">
        <w:rPr>
          <w:rFonts w:ascii="Calibri" w:eastAsia="Arial" w:hAnsi="Calibri" w:cs="Calibri"/>
          <w:color w:val="000000"/>
        </w:rPr>
        <w:t>and participation by SACO in the Medicare Shared Savings Program.</w:t>
      </w:r>
      <w:r w:rsidR="0033678B" w:rsidRPr="00F5391E">
        <w:rPr>
          <w:rFonts w:ascii="Calibri" w:eastAsia="Arial" w:hAnsi="Calibri" w:cs="Calibri"/>
          <w:color w:val="000000"/>
          <w:vertAlign w:val="superscript"/>
        </w:rPr>
        <w:endnoteReference w:id="2"/>
      </w:r>
      <w:r w:rsidR="0033678B" w:rsidRPr="00F5391E">
        <w:rPr>
          <w:rFonts w:ascii="Calibri" w:eastAsia="Arial" w:hAnsi="Calibri" w:cs="Calibri"/>
          <w:color w:val="000000"/>
        </w:rPr>
        <w:t xml:space="preserve"> </w:t>
      </w:r>
      <w:r w:rsidRPr="00F5391E">
        <w:rPr>
          <w:rFonts w:ascii="Calibri" w:eastAsia="Arial" w:hAnsi="Calibri" w:cs="Calibri"/>
          <w:color w:val="000000"/>
        </w:rPr>
        <w:t xml:space="preserve"> SHN’s integrated care navigation program supports the ACOs’ most complex, highest need populations via a portfolio of services, including complex medical, behavioral, social and pregnancy care management, bridge counseling, and pharmacy navigation. </w:t>
      </w:r>
    </w:p>
    <w:p w14:paraId="6C50774F" w14:textId="1D92CBFE" w:rsidR="00E6441C" w:rsidRDefault="00F5391E" w:rsidP="002E3D19">
      <w:pPr>
        <w:autoSpaceDE w:val="0"/>
        <w:autoSpaceDN w:val="0"/>
        <w:spacing w:after="240"/>
        <w:rPr>
          <w:rFonts w:ascii="Calibri" w:eastAsia="Arial" w:hAnsi="Calibri" w:cs="Calibri"/>
          <w:color w:val="000000"/>
          <w:spacing w:val="-2"/>
        </w:rPr>
      </w:pPr>
      <w:r w:rsidRPr="0079159F">
        <w:rPr>
          <w:rFonts w:ascii="Calibri" w:eastAsia="Arial" w:hAnsi="Calibri" w:cs="Calibri"/>
          <w:color w:val="000000"/>
        </w:rPr>
        <w:t>SHS’s payer mix shows that</w:t>
      </w:r>
      <w:r w:rsidR="0079159F">
        <w:rPr>
          <w:rFonts w:ascii="Calibri" w:eastAsia="Arial" w:hAnsi="Calibri" w:cs="Calibri"/>
          <w:color w:val="000000"/>
        </w:rPr>
        <w:t xml:space="preserve"> it has a higher rate of patients covered under public plans than SDS</w:t>
      </w:r>
      <w:r w:rsidR="002E3D19">
        <w:rPr>
          <w:rFonts w:ascii="Calibri" w:eastAsia="Arial" w:hAnsi="Calibri" w:cs="Calibri"/>
          <w:color w:val="000000"/>
        </w:rPr>
        <w:t xml:space="preserve"> (respectively </w:t>
      </w:r>
      <w:r w:rsidR="002E3D19" w:rsidRPr="002E3D19">
        <w:rPr>
          <w:rFonts w:ascii="Calibri" w:eastAsia="Arial" w:hAnsi="Calibri" w:cs="Calibri"/>
          <w:color w:val="000000"/>
        </w:rPr>
        <w:t>67.6%</w:t>
      </w:r>
      <w:r w:rsidR="002E3D19">
        <w:rPr>
          <w:rFonts w:ascii="Calibri" w:eastAsia="Arial" w:hAnsi="Calibri" w:cs="Calibri"/>
          <w:color w:val="000000"/>
        </w:rPr>
        <w:t xml:space="preserve"> and </w:t>
      </w:r>
      <w:r w:rsidR="002E3D19" w:rsidRPr="002E3D19">
        <w:rPr>
          <w:rFonts w:ascii="Calibri" w:eastAsia="Arial" w:hAnsi="Calibri" w:cs="Calibri"/>
          <w:color w:val="000000"/>
        </w:rPr>
        <w:t>27.5%</w:t>
      </w:r>
      <w:r w:rsidR="00221013">
        <w:rPr>
          <w:rFonts w:ascii="Calibri" w:eastAsia="Arial" w:hAnsi="Calibri" w:cs="Calibri"/>
          <w:color w:val="000000"/>
        </w:rPr>
        <w:t xml:space="preserve">; </w:t>
      </w:r>
      <w:r w:rsidR="002E3D19">
        <w:rPr>
          <w:rFonts w:ascii="Calibri" w:eastAsia="Arial" w:hAnsi="Calibri" w:cs="Calibri"/>
          <w:color w:val="000000"/>
        </w:rPr>
        <w:t xml:space="preserve">see Table3). </w:t>
      </w:r>
      <w:r w:rsidRPr="00F5391E">
        <w:rPr>
          <w:rFonts w:ascii="Calibri" w:eastAsia="Arial" w:hAnsi="Calibri" w:cs="Calibri"/>
          <w:color w:val="000000"/>
        </w:rPr>
        <w:t>SHS’s acquisition</w:t>
      </w:r>
      <w:r w:rsidRPr="00F5391E">
        <w:rPr>
          <w:rFonts w:ascii="Calibri" w:eastAsia="Arial" w:hAnsi="Calibri" w:cs="Calibri"/>
          <w:color w:val="000000"/>
          <w:spacing w:val="-2"/>
        </w:rPr>
        <w:t xml:space="preserve"> </w:t>
      </w:r>
      <w:r w:rsidR="00740FDB">
        <w:rPr>
          <w:rFonts w:ascii="Calibri" w:eastAsia="Arial" w:hAnsi="Calibri" w:cs="Calibri"/>
          <w:color w:val="000000"/>
          <w:spacing w:val="-2"/>
        </w:rPr>
        <w:t>of</w:t>
      </w:r>
      <w:r w:rsidRPr="00F5391E">
        <w:rPr>
          <w:rFonts w:ascii="Calibri" w:eastAsia="Arial" w:hAnsi="Calibri" w:cs="Calibri"/>
          <w:color w:val="000000"/>
          <w:spacing w:val="-2"/>
        </w:rPr>
        <w:t xml:space="preserve"> SDS brings the ASC within Southcoast Health </w:t>
      </w:r>
      <w:r w:rsidR="00740FDB">
        <w:rPr>
          <w:rFonts w:ascii="Calibri" w:eastAsia="Arial" w:hAnsi="Calibri" w:cs="Calibri"/>
          <w:color w:val="000000"/>
          <w:spacing w:val="-2"/>
        </w:rPr>
        <w:t xml:space="preserve">thereby </w:t>
      </w:r>
      <w:r w:rsidRPr="00F5391E">
        <w:rPr>
          <w:rFonts w:ascii="Calibri" w:eastAsia="Arial" w:hAnsi="Calibri" w:cs="Calibri"/>
          <w:color w:val="000000"/>
          <w:spacing w:val="-2"/>
        </w:rPr>
        <w:t>allow</w:t>
      </w:r>
      <w:r w:rsidR="00740FDB">
        <w:rPr>
          <w:rFonts w:ascii="Calibri" w:eastAsia="Arial" w:hAnsi="Calibri" w:cs="Calibri"/>
          <w:color w:val="000000"/>
          <w:spacing w:val="-2"/>
        </w:rPr>
        <w:t>ing</w:t>
      </w:r>
      <w:r w:rsidRPr="00F5391E">
        <w:rPr>
          <w:rFonts w:ascii="Calibri" w:eastAsia="Arial" w:hAnsi="Calibri" w:cs="Calibri"/>
          <w:color w:val="000000"/>
          <w:spacing w:val="-2"/>
        </w:rPr>
        <w:t xml:space="preserve"> SDS to serve as a</w:t>
      </w:r>
      <w:r w:rsidR="00740FDB">
        <w:rPr>
          <w:rFonts w:ascii="Calibri" w:eastAsia="Arial" w:hAnsi="Calibri" w:cs="Calibri"/>
          <w:color w:val="000000"/>
          <w:spacing w:val="-2"/>
        </w:rPr>
        <w:t>n integrated site of care</w:t>
      </w:r>
      <w:r w:rsidRPr="00F5391E">
        <w:rPr>
          <w:rFonts w:ascii="Calibri" w:eastAsia="Arial" w:hAnsi="Calibri" w:cs="Calibri"/>
          <w:color w:val="000000"/>
          <w:spacing w:val="-2"/>
        </w:rPr>
        <w:t xml:space="preserve"> for SHS</w:t>
      </w:r>
      <w:r w:rsidR="00740FDB">
        <w:rPr>
          <w:rFonts w:ascii="Calibri" w:eastAsia="Arial" w:hAnsi="Calibri" w:cs="Calibri"/>
          <w:color w:val="000000"/>
          <w:spacing w:val="-2"/>
        </w:rPr>
        <w:t>’</w:t>
      </w:r>
      <w:r w:rsidRPr="00F5391E">
        <w:rPr>
          <w:rFonts w:ascii="Calibri" w:eastAsia="Arial" w:hAnsi="Calibri" w:cs="Calibri"/>
          <w:color w:val="000000"/>
          <w:spacing w:val="-2"/>
        </w:rPr>
        <w:t xml:space="preserve"> ACO patients </w:t>
      </w:r>
      <w:r w:rsidR="00740FDB">
        <w:rPr>
          <w:rFonts w:ascii="Calibri" w:eastAsia="Arial" w:hAnsi="Calibri" w:cs="Calibri"/>
          <w:color w:val="000000"/>
          <w:spacing w:val="-2"/>
        </w:rPr>
        <w:t xml:space="preserve">who need ASC </w:t>
      </w:r>
      <w:r w:rsidR="00C077DF">
        <w:rPr>
          <w:rFonts w:ascii="Calibri" w:eastAsia="Arial" w:hAnsi="Calibri" w:cs="Calibri"/>
          <w:color w:val="000000"/>
          <w:spacing w:val="-2"/>
        </w:rPr>
        <w:t>services and</w:t>
      </w:r>
      <w:r w:rsidR="00740FDB">
        <w:rPr>
          <w:rFonts w:ascii="Calibri" w:eastAsia="Arial" w:hAnsi="Calibri" w:cs="Calibri"/>
          <w:color w:val="000000"/>
          <w:spacing w:val="-2"/>
        </w:rPr>
        <w:t xml:space="preserve"> </w:t>
      </w:r>
      <w:r w:rsidRPr="00F5391E">
        <w:rPr>
          <w:rFonts w:ascii="Calibri" w:eastAsia="Arial" w:hAnsi="Calibri" w:cs="Calibri"/>
          <w:color w:val="000000"/>
          <w:spacing w:val="-2"/>
        </w:rPr>
        <w:t xml:space="preserve">provides patients with </w:t>
      </w:r>
      <w:r w:rsidR="00837DFA">
        <w:rPr>
          <w:rFonts w:ascii="Calibri" w:eastAsia="Arial" w:hAnsi="Calibri" w:cs="Calibri"/>
          <w:color w:val="000000"/>
          <w:spacing w:val="-2"/>
        </w:rPr>
        <w:t xml:space="preserve">improved coordination of care </w:t>
      </w:r>
      <w:r w:rsidRPr="00F5391E">
        <w:rPr>
          <w:rFonts w:ascii="Calibri" w:eastAsia="Arial" w:hAnsi="Calibri" w:cs="Calibri"/>
          <w:color w:val="000000"/>
          <w:spacing w:val="-2"/>
        </w:rPr>
        <w:t xml:space="preserve">and medical management </w:t>
      </w:r>
      <w:r w:rsidR="00837DFA">
        <w:rPr>
          <w:rFonts w:ascii="Calibri" w:eastAsia="Arial" w:hAnsi="Calibri" w:cs="Calibri"/>
          <w:color w:val="000000"/>
          <w:spacing w:val="-2"/>
        </w:rPr>
        <w:t xml:space="preserve">of </w:t>
      </w:r>
      <w:r w:rsidR="00740FDB">
        <w:rPr>
          <w:rFonts w:ascii="Calibri" w:eastAsia="Arial" w:hAnsi="Calibri" w:cs="Calibri"/>
          <w:color w:val="000000"/>
          <w:spacing w:val="-2"/>
        </w:rPr>
        <w:t xml:space="preserve">needed </w:t>
      </w:r>
      <w:r w:rsidRPr="00F5391E">
        <w:rPr>
          <w:rFonts w:ascii="Calibri" w:eastAsia="Arial" w:hAnsi="Calibri" w:cs="Calibri"/>
          <w:color w:val="000000"/>
          <w:spacing w:val="-2"/>
        </w:rPr>
        <w:t>services</w:t>
      </w:r>
      <w:r w:rsidR="00740FDB">
        <w:rPr>
          <w:rFonts w:ascii="Calibri" w:eastAsia="Arial" w:hAnsi="Calibri" w:cs="Calibri"/>
          <w:color w:val="000000"/>
          <w:spacing w:val="-2"/>
        </w:rPr>
        <w:t xml:space="preserve"> in a lower cost setting</w:t>
      </w:r>
      <w:r w:rsidR="00152B0A">
        <w:rPr>
          <w:rFonts w:ascii="Calibri" w:eastAsia="Arial" w:hAnsi="Calibri" w:cs="Calibri"/>
          <w:color w:val="000000"/>
          <w:spacing w:val="-2"/>
        </w:rPr>
        <w:t>.</w:t>
      </w:r>
      <w:r w:rsidR="00740FDB">
        <w:rPr>
          <w:rFonts w:ascii="Calibri" w:eastAsia="Arial" w:hAnsi="Calibri" w:cs="Calibri"/>
          <w:color w:val="000000"/>
          <w:spacing w:val="-2"/>
        </w:rPr>
        <w:t xml:space="preserve"> </w:t>
      </w:r>
    </w:p>
    <w:p w14:paraId="3995C735" w14:textId="09D6CA85" w:rsidR="00837DFA" w:rsidRPr="00564A03" w:rsidRDefault="00837DFA" w:rsidP="00941A5E">
      <w:pPr>
        <w:pStyle w:val="ListParagraph"/>
        <w:numPr>
          <w:ilvl w:val="0"/>
          <w:numId w:val="48"/>
        </w:numPr>
        <w:autoSpaceDE w:val="0"/>
        <w:autoSpaceDN w:val="0"/>
        <w:spacing w:after="240" w:line="240" w:lineRule="auto"/>
        <w:rPr>
          <w:rFonts w:ascii="Calibri" w:eastAsia="Arial" w:hAnsi="Calibri" w:cs="Calibri"/>
          <w:b/>
          <w:bCs/>
          <w:color w:val="000000"/>
          <w:spacing w:val="-2"/>
        </w:rPr>
      </w:pPr>
      <w:r w:rsidRPr="00564A03">
        <w:rPr>
          <w:rFonts w:ascii="Calibri" w:eastAsia="Arial" w:hAnsi="Calibri" w:cs="Calibri"/>
          <w:b/>
          <w:bCs/>
          <w:color w:val="000000"/>
          <w:spacing w:val="-2"/>
          <w:sz w:val="24"/>
          <w:szCs w:val="24"/>
        </w:rPr>
        <w:t>Need To Address the Increasing Demands for ASC Services by the Aging Population</w:t>
      </w:r>
    </w:p>
    <w:p w14:paraId="2E9086CA" w14:textId="266A7AFA" w:rsidR="0033678B" w:rsidRDefault="00E22614" w:rsidP="00D24971">
      <w:pPr>
        <w:autoSpaceDE w:val="0"/>
        <w:autoSpaceDN w:val="0"/>
        <w:spacing w:after="240"/>
        <w:rPr>
          <w:rFonts w:ascii="Calibri" w:eastAsia="Arial" w:hAnsi="Calibri" w:cs="Calibri"/>
          <w:color w:val="000000"/>
          <w:szCs w:val="22"/>
        </w:rPr>
      </w:pPr>
      <w:r>
        <w:rPr>
          <w:rFonts w:ascii="Calibri" w:eastAsia="Arial" w:hAnsi="Calibri" w:cs="Calibri"/>
          <w:color w:val="000000"/>
        </w:rPr>
        <w:t>F</w:t>
      </w:r>
      <w:r w:rsidR="00D24971" w:rsidRPr="00D24971">
        <w:rPr>
          <w:rFonts w:ascii="Calibri" w:eastAsia="Arial" w:hAnsi="Calibri" w:cs="Calibri"/>
          <w:color w:val="000000"/>
        </w:rPr>
        <w:t>rom 2015 to 2035, the state’s 65+ population is projected to increase at a higher rate compared to all other age groups (from 15.8% in 2015 to 23% in 2035).</w:t>
      </w:r>
      <w:r w:rsidR="0033678B" w:rsidRPr="00D24971">
        <w:rPr>
          <w:rFonts w:ascii="Calibri" w:eastAsia="Arial" w:hAnsi="Calibri" w:cs="Calibri"/>
          <w:color w:val="000000"/>
          <w:vertAlign w:val="superscript"/>
        </w:rPr>
        <w:endnoteReference w:id="3"/>
      </w:r>
      <w:r w:rsidR="0033678B" w:rsidRPr="00D24971">
        <w:rPr>
          <w:rFonts w:ascii="Calibri" w:eastAsia="Arial" w:hAnsi="Calibri" w:cs="Calibri"/>
          <w:color w:val="000000"/>
        </w:rPr>
        <w:t xml:space="preserve"> </w:t>
      </w:r>
      <w:r w:rsidR="0033678B" w:rsidRPr="00D24971">
        <w:rPr>
          <w:rFonts w:ascii="Calibri" w:eastAsia="Arial" w:hAnsi="Calibri" w:cs="Calibri"/>
          <w:color w:val="000000"/>
          <w:szCs w:val="22"/>
        </w:rPr>
        <w:t>UMDI</w:t>
      </w:r>
      <w:r w:rsidR="00C96FA3">
        <w:rPr>
          <w:rFonts w:ascii="Calibri" w:eastAsia="Arial" w:hAnsi="Calibri" w:cs="Calibri"/>
          <w:color w:val="000000"/>
          <w:szCs w:val="22"/>
        </w:rPr>
        <w:t xml:space="preserve"> estimates</w:t>
      </w:r>
      <w:r w:rsidR="0033678B" w:rsidRPr="00D24971">
        <w:rPr>
          <w:rFonts w:ascii="Calibri" w:eastAsia="Arial" w:hAnsi="Calibri" w:cs="Calibri"/>
          <w:color w:val="000000"/>
          <w:szCs w:val="22"/>
        </w:rPr>
        <w:t xml:space="preserve"> indicate that as of July 2022, 51.5% of the Bristol County population was 40 years or older</w:t>
      </w:r>
      <w:r w:rsidR="00C96FA3">
        <w:rPr>
          <w:rFonts w:ascii="Calibri" w:eastAsia="Arial" w:hAnsi="Calibri" w:cs="Calibri"/>
          <w:color w:val="000000"/>
          <w:szCs w:val="22"/>
        </w:rPr>
        <w:t>,</w:t>
      </w:r>
      <w:r w:rsidR="0033678B" w:rsidRPr="003178CB">
        <w:rPr>
          <w:rFonts w:ascii="Calibri" w:eastAsia="Arial" w:hAnsi="Calibri" w:cs="Calibri"/>
          <w:color w:val="000000"/>
          <w:szCs w:val="22"/>
        </w:rPr>
        <w:t xml:space="preserve"> and 18% was 65 years or older (up from 17.5% in July 2021 and 17.2% in July 2020).</w:t>
      </w:r>
      <w:r w:rsidR="0033678B" w:rsidRPr="003178CB">
        <w:rPr>
          <w:rFonts w:ascii="Calibri" w:eastAsia="Arial" w:hAnsi="Calibri" w:cs="Calibri"/>
          <w:color w:val="000000"/>
          <w:szCs w:val="22"/>
          <w:vertAlign w:val="superscript"/>
        </w:rPr>
        <w:endnoteReference w:id="4"/>
      </w:r>
    </w:p>
    <w:p w14:paraId="07F9B246" w14:textId="7BEFD19E" w:rsidR="0033678B" w:rsidRPr="00D24971" w:rsidRDefault="0033678B" w:rsidP="00D24971">
      <w:pPr>
        <w:autoSpaceDE w:val="0"/>
        <w:autoSpaceDN w:val="0"/>
        <w:spacing w:after="240"/>
        <w:rPr>
          <w:rFonts w:ascii="Calibri" w:eastAsia="Arial" w:hAnsi="Calibri" w:cs="Calibri"/>
          <w:color w:val="000000"/>
        </w:rPr>
      </w:pPr>
      <w:r>
        <w:rPr>
          <w:rFonts w:ascii="Calibri" w:eastAsia="Arial" w:hAnsi="Calibri" w:cs="Calibri"/>
          <w:color w:val="000000"/>
          <w:spacing w:val="-2"/>
          <w:szCs w:val="22"/>
        </w:rPr>
        <w:t>T</w:t>
      </w:r>
      <w:r w:rsidRPr="003178CB">
        <w:rPr>
          <w:rFonts w:ascii="Calibri" w:eastAsia="Arial" w:hAnsi="Calibri" w:cs="Calibri"/>
          <w:color w:val="000000"/>
          <w:spacing w:val="-2"/>
          <w:szCs w:val="22"/>
        </w:rPr>
        <w:t>he 65+ age cohort has experienced the greatest increase in the number of surg</w:t>
      </w:r>
      <w:r w:rsidR="002E3D19">
        <w:rPr>
          <w:rFonts w:ascii="Calibri" w:eastAsia="Arial" w:hAnsi="Calibri" w:cs="Calibri"/>
          <w:color w:val="000000"/>
          <w:spacing w:val="-2"/>
          <w:szCs w:val="22"/>
        </w:rPr>
        <w:t xml:space="preserve">eries </w:t>
      </w:r>
      <w:r w:rsidRPr="003178CB">
        <w:rPr>
          <w:rFonts w:ascii="Calibri" w:eastAsia="Arial" w:hAnsi="Calibri" w:cs="Calibri"/>
          <w:color w:val="000000"/>
          <w:spacing w:val="-2"/>
          <w:szCs w:val="22"/>
        </w:rPr>
        <w:t>since 1990</w:t>
      </w:r>
      <w:r w:rsidRPr="003178CB">
        <w:rPr>
          <w:rFonts w:ascii="Calibri" w:eastAsia="Arial" w:hAnsi="Calibri" w:cs="Calibri"/>
          <w:color w:val="000000"/>
          <w:spacing w:val="-2"/>
          <w:szCs w:val="22"/>
          <w:vertAlign w:val="superscript"/>
        </w:rPr>
        <w:endnoteReference w:id="5"/>
      </w:r>
      <w:r w:rsidRPr="003178CB">
        <w:rPr>
          <w:rFonts w:ascii="Calibri" w:eastAsia="Arial" w:hAnsi="Calibri" w:cs="Calibri"/>
          <w:color w:val="000000"/>
          <w:spacing w:val="-2"/>
          <w:szCs w:val="22"/>
        </w:rPr>
        <w:t xml:space="preserve"> </w:t>
      </w:r>
      <w:r w:rsidR="00914555">
        <w:rPr>
          <w:rFonts w:ascii="Calibri" w:eastAsia="Arial" w:hAnsi="Calibri" w:cs="Calibri"/>
          <w:color w:val="000000"/>
          <w:spacing w:val="-2"/>
          <w:szCs w:val="22"/>
        </w:rPr>
        <w:t xml:space="preserve">which </w:t>
      </w:r>
      <w:r w:rsidRPr="003178CB">
        <w:rPr>
          <w:rFonts w:ascii="Calibri" w:eastAsia="Arial" w:hAnsi="Calibri" w:cs="Calibri"/>
          <w:color w:val="000000"/>
          <w:spacing w:val="-2"/>
          <w:szCs w:val="22"/>
        </w:rPr>
        <w:t xml:space="preserve">is likely related to improved life expectancy rates, </w:t>
      </w:r>
      <w:r w:rsidR="002E3D19">
        <w:rPr>
          <w:rFonts w:ascii="Calibri" w:eastAsia="Arial" w:hAnsi="Calibri" w:cs="Calibri"/>
          <w:color w:val="000000"/>
          <w:spacing w:val="-2"/>
          <w:szCs w:val="22"/>
        </w:rPr>
        <w:t xml:space="preserve">higher </w:t>
      </w:r>
      <w:r w:rsidRPr="003178CB">
        <w:rPr>
          <w:rFonts w:ascii="Calibri" w:eastAsia="Arial" w:hAnsi="Calibri" w:cs="Calibri"/>
          <w:color w:val="000000"/>
          <w:spacing w:val="-2"/>
          <w:szCs w:val="22"/>
        </w:rPr>
        <w:t>patient expectations and improved</w:t>
      </w:r>
      <w:r w:rsidR="008B629D">
        <w:rPr>
          <w:rFonts w:ascii="Calibri" w:eastAsia="Arial" w:hAnsi="Calibri" w:cs="Calibri"/>
          <w:color w:val="000000"/>
          <w:spacing w:val="-2"/>
          <w:szCs w:val="22"/>
        </w:rPr>
        <w:t xml:space="preserve"> </w:t>
      </w:r>
      <w:r w:rsidRPr="003178CB">
        <w:rPr>
          <w:rFonts w:ascii="Calibri" w:eastAsia="Arial" w:hAnsi="Calibri" w:cs="Calibri"/>
          <w:color w:val="000000"/>
          <w:spacing w:val="-2"/>
          <w:szCs w:val="22"/>
        </w:rPr>
        <w:t>outcomes after surgery</w:t>
      </w:r>
      <w:r w:rsidR="002E3D19">
        <w:rPr>
          <w:rFonts w:ascii="Calibri" w:eastAsia="Arial" w:hAnsi="Calibri" w:cs="Calibri"/>
          <w:color w:val="000000"/>
          <w:spacing w:val="-2"/>
          <w:szCs w:val="22"/>
        </w:rPr>
        <w:t xml:space="preserve">; </w:t>
      </w:r>
      <w:r w:rsidRPr="003178CB">
        <w:rPr>
          <w:rFonts w:ascii="Calibri" w:eastAsia="Arial" w:hAnsi="Calibri" w:cs="Calibri"/>
          <w:color w:val="000000"/>
          <w:spacing w:val="-2"/>
          <w:szCs w:val="22"/>
        </w:rPr>
        <w:t>the need to treat age-related comorbidities</w:t>
      </w:r>
      <w:r w:rsidR="002E3D19">
        <w:rPr>
          <w:rFonts w:ascii="Calibri" w:eastAsia="Arial" w:hAnsi="Calibri" w:cs="Calibri"/>
          <w:color w:val="000000"/>
          <w:spacing w:val="-2"/>
          <w:szCs w:val="22"/>
        </w:rPr>
        <w:t xml:space="preserve">; </w:t>
      </w:r>
      <w:r w:rsidRPr="003178CB">
        <w:rPr>
          <w:rFonts w:ascii="Calibri" w:eastAsia="Arial" w:hAnsi="Calibri" w:cs="Calibri"/>
          <w:color w:val="000000"/>
          <w:spacing w:val="-2"/>
          <w:szCs w:val="22"/>
        </w:rPr>
        <w:t>and changes in anesthetic and surgical techniques.</w:t>
      </w:r>
      <w:r w:rsidRPr="003178CB">
        <w:rPr>
          <w:rFonts w:ascii="Calibri" w:eastAsia="Arial" w:hAnsi="Calibri" w:cs="Calibri"/>
          <w:color w:val="000000"/>
          <w:spacing w:val="-2"/>
          <w:szCs w:val="22"/>
          <w:vertAlign w:val="superscript"/>
        </w:rPr>
        <w:endnoteReference w:id="6"/>
      </w:r>
      <w:r>
        <w:rPr>
          <w:rFonts w:ascii="Calibri" w:eastAsia="Arial" w:hAnsi="Calibri" w:cs="Calibri"/>
          <w:color w:val="000000"/>
          <w:spacing w:val="-2"/>
          <w:szCs w:val="22"/>
        </w:rPr>
        <w:t xml:space="preserve"> </w:t>
      </w:r>
    </w:p>
    <w:p w14:paraId="5C9E711B" w14:textId="4BBE48E6" w:rsidR="0033678B" w:rsidRDefault="0033678B" w:rsidP="00856B9D">
      <w:pPr>
        <w:autoSpaceDE w:val="0"/>
        <w:autoSpaceDN w:val="0"/>
        <w:spacing w:after="240"/>
        <w:rPr>
          <w:rFonts w:ascii="Calibri" w:eastAsia="Arial" w:hAnsi="Calibri" w:cs="Calibri"/>
          <w:color w:val="000000"/>
          <w:spacing w:val="-1"/>
        </w:rPr>
      </w:pPr>
      <w:r>
        <w:rPr>
          <w:rFonts w:ascii="Calibri" w:eastAsia="Arial" w:hAnsi="Calibri" w:cs="Calibri"/>
          <w:color w:val="000000"/>
          <w:spacing w:val="-1"/>
        </w:rPr>
        <w:t xml:space="preserve">There are many age-related conditions that may lead to surgery. The Applicant highlights three surgical specialties that </w:t>
      </w:r>
      <w:r w:rsidR="00E37EA9">
        <w:rPr>
          <w:rFonts w:ascii="Calibri" w:eastAsia="Arial" w:hAnsi="Calibri" w:cs="Calibri"/>
          <w:color w:val="000000"/>
          <w:spacing w:val="-1"/>
        </w:rPr>
        <w:t xml:space="preserve">one or </w:t>
      </w:r>
      <w:r w:rsidR="00290057">
        <w:rPr>
          <w:rFonts w:ascii="Calibri" w:eastAsia="Arial" w:hAnsi="Calibri" w:cs="Calibri"/>
          <w:color w:val="000000"/>
          <w:spacing w:val="-1"/>
        </w:rPr>
        <w:t>both entities</w:t>
      </w:r>
      <w:r>
        <w:rPr>
          <w:rFonts w:ascii="Calibri" w:eastAsia="Arial" w:hAnsi="Calibri" w:cs="Calibri"/>
          <w:color w:val="000000"/>
          <w:spacing w:val="-1"/>
        </w:rPr>
        <w:t xml:space="preserve"> serve</w:t>
      </w:r>
      <w:r w:rsidR="00221013">
        <w:rPr>
          <w:rFonts w:ascii="Calibri" w:eastAsia="Arial" w:hAnsi="Calibri" w:cs="Calibri"/>
          <w:color w:val="000000"/>
          <w:spacing w:val="-1"/>
        </w:rPr>
        <w:t>:</w:t>
      </w:r>
      <w:r>
        <w:rPr>
          <w:rFonts w:ascii="Calibri" w:eastAsia="Arial" w:hAnsi="Calibri" w:cs="Calibri"/>
          <w:color w:val="000000"/>
          <w:spacing w:val="-1"/>
        </w:rPr>
        <w:t xml:space="preserve"> Digestive Health, ENT, and Orthopedics. </w:t>
      </w:r>
    </w:p>
    <w:p w14:paraId="6372C91D" w14:textId="0E51F66A" w:rsidR="00856B9D" w:rsidRDefault="00D65BE0" w:rsidP="00C96FA3">
      <w:pPr>
        <w:autoSpaceDE w:val="0"/>
        <w:autoSpaceDN w:val="0"/>
        <w:spacing w:after="240"/>
        <w:rPr>
          <w:rFonts w:ascii="Calibri" w:eastAsia="Calibri" w:hAnsi="Calibri" w:cs="Calibri"/>
          <w:color w:val="141414"/>
        </w:rPr>
      </w:pPr>
      <w:r>
        <w:rPr>
          <w:rFonts w:ascii="Calibri" w:eastAsia="Arial" w:hAnsi="Calibri" w:cs="Calibri"/>
          <w:color w:val="000000"/>
          <w:spacing w:val="-1"/>
        </w:rPr>
        <w:t>A</w:t>
      </w:r>
      <w:r w:rsidR="0033678B" w:rsidRPr="00383CFF">
        <w:rPr>
          <w:rFonts w:ascii="Calibri" w:eastAsia="Arial" w:hAnsi="Calibri" w:cs="Calibri"/>
          <w:color w:val="000000"/>
          <w:spacing w:val="-1"/>
        </w:rPr>
        <w:t>ging is a factor in digestive health disorders,</w:t>
      </w:r>
      <w:r w:rsidR="0033678B" w:rsidRPr="00856B9D">
        <w:rPr>
          <w:rFonts w:ascii="Calibri" w:eastAsia="Arial" w:hAnsi="Calibri" w:cs="Calibri"/>
          <w:color w:val="000000"/>
          <w:spacing w:val="-1"/>
        </w:rPr>
        <w:t xml:space="preserve"> </w:t>
      </w:r>
      <w:r w:rsidR="0033678B" w:rsidRPr="00383CFF">
        <w:rPr>
          <w:rFonts w:ascii="Calibri" w:eastAsia="Arial" w:hAnsi="Calibri" w:cs="Calibri"/>
          <w:color w:val="000000"/>
          <w:spacing w:val="-1"/>
          <w:vertAlign w:val="superscript"/>
        </w:rPr>
        <w:endnoteReference w:id="7"/>
      </w:r>
      <w:r w:rsidR="0033678B" w:rsidRPr="00383CFF">
        <w:rPr>
          <w:rFonts w:ascii="Calibri" w:eastAsia="Arial" w:hAnsi="Calibri" w:cs="Calibri"/>
          <w:color w:val="000000"/>
          <w:spacing w:val="-1"/>
        </w:rPr>
        <w:t xml:space="preserve"> </w:t>
      </w:r>
      <w:r w:rsidR="00C96FA3">
        <w:rPr>
          <w:rFonts w:ascii="Calibri" w:eastAsia="Calibri" w:hAnsi="Calibri" w:cs="Calibri"/>
          <w:color w:val="000000"/>
          <w:spacing w:val="2"/>
          <w:shd w:val="clear" w:color="auto" w:fill="FFFFFF"/>
        </w:rPr>
        <w:t xml:space="preserve">In </w:t>
      </w:r>
      <w:r w:rsidR="0033678B" w:rsidRPr="00383CFF">
        <w:rPr>
          <w:rFonts w:ascii="Calibri" w:eastAsia="Arial" w:hAnsi="Calibri" w:cs="Calibri"/>
          <w:i/>
          <w:iCs/>
          <w:color w:val="000000"/>
          <w:spacing w:val="-1"/>
        </w:rPr>
        <w:t>HPC Datapoints</w:t>
      </w:r>
      <w:r w:rsidR="0033678B" w:rsidRPr="00383CFF">
        <w:rPr>
          <w:rFonts w:ascii="Calibri" w:eastAsia="Arial" w:hAnsi="Calibri" w:cs="Calibri"/>
          <w:color w:val="000000"/>
          <w:spacing w:val="-1"/>
        </w:rPr>
        <w:t xml:space="preserve">, the Health Policy Commission reports that, in 2021, </w:t>
      </w:r>
      <w:r w:rsidR="0033678B" w:rsidRPr="00383CFF">
        <w:rPr>
          <w:rFonts w:ascii="Calibri" w:eastAsia="Calibri" w:hAnsi="Calibri" w:cs="Calibri"/>
          <w:color w:val="141414"/>
        </w:rPr>
        <w:t xml:space="preserve">gastrointestinal services (mainly endoscopies and colonoscopies) performed at ASCs in </w:t>
      </w:r>
      <w:r w:rsidR="00C96FA3">
        <w:rPr>
          <w:rFonts w:ascii="Calibri" w:eastAsia="Calibri" w:hAnsi="Calibri" w:cs="Calibri"/>
          <w:color w:val="141414"/>
        </w:rPr>
        <w:t xml:space="preserve">Massachusetts </w:t>
      </w:r>
      <w:r w:rsidR="0033678B" w:rsidRPr="00383CFF">
        <w:rPr>
          <w:rFonts w:ascii="Calibri" w:eastAsia="Calibri" w:hAnsi="Calibri" w:cs="Calibri"/>
          <w:color w:val="141414"/>
        </w:rPr>
        <w:t>represented 64% of all ASC encounters by volume</w:t>
      </w:r>
      <w:r w:rsidR="000A69A1">
        <w:rPr>
          <w:rFonts w:ascii="Calibri" w:eastAsia="Calibri" w:hAnsi="Calibri" w:cs="Calibri"/>
          <w:color w:val="141414"/>
        </w:rPr>
        <w:t>,</w:t>
      </w:r>
      <w:r w:rsidR="0033678B" w:rsidRPr="00383CFF">
        <w:rPr>
          <w:rFonts w:ascii="Calibri" w:eastAsia="Calibri" w:hAnsi="Calibri" w:cs="Calibri"/>
          <w:color w:val="141414"/>
        </w:rPr>
        <w:t xml:space="preserve"> and 50% of payments in the </w:t>
      </w:r>
      <w:r w:rsidR="006E7000" w:rsidRPr="00383CFF">
        <w:rPr>
          <w:rFonts w:ascii="Calibri" w:eastAsia="Calibri" w:hAnsi="Calibri" w:cs="Calibri"/>
          <w:color w:val="141414"/>
        </w:rPr>
        <w:t>commercially insured</w:t>
      </w:r>
      <w:r w:rsidR="0033678B" w:rsidRPr="00383CFF">
        <w:rPr>
          <w:rFonts w:ascii="Calibri" w:eastAsia="Calibri" w:hAnsi="Calibri" w:cs="Calibri"/>
          <w:color w:val="141414"/>
        </w:rPr>
        <w:t xml:space="preserve"> population; for MassHealth and other public payors, gastrointestinal services are also one of the top ASC service lines.</w:t>
      </w:r>
      <w:r w:rsidR="0033678B" w:rsidRPr="00383CFF">
        <w:rPr>
          <w:rFonts w:ascii="Calibri" w:eastAsia="Calibri" w:hAnsi="Calibri" w:cs="Calibri"/>
          <w:color w:val="141414"/>
          <w:vertAlign w:val="superscript"/>
        </w:rPr>
        <w:endnoteReference w:id="8"/>
      </w:r>
      <w:r w:rsidR="0033678B" w:rsidRPr="00383CFF">
        <w:rPr>
          <w:rFonts w:ascii="Calibri" w:eastAsia="Calibri" w:hAnsi="Calibri" w:cs="Calibri"/>
          <w:color w:val="141414"/>
        </w:rPr>
        <w:t xml:space="preserve"> </w:t>
      </w:r>
      <w:r w:rsidR="00F56A44" w:rsidRPr="00F56A44">
        <w:rPr>
          <w:rFonts w:eastAsia="Calibri"/>
        </w:rPr>
        <w:t xml:space="preserve"> </w:t>
      </w:r>
      <w:r w:rsidR="00F56A44" w:rsidRPr="00F56A44">
        <w:rPr>
          <w:rFonts w:ascii="Calibri" w:eastAsia="Calibri" w:hAnsi="Calibri" w:cs="Calibri"/>
          <w:color w:val="141414"/>
        </w:rPr>
        <w:t>Additionally, the US Preventive Services Task Force currently recommends beginning colonoscopy screenings at age 45, recently reduced from age 50,</w:t>
      </w:r>
      <w:r w:rsidR="00F00EF4">
        <w:rPr>
          <w:rStyle w:val="EndnoteReference"/>
          <w:rFonts w:ascii="Calibri" w:eastAsia="Calibri" w:hAnsi="Calibri" w:cs="Calibri"/>
          <w:color w:val="141414"/>
        </w:rPr>
        <w:endnoteReference w:id="9"/>
      </w:r>
      <w:r w:rsidR="00F56A44" w:rsidRPr="00F56A44">
        <w:rPr>
          <w:rFonts w:ascii="Calibri" w:eastAsia="Calibri" w:hAnsi="Calibri" w:cs="Calibri"/>
          <w:color w:val="141414"/>
        </w:rPr>
        <w:t xml:space="preserve"> which will increase the demand for endoscopy services.</w:t>
      </w:r>
    </w:p>
    <w:p w14:paraId="28666753" w14:textId="13BB4F35" w:rsidR="00346D72" w:rsidRDefault="00346D72" w:rsidP="00C96FA3">
      <w:pPr>
        <w:autoSpaceDE w:val="0"/>
        <w:autoSpaceDN w:val="0"/>
        <w:spacing w:after="240"/>
        <w:rPr>
          <w:rFonts w:ascii="Calibri" w:eastAsia="Calibri" w:hAnsi="Calibri" w:cs="Calibri"/>
          <w:color w:val="141414"/>
        </w:rPr>
      </w:pPr>
      <w:r>
        <w:rPr>
          <w:rFonts w:ascii="Calibri" w:eastAsia="Calibri" w:hAnsi="Calibri" w:cs="Calibri"/>
          <w:color w:val="141414"/>
        </w:rPr>
        <w:t>The chart below shows historical volume</w:t>
      </w:r>
      <w:r w:rsidR="00F00EF4">
        <w:rPr>
          <w:rFonts w:ascii="Calibri" w:eastAsia="Calibri" w:hAnsi="Calibri" w:cs="Calibri"/>
          <w:color w:val="141414"/>
        </w:rPr>
        <w:t xml:space="preserve"> of GI procedures</w:t>
      </w:r>
      <w:r>
        <w:rPr>
          <w:rFonts w:ascii="Calibri" w:eastAsia="Calibri" w:hAnsi="Calibri" w:cs="Calibri"/>
          <w:color w:val="141414"/>
        </w:rPr>
        <w:t xml:space="preserve"> for</w:t>
      </w:r>
      <w:r w:rsidR="00F00EF4">
        <w:rPr>
          <w:rFonts w:ascii="Calibri" w:eastAsia="Calibri" w:hAnsi="Calibri" w:cs="Calibri"/>
          <w:color w:val="141414"/>
        </w:rPr>
        <w:t xml:space="preserve"> all ages at</w:t>
      </w:r>
      <w:r>
        <w:rPr>
          <w:rFonts w:ascii="Calibri" w:eastAsia="Calibri" w:hAnsi="Calibri" w:cs="Calibri"/>
          <w:color w:val="141414"/>
        </w:rPr>
        <w:t xml:space="preserve"> both entities</w:t>
      </w:r>
      <w:r w:rsidR="00F56A44">
        <w:rPr>
          <w:rFonts w:ascii="Calibri" w:eastAsia="Calibri" w:hAnsi="Calibri" w:cs="Calibri"/>
          <w:color w:val="141414"/>
        </w:rPr>
        <w:t xml:space="preserve">; </w:t>
      </w:r>
      <w:r>
        <w:rPr>
          <w:rFonts w:ascii="Calibri" w:eastAsia="Calibri" w:hAnsi="Calibri" w:cs="Calibri"/>
          <w:color w:val="141414"/>
        </w:rPr>
        <w:t xml:space="preserve">the combined impact of the COVID emergency and the physician departures and retirements </w:t>
      </w:r>
      <w:proofErr w:type="gramStart"/>
      <w:r>
        <w:rPr>
          <w:rFonts w:ascii="Calibri" w:eastAsia="Calibri" w:hAnsi="Calibri" w:cs="Calibri"/>
          <w:color w:val="141414"/>
        </w:rPr>
        <w:t>is</w:t>
      </w:r>
      <w:proofErr w:type="gramEnd"/>
      <w:r>
        <w:rPr>
          <w:rFonts w:ascii="Calibri" w:eastAsia="Calibri" w:hAnsi="Calibri" w:cs="Calibri"/>
          <w:color w:val="141414"/>
        </w:rPr>
        <w:t xml:space="preserve"> </w:t>
      </w:r>
      <w:r>
        <w:rPr>
          <w:rFonts w:ascii="Calibri" w:eastAsia="Calibri" w:hAnsi="Calibri" w:cs="Calibri"/>
          <w:color w:val="141414"/>
        </w:rPr>
        <w:lastRenderedPageBreak/>
        <w:t xml:space="preserve">shown. </w:t>
      </w:r>
      <w:r w:rsidR="00F00EF4">
        <w:rPr>
          <w:rFonts w:ascii="Calibri" w:eastAsia="Calibri" w:hAnsi="Calibri" w:cs="Calibri"/>
          <w:color w:val="141414"/>
        </w:rPr>
        <w:t xml:space="preserve">With the recruitment of additional gastroenterologists, the Applicant anticipates it will be able to increase the number of patients it serves. </w:t>
      </w:r>
    </w:p>
    <w:tbl>
      <w:tblPr>
        <w:tblStyle w:val="TableGrid"/>
        <w:tblW w:w="9535" w:type="dxa"/>
        <w:tblLook w:val="04A0" w:firstRow="1" w:lastRow="0" w:firstColumn="1" w:lastColumn="0" w:noHBand="0" w:noVBand="1"/>
      </w:tblPr>
      <w:tblGrid>
        <w:gridCol w:w="1615"/>
        <w:gridCol w:w="990"/>
        <w:gridCol w:w="900"/>
        <w:gridCol w:w="900"/>
        <w:gridCol w:w="990"/>
        <w:gridCol w:w="900"/>
        <w:gridCol w:w="810"/>
        <w:gridCol w:w="1080"/>
        <w:gridCol w:w="1350"/>
      </w:tblGrid>
      <w:tr w:rsidR="005126D6" w:rsidRPr="005126D6" w14:paraId="10F2AFD3" w14:textId="77777777" w:rsidTr="006431DA">
        <w:trPr>
          <w:cantSplit/>
          <w:trHeight w:val="692"/>
          <w:tblHeader/>
        </w:trPr>
        <w:tc>
          <w:tcPr>
            <w:tcW w:w="1615" w:type="dxa"/>
            <w:shd w:val="clear" w:color="auto" w:fill="DDFFFF"/>
            <w:noWrap/>
            <w:vAlign w:val="center"/>
            <w:hideMark/>
          </w:tcPr>
          <w:p w14:paraId="7DF09593" w14:textId="77777777" w:rsidR="005126D6" w:rsidRPr="005126D6" w:rsidRDefault="005126D6" w:rsidP="005126D6">
            <w:pPr>
              <w:autoSpaceDE w:val="0"/>
              <w:autoSpaceDN w:val="0"/>
              <w:rPr>
                <w:rFonts w:ascii="Calibri" w:eastAsia="Calibri" w:hAnsi="Calibri" w:cs="Calibri"/>
                <w:b/>
                <w:bCs/>
                <w:color w:val="141414"/>
              </w:rPr>
            </w:pPr>
            <w:r w:rsidRPr="005126D6">
              <w:rPr>
                <w:rFonts w:ascii="Calibri" w:eastAsia="Calibri" w:hAnsi="Calibri" w:cs="Calibri"/>
                <w:b/>
                <w:bCs/>
                <w:color w:val="141414"/>
              </w:rPr>
              <w:t>GI Procedures</w:t>
            </w:r>
          </w:p>
        </w:tc>
        <w:tc>
          <w:tcPr>
            <w:tcW w:w="990" w:type="dxa"/>
            <w:shd w:val="clear" w:color="auto" w:fill="DDFFFF"/>
            <w:vAlign w:val="center"/>
            <w:hideMark/>
          </w:tcPr>
          <w:p w14:paraId="11A71979" w14:textId="77777777" w:rsidR="005126D6" w:rsidRPr="005126D6" w:rsidRDefault="005126D6" w:rsidP="005126D6">
            <w:pPr>
              <w:autoSpaceDE w:val="0"/>
              <w:autoSpaceDN w:val="0"/>
              <w:rPr>
                <w:rFonts w:ascii="Calibri" w:eastAsia="Calibri" w:hAnsi="Calibri" w:cs="Calibri"/>
                <w:b/>
                <w:bCs/>
                <w:color w:val="141414"/>
              </w:rPr>
            </w:pPr>
            <w:r w:rsidRPr="005126D6">
              <w:rPr>
                <w:rFonts w:ascii="Calibri" w:eastAsia="Calibri" w:hAnsi="Calibri" w:cs="Calibri"/>
                <w:b/>
                <w:bCs/>
                <w:color w:val="141414"/>
              </w:rPr>
              <w:t>FY18</w:t>
            </w:r>
          </w:p>
        </w:tc>
        <w:tc>
          <w:tcPr>
            <w:tcW w:w="900" w:type="dxa"/>
            <w:shd w:val="clear" w:color="auto" w:fill="DDFFFF"/>
            <w:vAlign w:val="center"/>
            <w:hideMark/>
          </w:tcPr>
          <w:p w14:paraId="5288EE2E" w14:textId="77777777" w:rsidR="005126D6" w:rsidRPr="005126D6" w:rsidRDefault="005126D6" w:rsidP="005126D6">
            <w:pPr>
              <w:autoSpaceDE w:val="0"/>
              <w:autoSpaceDN w:val="0"/>
              <w:rPr>
                <w:rFonts w:ascii="Calibri" w:eastAsia="Calibri" w:hAnsi="Calibri" w:cs="Calibri"/>
                <w:b/>
                <w:bCs/>
                <w:color w:val="141414"/>
              </w:rPr>
            </w:pPr>
            <w:r w:rsidRPr="005126D6">
              <w:rPr>
                <w:rFonts w:ascii="Calibri" w:eastAsia="Calibri" w:hAnsi="Calibri" w:cs="Calibri"/>
                <w:b/>
                <w:bCs/>
                <w:color w:val="141414"/>
              </w:rPr>
              <w:t>FY19</w:t>
            </w:r>
          </w:p>
        </w:tc>
        <w:tc>
          <w:tcPr>
            <w:tcW w:w="900" w:type="dxa"/>
            <w:shd w:val="clear" w:color="auto" w:fill="DDFFFF"/>
            <w:vAlign w:val="center"/>
            <w:hideMark/>
          </w:tcPr>
          <w:p w14:paraId="6A262F87" w14:textId="77777777" w:rsidR="005126D6" w:rsidRPr="005126D6" w:rsidRDefault="005126D6" w:rsidP="005126D6">
            <w:pPr>
              <w:autoSpaceDE w:val="0"/>
              <w:autoSpaceDN w:val="0"/>
              <w:rPr>
                <w:rFonts w:ascii="Calibri" w:eastAsia="Calibri" w:hAnsi="Calibri" w:cs="Calibri"/>
                <w:b/>
                <w:bCs/>
                <w:color w:val="141414"/>
              </w:rPr>
            </w:pPr>
            <w:r w:rsidRPr="005126D6">
              <w:rPr>
                <w:rFonts w:ascii="Calibri" w:eastAsia="Calibri" w:hAnsi="Calibri" w:cs="Calibri"/>
                <w:b/>
                <w:bCs/>
                <w:color w:val="141414"/>
              </w:rPr>
              <w:t>FY20</w:t>
            </w:r>
          </w:p>
        </w:tc>
        <w:tc>
          <w:tcPr>
            <w:tcW w:w="990" w:type="dxa"/>
            <w:shd w:val="clear" w:color="auto" w:fill="DDFFFF"/>
            <w:vAlign w:val="center"/>
            <w:hideMark/>
          </w:tcPr>
          <w:p w14:paraId="55FA3F8F" w14:textId="77777777" w:rsidR="005126D6" w:rsidRPr="005126D6" w:rsidRDefault="005126D6" w:rsidP="005126D6">
            <w:pPr>
              <w:autoSpaceDE w:val="0"/>
              <w:autoSpaceDN w:val="0"/>
              <w:rPr>
                <w:rFonts w:ascii="Calibri" w:eastAsia="Calibri" w:hAnsi="Calibri" w:cs="Calibri"/>
                <w:b/>
                <w:bCs/>
                <w:color w:val="141414"/>
              </w:rPr>
            </w:pPr>
            <w:r w:rsidRPr="005126D6">
              <w:rPr>
                <w:rFonts w:ascii="Calibri" w:eastAsia="Calibri" w:hAnsi="Calibri" w:cs="Calibri"/>
                <w:b/>
                <w:bCs/>
                <w:color w:val="141414"/>
              </w:rPr>
              <w:t>FY21</w:t>
            </w:r>
          </w:p>
        </w:tc>
        <w:tc>
          <w:tcPr>
            <w:tcW w:w="900" w:type="dxa"/>
            <w:shd w:val="clear" w:color="auto" w:fill="DDFFFF"/>
            <w:vAlign w:val="center"/>
            <w:hideMark/>
          </w:tcPr>
          <w:p w14:paraId="7C6531E7" w14:textId="77777777" w:rsidR="005126D6" w:rsidRPr="005126D6" w:rsidRDefault="005126D6" w:rsidP="005126D6">
            <w:pPr>
              <w:autoSpaceDE w:val="0"/>
              <w:autoSpaceDN w:val="0"/>
              <w:rPr>
                <w:rFonts w:ascii="Calibri" w:eastAsia="Calibri" w:hAnsi="Calibri" w:cs="Calibri"/>
                <w:b/>
                <w:bCs/>
                <w:color w:val="141414"/>
              </w:rPr>
            </w:pPr>
            <w:r w:rsidRPr="005126D6">
              <w:rPr>
                <w:rFonts w:ascii="Calibri" w:eastAsia="Calibri" w:hAnsi="Calibri" w:cs="Calibri"/>
                <w:b/>
                <w:bCs/>
                <w:color w:val="141414"/>
              </w:rPr>
              <w:t>FY22</w:t>
            </w:r>
          </w:p>
        </w:tc>
        <w:tc>
          <w:tcPr>
            <w:tcW w:w="810" w:type="dxa"/>
            <w:shd w:val="clear" w:color="auto" w:fill="DDFFFF"/>
            <w:vAlign w:val="center"/>
            <w:hideMark/>
          </w:tcPr>
          <w:p w14:paraId="51386CC5" w14:textId="77777777" w:rsidR="005126D6" w:rsidRPr="005126D6" w:rsidRDefault="005126D6" w:rsidP="005126D6">
            <w:pPr>
              <w:autoSpaceDE w:val="0"/>
              <w:autoSpaceDN w:val="0"/>
              <w:rPr>
                <w:rFonts w:ascii="Calibri" w:eastAsia="Calibri" w:hAnsi="Calibri" w:cs="Calibri"/>
                <w:b/>
                <w:bCs/>
                <w:color w:val="141414"/>
              </w:rPr>
            </w:pPr>
            <w:r w:rsidRPr="005126D6">
              <w:rPr>
                <w:rFonts w:ascii="Calibri" w:eastAsia="Calibri" w:hAnsi="Calibri" w:cs="Calibri"/>
                <w:b/>
                <w:bCs/>
                <w:color w:val="141414"/>
              </w:rPr>
              <w:t>FY23</w:t>
            </w:r>
          </w:p>
        </w:tc>
        <w:tc>
          <w:tcPr>
            <w:tcW w:w="1080" w:type="dxa"/>
            <w:shd w:val="clear" w:color="auto" w:fill="DDFFFF"/>
            <w:vAlign w:val="center"/>
            <w:hideMark/>
          </w:tcPr>
          <w:p w14:paraId="7CB19329" w14:textId="732885A4" w:rsidR="005126D6" w:rsidRPr="005126D6" w:rsidRDefault="005126D6" w:rsidP="005126D6">
            <w:pPr>
              <w:autoSpaceDE w:val="0"/>
              <w:autoSpaceDN w:val="0"/>
              <w:rPr>
                <w:rFonts w:ascii="Calibri" w:eastAsia="Calibri" w:hAnsi="Calibri" w:cs="Calibri"/>
                <w:b/>
                <w:bCs/>
                <w:color w:val="141414"/>
              </w:rPr>
            </w:pPr>
            <w:r w:rsidRPr="005126D6">
              <w:rPr>
                <w:rFonts w:ascii="Calibri" w:eastAsia="Calibri" w:hAnsi="Calibri" w:cs="Calibri"/>
                <w:b/>
                <w:bCs/>
                <w:color w:val="141414"/>
              </w:rPr>
              <w:t>FY24</w:t>
            </w:r>
            <w:r w:rsidR="00346D72">
              <w:rPr>
                <w:rFonts w:ascii="Calibri" w:eastAsia="Calibri" w:hAnsi="Calibri" w:cs="Calibri"/>
                <w:b/>
                <w:bCs/>
                <w:color w:val="141414"/>
              </w:rPr>
              <w:t xml:space="preserve"> Y</w:t>
            </w:r>
            <w:r w:rsidRPr="005126D6">
              <w:rPr>
                <w:rFonts w:ascii="Calibri" w:eastAsia="Calibri" w:hAnsi="Calibri" w:cs="Calibri"/>
                <w:b/>
                <w:bCs/>
                <w:color w:val="141414"/>
              </w:rPr>
              <w:t>TD</w:t>
            </w:r>
          </w:p>
        </w:tc>
        <w:tc>
          <w:tcPr>
            <w:tcW w:w="1350" w:type="dxa"/>
            <w:shd w:val="clear" w:color="auto" w:fill="DDFFFF"/>
            <w:vAlign w:val="center"/>
            <w:hideMark/>
          </w:tcPr>
          <w:p w14:paraId="436784AE" w14:textId="6B85D4B0" w:rsidR="005126D6" w:rsidRPr="005126D6" w:rsidRDefault="005126D6" w:rsidP="005126D6">
            <w:pPr>
              <w:autoSpaceDE w:val="0"/>
              <w:autoSpaceDN w:val="0"/>
              <w:rPr>
                <w:rFonts w:ascii="Calibri" w:eastAsia="Calibri" w:hAnsi="Calibri" w:cs="Calibri"/>
                <w:b/>
                <w:bCs/>
                <w:color w:val="141414"/>
              </w:rPr>
            </w:pPr>
            <w:r w:rsidRPr="005126D6">
              <w:rPr>
                <w:rFonts w:ascii="Calibri" w:eastAsia="Calibri" w:hAnsi="Calibri" w:cs="Calibri"/>
                <w:b/>
                <w:bCs/>
                <w:color w:val="141414"/>
              </w:rPr>
              <w:t xml:space="preserve">% Change </w:t>
            </w:r>
            <w:r w:rsidR="00710723">
              <w:rPr>
                <w:rFonts w:ascii="Calibri" w:eastAsia="Calibri" w:hAnsi="Calibri" w:cs="Calibri"/>
                <w:b/>
                <w:bCs/>
                <w:color w:val="141414"/>
              </w:rPr>
              <w:t xml:space="preserve">FY </w:t>
            </w:r>
            <w:r w:rsidRPr="005126D6">
              <w:rPr>
                <w:rFonts w:ascii="Calibri" w:eastAsia="Calibri" w:hAnsi="Calibri" w:cs="Calibri"/>
                <w:b/>
                <w:bCs/>
                <w:color w:val="141414"/>
              </w:rPr>
              <w:t>18</w:t>
            </w:r>
            <w:r w:rsidR="00710723">
              <w:rPr>
                <w:rFonts w:ascii="Calibri" w:eastAsia="Calibri" w:hAnsi="Calibri" w:cs="Calibri"/>
                <w:b/>
                <w:bCs/>
                <w:color w:val="141414"/>
              </w:rPr>
              <w:t>-23</w:t>
            </w:r>
          </w:p>
        </w:tc>
      </w:tr>
      <w:tr w:rsidR="005126D6" w:rsidRPr="005126D6" w14:paraId="777C54B4" w14:textId="77777777" w:rsidTr="001477FB">
        <w:trPr>
          <w:cantSplit/>
          <w:trHeight w:val="310"/>
        </w:trPr>
        <w:tc>
          <w:tcPr>
            <w:tcW w:w="1615" w:type="dxa"/>
            <w:noWrap/>
            <w:hideMark/>
          </w:tcPr>
          <w:p w14:paraId="12FC0E55"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SHS</w:t>
            </w:r>
          </w:p>
        </w:tc>
        <w:tc>
          <w:tcPr>
            <w:tcW w:w="990" w:type="dxa"/>
            <w:noWrap/>
            <w:hideMark/>
          </w:tcPr>
          <w:p w14:paraId="6ABE7C2A"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7,456</w:t>
            </w:r>
          </w:p>
        </w:tc>
        <w:tc>
          <w:tcPr>
            <w:tcW w:w="900" w:type="dxa"/>
            <w:noWrap/>
            <w:hideMark/>
          </w:tcPr>
          <w:p w14:paraId="28AE3452"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5,775</w:t>
            </w:r>
          </w:p>
        </w:tc>
        <w:tc>
          <w:tcPr>
            <w:tcW w:w="900" w:type="dxa"/>
            <w:noWrap/>
            <w:hideMark/>
          </w:tcPr>
          <w:p w14:paraId="3E19F831"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2,550</w:t>
            </w:r>
          </w:p>
        </w:tc>
        <w:tc>
          <w:tcPr>
            <w:tcW w:w="990" w:type="dxa"/>
            <w:noWrap/>
            <w:hideMark/>
          </w:tcPr>
          <w:p w14:paraId="055357CE"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3,417</w:t>
            </w:r>
          </w:p>
        </w:tc>
        <w:tc>
          <w:tcPr>
            <w:tcW w:w="900" w:type="dxa"/>
            <w:noWrap/>
            <w:hideMark/>
          </w:tcPr>
          <w:p w14:paraId="695C31CE"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3,862</w:t>
            </w:r>
          </w:p>
        </w:tc>
        <w:tc>
          <w:tcPr>
            <w:tcW w:w="810" w:type="dxa"/>
            <w:noWrap/>
            <w:hideMark/>
          </w:tcPr>
          <w:p w14:paraId="10EF9FFA"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4,478</w:t>
            </w:r>
          </w:p>
        </w:tc>
        <w:tc>
          <w:tcPr>
            <w:tcW w:w="1080" w:type="dxa"/>
            <w:noWrap/>
            <w:hideMark/>
          </w:tcPr>
          <w:p w14:paraId="53D90220"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1,079</w:t>
            </w:r>
          </w:p>
        </w:tc>
        <w:tc>
          <w:tcPr>
            <w:tcW w:w="1350" w:type="dxa"/>
            <w:noWrap/>
            <w:hideMark/>
          </w:tcPr>
          <w:p w14:paraId="47336A54"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-39.9%</w:t>
            </w:r>
          </w:p>
        </w:tc>
      </w:tr>
      <w:tr w:rsidR="005126D6" w:rsidRPr="005126D6" w14:paraId="3B98E64D" w14:textId="77777777" w:rsidTr="001477FB">
        <w:trPr>
          <w:cantSplit/>
          <w:trHeight w:val="310"/>
        </w:trPr>
        <w:tc>
          <w:tcPr>
            <w:tcW w:w="1615" w:type="dxa"/>
            <w:noWrap/>
            <w:hideMark/>
          </w:tcPr>
          <w:p w14:paraId="2D505674"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SDS</w:t>
            </w:r>
          </w:p>
        </w:tc>
        <w:tc>
          <w:tcPr>
            <w:tcW w:w="990" w:type="dxa"/>
            <w:noWrap/>
            <w:hideMark/>
          </w:tcPr>
          <w:p w14:paraId="7E117E52"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2,401</w:t>
            </w:r>
          </w:p>
        </w:tc>
        <w:tc>
          <w:tcPr>
            <w:tcW w:w="900" w:type="dxa"/>
            <w:noWrap/>
            <w:hideMark/>
          </w:tcPr>
          <w:p w14:paraId="00281C5C"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2,327</w:t>
            </w:r>
          </w:p>
        </w:tc>
        <w:tc>
          <w:tcPr>
            <w:tcW w:w="900" w:type="dxa"/>
            <w:noWrap/>
            <w:hideMark/>
          </w:tcPr>
          <w:p w14:paraId="1DD49F9C"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2,042</w:t>
            </w:r>
          </w:p>
        </w:tc>
        <w:tc>
          <w:tcPr>
            <w:tcW w:w="990" w:type="dxa"/>
            <w:noWrap/>
            <w:hideMark/>
          </w:tcPr>
          <w:p w14:paraId="00FBE145"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2,221</w:t>
            </w:r>
          </w:p>
        </w:tc>
        <w:tc>
          <w:tcPr>
            <w:tcW w:w="900" w:type="dxa"/>
            <w:noWrap/>
            <w:hideMark/>
          </w:tcPr>
          <w:p w14:paraId="59FDBB67"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1,941</w:t>
            </w:r>
          </w:p>
        </w:tc>
        <w:tc>
          <w:tcPr>
            <w:tcW w:w="810" w:type="dxa"/>
            <w:noWrap/>
            <w:hideMark/>
          </w:tcPr>
          <w:p w14:paraId="760B461E"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1,947</w:t>
            </w:r>
          </w:p>
        </w:tc>
        <w:tc>
          <w:tcPr>
            <w:tcW w:w="1080" w:type="dxa"/>
            <w:noWrap/>
            <w:hideMark/>
          </w:tcPr>
          <w:p w14:paraId="298DE130"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925</w:t>
            </w:r>
          </w:p>
        </w:tc>
        <w:tc>
          <w:tcPr>
            <w:tcW w:w="1350" w:type="dxa"/>
            <w:noWrap/>
            <w:hideMark/>
          </w:tcPr>
          <w:p w14:paraId="4304C4AE" w14:textId="77777777" w:rsidR="005126D6" w:rsidRPr="005126D6" w:rsidRDefault="005126D6" w:rsidP="005126D6">
            <w:pPr>
              <w:autoSpaceDE w:val="0"/>
              <w:autoSpaceDN w:val="0"/>
              <w:rPr>
                <w:rFonts w:ascii="Calibri" w:eastAsia="Calibri" w:hAnsi="Calibri" w:cs="Calibri"/>
                <w:color w:val="141414"/>
              </w:rPr>
            </w:pPr>
            <w:r w:rsidRPr="005126D6">
              <w:rPr>
                <w:rFonts w:ascii="Calibri" w:eastAsia="Calibri" w:hAnsi="Calibri" w:cs="Calibri"/>
                <w:color w:val="141414"/>
              </w:rPr>
              <w:t>-18.9%</w:t>
            </w:r>
          </w:p>
        </w:tc>
      </w:tr>
    </w:tbl>
    <w:p w14:paraId="5F3319FC" w14:textId="77777777" w:rsidR="005126D6" w:rsidRDefault="005126D6" w:rsidP="006642FB">
      <w:pPr>
        <w:autoSpaceDE w:val="0"/>
        <w:autoSpaceDN w:val="0"/>
        <w:rPr>
          <w:rFonts w:ascii="Calibri" w:eastAsia="Calibri" w:hAnsi="Calibri" w:cs="Calibri"/>
          <w:color w:val="141414"/>
        </w:rPr>
      </w:pPr>
    </w:p>
    <w:p w14:paraId="01F8276F" w14:textId="77777777" w:rsidR="005126D6" w:rsidRDefault="005126D6" w:rsidP="006642FB">
      <w:pPr>
        <w:autoSpaceDE w:val="0"/>
        <w:autoSpaceDN w:val="0"/>
        <w:rPr>
          <w:rFonts w:ascii="Calibri" w:eastAsia="Calibri" w:hAnsi="Calibri" w:cs="Calibri"/>
          <w:color w:val="141414"/>
        </w:rPr>
      </w:pPr>
    </w:p>
    <w:p w14:paraId="62233008" w14:textId="7F659246" w:rsidR="00383CFF" w:rsidRDefault="000A69A1" w:rsidP="006642FB">
      <w:pPr>
        <w:autoSpaceDE w:val="0"/>
        <w:autoSpaceDN w:val="0"/>
        <w:rPr>
          <w:rFonts w:ascii="Calibri" w:eastAsia="Calibri" w:hAnsi="Calibri" w:cs="Calibri"/>
          <w:color w:val="141414"/>
        </w:rPr>
      </w:pPr>
      <w:r>
        <w:rPr>
          <w:rFonts w:ascii="Calibri" w:eastAsia="Calibri" w:hAnsi="Calibri" w:cs="Calibri"/>
          <w:color w:val="141414"/>
        </w:rPr>
        <w:t xml:space="preserve">The </w:t>
      </w:r>
      <w:r w:rsidR="00383CFF" w:rsidRPr="00383CFF">
        <w:rPr>
          <w:rFonts w:ascii="Calibri" w:eastAsia="Calibri" w:hAnsi="Calibri" w:cs="Calibri"/>
          <w:color w:val="141414"/>
        </w:rPr>
        <w:t xml:space="preserve">Southcoast gastroenterology service currently </w:t>
      </w:r>
      <w:r w:rsidR="00F00EF4">
        <w:rPr>
          <w:rFonts w:ascii="Calibri" w:eastAsia="Calibri" w:hAnsi="Calibri" w:cs="Calibri"/>
          <w:color w:val="141414"/>
        </w:rPr>
        <w:t xml:space="preserve">has transitioned some GI procedures to </w:t>
      </w:r>
      <w:r w:rsidR="00383CFF" w:rsidRPr="00383CFF">
        <w:rPr>
          <w:rFonts w:ascii="Calibri" w:eastAsia="Calibri" w:hAnsi="Calibri" w:cs="Calibri"/>
          <w:color w:val="141414"/>
        </w:rPr>
        <w:t xml:space="preserve">SDS </w:t>
      </w:r>
      <w:r w:rsidR="00F00EF4">
        <w:rPr>
          <w:rFonts w:ascii="Calibri" w:eastAsia="Calibri" w:hAnsi="Calibri" w:cs="Calibri"/>
          <w:color w:val="141414"/>
        </w:rPr>
        <w:t xml:space="preserve">and </w:t>
      </w:r>
      <w:r w:rsidR="00D450F2">
        <w:rPr>
          <w:rFonts w:ascii="Calibri" w:eastAsia="Calibri" w:hAnsi="Calibri" w:cs="Calibri"/>
          <w:color w:val="141414"/>
        </w:rPr>
        <w:t xml:space="preserve">uses </w:t>
      </w:r>
      <w:r w:rsidR="00D450F2" w:rsidRPr="00383CFF">
        <w:rPr>
          <w:rFonts w:ascii="Calibri" w:eastAsia="Calibri" w:hAnsi="Calibri" w:cs="Calibri"/>
          <w:color w:val="141414"/>
        </w:rPr>
        <w:t>a</w:t>
      </w:r>
      <w:r w:rsidR="00C96FA3">
        <w:rPr>
          <w:rFonts w:ascii="Calibri" w:eastAsia="Calibri" w:hAnsi="Calibri" w:cs="Calibri"/>
          <w:color w:val="141414"/>
        </w:rPr>
        <w:t xml:space="preserve"> </w:t>
      </w:r>
      <w:r w:rsidR="00383CFF" w:rsidRPr="00383CFF">
        <w:rPr>
          <w:rFonts w:ascii="Calibri" w:eastAsia="Calibri" w:hAnsi="Calibri" w:cs="Calibri"/>
          <w:color w:val="141414"/>
        </w:rPr>
        <w:t xml:space="preserve">lower </w:t>
      </w:r>
      <w:r w:rsidR="00F00EF4">
        <w:rPr>
          <w:rFonts w:ascii="Calibri" w:eastAsia="Calibri" w:hAnsi="Calibri" w:cs="Calibri"/>
          <w:color w:val="141414"/>
        </w:rPr>
        <w:t xml:space="preserve">dose </w:t>
      </w:r>
      <w:r w:rsidR="00B439F3" w:rsidRPr="00383CFF">
        <w:rPr>
          <w:rFonts w:ascii="Calibri" w:eastAsia="Calibri" w:hAnsi="Calibri" w:cs="Calibri"/>
          <w:color w:val="141414"/>
        </w:rPr>
        <w:t>anesthetic</w:t>
      </w:r>
      <w:r w:rsidR="00B439F3">
        <w:rPr>
          <w:rFonts w:ascii="Calibri" w:eastAsia="Calibri" w:hAnsi="Calibri" w:cs="Calibri"/>
          <w:color w:val="141414"/>
        </w:rPr>
        <w:t xml:space="preserve"> with</w:t>
      </w:r>
      <w:r w:rsidR="00F00EF4">
        <w:rPr>
          <w:rFonts w:ascii="Calibri" w:eastAsia="Calibri" w:hAnsi="Calibri" w:cs="Calibri"/>
          <w:color w:val="141414"/>
        </w:rPr>
        <w:t xml:space="preserve"> an </w:t>
      </w:r>
      <w:r w:rsidR="00383CFF" w:rsidRPr="00383CFF">
        <w:rPr>
          <w:rFonts w:ascii="Calibri" w:eastAsia="Calibri" w:hAnsi="Calibri" w:cs="Calibri"/>
          <w:color w:val="141414"/>
        </w:rPr>
        <w:t xml:space="preserve">increased use of moderate/conscious sedation </w:t>
      </w:r>
      <w:r w:rsidR="00C96FA3">
        <w:rPr>
          <w:rFonts w:ascii="Calibri" w:eastAsia="Calibri" w:hAnsi="Calibri" w:cs="Calibri"/>
          <w:color w:val="141414"/>
        </w:rPr>
        <w:t xml:space="preserve">as </w:t>
      </w:r>
      <w:r w:rsidR="00383CFF" w:rsidRPr="00383CFF">
        <w:rPr>
          <w:rFonts w:ascii="Calibri" w:eastAsia="Calibri" w:hAnsi="Calibri" w:cs="Calibri"/>
          <w:color w:val="141414"/>
        </w:rPr>
        <w:t xml:space="preserve">compared to hospital settings. This value-based approach is part of a multi-site approach </w:t>
      </w:r>
      <w:r w:rsidR="00C96FA3">
        <w:rPr>
          <w:rFonts w:ascii="Calibri" w:eastAsia="Calibri" w:hAnsi="Calibri" w:cs="Calibri"/>
          <w:color w:val="141414"/>
        </w:rPr>
        <w:t>o</w:t>
      </w:r>
      <w:r w:rsidR="00383CFF" w:rsidRPr="00383CFF">
        <w:rPr>
          <w:rFonts w:ascii="Calibri" w:eastAsia="Calibri" w:hAnsi="Calibri" w:cs="Calibri"/>
          <w:color w:val="141414"/>
        </w:rPr>
        <w:t>f screening for</w:t>
      </w:r>
      <w:r w:rsidR="00856B9D">
        <w:rPr>
          <w:rFonts w:ascii="Calibri" w:eastAsia="Calibri" w:hAnsi="Calibri" w:cs="Calibri"/>
          <w:color w:val="141414"/>
        </w:rPr>
        <w:t>,</w:t>
      </w:r>
      <w:r w:rsidR="00383CFF" w:rsidRPr="00383CFF">
        <w:rPr>
          <w:rFonts w:ascii="Calibri" w:eastAsia="Calibri" w:hAnsi="Calibri" w:cs="Calibri"/>
          <w:color w:val="141414"/>
        </w:rPr>
        <w:t xml:space="preserve"> and early diagnosis of colorectal cancers.</w:t>
      </w:r>
      <w:r w:rsidR="00B52E87">
        <w:rPr>
          <w:rStyle w:val="FootnoteReference"/>
          <w:rFonts w:ascii="Calibri" w:eastAsia="Calibri" w:hAnsi="Calibri" w:cs="Calibri"/>
          <w:color w:val="141414"/>
        </w:rPr>
        <w:footnoteReference w:id="5"/>
      </w:r>
      <w:r w:rsidR="00383CFF" w:rsidRPr="00383CFF">
        <w:rPr>
          <w:rFonts w:ascii="Calibri" w:eastAsia="Calibri" w:hAnsi="Calibri" w:cs="Calibri"/>
          <w:color w:val="141414"/>
        </w:rPr>
        <w:t xml:space="preserve"> </w:t>
      </w:r>
    </w:p>
    <w:p w14:paraId="356EA695" w14:textId="77777777" w:rsidR="00856B9D" w:rsidRPr="00383CFF" w:rsidRDefault="00856B9D" w:rsidP="006642FB">
      <w:pPr>
        <w:autoSpaceDE w:val="0"/>
        <w:autoSpaceDN w:val="0"/>
        <w:rPr>
          <w:rFonts w:ascii="Calibri" w:eastAsia="Arial" w:hAnsi="Calibri" w:cs="Calibri"/>
          <w:color w:val="000000"/>
        </w:rPr>
      </w:pPr>
    </w:p>
    <w:p w14:paraId="2E3C8E34" w14:textId="76A988E7" w:rsidR="00485B35" w:rsidRPr="00485B35" w:rsidRDefault="000A69A1" w:rsidP="00D450F2">
      <w:pPr>
        <w:pStyle w:val="NormalWeb"/>
        <w:shd w:val="clear" w:color="auto" w:fill="FFFFFF"/>
        <w:spacing w:before="240" w:after="240"/>
        <w:rPr>
          <w:rFonts w:ascii="Helvetica" w:eastAsia="Times New Roman" w:hAnsi="Helvetica" w:cs="Helvetica"/>
          <w:color w:val="292929"/>
          <w:sz w:val="26"/>
          <w:szCs w:val="26"/>
        </w:rPr>
      </w:pPr>
      <w:r>
        <w:rPr>
          <w:rFonts w:ascii="Calibri" w:eastAsia="Arial" w:hAnsi="Calibri" w:cs="Calibri"/>
          <w:color w:val="000000"/>
        </w:rPr>
        <w:t>T</w:t>
      </w:r>
      <w:r w:rsidR="00383CFF" w:rsidRPr="00383CFF">
        <w:rPr>
          <w:rFonts w:ascii="Calibri" w:eastAsia="Arial" w:hAnsi="Calibri" w:cs="Calibri"/>
          <w:color w:val="000000"/>
        </w:rPr>
        <w:t>he growing geriatric population is associated with an increase in the number of elderly patients presenting for orthopedic surgeries.</w:t>
      </w:r>
      <w:r w:rsidR="0033678B" w:rsidRPr="00383CFF">
        <w:rPr>
          <w:rFonts w:ascii="Calibri" w:eastAsia="Arial" w:hAnsi="Calibri" w:cs="Calibri"/>
          <w:color w:val="000000"/>
          <w:vertAlign w:val="superscript"/>
        </w:rPr>
        <w:endnoteReference w:id="10"/>
      </w:r>
      <w:r w:rsidR="0033678B" w:rsidRPr="00383CFF">
        <w:rPr>
          <w:rFonts w:ascii="Calibri" w:eastAsia="Arial" w:hAnsi="Calibri" w:cs="Calibri"/>
          <w:color w:val="000000"/>
        </w:rPr>
        <w:t xml:space="preserve">  Southcoast has an Advanced Total Hip and Knee Program, certified by The Joint Commission. The program uses risk stratification, and evidence-based guidelines that enable safe use of ambulatory settings as well as triage to hospital settings for appropriate inpatients. Extending the program to SDS will enhance safe, value-based care. </w:t>
      </w:r>
      <w:r w:rsidR="00236FDE">
        <w:rPr>
          <w:rFonts w:ascii="Calibri" w:eastAsia="Arial" w:hAnsi="Calibri" w:cs="Calibri"/>
          <w:color w:val="000000"/>
        </w:rPr>
        <w:t xml:space="preserve">A </w:t>
      </w:r>
      <w:r w:rsidR="0033678B" w:rsidRPr="00383CFF">
        <w:rPr>
          <w:rFonts w:ascii="Calibri" w:eastAsia="Arial" w:hAnsi="Calibri" w:cs="Calibri"/>
          <w:color w:val="000000"/>
        </w:rPr>
        <w:t xml:space="preserve">Physician Advising program includes subspecialty review for appropriateness of level of care. </w:t>
      </w:r>
      <w:r w:rsidR="00B52E87">
        <w:rPr>
          <w:rFonts w:ascii="Calibri" w:eastAsia="Arial" w:hAnsi="Calibri" w:cs="Calibri"/>
          <w:color w:val="000000"/>
        </w:rPr>
        <w:t>T</w:t>
      </w:r>
      <w:r w:rsidR="0033678B" w:rsidRPr="00383CFF">
        <w:rPr>
          <w:rFonts w:ascii="Calibri" w:eastAsia="Arial" w:hAnsi="Calibri" w:cs="Calibri"/>
          <w:color w:val="000000"/>
        </w:rPr>
        <w:t>hese active areas will bring safety and effectiveness to the growing ambulatory orthopedic procedures as SDS becomes an important value-based site of care.</w:t>
      </w:r>
      <w:r w:rsidR="00941A5E">
        <w:rPr>
          <w:rFonts w:ascii="Calibri" w:eastAsia="Arial" w:hAnsi="Calibri" w:cs="Calibri"/>
          <w:color w:val="000000"/>
        </w:rPr>
        <w:t xml:space="preserve"> </w:t>
      </w:r>
      <w:r w:rsidR="001B15E9" w:rsidRPr="00D450F2">
        <w:rPr>
          <w:rFonts w:eastAsia="Arial"/>
          <w:color w:val="000000"/>
        </w:rPr>
        <w:t xml:space="preserve">The Chart below shows the historical volume of Orthopedic </w:t>
      </w:r>
      <w:r w:rsidR="00485B35" w:rsidRPr="00485B35">
        <w:rPr>
          <w:rFonts w:eastAsia="Arial"/>
          <w:color w:val="000000"/>
        </w:rPr>
        <w:t>Procedures</w:t>
      </w:r>
      <w:r w:rsidR="00485B35">
        <w:rPr>
          <w:rFonts w:eastAsia="Arial"/>
          <w:color w:val="000000"/>
        </w:rPr>
        <w:t xml:space="preserve"> at SHS</w:t>
      </w:r>
      <w:r w:rsidR="00485B35" w:rsidRPr="00485B35">
        <w:rPr>
          <w:rFonts w:eastAsia="Arial"/>
          <w:color w:val="000000"/>
        </w:rPr>
        <w:t>,</w:t>
      </w:r>
      <w:r w:rsidR="00485B35">
        <w:rPr>
          <w:rStyle w:val="FootnoteReference"/>
          <w:rFonts w:eastAsia="Arial"/>
          <w:color w:val="000000"/>
        </w:rPr>
        <w:footnoteReference w:id="6"/>
      </w:r>
      <w:r w:rsidR="001B15E9" w:rsidRPr="00D450F2">
        <w:rPr>
          <w:rFonts w:eastAsia="Arial"/>
          <w:color w:val="000000"/>
        </w:rPr>
        <w:t xml:space="preserve"> and that the Applicant has regained its pre-COVID volume. Staff notes that </w:t>
      </w:r>
      <w:r w:rsidR="00485B35">
        <w:rPr>
          <w:rFonts w:eastAsia="Arial"/>
          <w:color w:val="000000"/>
        </w:rPr>
        <w:t xml:space="preserve">in 2024, </w:t>
      </w:r>
      <w:r w:rsidR="001B15E9" w:rsidRPr="00D450F2">
        <w:rPr>
          <w:rFonts w:eastAsia="Arial"/>
          <w:color w:val="000000"/>
        </w:rPr>
        <w:t xml:space="preserve">CMS </w:t>
      </w:r>
      <w:r w:rsidR="00485B35" w:rsidRPr="00D450F2">
        <w:rPr>
          <w:rFonts w:eastAsia="Times New Roman"/>
          <w:color w:val="292929"/>
        </w:rPr>
        <w:t>added 5 orthopedic procedure codes</w:t>
      </w:r>
      <w:r w:rsidR="00485B35">
        <w:rPr>
          <w:rStyle w:val="FootnoteReference"/>
          <w:rFonts w:eastAsia="Times New Roman"/>
          <w:color w:val="292929"/>
        </w:rPr>
        <w:footnoteReference w:id="7"/>
      </w:r>
      <w:r w:rsidR="00485B35" w:rsidRPr="00D450F2">
        <w:rPr>
          <w:rFonts w:eastAsia="Times New Roman"/>
          <w:color w:val="292929"/>
        </w:rPr>
        <w:t xml:space="preserve"> to the ASC payable list suggesting that demand for orthopedic procedures in the lower cost setting i</w:t>
      </w:r>
      <w:r w:rsidR="00840ED6">
        <w:rPr>
          <w:rFonts w:eastAsia="Times New Roman"/>
          <w:color w:val="292929"/>
        </w:rPr>
        <w:t>s</w:t>
      </w:r>
      <w:r w:rsidR="00485B35" w:rsidRPr="00D450F2">
        <w:rPr>
          <w:rFonts w:eastAsia="Times New Roman"/>
          <w:color w:val="292929"/>
        </w:rPr>
        <w:t xml:space="preserve"> likely to increase. </w:t>
      </w:r>
    </w:p>
    <w:tbl>
      <w:tblPr>
        <w:tblStyle w:val="TableGrid"/>
        <w:tblW w:w="9805" w:type="dxa"/>
        <w:tblLook w:val="04A0" w:firstRow="1" w:lastRow="0" w:firstColumn="1" w:lastColumn="0" w:noHBand="0" w:noVBand="1"/>
      </w:tblPr>
      <w:tblGrid>
        <w:gridCol w:w="1615"/>
        <w:gridCol w:w="990"/>
        <w:gridCol w:w="900"/>
        <w:gridCol w:w="900"/>
        <w:gridCol w:w="990"/>
        <w:gridCol w:w="900"/>
        <w:gridCol w:w="919"/>
        <w:gridCol w:w="1193"/>
        <w:gridCol w:w="1398"/>
      </w:tblGrid>
      <w:tr w:rsidR="001B15E9" w:rsidRPr="001B15E9" w14:paraId="72F771E1" w14:textId="77777777" w:rsidTr="00D450F2">
        <w:trPr>
          <w:trHeight w:val="683"/>
        </w:trPr>
        <w:tc>
          <w:tcPr>
            <w:tcW w:w="1615" w:type="dxa"/>
            <w:shd w:val="clear" w:color="auto" w:fill="DDFFFF"/>
            <w:vAlign w:val="center"/>
            <w:hideMark/>
          </w:tcPr>
          <w:p w14:paraId="65EE1D38" w14:textId="30DC63CE" w:rsidR="001B15E9" w:rsidRPr="00710723" w:rsidRDefault="00710723" w:rsidP="00D450F2">
            <w:pPr>
              <w:autoSpaceDE w:val="0"/>
              <w:autoSpaceDN w:val="0"/>
              <w:rPr>
                <w:rFonts w:ascii="Calibri" w:eastAsia="Arial" w:hAnsi="Calibri" w:cs="Calibri"/>
                <w:b/>
                <w:bCs/>
                <w:color w:val="000000"/>
              </w:rPr>
            </w:pPr>
            <w:r w:rsidRPr="00710723">
              <w:rPr>
                <w:rFonts w:ascii="Calibri" w:eastAsia="Arial" w:hAnsi="Calibri" w:cs="Calibri"/>
                <w:b/>
                <w:bCs/>
                <w:color w:val="000000"/>
              </w:rPr>
              <w:t>Orthopedic Procedures</w:t>
            </w:r>
          </w:p>
        </w:tc>
        <w:tc>
          <w:tcPr>
            <w:tcW w:w="990" w:type="dxa"/>
            <w:shd w:val="clear" w:color="auto" w:fill="DDFFFF"/>
            <w:vAlign w:val="center"/>
            <w:hideMark/>
          </w:tcPr>
          <w:p w14:paraId="7AE3D963" w14:textId="77777777" w:rsidR="001B15E9" w:rsidRPr="001B15E9" w:rsidRDefault="001B15E9" w:rsidP="00D450F2">
            <w:pPr>
              <w:autoSpaceDE w:val="0"/>
              <w:autoSpaceDN w:val="0"/>
              <w:jc w:val="center"/>
              <w:rPr>
                <w:rFonts w:ascii="Calibri" w:eastAsia="Arial" w:hAnsi="Calibri" w:cs="Calibri"/>
                <w:b/>
                <w:bCs/>
                <w:color w:val="000000"/>
              </w:rPr>
            </w:pPr>
            <w:r w:rsidRPr="001B15E9">
              <w:rPr>
                <w:rFonts w:ascii="Calibri" w:eastAsia="Arial" w:hAnsi="Calibri" w:cs="Calibri"/>
                <w:b/>
                <w:bCs/>
                <w:color w:val="000000"/>
              </w:rPr>
              <w:t>FY18</w:t>
            </w:r>
          </w:p>
        </w:tc>
        <w:tc>
          <w:tcPr>
            <w:tcW w:w="900" w:type="dxa"/>
            <w:shd w:val="clear" w:color="auto" w:fill="DDFFFF"/>
            <w:vAlign w:val="center"/>
            <w:hideMark/>
          </w:tcPr>
          <w:p w14:paraId="1217A853" w14:textId="77777777" w:rsidR="001B15E9" w:rsidRPr="001B15E9" w:rsidRDefault="001B15E9" w:rsidP="00D450F2">
            <w:pPr>
              <w:autoSpaceDE w:val="0"/>
              <w:autoSpaceDN w:val="0"/>
              <w:jc w:val="center"/>
              <w:rPr>
                <w:rFonts w:ascii="Calibri" w:eastAsia="Arial" w:hAnsi="Calibri" w:cs="Calibri"/>
                <w:b/>
                <w:bCs/>
                <w:color w:val="000000"/>
              </w:rPr>
            </w:pPr>
            <w:r w:rsidRPr="001B15E9">
              <w:rPr>
                <w:rFonts w:ascii="Calibri" w:eastAsia="Arial" w:hAnsi="Calibri" w:cs="Calibri"/>
                <w:b/>
                <w:bCs/>
                <w:color w:val="000000"/>
              </w:rPr>
              <w:t>FY19</w:t>
            </w:r>
          </w:p>
        </w:tc>
        <w:tc>
          <w:tcPr>
            <w:tcW w:w="900" w:type="dxa"/>
            <w:shd w:val="clear" w:color="auto" w:fill="DDFFFF"/>
            <w:vAlign w:val="center"/>
            <w:hideMark/>
          </w:tcPr>
          <w:p w14:paraId="30A12749" w14:textId="77777777" w:rsidR="001B15E9" w:rsidRPr="001B15E9" w:rsidRDefault="001B15E9" w:rsidP="00D450F2">
            <w:pPr>
              <w:autoSpaceDE w:val="0"/>
              <w:autoSpaceDN w:val="0"/>
              <w:jc w:val="center"/>
              <w:rPr>
                <w:rFonts w:ascii="Calibri" w:eastAsia="Arial" w:hAnsi="Calibri" w:cs="Calibri"/>
                <w:b/>
                <w:bCs/>
                <w:color w:val="000000"/>
              </w:rPr>
            </w:pPr>
            <w:r w:rsidRPr="001B15E9">
              <w:rPr>
                <w:rFonts w:ascii="Calibri" w:eastAsia="Arial" w:hAnsi="Calibri" w:cs="Calibri"/>
                <w:b/>
                <w:bCs/>
                <w:color w:val="000000"/>
              </w:rPr>
              <w:t>FY20</w:t>
            </w:r>
          </w:p>
        </w:tc>
        <w:tc>
          <w:tcPr>
            <w:tcW w:w="990" w:type="dxa"/>
            <w:shd w:val="clear" w:color="auto" w:fill="DDFFFF"/>
            <w:vAlign w:val="center"/>
            <w:hideMark/>
          </w:tcPr>
          <w:p w14:paraId="316CD8AA" w14:textId="77777777" w:rsidR="001B15E9" w:rsidRPr="001B15E9" w:rsidRDefault="001B15E9" w:rsidP="00D450F2">
            <w:pPr>
              <w:autoSpaceDE w:val="0"/>
              <w:autoSpaceDN w:val="0"/>
              <w:jc w:val="center"/>
              <w:rPr>
                <w:rFonts w:ascii="Calibri" w:eastAsia="Arial" w:hAnsi="Calibri" w:cs="Calibri"/>
                <w:b/>
                <w:bCs/>
                <w:color w:val="000000"/>
              </w:rPr>
            </w:pPr>
            <w:r w:rsidRPr="001B15E9">
              <w:rPr>
                <w:rFonts w:ascii="Calibri" w:eastAsia="Arial" w:hAnsi="Calibri" w:cs="Calibri"/>
                <w:b/>
                <w:bCs/>
                <w:color w:val="000000"/>
              </w:rPr>
              <w:t>FY21</w:t>
            </w:r>
          </w:p>
        </w:tc>
        <w:tc>
          <w:tcPr>
            <w:tcW w:w="900" w:type="dxa"/>
            <w:shd w:val="clear" w:color="auto" w:fill="DDFFFF"/>
            <w:vAlign w:val="center"/>
            <w:hideMark/>
          </w:tcPr>
          <w:p w14:paraId="37C0ADA0" w14:textId="77777777" w:rsidR="001B15E9" w:rsidRPr="001B15E9" w:rsidRDefault="001B15E9" w:rsidP="00D450F2">
            <w:pPr>
              <w:autoSpaceDE w:val="0"/>
              <w:autoSpaceDN w:val="0"/>
              <w:jc w:val="center"/>
              <w:rPr>
                <w:rFonts w:ascii="Calibri" w:eastAsia="Arial" w:hAnsi="Calibri" w:cs="Calibri"/>
                <w:b/>
                <w:bCs/>
                <w:color w:val="000000"/>
              </w:rPr>
            </w:pPr>
            <w:r w:rsidRPr="001B15E9">
              <w:rPr>
                <w:rFonts w:ascii="Calibri" w:eastAsia="Arial" w:hAnsi="Calibri" w:cs="Calibri"/>
                <w:b/>
                <w:bCs/>
                <w:color w:val="000000"/>
              </w:rPr>
              <w:t>FY22</w:t>
            </w:r>
          </w:p>
        </w:tc>
        <w:tc>
          <w:tcPr>
            <w:tcW w:w="919" w:type="dxa"/>
            <w:shd w:val="clear" w:color="auto" w:fill="DDFFFF"/>
            <w:vAlign w:val="center"/>
            <w:hideMark/>
          </w:tcPr>
          <w:p w14:paraId="75D1B1FB" w14:textId="77777777" w:rsidR="001B15E9" w:rsidRPr="001B15E9" w:rsidRDefault="001B15E9" w:rsidP="00D450F2">
            <w:pPr>
              <w:autoSpaceDE w:val="0"/>
              <w:autoSpaceDN w:val="0"/>
              <w:jc w:val="center"/>
              <w:rPr>
                <w:rFonts w:ascii="Calibri" w:eastAsia="Arial" w:hAnsi="Calibri" w:cs="Calibri"/>
                <w:b/>
                <w:bCs/>
                <w:color w:val="000000"/>
              </w:rPr>
            </w:pPr>
            <w:r w:rsidRPr="001B15E9">
              <w:rPr>
                <w:rFonts w:ascii="Calibri" w:eastAsia="Arial" w:hAnsi="Calibri" w:cs="Calibri"/>
                <w:b/>
                <w:bCs/>
                <w:color w:val="000000"/>
              </w:rPr>
              <w:t>FY23</w:t>
            </w:r>
          </w:p>
        </w:tc>
        <w:tc>
          <w:tcPr>
            <w:tcW w:w="1193" w:type="dxa"/>
            <w:shd w:val="clear" w:color="auto" w:fill="DDFFFF"/>
            <w:vAlign w:val="center"/>
            <w:hideMark/>
          </w:tcPr>
          <w:p w14:paraId="08A5E8BE" w14:textId="7CB24D7E" w:rsidR="001B15E9" w:rsidRPr="001B15E9" w:rsidRDefault="001B15E9" w:rsidP="00D450F2">
            <w:pPr>
              <w:autoSpaceDE w:val="0"/>
              <w:autoSpaceDN w:val="0"/>
              <w:jc w:val="center"/>
              <w:rPr>
                <w:rFonts w:ascii="Calibri" w:eastAsia="Arial" w:hAnsi="Calibri" w:cs="Calibri"/>
                <w:b/>
                <w:bCs/>
                <w:color w:val="000000"/>
              </w:rPr>
            </w:pPr>
            <w:r w:rsidRPr="001B15E9">
              <w:rPr>
                <w:rFonts w:ascii="Calibri" w:eastAsia="Arial" w:hAnsi="Calibri" w:cs="Calibri"/>
                <w:b/>
                <w:bCs/>
                <w:color w:val="000000"/>
              </w:rPr>
              <w:t>FY24</w:t>
            </w:r>
            <w:r>
              <w:rPr>
                <w:rFonts w:ascii="Calibri" w:eastAsia="Arial" w:hAnsi="Calibri" w:cs="Calibri"/>
                <w:b/>
                <w:bCs/>
                <w:color w:val="000000"/>
              </w:rPr>
              <w:t xml:space="preserve"> Y</w:t>
            </w:r>
            <w:r w:rsidRPr="001B15E9">
              <w:rPr>
                <w:rFonts w:ascii="Calibri" w:eastAsia="Arial" w:hAnsi="Calibri" w:cs="Calibri"/>
                <w:b/>
                <w:bCs/>
                <w:color w:val="000000"/>
              </w:rPr>
              <w:t>TD</w:t>
            </w:r>
          </w:p>
        </w:tc>
        <w:tc>
          <w:tcPr>
            <w:tcW w:w="1398" w:type="dxa"/>
            <w:shd w:val="clear" w:color="auto" w:fill="DDFFFF"/>
            <w:vAlign w:val="center"/>
            <w:hideMark/>
          </w:tcPr>
          <w:p w14:paraId="5FDE6C8E" w14:textId="32ED50CB" w:rsidR="001B15E9" w:rsidRPr="001B15E9" w:rsidRDefault="00710723" w:rsidP="00D450F2">
            <w:pPr>
              <w:autoSpaceDE w:val="0"/>
              <w:autoSpaceDN w:val="0"/>
              <w:jc w:val="center"/>
              <w:rPr>
                <w:rFonts w:ascii="Calibri" w:eastAsia="Arial" w:hAnsi="Calibri" w:cs="Calibri"/>
                <w:b/>
                <w:bCs/>
                <w:color w:val="000000"/>
              </w:rPr>
            </w:pPr>
            <w:r w:rsidRPr="00710723">
              <w:rPr>
                <w:rFonts w:ascii="Calibri" w:eastAsia="Arial" w:hAnsi="Calibri" w:cs="Calibri"/>
                <w:b/>
                <w:bCs/>
                <w:color w:val="000000"/>
              </w:rPr>
              <w:t>% Change FY 18-23</w:t>
            </w:r>
          </w:p>
        </w:tc>
      </w:tr>
      <w:tr w:rsidR="001B15E9" w:rsidRPr="001B15E9" w14:paraId="640426EC" w14:textId="77777777" w:rsidTr="00B439F3">
        <w:trPr>
          <w:trHeight w:val="350"/>
        </w:trPr>
        <w:tc>
          <w:tcPr>
            <w:tcW w:w="1615" w:type="dxa"/>
            <w:noWrap/>
            <w:hideMark/>
          </w:tcPr>
          <w:p w14:paraId="19D8ACF7" w14:textId="054E628F" w:rsidR="001B15E9" w:rsidRPr="001B15E9" w:rsidRDefault="00485B35" w:rsidP="00B439F3">
            <w:pPr>
              <w:autoSpaceDE w:val="0"/>
              <w:autoSpaceDN w:val="0"/>
              <w:rPr>
                <w:rFonts w:ascii="Calibri" w:eastAsia="Arial" w:hAnsi="Calibri" w:cs="Calibri"/>
                <w:color w:val="000000"/>
              </w:rPr>
            </w:pPr>
            <w:r>
              <w:rPr>
                <w:rFonts w:ascii="Calibri" w:eastAsia="Arial" w:hAnsi="Calibri" w:cs="Calibri"/>
                <w:color w:val="000000"/>
              </w:rPr>
              <w:t>SHS</w:t>
            </w:r>
          </w:p>
        </w:tc>
        <w:tc>
          <w:tcPr>
            <w:tcW w:w="990" w:type="dxa"/>
            <w:noWrap/>
            <w:hideMark/>
          </w:tcPr>
          <w:p w14:paraId="28704CAF" w14:textId="77777777" w:rsidR="001B15E9" w:rsidRPr="001B15E9" w:rsidRDefault="001B15E9" w:rsidP="00B439F3">
            <w:pPr>
              <w:autoSpaceDE w:val="0"/>
              <w:autoSpaceDN w:val="0"/>
              <w:rPr>
                <w:rFonts w:ascii="Calibri" w:eastAsia="Arial" w:hAnsi="Calibri" w:cs="Calibri"/>
                <w:color w:val="000000"/>
              </w:rPr>
            </w:pPr>
            <w:r w:rsidRPr="001B15E9">
              <w:rPr>
                <w:rFonts w:ascii="Calibri" w:eastAsia="Arial" w:hAnsi="Calibri" w:cs="Calibri"/>
                <w:color w:val="000000"/>
              </w:rPr>
              <w:t>1,608</w:t>
            </w:r>
          </w:p>
        </w:tc>
        <w:tc>
          <w:tcPr>
            <w:tcW w:w="900" w:type="dxa"/>
            <w:noWrap/>
            <w:hideMark/>
          </w:tcPr>
          <w:p w14:paraId="773A9DF4" w14:textId="77777777" w:rsidR="001B15E9" w:rsidRPr="001B15E9" w:rsidRDefault="001B15E9" w:rsidP="00B439F3">
            <w:pPr>
              <w:autoSpaceDE w:val="0"/>
              <w:autoSpaceDN w:val="0"/>
              <w:rPr>
                <w:rFonts w:ascii="Calibri" w:eastAsia="Arial" w:hAnsi="Calibri" w:cs="Calibri"/>
                <w:color w:val="000000"/>
              </w:rPr>
            </w:pPr>
            <w:r w:rsidRPr="001B15E9">
              <w:rPr>
                <w:rFonts w:ascii="Calibri" w:eastAsia="Arial" w:hAnsi="Calibri" w:cs="Calibri"/>
                <w:color w:val="000000"/>
              </w:rPr>
              <w:t>1,803</w:t>
            </w:r>
          </w:p>
        </w:tc>
        <w:tc>
          <w:tcPr>
            <w:tcW w:w="900" w:type="dxa"/>
            <w:noWrap/>
            <w:hideMark/>
          </w:tcPr>
          <w:p w14:paraId="1ECA8551" w14:textId="77777777" w:rsidR="001B15E9" w:rsidRPr="001B15E9" w:rsidRDefault="001B15E9" w:rsidP="00B439F3">
            <w:pPr>
              <w:autoSpaceDE w:val="0"/>
              <w:autoSpaceDN w:val="0"/>
              <w:rPr>
                <w:rFonts w:ascii="Calibri" w:eastAsia="Arial" w:hAnsi="Calibri" w:cs="Calibri"/>
                <w:color w:val="000000"/>
              </w:rPr>
            </w:pPr>
            <w:r w:rsidRPr="001B15E9">
              <w:rPr>
                <w:rFonts w:ascii="Calibri" w:eastAsia="Arial" w:hAnsi="Calibri" w:cs="Calibri"/>
                <w:color w:val="000000"/>
              </w:rPr>
              <w:t>1,503</w:t>
            </w:r>
          </w:p>
        </w:tc>
        <w:tc>
          <w:tcPr>
            <w:tcW w:w="990" w:type="dxa"/>
            <w:noWrap/>
            <w:hideMark/>
          </w:tcPr>
          <w:p w14:paraId="5A6928A6" w14:textId="77777777" w:rsidR="001B15E9" w:rsidRPr="001B15E9" w:rsidRDefault="001B15E9" w:rsidP="00B439F3">
            <w:pPr>
              <w:autoSpaceDE w:val="0"/>
              <w:autoSpaceDN w:val="0"/>
              <w:rPr>
                <w:rFonts w:ascii="Calibri" w:eastAsia="Arial" w:hAnsi="Calibri" w:cs="Calibri"/>
                <w:color w:val="000000"/>
              </w:rPr>
            </w:pPr>
            <w:r w:rsidRPr="001B15E9">
              <w:rPr>
                <w:rFonts w:ascii="Calibri" w:eastAsia="Arial" w:hAnsi="Calibri" w:cs="Calibri"/>
                <w:color w:val="000000"/>
              </w:rPr>
              <w:t>1,517</w:t>
            </w:r>
          </w:p>
        </w:tc>
        <w:tc>
          <w:tcPr>
            <w:tcW w:w="900" w:type="dxa"/>
            <w:noWrap/>
            <w:hideMark/>
          </w:tcPr>
          <w:p w14:paraId="0F49594D" w14:textId="77777777" w:rsidR="001B15E9" w:rsidRPr="001B15E9" w:rsidRDefault="001B15E9" w:rsidP="00B439F3">
            <w:pPr>
              <w:autoSpaceDE w:val="0"/>
              <w:autoSpaceDN w:val="0"/>
              <w:rPr>
                <w:rFonts w:ascii="Calibri" w:eastAsia="Arial" w:hAnsi="Calibri" w:cs="Calibri"/>
                <w:color w:val="000000"/>
              </w:rPr>
            </w:pPr>
            <w:r w:rsidRPr="001B15E9">
              <w:rPr>
                <w:rFonts w:ascii="Calibri" w:eastAsia="Arial" w:hAnsi="Calibri" w:cs="Calibri"/>
                <w:color w:val="000000"/>
              </w:rPr>
              <w:t>1,600</w:t>
            </w:r>
          </w:p>
        </w:tc>
        <w:tc>
          <w:tcPr>
            <w:tcW w:w="919" w:type="dxa"/>
            <w:noWrap/>
            <w:hideMark/>
          </w:tcPr>
          <w:p w14:paraId="0BF38F28" w14:textId="77777777" w:rsidR="001B15E9" w:rsidRPr="001B15E9" w:rsidRDefault="001B15E9" w:rsidP="00B439F3">
            <w:pPr>
              <w:autoSpaceDE w:val="0"/>
              <w:autoSpaceDN w:val="0"/>
              <w:rPr>
                <w:rFonts w:ascii="Calibri" w:eastAsia="Arial" w:hAnsi="Calibri" w:cs="Calibri"/>
                <w:color w:val="000000"/>
              </w:rPr>
            </w:pPr>
            <w:r w:rsidRPr="001B15E9">
              <w:rPr>
                <w:rFonts w:ascii="Calibri" w:eastAsia="Arial" w:hAnsi="Calibri" w:cs="Calibri"/>
                <w:color w:val="000000"/>
              </w:rPr>
              <w:t>1,670</w:t>
            </w:r>
          </w:p>
        </w:tc>
        <w:tc>
          <w:tcPr>
            <w:tcW w:w="1193" w:type="dxa"/>
            <w:noWrap/>
            <w:hideMark/>
          </w:tcPr>
          <w:p w14:paraId="19C79D24" w14:textId="77777777" w:rsidR="001B15E9" w:rsidRPr="001B15E9" w:rsidRDefault="001B15E9" w:rsidP="00B439F3">
            <w:pPr>
              <w:autoSpaceDE w:val="0"/>
              <w:autoSpaceDN w:val="0"/>
              <w:rPr>
                <w:rFonts w:ascii="Calibri" w:eastAsia="Arial" w:hAnsi="Calibri" w:cs="Calibri"/>
                <w:color w:val="000000"/>
              </w:rPr>
            </w:pPr>
            <w:r w:rsidRPr="001B15E9">
              <w:rPr>
                <w:rFonts w:ascii="Calibri" w:eastAsia="Arial" w:hAnsi="Calibri" w:cs="Calibri"/>
                <w:color w:val="000000"/>
              </w:rPr>
              <w:t>833</w:t>
            </w:r>
          </w:p>
        </w:tc>
        <w:tc>
          <w:tcPr>
            <w:tcW w:w="1398" w:type="dxa"/>
            <w:noWrap/>
            <w:hideMark/>
          </w:tcPr>
          <w:p w14:paraId="19E43CFB" w14:textId="77777777" w:rsidR="001B15E9" w:rsidRPr="001B15E9" w:rsidRDefault="001B15E9" w:rsidP="00B439F3">
            <w:pPr>
              <w:autoSpaceDE w:val="0"/>
              <w:autoSpaceDN w:val="0"/>
              <w:rPr>
                <w:rFonts w:ascii="Calibri" w:eastAsia="Arial" w:hAnsi="Calibri" w:cs="Calibri"/>
                <w:color w:val="000000"/>
              </w:rPr>
            </w:pPr>
            <w:r w:rsidRPr="001B15E9">
              <w:rPr>
                <w:rFonts w:ascii="Calibri" w:eastAsia="Arial" w:hAnsi="Calibri" w:cs="Calibri"/>
                <w:color w:val="000000"/>
              </w:rPr>
              <w:t>3.9%</w:t>
            </w:r>
          </w:p>
        </w:tc>
      </w:tr>
    </w:tbl>
    <w:p w14:paraId="558E312D" w14:textId="77777777" w:rsidR="001B15E9" w:rsidRDefault="001B15E9" w:rsidP="006642FB">
      <w:pPr>
        <w:autoSpaceDE w:val="0"/>
        <w:autoSpaceDN w:val="0"/>
        <w:spacing w:after="240"/>
        <w:rPr>
          <w:rFonts w:ascii="Calibri" w:eastAsia="Arial" w:hAnsi="Calibri" w:cs="Calibri"/>
          <w:color w:val="000000"/>
        </w:rPr>
      </w:pPr>
    </w:p>
    <w:p w14:paraId="3836C155" w14:textId="7B11195C" w:rsidR="006642FB" w:rsidRDefault="00485B35" w:rsidP="006642FB">
      <w:pPr>
        <w:autoSpaceDE w:val="0"/>
        <w:autoSpaceDN w:val="0"/>
        <w:spacing w:after="240"/>
        <w:rPr>
          <w:rFonts w:ascii="Calibri" w:eastAsia="Arial" w:hAnsi="Calibri" w:cs="Calibri"/>
          <w:color w:val="000000"/>
          <w:spacing w:val="-2"/>
        </w:rPr>
      </w:pPr>
      <w:r>
        <w:rPr>
          <w:rFonts w:ascii="Calibri" w:eastAsia="Arial" w:hAnsi="Calibri" w:cs="Calibri"/>
          <w:color w:val="000000"/>
          <w:spacing w:val="-2"/>
        </w:rPr>
        <w:t>Also</w:t>
      </w:r>
      <w:r w:rsidR="00840ED6">
        <w:rPr>
          <w:rFonts w:ascii="Calibri" w:eastAsia="Arial" w:hAnsi="Calibri" w:cs="Calibri"/>
          <w:color w:val="000000"/>
          <w:spacing w:val="-2"/>
        </w:rPr>
        <w:t>,</w:t>
      </w:r>
      <w:r>
        <w:rPr>
          <w:rFonts w:ascii="Calibri" w:eastAsia="Arial" w:hAnsi="Calibri" w:cs="Calibri"/>
          <w:color w:val="000000"/>
          <w:spacing w:val="-2"/>
        </w:rPr>
        <w:t xml:space="preserve"> </w:t>
      </w:r>
      <w:r w:rsidR="00FC55A5">
        <w:rPr>
          <w:rFonts w:ascii="Calibri" w:eastAsia="Arial" w:hAnsi="Calibri" w:cs="Calibri"/>
          <w:color w:val="000000"/>
          <w:spacing w:val="-2"/>
        </w:rPr>
        <w:t>A</w:t>
      </w:r>
      <w:r w:rsidR="0033678B" w:rsidRPr="006642FB">
        <w:rPr>
          <w:rFonts w:ascii="Calibri" w:eastAsia="Arial" w:hAnsi="Calibri" w:cs="Calibri"/>
          <w:color w:val="000000"/>
          <w:spacing w:val="-2"/>
        </w:rPr>
        <w:t>dult and older adult patients account for a disproportionately large number of outpatient ENT visits.</w:t>
      </w:r>
      <w:r w:rsidR="0033678B" w:rsidRPr="006642FB">
        <w:rPr>
          <w:rFonts w:ascii="Calibri" w:eastAsia="Arial" w:hAnsi="Calibri" w:cs="Calibri"/>
          <w:color w:val="000000"/>
          <w:spacing w:val="-2"/>
          <w:vertAlign w:val="superscript"/>
        </w:rPr>
        <w:endnoteReference w:id="11"/>
      </w:r>
      <w:r w:rsidR="000A69A1" w:rsidRPr="000A69A1">
        <w:rPr>
          <w:rFonts w:ascii="Calibri" w:eastAsia="Arial" w:hAnsi="Calibri" w:cs="Calibri"/>
          <w:color w:val="000000"/>
          <w:spacing w:val="-2"/>
          <w:vertAlign w:val="superscript"/>
        </w:rPr>
        <w:t>,</w:t>
      </w:r>
      <w:r w:rsidR="0033678B" w:rsidRPr="006642FB">
        <w:rPr>
          <w:rFonts w:ascii="Calibri" w:eastAsia="Arial" w:hAnsi="Calibri" w:cs="Calibri"/>
          <w:color w:val="000000"/>
          <w:spacing w:val="-2"/>
          <w:vertAlign w:val="superscript"/>
        </w:rPr>
        <w:t xml:space="preserve"> </w:t>
      </w:r>
      <w:r w:rsidR="0033678B" w:rsidRPr="006642FB">
        <w:rPr>
          <w:rFonts w:ascii="Calibri" w:eastAsia="Arial" w:hAnsi="Calibri" w:cs="Calibri"/>
          <w:color w:val="000000"/>
          <w:spacing w:val="-2"/>
          <w:vertAlign w:val="superscript"/>
        </w:rPr>
        <w:endnoteReference w:id="12"/>
      </w:r>
      <w:r w:rsidR="0033678B" w:rsidRPr="006642FB">
        <w:rPr>
          <w:rFonts w:ascii="Calibri" w:eastAsia="Arial" w:hAnsi="Calibri" w:cs="Calibri"/>
          <w:color w:val="000000"/>
          <w:spacing w:val="-2"/>
          <w:vertAlign w:val="superscript"/>
        </w:rPr>
        <w:t xml:space="preserve"> </w:t>
      </w:r>
      <w:r w:rsidR="006642FB" w:rsidRPr="006642FB">
        <w:rPr>
          <w:rFonts w:ascii="Calibri" w:eastAsia="Arial" w:hAnsi="Calibri" w:cs="Calibri"/>
          <w:color w:val="000000"/>
          <w:spacing w:val="-2"/>
        </w:rPr>
        <w:t>Adults ages 45-64 accounted for 32% of visits to ENT physicians and older adults ages 65+ accounted for 21% of visits.</w:t>
      </w:r>
      <w:r w:rsidR="0033678B" w:rsidRPr="006642FB">
        <w:rPr>
          <w:rFonts w:ascii="Calibri" w:eastAsia="Arial" w:hAnsi="Calibri" w:cs="Calibri"/>
          <w:color w:val="000000"/>
          <w:spacing w:val="-2"/>
          <w:vertAlign w:val="superscript"/>
        </w:rPr>
        <w:endnoteReference w:id="13"/>
      </w:r>
      <w:r w:rsidR="0033678B" w:rsidRPr="006642FB">
        <w:rPr>
          <w:rFonts w:ascii="Calibri" w:eastAsia="Arial" w:hAnsi="Calibri" w:cs="Calibri"/>
          <w:color w:val="000000"/>
          <w:spacing w:val="-2"/>
        </w:rPr>
        <w:t xml:space="preserve"> </w:t>
      </w:r>
      <w:r w:rsidR="006642FB" w:rsidRPr="006642FB">
        <w:rPr>
          <w:rFonts w:ascii="Calibri" w:eastAsia="Arial" w:hAnsi="Calibri" w:cs="Calibri"/>
          <w:color w:val="000000"/>
          <w:spacing w:val="-2"/>
        </w:rPr>
        <w:t>As SHS</w:t>
      </w:r>
      <w:r w:rsidR="000A69A1">
        <w:rPr>
          <w:rFonts w:ascii="Calibri" w:eastAsia="Arial" w:hAnsi="Calibri" w:cs="Calibri"/>
          <w:color w:val="000000"/>
          <w:spacing w:val="-2"/>
        </w:rPr>
        <w:t xml:space="preserve">’s </w:t>
      </w:r>
      <w:r w:rsidR="006642FB" w:rsidRPr="006642FB">
        <w:rPr>
          <w:rFonts w:ascii="Calibri" w:eastAsia="Arial" w:hAnsi="Calibri" w:cs="Calibri"/>
          <w:color w:val="000000"/>
          <w:spacing w:val="-2"/>
        </w:rPr>
        <w:t xml:space="preserve">aging population continues to grow, it is expected </w:t>
      </w:r>
      <w:r w:rsidR="006642FB" w:rsidRPr="006642FB">
        <w:rPr>
          <w:rFonts w:ascii="Calibri" w:eastAsia="Arial" w:hAnsi="Calibri" w:cs="Calibri"/>
          <w:color w:val="000000"/>
          <w:spacing w:val="-2"/>
        </w:rPr>
        <w:lastRenderedPageBreak/>
        <w:t>that the number of individuals with risk factors for ENT related conditions will grow, leading to increases in demand for ENT procedures</w:t>
      </w:r>
      <w:r w:rsidR="009D7E27">
        <w:rPr>
          <w:rFonts w:ascii="Calibri" w:eastAsia="Arial" w:hAnsi="Calibri" w:cs="Calibri"/>
          <w:color w:val="000000"/>
          <w:spacing w:val="-2"/>
        </w:rPr>
        <w:t xml:space="preserve"> many of which can be performed in an ASC</w:t>
      </w:r>
      <w:r w:rsidR="006642FB" w:rsidRPr="006642FB">
        <w:rPr>
          <w:rFonts w:ascii="Calibri" w:eastAsia="Arial" w:hAnsi="Calibri" w:cs="Calibri"/>
          <w:color w:val="000000"/>
          <w:spacing w:val="-2"/>
        </w:rPr>
        <w:t>.</w:t>
      </w:r>
    </w:p>
    <w:p w14:paraId="516E9A32" w14:textId="57849939" w:rsidR="00A43951" w:rsidRDefault="00A43951" w:rsidP="005A385E">
      <w:pPr>
        <w:pStyle w:val="Heading2"/>
        <w:spacing w:line="240" w:lineRule="auto"/>
        <w:rPr>
          <w:rFonts w:asciiTheme="minorHAnsi" w:hAnsiTheme="minorHAnsi" w:cstheme="minorHAnsi"/>
          <w:sz w:val="28"/>
          <w:szCs w:val="28"/>
        </w:rPr>
      </w:pPr>
      <w:bookmarkStart w:id="44" w:name="_Toc157428828"/>
      <w:bookmarkStart w:id="45" w:name="_Toc174010165"/>
      <w:r w:rsidRPr="005A385E">
        <w:rPr>
          <w:rFonts w:asciiTheme="minorHAnsi" w:hAnsiTheme="minorHAnsi" w:cstheme="minorHAnsi"/>
          <w:sz w:val="28"/>
          <w:szCs w:val="28"/>
        </w:rPr>
        <w:t xml:space="preserve">Factor 1: b) </w:t>
      </w:r>
      <w:r w:rsidR="004954E4" w:rsidRPr="005A385E">
        <w:rPr>
          <w:rFonts w:asciiTheme="minorHAnsi" w:hAnsiTheme="minorHAnsi" w:cstheme="minorHAnsi"/>
          <w:sz w:val="28"/>
          <w:szCs w:val="28"/>
        </w:rPr>
        <w:t>P</w:t>
      </w:r>
      <w:r w:rsidRPr="005A385E">
        <w:rPr>
          <w:rFonts w:asciiTheme="minorHAnsi" w:hAnsiTheme="minorHAnsi" w:cstheme="minorHAnsi"/>
          <w:sz w:val="28"/>
          <w:szCs w:val="28"/>
        </w:rPr>
        <w:t xml:space="preserve">ublic </w:t>
      </w:r>
      <w:r w:rsidR="00A7767F" w:rsidRPr="005A385E">
        <w:rPr>
          <w:rFonts w:asciiTheme="minorHAnsi" w:hAnsiTheme="minorHAnsi" w:cstheme="minorHAnsi"/>
          <w:sz w:val="28"/>
          <w:szCs w:val="28"/>
        </w:rPr>
        <w:t xml:space="preserve">Health Value, Improved Health Outcomes and Quality of Life; Assurances </w:t>
      </w:r>
      <w:r w:rsidR="00A7767F">
        <w:rPr>
          <w:rFonts w:asciiTheme="minorHAnsi" w:hAnsiTheme="minorHAnsi" w:cstheme="minorHAnsi"/>
          <w:sz w:val="28"/>
          <w:szCs w:val="28"/>
        </w:rPr>
        <w:t>o</w:t>
      </w:r>
      <w:r w:rsidR="00A7767F" w:rsidRPr="005A385E">
        <w:rPr>
          <w:rFonts w:asciiTheme="minorHAnsi" w:hAnsiTheme="minorHAnsi" w:cstheme="minorHAnsi"/>
          <w:sz w:val="28"/>
          <w:szCs w:val="28"/>
        </w:rPr>
        <w:t>f Health Equity</w:t>
      </w:r>
      <w:bookmarkEnd w:id="38"/>
      <w:bookmarkEnd w:id="44"/>
      <w:bookmarkEnd w:id="45"/>
      <w:r w:rsidR="00A7767F">
        <w:rPr>
          <w:rFonts w:asciiTheme="minorHAnsi" w:hAnsiTheme="minorHAnsi" w:cstheme="minorHAnsi"/>
          <w:sz w:val="28"/>
          <w:szCs w:val="28"/>
        </w:rPr>
        <w:t xml:space="preserve"> </w:t>
      </w:r>
    </w:p>
    <w:p w14:paraId="6728B545" w14:textId="77777777" w:rsidR="007B1DAB" w:rsidRPr="007B1DAB" w:rsidRDefault="007B1DAB" w:rsidP="007B1DAB"/>
    <w:p w14:paraId="69AE6155" w14:textId="72F06949" w:rsidR="00196BFC" w:rsidRDefault="00196BFC" w:rsidP="005A385E">
      <w:bookmarkStart w:id="46" w:name="_Toc17149377"/>
      <w:bookmarkStart w:id="47" w:name="_Toc17151181"/>
      <w:bookmarkEnd w:id="39"/>
      <w:bookmarkEnd w:id="40"/>
      <w:bookmarkEnd w:id="41"/>
      <w:bookmarkEnd w:id="42"/>
      <w:bookmarkEnd w:id="43"/>
      <w:r w:rsidRPr="005A385E">
        <w:t>In this section</w:t>
      </w:r>
      <w:r w:rsidR="00DE4CD3">
        <w:t xml:space="preserve"> the Applicant must demonstrate that </w:t>
      </w:r>
      <w:r w:rsidRPr="005A385E">
        <w:t xml:space="preserve">the Proposed Project adds measurable public health value in terms of improved health outcomes and quality of life </w:t>
      </w:r>
      <w:r w:rsidR="00052556" w:rsidRPr="005A385E">
        <w:t>for</w:t>
      </w:r>
      <w:r w:rsidRPr="005A385E">
        <w:t xml:space="preserve"> the Applicant’s existing patient panel, while providing reasonable assurances of health equity. </w:t>
      </w:r>
    </w:p>
    <w:p w14:paraId="437AD1AC" w14:textId="77777777" w:rsidR="00D172AB" w:rsidRDefault="00D172AB" w:rsidP="005A385E"/>
    <w:p w14:paraId="41E4519D" w14:textId="24545E21" w:rsidR="00A373B2" w:rsidRDefault="00A373B2" w:rsidP="00A373B2">
      <w:pPr>
        <w:contextualSpacing/>
        <w:rPr>
          <w:b/>
        </w:rPr>
      </w:pPr>
      <w:r w:rsidRPr="00A373B2">
        <w:rPr>
          <w:b/>
        </w:rPr>
        <w:t>Public Health Value /Evidence-Based:</w:t>
      </w:r>
      <w:r>
        <w:rPr>
          <w:b/>
        </w:rPr>
        <w:t xml:space="preserve"> </w:t>
      </w:r>
    </w:p>
    <w:p w14:paraId="04A5D7FF" w14:textId="77777777" w:rsidR="006F545D" w:rsidRPr="00A373B2" w:rsidRDefault="006F545D" w:rsidP="00A373B2">
      <w:pPr>
        <w:contextualSpacing/>
        <w:rPr>
          <w:b/>
        </w:rPr>
      </w:pPr>
    </w:p>
    <w:p w14:paraId="6F1BD8BC" w14:textId="5C36467D" w:rsidR="00A373B2" w:rsidRPr="00A373B2" w:rsidRDefault="00A373B2" w:rsidP="00A373B2">
      <w:pPr>
        <w:contextualSpacing/>
      </w:pPr>
      <w:r w:rsidRPr="00A373B2">
        <w:t>The patients served in an ASC setting are generally of lower-</w:t>
      </w:r>
      <w:r w:rsidR="006B540F" w:rsidRPr="00A373B2">
        <w:t>acuity and</w:t>
      </w:r>
      <w:r w:rsidRPr="00A373B2">
        <w:t xml:space="preserve"> may be at lower risk for surgical complications.</w:t>
      </w:r>
      <w:r w:rsidR="008D1A3B" w:rsidRPr="00A373B2">
        <w:rPr>
          <w:vertAlign w:val="superscript"/>
        </w:rPr>
        <w:endnoteReference w:id="14"/>
      </w:r>
      <w:r w:rsidR="008D1A3B" w:rsidRPr="00A373B2">
        <w:t xml:space="preserve"> </w:t>
      </w:r>
      <w:r w:rsidRPr="00A373B2">
        <w:t xml:space="preserve">Taking this into account, </w:t>
      </w:r>
      <w:r w:rsidR="00914555">
        <w:t xml:space="preserve">and realizing that these benefits would likely not inure to patients in the service area without the Proposed Project, </w:t>
      </w:r>
      <w:r w:rsidRPr="00A373B2">
        <w:t>t</w:t>
      </w:r>
      <w:r w:rsidRPr="00A373B2">
        <w:rPr>
          <w:bCs/>
        </w:rPr>
        <w:t>he Applicant cited research that supports the public health value of the</w:t>
      </w:r>
      <w:r w:rsidRPr="00A373B2">
        <w:t xml:space="preserve"> provision of approved surgical procedures in the ASC setting</w:t>
      </w:r>
      <w:r w:rsidR="0085243F">
        <w:t xml:space="preserve">, </w:t>
      </w:r>
      <w:r w:rsidRPr="00A373B2">
        <w:t xml:space="preserve">including the following: </w:t>
      </w:r>
    </w:p>
    <w:p w14:paraId="1A56A94C" w14:textId="77777777" w:rsidR="00A373B2" w:rsidRPr="00A373B2" w:rsidRDefault="00A373B2" w:rsidP="00A373B2">
      <w:pPr>
        <w:contextualSpacing/>
      </w:pPr>
    </w:p>
    <w:p w14:paraId="09A98BF9" w14:textId="2BD518A6" w:rsidR="00EE6BB6" w:rsidRPr="00A373B2" w:rsidRDefault="00A373B2" w:rsidP="00A373B2">
      <w:pPr>
        <w:numPr>
          <w:ilvl w:val="0"/>
          <w:numId w:val="44"/>
        </w:numPr>
        <w:contextualSpacing/>
        <w:rPr>
          <w:b/>
        </w:rPr>
      </w:pPr>
      <w:r w:rsidRPr="00A373B2">
        <w:t>ASC facilities can provide the same or higher quality services, and access to highly-skilled physicians as hospitals.</w:t>
      </w:r>
      <w:r w:rsidR="00EE6BB6" w:rsidRPr="00A373B2">
        <w:rPr>
          <w:vertAlign w:val="superscript"/>
        </w:rPr>
        <w:endnoteReference w:id="15"/>
      </w:r>
      <w:r w:rsidR="00EE6BB6" w:rsidRPr="00A373B2">
        <w:t xml:space="preserve"> ASC </w:t>
      </w:r>
      <w:r w:rsidR="00BE30A2">
        <w:t>facilities</w:t>
      </w:r>
      <w:r w:rsidR="00BE30A2" w:rsidRPr="00A373B2">
        <w:t xml:space="preserve"> </w:t>
      </w:r>
      <w:r w:rsidR="00EE6BB6" w:rsidRPr="00A373B2">
        <w:t xml:space="preserve">enhance patient care by: (i) enabling clinical staff to focus on a small subset of procedures; (ii) </w:t>
      </w:r>
      <w:r w:rsidR="009B3164" w:rsidRPr="009B3164">
        <w:t xml:space="preserve">allowing for tightened </w:t>
      </w:r>
      <w:r w:rsidR="009B3164" w:rsidRPr="00457B28">
        <w:t>quality control processes</w:t>
      </w:r>
      <w:r w:rsidR="009B3164" w:rsidRPr="009B3164">
        <w:t xml:space="preserve"> </w:t>
      </w:r>
      <w:r w:rsidR="009B3164" w:rsidRPr="00457B28">
        <w:t xml:space="preserve">since ASCs are focused on a smaller infrastructure than a hospital; </w:t>
      </w:r>
      <w:r w:rsidR="00EE6BB6" w:rsidRPr="00A373B2">
        <w:t>and (iii)</w:t>
      </w:r>
      <w:r w:rsidR="000004EF" w:rsidRPr="000004EF">
        <w:rPr>
          <w:rFonts w:ascii="Aptos" w:eastAsia="Aptos" w:hAnsi="Aptos" w:cs="Aptos"/>
        </w:rPr>
        <w:t xml:space="preserve"> facilitating </w:t>
      </w:r>
      <w:r w:rsidR="000004EF" w:rsidRPr="00457B28">
        <w:rPr>
          <w:rFonts w:ascii="Aptos" w:eastAsia="Aptos" w:hAnsi="Aptos" w:cs="Aptos"/>
        </w:rPr>
        <w:t xml:space="preserve">more direct communications </w:t>
      </w:r>
      <w:r w:rsidR="000004EF" w:rsidRPr="000004EF">
        <w:rPr>
          <w:rFonts w:ascii="Aptos" w:eastAsia="Aptos" w:hAnsi="Aptos" w:cs="Aptos"/>
        </w:rPr>
        <w:t xml:space="preserve">among patients and their </w:t>
      </w:r>
      <w:r w:rsidR="000004EF" w:rsidRPr="00457B28">
        <w:rPr>
          <w:rFonts w:ascii="Aptos" w:eastAsia="Aptos" w:hAnsi="Aptos" w:cs="Aptos"/>
        </w:rPr>
        <w:t>care teams concerning their case and proposed treatment</w:t>
      </w:r>
      <w:r w:rsidR="00EE6BB6" w:rsidRPr="00A373B2">
        <w:t>.</w:t>
      </w:r>
      <w:r w:rsidR="00EE6BB6" w:rsidRPr="00A373B2">
        <w:rPr>
          <w:vertAlign w:val="superscript"/>
        </w:rPr>
        <w:endnoteReference w:id="16"/>
      </w:r>
    </w:p>
    <w:p w14:paraId="486B8E3F" w14:textId="0D28B908" w:rsidR="00EE6BB6" w:rsidRPr="00A373B2" w:rsidRDefault="00EE6BB6" w:rsidP="00A373B2">
      <w:pPr>
        <w:numPr>
          <w:ilvl w:val="0"/>
          <w:numId w:val="44"/>
        </w:numPr>
        <w:contextualSpacing/>
      </w:pPr>
      <w:r w:rsidRPr="00A373B2">
        <w:t>Quality Data and evidence-based research related to surgical service delivery sites show lower rates of revisits within one-week post-surgery,</w:t>
      </w:r>
      <w:r w:rsidRPr="00A373B2">
        <w:rPr>
          <w:vertAlign w:val="superscript"/>
        </w:rPr>
        <w:endnoteReference w:id="17"/>
      </w:r>
      <w:r w:rsidRPr="00A373B2">
        <w:t xml:space="preserve"> and lower rates of infection for procedures performed in ASCs vs HOPDs.</w:t>
      </w:r>
      <w:r w:rsidRPr="00A373B2">
        <w:rPr>
          <w:vertAlign w:val="superscript"/>
        </w:rPr>
        <w:endnoteReference w:id="18"/>
      </w:r>
      <w:r w:rsidRPr="00A373B2">
        <w:t xml:space="preserve"> Clinical outcomes in ASCs are generally comparable to or better than HOPDs, including with respect to adverse events as outlined in </w:t>
      </w:r>
      <w:r>
        <w:t>the previously referenced r</w:t>
      </w:r>
      <w:r w:rsidRPr="00A373B2">
        <w:t xml:space="preserve">ecent </w:t>
      </w:r>
      <w:r w:rsidRPr="006F545D">
        <w:rPr>
          <w:i/>
          <w:iCs/>
        </w:rPr>
        <w:t>HPC Datapoints</w:t>
      </w:r>
      <w:r w:rsidRPr="00A373B2">
        <w:t xml:space="preserve"> report.</w:t>
      </w:r>
      <w:r w:rsidRPr="00A373B2">
        <w:rPr>
          <w:vertAlign w:val="superscript"/>
        </w:rPr>
        <w:endnoteReference w:id="19"/>
      </w:r>
    </w:p>
    <w:p w14:paraId="613CE8F7" w14:textId="6629A842" w:rsidR="00EE6BB6" w:rsidRPr="00A373B2" w:rsidRDefault="00EE6BB6" w:rsidP="00A373B2">
      <w:pPr>
        <w:numPr>
          <w:ilvl w:val="0"/>
          <w:numId w:val="44"/>
        </w:numPr>
        <w:contextualSpacing/>
        <w:rPr>
          <w:bCs/>
        </w:rPr>
      </w:pPr>
      <w:r w:rsidRPr="00A373B2">
        <w:rPr>
          <w:bCs/>
        </w:rPr>
        <w:t>ASCs generally provide enhanced convenience and satisfaction and are often selected by patients and families as they are accessible and focused specifically on surgical services.</w:t>
      </w:r>
      <w:r w:rsidRPr="00A373B2">
        <w:rPr>
          <w:vertAlign w:val="superscript"/>
        </w:rPr>
        <w:endnoteReference w:id="20"/>
      </w:r>
      <w:r w:rsidRPr="00A373B2">
        <w:rPr>
          <w:bCs/>
        </w:rPr>
        <w:t xml:space="preserve"> At SDS, patients enter the easily navigable ASC facility directly from the free parking lot, with a configuration that facilitates access by ill, injured, or elderly patients. Through the Project, these benefits will be made available to SHS patients and the wider community who select the ASC for their individual multi-specialty surgical needs.</w:t>
      </w:r>
    </w:p>
    <w:p w14:paraId="01BF57C8" w14:textId="77777777" w:rsidR="00EE6BB6" w:rsidRDefault="00EE6BB6" w:rsidP="00A373B2">
      <w:pPr>
        <w:contextualSpacing/>
      </w:pPr>
      <w:bookmarkStart w:id="48" w:name="_Hlk171683125"/>
    </w:p>
    <w:p w14:paraId="78C24303" w14:textId="7A4763A4" w:rsidR="00EE6BB6" w:rsidRDefault="00EE6BB6" w:rsidP="00A373B2">
      <w:pPr>
        <w:contextualSpacing/>
      </w:pPr>
      <w:r w:rsidRPr="00A373B2">
        <w:t xml:space="preserve">The Applicant reports that SHS has experience </w:t>
      </w:r>
      <w:r>
        <w:t xml:space="preserve">with </w:t>
      </w:r>
      <w:r w:rsidRPr="00A373B2">
        <w:t>leveraging its resources to tailor programs and services to meet the needs of the communities it serves</w:t>
      </w:r>
      <w:r>
        <w:t>; and it</w:t>
      </w:r>
      <w:r w:rsidRPr="00A373B2">
        <w:t xml:space="preserve"> has multidisciplinary team in place with extensive experience in community benefit programs, value-based care and risk contracting</w:t>
      </w:r>
      <w:r w:rsidR="008D1A3B">
        <w:t xml:space="preserve"> which </w:t>
      </w:r>
      <w:r w:rsidRPr="00A373B2">
        <w:t xml:space="preserve">will be </w:t>
      </w:r>
      <w:r w:rsidR="00AC2C19">
        <w:t xml:space="preserve">incorporated to SDS with approval of the Proposed </w:t>
      </w:r>
      <w:r w:rsidRPr="00A373B2">
        <w:t>Project.</w:t>
      </w:r>
    </w:p>
    <w:p w14:paraId="18089C82" w14:textId="77777777" w:rsidR="00EE6BB6" w:rsidRPr="00A373B2" w:rsidRDefault="00EE6BB6" w:rsidP="00A373B2">
      <w:pPr>
        <w:contextualSpacing/>
      </w:pPr>
    </w:p>
    <w:bookmarkEnd w:id="48"/>
    <w:p w14:paraId="540EEF6A" w14:textId="77777777" w:rsidR="00EE6BB6" w:rsidRDefault="00EE6BB6" w:rsidP="00A373B2">
      <w:pPr>
        <w:contextualSpacing/>
        <w:rPr>
          <w:b/>
        </w:rPr>
      </w:pPr>
      <w:r w:rsidRPr="00A373B2">
        <w:rPr>
          <w:b/>
        </w:rPr>
        <w:t>Improving Health Outcomes and Quality of Life</w:t>
      </w:r>
      <w:r>
        <w:rPr>
          <w:b/>
        </w:rPr>
        <w:t>:</w:t>
      </w:r>
    </w:p>
    <w:p w14:paraId="4F91D0E3" w14:textId="6F3EB767" w:rsidR="00EE6BB6" w:rsidRPr="00A373B2" w:rsidRDefault="00EE6BB6" w:rsidP="00A373B2">
      <w:pPr>
        <w:contextualSpacing/>
        <w:rPr>
          <w:b/>
        </w:rPr>
      </w:pPr>
      <w:r w:rsidRPr="00A373B2">
        <w:rPr>
          <w:b/>
        </w:rPr>
        <w:t xml:space="preserve"> </w:t>
      </w:r>
    </w:p>
    <w:p w14:paraId="2807659D" w14:textId="589DAD49" w:rsidR="00EE6BB6" w:rsidRDefault="00EE6BB6" w:rsidP="00A373B2">
      <w:pPr>
        <w:contextualSpacing/>
      </w:pPr>
      <w:r w:rsidRPr="00A373B2">
        <w:lastRenderedPageBreak/>
        <w:t xml:space="preserve">The Applicant anticipates that the Proposed Project will provide SHS’s and SDS’s </w:t>
      </w:r>
      <w:r w:rsidR="009D7E27">
        <w:t xml:space="preserve">combined </w:t>
      </w:r>
      <w:r w:rsidRPr="00A373B2">
        <w:t>patient panel</w:t>
      </w:r>
      <w:r w:rsidR="009E3BD8">
        <w:t>s</w:t>
      </w:r>
      <w:r w:rsidRPr="00A373B2">
        <w:t xml:space="preserve"> with improved access to integrated ASC services, thus </w:t>
      </w:r>
      <w:r w:rsidR="00AC2C19">
        <w:t xml:space="preserve">leading to </w:t>
      </w:r>
      <w:r w:rsidRPr="00A373B2">
        <w:t>improved outcomes and quality of life. Shifting patients to an ASC setting allows for high-quality and lower-cost care</w:t>
      </w:r>
      <w:r w:rsidR="00941A5E">
        <w:t xml:space="preserve">. </w:t>
      </w:r>
      <w:r w:rsidR="00F51F69">
        <w:t>R</w:t>
      </w:r>
      <w:r w:rsidRPr="00A373B2">
        <w:t>esearchers have found that high-risk Medicare patients are less likely to visit an emergency department or be admitted to a hospital following outpatient surgery in an ASC setting.</w:t>
      </w:r>
      <w:r w:rsidRPr="00A373B2">
        <w:rPr>
          <w:vertAlign w:val="superscript"/>
        </w:rPr>
        <w:endnoteReference w:id="21"/>
      </w:r>
      <w:r w:rsidRPr="00A373B2">
        <w:t xml:space="preserve"> </w:t>
      </w:r>
      <w:r w:rsidR="006F545D">
        <w:t>P</w:t>
      </w:r>
      <w:r w:rsidR="00A373B2" w:rsidRPr="00A373B2">
        <w:t>rovision of care in the ASC setting is associated with efficiencies, convenience, and cost savings, all of which promote patient satisfaction and may lead to improved quality of life.</w:t>
      </w:r>
      <w:r w:rsidRPr="00A373B2">
        <w:rPr>
          <w:vertAlign w:val="superscript"/>
        </w:rPr>
        <w:endnoteReference w:id="22"/>
      </w:r>
    </w:p>
    <w:p w14:paraId="5B108279" w14:textId="77777777" w:rsidR="00A84591" w:rsidRDefault="00A84591" w:rsidP="00161FA8">
      <w:pPr>
        <w:contextualSpacing/>
      </w:pPr>
    </w:p>
    <w:p w14:paraId="062F9ACB" w14:textId="77777777" w:rsidR="00A84616" w:rsidRDefault="0079060B" w:rsidP="00E56C12">
      <w:pPr>
        <w:pStyle w:val="RNNum"/>
        <w:numPr>
          <w:ilvl w:val="0"/>
          <w:numId w:val="0"/>
        </w:numPr>
        <w:spacing w:after="0"/>
        <w:rPr>
          <w:b/>
          <w:bCs/>
          <w:iCs/>
        </w:rPr>
      </w:pPr>
      <w:r>
        <w:rPr>
          <w:b/>
          <w:bCs/>
          <w:szCs w:val="24"/>
        </w:rPr>
        <w:t>Public Health Value- Health Equity</w:t>
      </w:r>
      <w:r w:rsidR="00E56C12">
        <w:rPr>
          <w:b/>
          <w:bCs/>
          <w:szCs w:val="24"/>
        </w:rPr>
        <w:t>-</w:t>
      </w:r>
      <w:r w:rsidR="006946AE" w:rsidRPr="006946AE">
        <w:rPr>
          <w:b/>
          <w:bCs/>
          <w:iCs/>
        </w:rPr>
        <w:t xml:space="preserve"> Integration of a Health Equity Lens:</w:t>
      </w:r>
    </w:p>
    <w:p w14:paraId="29D40D92" w14:textId="38C20466" w:rsidR="00A373B2" w:rsidRDefault="006946AE" w:rsidP="00E56C12">
      <w:pPr>
        <w:pStyle w:val="RNNum"/>
        <w:numPr>
          <w:ilvl w:val="0"/>
          <w:numId w:val="0"/>
        </w:numPr>
        <w:spacing w:after="0"/>
        <w:rPr>
          <w:b/>
          <w:bCs/>
          <w:iCs/>
        </w:rPr>
      </w:pPr>
      <w:r w:rsidRPr="006946AE">
        <w:rPr>
          <w:b/>
          <w:bCs/>
          <w:iCs/>
        </w:rPr>
        <w:t xml:space="preserve">  </w:t>
      </w:r>
    </w:p>
    <w:p w14:paraId="0B2C54CA" w14:textId="0DFB26FC" w:rsidR="0050041D" w:rsidRDefault="00A84616" w:rsidP="00E56C12">
      <w:pPr>
        <w:pStyle w:val="RNNum"/>
        <w:numPr>
          <w:ilvl w:val="0"/>
          <w:numId w:val="0"/>
        </w:numPr>
        <w:spacing w:after="0"/>
        <w:rPr>
          <w:iCs/>
        </w:rPr>
      </w:pPr>
      <w:r>
        <w:rPr>
          <w:iCs/>
        </w:rPr>
        <w:t xml:space="preserve">The Applicant states </w:t>
      </w:r>
      <w:r w:rsidR="006946AE" w:rsidRPr="00E56C12">
        <w:rPr>
          <w:iCs/>
        </w:rPr>
        <w:t xml:space="preserve">SHS has prioritized health equity system-wide, including data collection and analysis, </w:t>
      </w:r>
      <w:r w:rsidR="00BE30A2">
        <w:rPr>
          <w:iCs/>
        </w:rPr>
        <w:t xml:space="preserve">and </w:t>
      </w:r>
      <w:r w:rsidR="006946AE" w:rsidRPr="00E56C12">
        <w:rPr>
          <w:iCs/>
        </w:rPr>
        <w:t>training</w:t>
      </w:r>
      <w:r>
        <w:rPr>
          <w:iCs/>
        </w:rPr>
        <w:t xml:space="preserve">. </w:t>
      </w:r>
      <w:r w:rsidR="006946AE" w:rsidRPr="00E56C12">
        <w:rPr>
          <w:iCs/>
        </w:rPr>
        <w:t>SHS has also created a multidisciplinary Health Equity advis</w:t>
      </w:r>
      <w:r>
        <w:rPr>
          <w:iCs/>
        </w:rPr>
        <w:t>ory committee</w:t>
      </w:r>
      <w:r w:rsidR="006946AE" w:rsidRPr="00E56C12">
        <w:rPr>
          <w:iCs/>
        </w:rPr>
        <w:t xml:space="preserve">. SHS and its Health Equity Committee leadership will work closely with SDS leadership and community stakeholders to integrate SDS into existing efforts. This may include conducting additional education and outreach and expanding data collection and analysis capabilities to identify equity-related opportunities and facilitate access to care. SHS </w:t>
      </w:r>
      <w:r w:rsidR="004649F3">
        <w:rPr>
          <w:iCs/>
        </w:rPr>
        <w:t xml:space="preserve">states it </w:t>
      </w:r>
      <w:r w:rsidR="006946AE" w:rsidRPr="00E56C12">
        <w:rPr>
          <w:iCs/>
        </w:rPr>
        <w:t>will expand its equity-focused assessment of services to include SDS</w:t>
      </w:r>
      <w:r w:rsidR="004649F3">
        <w:rPr>
          <w:iCs/>
        </w:rPr>
        <w:t xml:space="preserve">, </w:t>
      </w:r>
      <w:r w:rsidR="00F25EBC">
        <w:rPr>
          <w:iCs/>
        </w:rPr>
        <w:t xml:space="preserve">as these </w:t>
      </w:r>
      <w:r w:rsidR="00CC1F75">
        <w:rPr>
          <w:iCs/>
        </w:rPr>
        <w:t>services are not provided there at this time.</w:t>
      </w:r>
    </w:p>
    <w:p w14:paraId="53FE434F" w14:textId="52301A5C" w:rsidR="0050041D" w:rsidRPr="0050041D" w:rsidRDefault="00B53CDC" w:rsidP="0050041D">
      <w:pPr>
        <w:rPr>
          <w:iCs/>
        </w:rPr>
      </w:pPr>
      <w:r w:rsidRPr="005A7B94">
        <w:rPr>
          <w:b/>
          <w:u w:val="single"/>
        </w:rPr>
        <w:br/>
      </w:r>
      <w:r>
        <w:t xml:space="preserve">The Applicant </w:t>
      </w:r>
      <w:r w:rsidR="005B42F0">
        <w:t>describes</w:t>
      </w:r>
      <w:r>
        <w:t xml:space="preserve"> it</w:t>
      </w:r>
      <w:r w:rsidR="005B42F0">
        <w:t>s</w:t>
      </w:r>
      <w:r>
        <w:t xml:space="preserve"> </w:t>
      </w:r>
      <w:r w:rsidRPr="005A7B94">
        <w:t>commitment to advancing health equity in its community and</w:t>
      </w:r>
      <w:r w:rsidR="004649F3">
        <w:t xml:space="preserve"> to</w:t>
      </w:r>
      <w:r w:rsidRPr="005A7B94">
        <w:t xml:space="preserve"> addressing social determinants of health</w:t>
      </w:r>
      <w:r w:rsidR="00A84616">
        <w:t xml:space="preserve"> (“SDOH”)</w:t>
      </w:r>
      <w:r>
        <w:t>; it</w:t>
      </w:r>
      <w:r w:rsidRPr="005A7B94">
        <w:t xml:space="preserve"> uses internal and external data to assess trends in health needs and health outcomes of its patients and community. </w:t>
      </w:r>
      <w:r>
        <w:t>It’</w:t>
      </w:r>
      <w:r w:rsidRPr="005A7B94">
        <w:t xml:space="preserve">s 2022 Community Health Needs Assessment (“CHNA”) indicates the strong impact that </w:t>
      </w:r>
      <w:r w:rsidR="00A84616">
        <w:t xml:space="preserve">SDOH issues </w:t>
      </w:r>
      <w:r w:rsidRPr="005A7B94">
        <w:t>have on the health of residents in</w:t>
      </w:r>
      <w:r>
        <w:t xml:space="preserve"> its service area</w:t>
      </w:r>
      <w:r w:rsidRPr="005A7B94">
        <w:t>.</w:t>
      </w:r>
      <w:r w:rsidR="0033678B" w:rsidRPr="005A7B94">
        <w:rPr>
          <w:vertAlign w:val="superscript"/>
        </w:rPr>
        <w:endnoteReference w:id="23"/>
      </w:r>
      <w:r w:rsidR="0033678B" w:rsidRPr="00B347AB">
        <w:rPr>
          <w:vertAlign w:val="superscript"/>
        </w:rPr>
        <w:t xml:space="preserve">, </w:t>
      </w:r>
      <w:r w:rsidR="0033678B" w:rsidRPr="005A7B94">
        <w:rPr>
          <w:vertAlign w:val="superscript"/>
        </w:rPr>
        <w:endnoteReference w:id="24"/>
      </w:r>
      <w:r w:rsidR="0033678B" w:rsidRPr="005A7B94">
        <w:t xml:space="preserve"> </w:t>
      </w:r>
      <w:r w:rsidRPr="005A7B94">
        <w:t>In SHS’s and SDS’s service area, the population experiences SDoH-related</w:t>
      </w:r>
      <w:r w:rsidR="000910CA">
        <w:t xml:space="preserve"> </w:t>
      </w:r>
      <w:r w:rsidR="002258AF">
        <w:t>issues</w:t>
      </w:r>
      <w:r w:rsidRPr="005A7B94">
        <w:t xml:space="preserve"> </w:t>
      </w:r>
      <w:r>
        <w:t xml:space="preserve">including </w:t>
      </w:r>
      <w:r w:rsidRPr="005A7B94">
        <w:t>low-income, minoritized racial and ethnic</w:t>
      </w:r>
      <w:r w:rsidR="000910CA">
        <w:t xml:space="preserve"> disparities</w:t>
      </w:r>
      <w:r w:rsidRPr="005A7B94">
        <w:t>, and</w:t>
      </w:r>
      <w:r w:rsidR="007C0FCC">
        <w:t xml:space="preserve"> an aging population</w:t>
      </w:r>
      <w:r w:rsidRPr="005A7B94">
        <w:t>.</w:t>
      </w:r>
      <w:r w:rsidR="0050041D">
        <w:t xml:space="preserve"> </w:t>
      </w:r>
      <w:r w:rsidR="0050041D" w:rsidRPr="0050041D">
        <w:rPr>
          <w:iCs/>
        </w:rPr>
        <w:t>SHS’s service area is centered on Fall River and New Bedford, Massachusetts, each of which have poverty rates that are nearly double the state average (according to SHS’s 2022 CHNA)</w:t>
      </w:r>
      <w:r w:rsidR="00A2536C">
        <w:rPr>
          <w:iCs/>
        </w:rPr>
        <w:t xml:space="preserve">; </w:t>
      </w:r>
      <w:r w:rsidR="0050041D" w:rsidRPr="0050041D">
        <w:rPr>
          <w:iCs/>
        </w:rPr>
        <w:t>more than 62% of the region’s public-school students are classified as economically disadvantaged</w:t>
      </w:r>
      <w:r w:rsidR="0050041D">
        <w:rPr>
          <w:iCs/>
        </w:rPr>
        <w:t xml:space="preserve">; the </w:t>
      </w:r>
      <w:r w:rsidR="0050041D" w:rsidRPr="0050041D">
        <w:rPr>
          <w:iCs/>
        </w:rPr>
        <w:t>average annual wages in the Southcoast region are a 63.3% of the state average.</w:t>
      </w:r>
      <w:r w:rsidR="0050041D">
        <w:rPr>
          <w:iCs/>
        </w:rPr>
        <w:t xml:space="preserve"> </w:t>
      </w:r>
      <w:r w:rsidR="0050041D" w:rsidRPr="0050041D">
        <w:rPr>
          <w:iCs/>
        </w:rPr>
        <w:t xml:space="preserve">The Applicant’s parties will help </w:t>
      </w:r>
      <w:r w:rsidR="00A2536C">
        <w:rPr>
          <w:iCs/>
        </w:rPr>
        <w:t>patients w</w:t>
      </w:r>
      <w:r w:rsidR="00F539EC">
        <w:rPr>
          <w:iCs/>
        </w:rPr>
        <w:t xml:space="preserve">ho have these disparities </w:t>
      </w:r>
      <w:r w:rsidR="0050041D" w:rsidRPr="0050041D">
        <w:rPr>
          <w:iCs/>
        </w:rPr>
        <w:t>by ensuring equitable access to the health benefits created by the Proposed Project.</w:t>
      </w:r>
    </w:p>
    <w:p w14:paraId="65362661" w14:textId="101DCB4A" w:rsidR="0050041D" w:rsidRPr="00E56C12" w:rsidRDefault="0050041D" w:rsidP="0050041D">
      <w:r>
        <w:t xml:space="preserve"> </w:t>
      </w:r>
    </w:p>
    <w:p w14:paraId="1EDFBC7D" w14:textId="57FEA269" w:rsidR="00B53CDC" w:rsidRDefault="00B53CDC" w:rsidP="00B53CDC">
      <w:r w:rsidRPr="00B347AB">
        <w:t xml:space="preserve">The Applicant asserts it does not discriminate based on ability to pay or payer source, and that it has a </w:t>
      </w:r>
      <w:r w:rsidR="00236FDE">
        <w:t>“</w:t>
      </w:r>
      <w:r w:rsidRPr="00B347AB">
        <w:t>robust</w:t>
      </w:r>
      <w:r w:rsidR="00236FDE">
        <w:t>”</w:t>
      </w:r>
      <w:r w:rsidRPr="00B347AB">
        <w:t xml:space="preserve"> financial assistance policy for patients</w:t>
      </w:r>
      <w:r w:rsidR="00F539EC">
        <w:t>.</w:t>
      </w:r>
      <w:r w:rsidRPr="00B347AB">
        <w:t xml:space="preserve"> </w:t>
      </w:r>
      <w:r>
        <w:t>The Applicant states it will</w:t>
      </w:r>
      <w:r w:rsidRPr="005A7B94">
        <w:t xml:space="preserve"> </w:t>
      </w:r>
      <w:r>
        <w:t xml:space="preserve">expand </w:t>
      </w:r>
      <w:r w:rsidRPr="005A7B94">
        <w:t>its commitment to meeting the needs of medically indigent</w:t>
      </w:r>
      <w:r w:rsidR="0050041D">
        <w:t xml:space="preserve"> </w:t>
      </w:r>
      <w:r w:rsidRPr="005A7B94">
        <w:t>and/or Medicaid eligible individuals</w:t>
      </w:r>
      <w:r>
        <w:t xml:space="preserve"> to SDS following Project implementation</w:t>
      </w:r>
      <w:r w:rsidR="0050041D">
        <w:t xml:space="preserve"> resulting in </w:t>
      </w:r>
      <w:r w:rsidRPr="005A7B94">
        <w:t>expand</w:t>
      </w:r>
      <w:r w:rsidR="0050041D">
        <w:t>ed</w:t>
      </w:r>
      <w:r w:rsidRPr="005A7B94">
        <w:t xml:space="preserve"> access to surgical services for S</w:t>
      </w:r>
      <w:r w:rsidR="009762F3">
        <w:t>D</w:t>
      </w:r>
      <w:r w:rsidRPr="005A7B94">
        <w:t xml:space="preserve">S’s </w:t>
      </w:r>
      <w:r w:rsidR="006C3DC5" w:rsidRPr="005A7B94">
        <w:t>patients</w:t>
      </w:r>
      <w:r w:rsidR="006C3DC5">
        <w:t xml:space="preserve"> and</w:t>
      </w:r>
      <w:r w:rsidRPr="005A7B94">
        <w:t xml:space="preserve"> will ensure continued access to such services for </w:t>
      </w:r>
      <w:r w:rsidR="00BE30A2">
        <w:t>b</w:t>
      </w:r>
      <w:r w:rsidR="009762F3">
        <w:t xml:space="preserve">oth </w:t>
      </w:r>
      <w:r w:rsidRPr="005A7B94">
        <w:t>SHS’s and SDS’s patient</w:t>
      </w:r>
      <w:r w:rsidR="00BD1E84">
        <w:t>s.</w:t>
      </w:r>
    </w:p>
    <w:p w14:paraId="436DA9B5" w14:textId="77777777" w:rsidR="00B53CDC" w:rsidRDefault="00B53CDC" w:rsidP="00B53CDC"/>
    <w:p w14:paraId="53E23468" w14:textId="1286F6BC" w:rsidR="00B53CDC" w:rsidRDefault="00B53CDC" w:rsidP="00B53CDC">
      <w:pPr>
        <w:rPr>
          <w:b/>
        </w:rPr>
      </w:pPr>
      <w:bookmarkStart w:id="49" w:name="_Hlk162275281"/>
      <w:r w:rsidRPr="0050041D">
        <w:rPr>
          <w:b/>
        </w:rPr>
        <w:t xml:space="preserve">Culturally Appropriate Care and Language Access </w:t>
      </w:r>
    </w:p>
    <w:p w14:paraId="2DBD25DF" w14:textId="77777777" w:rsidR="0050041D" w:rsidRPr="0050041D" w:rsidRDefault="0050041D" w:rsidP="00B53CDC">
      <w:pPr>
        <w:rPr>
          <w:b/>
        </w:rPr>
      </w:pPr>
    </w:p>
    <w:p w14:paraId="634E2185" w14:textId="75F99E6A" w:rsidR="00A0350F" w:rsidRDefault="00236FDE" w:rsidP="00B53CDC">
      <w:r w:rsidRPr="00236FDE">
        <w:t xml:space="preserve">The Proposed Project will allow SHS to incorporate SDS into its language access initiatives (services not currently available at SDS) thereby facilitating access for culturally and </w:t>
      </w:r>
      <w:r w:rsidRPr="00236FDE">
        <w:lastRenderedPageBreak/>
        <w:t>linguistically diverse patients presenting to SDS.</w:t>
      </w:r>
      <w:r>
        <w:rPr>
          <w:rStyle w:val="FootnoteReference"/>
        </w:rPr>
        <w:footnoteReference w:id="8"/>
      </w:r>
      <w:r w:rsidRPr="00236FDE">
        <w:t xml:space="preserve"> </w:t>
      </w:r>
      <w:r w:rsidR="00B53CDC" w:rsidRPr="005A7B94">
        <w:t xml:space="preserve">SHS’s 2022 CHNA supports the need for health information and resources to be understandable and accessible, including provider education about how to communicate </w:t>
      </w:r>
      <w:r w:rsidR="00BD1E84">
        <w:t xml:space="preserve">medical information to </w:t>
      </w:r>
      <w:r w:rsidR="00A0350F">
        <w:t xml:space="preserve">its culturally and linguistically diverse </w:t>
      </w:r>
      <w:r w:rsidR="00B53CDC" w:rsidRPr="005A7B94">
        <w:t>patients</w:t>
      </w:r>
      <w:r w:rsidR="00BD1E84">
        <w:t>;</w:t>
      </w:r>
      <w:r w:rsidR="00B53CDC" w:rsidRPr="005A7B94">
        <w:t xml:space="preserve"> and training in </w:t>
      </w:r>
      <w:r w:rsidR="00BD1E84">
        <w:t xml:space="preserve">clinicians in </w:t>
      </w:r>
      <w:r w:rsidR="00B53CDC" w:rsidRPr="005A7B94">
        <w:t xml:space="preserve">cultural humility as a means to deliver culturally sensitive care. </w:t>
      </w:r>
    </w:p>
    <w:p w14:paraId="560E8B24" w14:textId="10CB537A" w:rsidR="00B53CDC" w:rsidRPr="005A7B94" w:rsidRDefault="00B53CDC" w:rsidP="00B53CDC">
      <w:r w:rsidRPr="005A7B94">
        <w:t xml:space="preserve"> </w:t>
      </w:r>
    </w:p>
    <w:bookmarkEnd w:id="49"/>
    <w:p w14:paraId="06FCBAA0" w14:textId="2364442F" w:rsidR="00B53CDC" w:rsidRDefault="00B53CDC" w:rsidP="00B53CDC">
      <w:r w:rsidRPr="005A7B94">
        <w:t>SHS has systems</w:t>
      </w:r>
      <w:r>
        <w:t xml:space="preserve"> and dedicated staffing </w:t>
      </w:r>
      <w:r w:rsidRPr="005A7B94">
        <w:t xml:space="preserve">to </w:t>
      </w:r>
      <w:r>
        <w:t xml:space="preserve">advance </w:t>
      </w:r>
      <w:r w:rsidRPr="005A7B94">
        <w:t xml:space="preserve">health equity, </w:t>
      </w:r>
      <w:r>
        <w:t xml:space="preserve">which </w:t>
      </w:r>
      <w:r w:rsidRPr="005A7B94">
        <w:t>will</w:t>
      </w:r>
      <w:r>
        <w:t xml:space="preserve"> incorporate SDS </w:t>
      </w:r>
      <w:r w:rsidRPr="005A7B94">
        <w:t>post-transaction</w:t>
      </w:r>
      <w:r>
        <w:t xml:space="preserve"> </w:t>
      </w:r>
      <w:r w:rsidRPr="005A7B94">
        <w:t>includ</w:t>
      </w:r>
      <w:r>
        <w:t>ing</w:t>
      </w:r>
      <w:r w:rsidRPr="005A7B94">
        <w:t xml:space="preserve">: (1) system-wide efforts to improve data collection (e.g., the collection of self-reported race, ethnicity, language, disability, sexual orientation, and gender identity [RELDSOGI] data), (2) staff training to ensure competency in collecting </w:t>
      </w:r>
      <w:r w:rsidR="00BE30A2">
        <w:t>these</w:t>
      </w:r>
      <w:r w:rsidR="00BE30A2" w:rsidRPr="005A7B94">
        <w:t xml:space="preserve"> </w:t>
      </w:r>
      <w:r w:rsidRPr="005A7B94">
        <w:t xml:space="preserve">data from </w:t>
      </w:r>
      <w:r w:rsidR="00BE30A2">
        <w:t>their</w:t>
      </w:r>
      <w:r w:rsidR="00BE30A2" w:rsidRPr="005A7B94">
        <w:t xml:space="preserve"> </w:t>
      </w:r>
      <w:r w:rsidRPr="005A7B94">
        <w:t xml:space="preserve">patient population, (3) stratified analyses of RELDSOGI data to identify disparities, and (4) targeted initiatives, </w:t>
      </w:r>
      <w:r>
        <w:t xml:space="preserve">such as </w:t>
      </w:r>
      <w:r w:rsidRPr="005A7B94">
        <w:t xml:space="preserve">clinical-community partnerships, to address identified disparities. </w:t>
      </w:r>
    </w:p>
    <w:p w14:paraId="13527851" w14:textId="77777777" w:rsidR="00A0350F" w:rsidRDefault="00A0350F" w:rsidP="00B53CDC"/>
    <w:p w14:paraId="289037BC" w14:textId="32E21020" w:rsidR="00B53CDC" w:rsidRPr="005A7B94" w:rsidRDefault="00B53CDC" w:rsidP="00B53CDC">
      <w:r>
        <w:t xml:space="preserve">As a result of these initiatives, </w:t>
      </w:r>
      <w:r w:rsidRPr="005A7B94">
        <w:t xml:space="preserve">the Applicant asserts that the </w:t>
      </w:r>
      <w:r w:rsidR="00A0350F">
        <w:t xml:space="preserve">Proposed </w:t>
      </w:r>
      <w:r w:rsidRPr="005A7B94">
        <w:t>Project will result in improved health outcomes and quality of life while providing reasonable assurances of health equity</w:t>
      </w:r>
      <w:r w:rsidR="00236FDE">
        <w:t xml:space="preserve"> for SDS’s patients.</w:t>
      </w:r>
    </w:p>
    <w:p w14:paraId="3FB6F632" w14:textId="77777777" w:rsidR="00B53CDC" w:rsidRDefault="00B53CDC" w:rsidP="00B53CDC"/>
    <w:p w14:paraId="7E7C1E2D" w14:textId="7FED2E3D" w:rsidR="007B1DAB" w:rsidRDefault="007B1DAB" w:rsidP="003F7CD2">
      <w:pPr>
        <w:pStyle w:val="RNNum"/>
        <w:numPr>
          <w:ilvl w:val="0"/>
          <w:numId w:val="0"/>
        </w:numPr>
        <w:spacing w:after="0"/>
        <w:rPr>
          <w:b/>
          <w:bCs/>
          <w:i/>
          <w:iCs/>
          <w:szCs w:val="24"/>
        </w:rPr>
      </w:pPr>
      <w:r w:rsidRPr="005071DF">
        <w:rPr>
          <w:b/>
          <w:bCs/>
          <w:i/>
          <w:iCs/>
          <w:szCs w:val="24"/>
        </w:rPr>
        <w:t>Analysis</w:t>
      </w:r>
    </w:p>
    <w:p w14:paraId="4DD81056" w14:textId="77777777" w:rsidR="00621161" w:rsidRPr="005071DF" w:rsidRDefault="00621161" w:rsidP="003F7CD2">
      <w:pPr>
        <w:pStyle w:val="RNNum"/>
        <w:numPr>
          <w:ilvl w:val="0"/>
          <w:numId w:val="0"/>
        </w:numPr>
        <w:spacing w:after="0"/>
        <w:rPr>
          <w:b/>
          <w:bCs/>
          <w:i/>
          <w:iCs/>
          <w:szCs w:val="24"/>
        </w:rPr>
      </w:pPr>
    </w:p>
    <w:p w14:paraId="31303881" w14:textId="3C9CA7DC" w:rsidR="00BF0F71" w:rsidRPr="00BF0F71" w:rsidRDefault="00BF0F71" w:rsidP="00621161">
      <w:pPr>
        <w:rPr>
          <w:rFonts w:ascii="Calibri" w:eastAsia="Calibri" w:hAnsi="Calibri" w:cs="Times New Roman"/>
          <w:kern w:val="2"/>
          <w14:ligatures w14:val="standardContextual"/>
        </w:rPr>
      </w:pPr>
      <w:r w:rsidRPr="00BF0F71">
        <w:rPr>
          <w:rFonts w:ascii="Calibri" w:eastAsia="Calibri" w:hAnsi="Calibri" w:cs="Times New Roman"/>
          <w:kern w:val="2"/>
          <w14:ligatures w14:val="standardContextual"/>
        </w:rPr>
        <w:t>The Applicant provided several measures to track in order to assess the impact of the Proposed Project</w:t>
      </w:r>
      <w:r w:rsidR="006A29A0">
        <w:rPr>
          <w:rFonts w:ascii="Calibri" w:eastAsia="Calibri" w:hAnsi="Calibri" w:cs="Times New Roman"/>
          <w:kern w:val="2"/>
          <w14:ligatures w14:val="standardContextual"/>
        </w:rPr>
        <w:t xml:space="preserve">, </w:t>
      </w:r>
      <w:r w:rsidRPr="00BF0F71">
        <w:rPr>
          <w:rFonts w:ascii="Calibri" w:eastAsia="Calibri" w:hAnsi="Calibri" w:cs="Times New Roman"/>
          <w:kern w:val="2"/>
          <w14:ligatures w14:val="standardContextual"/>
        </w:rPr>
        <w:t xml:space="preserve">which are found in Appendix 1. The Applicant will track and report the measures as part of their annual reporting. </w:t>
      </w:r>
    </w:p>
    <w:p w14:paraId="32EAA93E" w14:textId="77777777" w:rsidR="007B1DAB" w:rsidRPr="00D14DFE" w:rsidRDefault="007B1DAB" w:rsidP="003F7CD2"/>
    <w:p w14:paraId="564BDF4F" w14:textId="12559116" w:rsidR="00236FDE" w:rsidRPr="00236FDE" w:rsidRDefault="15451349" w:rsidP="00236FDE">
      <w:r w:rsidRPr="6F80FCDD">
        <w:rPr>
          <w:color w:val="000000" w:themeColor="text1"/>
        </w:rPr>
        <w:t xml:space="preserve">Staff has reviewed </w:t>
      </w:r>
      <w:r w:rsidR="59F842AF" w:rsidRPr="6F80FCDD">
        <w:rPr>
          <w:color w:val="000000" w:themeColor="text1"/>
        </w:rPr>
        <w:t xml:space="preserve">and concurs </w:t>
      </w:r>
      <w:r w:rsidR="18ABFE9A" w:rsidRPr="6F80FCDD">
        <w:rPr>
          <w:color w:val="000000" w:themeColor="text1"/>
        </w:rPr>
        <w:t xml:space="preserve">that </w:t>
      </w:r>
      <w:r w:rsidR="37DD63E5" w:rsidRPr="6F80FCDD">
        <w:rPr>
          <w:color w:val="000000" w:themeColor="text1"/>
        </w:rPr>
        <w:t xml:space="preserve">the </w:t>
      </w:r>
      <w:r w:rsidR="46CD4640" w:rsidRPr="6F80FCDD">
        <w:rPr>
          <w:color w:val="000000" w:themeColor="text1"/>
        </w:rPr>
        <w:t>P</w:t>
      </w:r>
      <w:r w:rsidR="3FDFC2CB" w:rsidRPr="6F80FCDD">
        <w:rPr>
          <w:color w:val="000000" w:themeColor="text1"/>
        </w:rPr>
        <w:t xml:space="preserve">roposed </w:t>
      </w:r>
      <w:r w:rsidR="46CD4640" w:rsidRPr="6F80FCDD">
        <w:rPr>
          <w:color w:val="000000" w:themeColor="text1"/>
        </w:rPr>
        <w:t xml:space="preserve">Project </w:t>
      </w:r>
      <w:r w:rsidR="1E2B5125" w:rsidRPr="6F80FCDD">
        <w:rPr>
          <w:color w:val="000000" w:themeColor="text1"/>
        </w:rPr>
        <w:t xml:space="preserve">will </w:t>
      </w:r>
      <w:r w:rsidR="1159FB78">
        <w:t xml:space="preserve">add </w:t>
      </w:r>
      <w:r w:rsidR="45BF6CE0">
        <w:t xml:space="preserve">to </w:t>
      </w:r>
      <w:r w:rsidR="1159FB78">
        <w:t xml:space="preserve">public health value in terms of improved </w:t>
      </w:r>
      <w:r w:rsidR="00A31DE2">
        <w:t xml:space="preserve">access, </w:t>
      </w:r>
      <w:r w:rsidR="1159FB78">
        <w:t xml:space="preserve">health outcomes and quality of </w:t>
      </w:r>
      <w:r w:rsidR="00621161">
        <w:t>life</w:t>
      </w:r>
      <w:r w:rsidR="1159FB78">
        <w:t xml:space="preserve"> </w:t>
      </w:r>
      <w:r w:rsidR="00236FDE" w:rsidRPr="00236FDE">
        <w:t>while providing reasonable assurances of health equity for SDS’s patients</w:t>
      </w:r>
      <w:r w:rsidR="00236FDE">
        <w:t>.</w:t>
      </w:r>
    </w:p>
    <w:p w14:paraId="462CDF9A" w14:textId="77777777" w:rsidR="003E2749" w:rsidRPr="00621161" w:rsidRDefault="003E2749" w:rsidP="00B31381">
      <w:pPr>
        <w:pStyle w:val="Heading1"/>
        <w:spacing w:before="0" w:line="240" w:lineRule="auto"/>
        <w:rPr>
          <w:rFonts w:ascii="Garamond" w:hAnsi="Garamond"/>
          <w:sz w:val="24"/>
          <w:szCs w:val="24"/>
        </w:rPr>
      </w:pPr>
      <w:bookmarkStart w:id="50" w:name="_Toc18922409"/>
      <w:bookmarkStart w:id="51" w:name="_Toc17151150"/>
      <w:bookmarkStart w:id="52" w:name="_Toc17322394"/>
      <w:bookmarkEnd w:id="46"/>
      <w:bookmarkEnd w:id="47"/>
    </w:p>
    <w:p w14:paraId="786AFC9A" w14:textId="1D711531" w:rsidR="003F2A58" w:rsidRDefault="00BB7B4F" w:rsidP="00A0350F">
      <w:pPr>
        <w:pStyle w:val="Heading1"/>
        <w:spacing w:before="0" w:line="240" w:lineRule="auto"/>
        <w:rPr>
          <w:rFonts w:asciiTheme="minorHAnsi" w:hAnsiTheme="minorHAnsi" w:cstheme="minorHAnsi"/>
        </w:rPr>
      </w:pPr>
      <w:bookmarkStart w:id="53" w:name="_Toc157428829"/>
      <w:bookmarkStart w:id="54" w:name="_Toc174010166"/>
      <w:r w:rsidRPr="00B13F08">
        <w:rPr>
          <w:rFonts w:asciiTheme="minorHAnsi" w:hAnsiTheme="minorHAnsi" w:cstheme="minorHAnsi"/>
        </w:rPr>
        <w:t>Factor 1: c) Efficiency, Continuity of Care, Coordination of Care</w:t>
      </w:r>
      <w:bookmarkStart w:id="55" w:name="_Toc17322393"/>
      <w:bookmarkStart w:id="56" w:name="_Toc17748465"/>
      <w:bookmarkEnd w:id="50"/>
      <w:bookmarkEnd w:id="53"/>
      <w:bookmarkEnd w:id="54"/>
      <w:r w:rsidR="0074546D">
        <w:rPr>
          <w:rFonts w:asciiTheme="minorHAnsi" w:hAnsiTheme="minorHAnsi" w:cstheme="minorHAnsi"/>
        </w:rPr>
        <w:t xml:space="preserve"> </w:t>
      </w:r>
    </w:p>
    <w:p w14:paraId="3428C4FA" w14:textId="77777777" w:rsidR="00A0350F" w:rsidRPr="00A0350F" w:rsidRDefault="00A0350F" w:rsidP="00A0350F"/>
    <w:p w14:paraId="35B942D1" w14:textId="5EB05ACA" w:rsidR="00842EE8" w:rsidRDefault="003F2A58" w:rsidP="00B67C1F">
      <w:r w:rsidRPr="003F2A58">
        <w:t>The Applicant reports that th</w:t>
      </w:r>
      <w:r w:rsidR="006C51E3">
        <w:t>e a</w:t>
      </w:r>
      <w:r w:rsidRPr="003F2A58">
        <w:t xml:space="preserve">cquisition of SDS, </w:t>
      </w:r>
      <w:r w:rsidR="006C51E3">
        <w:t xml:space="preserve">will bring it </w:t>
      </w:r>
      <w:r w:rsidRPr="003F2A58">
        <w:t>within the Southcoast Health network of providers</w:t>
      </w:r>
      <w:r w:rsidR="00C12C91">
        <w:t xml:space="preserve"> which will enhance c</w:t>
      </w:r>
      <w:r w:rsidR="00C12C91" w:rsidRPr="00C12C91">
        <w:t>ontinuity and coordination of care through facilitated clinical integration</w:t>
      </w:r>
      <w:r w:rsidR="006C51E3">
        <w:t xml:space="preserve"> among sites and providers</w:t>
      </w:r>
      <w:r w:rsidR="00236FDE">
        <w:t>; and it</w:t>
      </w:r>
      <w:r w:rsidR="00842EE8">
        <w:t xml:space="preserve"> </w:t>
      </w:r>
      <w:r w:rsidR="00E54F63">
        <w:t xml:space="preserve">further </w:t>
      </w:r>
      <w:r w:rsidR="00842EE8">
        <w:t xml:space="preserve">asserts </w:t>
      </w:r>
      <w:r w:rsidR="00E54F63">
        <w:t xml:space="preserve">that all </w:t>
      </w:r>
      <w:r w:rsidR="00842EE8" w:rsidRPr="00842EE8">
        <w:t>SHS care entities, from its emergency departments</w:t>
      </w:r>
      <w:r w:rsidR="00842EE8">
        <w:t xml:space="preserve">, to </w:t>
      </w:r>
      <w:r w:rsidR="00842EE8" w:rsidRPr="00842EE8">
        <w:t xml:space="preserve">hospitals, to post-acute care settings, </w:t>
      </w:r>
      <w:r w:rsidR="009C5E9C">
        <w:t xml:space="preserve">to </w:t>
      </w:r>
      <w:r w:rsidR="00842EE8" w:rsidRPr="00842EE8">
        <w:t xml:space="preserve">primary and specialty care providers, are </w:t>
      </w:r>
      <w:r w:rsidR="009C5E9C">
        <w:t xml:space="preserve">all </w:t>
      </w:r>
      <w:r w:rsidR="00842EE8" w:rsidRPr="00842EE8">
        <w:t>positioned to support longitudinal, integrated, collaborative care following the implementation of the Proposed Project</w:t>
      </w:r>
      <w:r w:rsidR="00E54F63">
        <w:t>.</w:t>
      </w:r>
    </w:p>
    <w:p w14:paraId="753CA59B" w14:textId="77777777" w:rsidR="00746B7C" w:rsidRDefault="00746B7C" w:rsidP="00B67C1F"/>
    <w:p w14:paraId="43139395" w14:textId="493B29FB" w:rsidR="00021848" w:rsidRDefault="00167304" w:rsidP="000A6030">
      <w:r>
        <w:t xml:space="preserve">The Applicant reports </w:t>
      </w:r>
      <w:r w:rsidR="00E60495">
        <w:t xml:space="preserve">that SDS will be transitioned to </w:t>
      </w:r>
      <w:r w:rsidR="001756BB">
        <w:t>S</w:t>
      </w:r>
      <w:r w:rsidR="00532733">
        <w:t>H</w:t>
      </w:r>
      <w:r w:rsidR="001756BB">
        <w:t>S’s</w:t>
      </w:r>
      <w:r w:rsidR="000A6030" w:rsidRPr="000A6030">
        <w:t xml:space="preserve"> E</w:t>
      </w:r>
      <w:r w:rsidR="003F4605">
        <w:t xml:space="preserve">lectronic </w:t>
      </w:r>
      <w:r w:rsidR="000A6030" w:rsidRPr="000A6030">
        <w:t>M</w:t>
      </w:r>
      <w:r w:rsidR="003F4605">
        <w:t xml:space="preserve">edical </w:t>
      </w:r>
      <w:r w:rsidR="000A6030" w:rsidRPr="000A6030">
        <w:t>R</w:t>
      </w:r>
      <w:r w:rsidR="003F4605">
        <w:t>ecord (“EMR”)</w:t>
      </w:r>
      <w:r w:rsidR="00021848">
        <w:t>.</w:t>
      </w:r>
      <w:r w:rsidR="00AB1E15">
        <w:t xml:space="preserve"> </w:t>
      </w:r>
      <w:r w:rsidR="00021848">
        <w:t xml:space="preserve">SDS currently has </w:t>
      </w:r>
      <w:r w:rsidR="00A0350F">
        <w:t xml:space="preserve">a </w:t>
      </w:r>
      <w:r w:rsidR="00021848">
        <w:t>paper-based</w:t>
      </w:r>
      <w:r w:rsidR="00A0350F">
        <w:t xml:space="preserve"> system</w:t>
      </w:r>
      <w:r w:rsidR="00021848">
        <w:t xml:space="preserve"> which means all data collection is manual and labor-</w:t>
      </w:r>
      <w:r w:rsidR="00021848">
        <w:lastRenderedPageBreak/>
        <w:t>intensive</w:t>
      </w:r>
      <w:r w:rsidR="00532733">
        <w:t>,</w:t>
      </w:r>
      <w:r w:rsidR="00021848">
        <w:t xml:space="preserve"> and therefore the ASC does not collect demographic data on race, gender </w:t>
      </w:r>
      <w:r w:rsidR="00873492">
        <w:t>identity</w:t>
      </w:r>
      <w:r w:rsidR="00021848">
        <w:t xml:space="preserve">, socio-economic data, or SDOH </w:t>
      </w:r>
      <w:r w:rsidR="00D57EE2">
        <w:t>needs,</w:t>
      </w:r>
      <w:r w:rsidR="00021848">
        <w:t xml:space="preserve"> and all referrals and </w:t>
      </w:r>
      <w:r w:rsidR="009D78DB">
        <w:t xml:space="preserve">medical records are transmitted via </w:t>
      </w:r>
      <w:r w:rsidR="006A29A0">
        <w:t xml:space="preserve">fax </w:t>
      </w:r>
      <w:r w:rsidR="009D78DB">
        <w:t xml:space="preserve">and other means. </w:t>
      </w:r>
    </w:p>
    <w:p w14:paraId="5285635D" w14:textId="77777777" w:rsidR="00021848" w:rsidRDefault="00021848" w:rsidP="000A6030"/>
    <w:p w14:paraId="7597FD8C" w14:textId="340DA515" w:rsidR="000A6030" w:rsidRPr="000A6030" w:rsidRDefault="000A6030" w:rsidP="000A6030">
      <w:r w:rsidRPr="000A6030">
        <w:t>By utilizing a single EMR, electronic referrals can be sent and processed more accurately, comprehensively, and rapidly</w:t>
      </w:r>
      <w:r w:rsidR="008001AB">
        <w:t xml:space="preserve">, </w:t>
      </w:r>
      <w:r w:rsidRPr="000A6030">
        <w:t>allow</w:t>
      </w:r>
      <w:r w:rsidR="008001AB">
        <w:t>ing for</w:t>
      </w:r>
      <w:r w:rsidRPr="000A6030">
        <w:t xml:space="preserve"> direct scheduling </w:t>
      </w:r>
      <w:r w:rsidR="00532733">
        <w:t xml:space="preserve">by </w:t>
      </w:r>
      <w:r w:rsidRPr="000A6030">
        <w:t xml:space="preserve">the practice at time of referral </w:t>
      </w:r>
      <w:r w:rsidR="00532733">
        <w:t xml:space="preserve">which </w:t>
      </w:r>
      <w:r w:rsidRPr="000A6030">
        <w:t>decreas</w:t>
      </w:r>
      <w:r w:rsidR="00532733">
        <w:t>es</w:t>
      </w:r>
      <w:r w:rsidRPr="000A6030">
        <w:t xml:space="preserve"> </w:t>
      </w:r>
      <w:r w:rsidR="008001AB">
        <w:t xml:space="preserve">patient </w:t>
      </w:r>
      <w:r w:rsidRPr="000A6030">
        <w:t>wait time</w:t>
      </w:r>
      <w:r w:rsidR="008001AB">
        <w:t>s</w:t>
      </w:r>
      <w:r w:rsidRPr="000A6030">
        <w:t xml:space="preserve"> for procedures. Southcoast Physicians Group has an Epic queue-management process with </w:t>
      </w:r>
      <w:r w:rsidR="008001AB">
        <w:t xml:space="preserve">designated </w:t>
      </w:r>
      <w:r w:rsidRPr="000A6030">
        <w:t xml:space="preserve">staff for gastrointestinal procedures that </w:t>
      </w:r>
      <w:r w:rsidR="00A3549B">
        <w:t xml:space="preserve">the Applicant states </w:t>
      </w:r>
      <w:r w:rsidRPr="000A6030">
        <w:t xml:space="preserve">has resulted in </w:t>
      </w:r>
      <w:r w:rsidR="00215EDF">
        <w:t>“</w:t>
      </w:r>
      <w:r w:rsidRPr="000A6030">
        <w:t>best-in-class</w:t>
      </w:r>
      <w:r w:rsidR="00215EDF">
        <w:t>”</w:t>
      </w:r>
      <w:r w:rsidRPr="000A6030">
        <w:t xml:space="preserve"> throughput on preventative and diagnostic colonoscopies. SHS believes that </w:t>
      </w:r>
      <w:r w:rsidR="00A0350F">
        <w:t xml:space="preserve">through implementing </w:t>
      </w:r>
      <w:r w:rsidRPr="000A6030">
        <w:t>Epic</w:t>
      </w:r>
      <w:r w:rsidR="003C62B0">
        <w:t xml:space="preserve"> at SDS</w:t>
      </w:r>
      <w:r w:rsidRPr="000A6030">
        <w:t>, and assigning SHS staff to additional cases at SDS</w:t>
      </w:r>
      <w:r w:rsidR="007B0D9F">
        <w:t>,</w:t>
      </w:r>
      <w:r w:rsidRPr="000A6030">
        <w:t xml:space="preserve"> benefits in throughput and access</w:t>
      </w:r>
      <w:r w:rsidR="00A0350F">
        <w:t xml:space="preserve"> will occur for </w:t>
      </w:r>
      <w:r w:rsidR="00127E6D">
        <w:t xml:space="preserve">all </w:t>
      </w:r>
      <w:r w:rsidRPr="000A6030">
        <w:t>procedural services. Complete electronic integration allows for streamlined referrals, scheduling</w:t>
      </w:r>
      <w:r w:rsidR="00941A5E">
        <w:t>,</w:t>
      </w:r>
      <w:r w:rsidRPr="000A6030">
        <w:t xml:space="preserve"> and pre-procedural optimization (testing, etc.) for patients.</w:t>
      </w:r>
      <w:r w:rsidR="00A21B9E">
        <w:t xml:space="preserve"> </w:t>
      </w:r>
      <w:r w:rsidR="00127E6D">
        <w:t>P</w:t>
      </w:r>
      <w:r w:rsidRPr="000A6030">
        <w:t xml:space="preserve">rocedural documentation and results will be available to patients and their Southcoast Health care team members via Epic's MyChart and the EMR. </w:t>
      </w:r>
    </w:p>
    <w:p w14:paraId="43D5C39D" w14:textId="77777777" w:rsidR="00746B7C" w:rsidRPr="007A08D6" w:rsidRDefault="00746B7C" w:rsidP="007A08D6"/>
    <w:p w14:paraId="5A2A8DB1" w14:textId="65A24203" w:rsidR="00842EE8" w:rsidRDefault="00842EE8" w:rsidP="00B67C1F">
      <w:r>
        <w:t>The Applicant reports the following</w:t>
      </w:r>
      <w:r w:rsidR="009C5E9C">
        <w:t xml:space="preserve"> examples of how the Proposed Project will </w:t>
      </w:r>
      <w:r>
        <w:t>benefit</w:t>
      </w:r>
      <w:r w:rsidR="00E943F0">
        <w:t xml:space="preserve"> </w:t>
      </w:r>
      <w:r>
        <w:t>patients</w:t>
      </w:r>
      <w:r w:rsidR="009C5E9C">
        <w:t xml:space="preserve"> in terms of improved efficiency, </w:t>
      </w:r>
      <w:r w:rsidR="000D6901">
        <w:t>continuity,</w:t>
      </w:r>
      <w:r w:rsidR="009C5E9C">
        <w:t xml:space="preserve"> and coordination of care</w:t>
      </w:r>
      <w:r>
        <w:t>:</w:t>
      </w:r>
    </w:p>
    <w:p w14:paraId="60B44E88" w14:textId="77777777" w:rsidR="006C51E3" w:rsidRDefault="006C51E3" w:rsidP="00B67C1F"/>
    <w:p w14:paraId="0D254930" w14:textId="7D34323E" w:rsidR="003F2A58" w:rsidRPr="00842EE8" w:rsidRDefault="00C12C91" w:rsidP="00B67C1F">
      <w:pPr>
        <w:pStyle w:val="ListParagraph"/>
        <w:numPr>
          <w:ilvl w:val="0"/>
          <w:numId w:val="39"/>
        </w:numPr>
        <w:spacing w:line="240" w:lineRule="auto"/>
        <w:rPr>
          <w:sz w:val="24"/>
          <w:szCs w:val="24"/>
        </w:rPr>
      </w:pPr>
      <w:r w:rsidRPr="00842EE8">
        <w:rPr>
          <w:sz w:val="24"/>
          <w:szCs w:val="24"/>
        </w:rPr>
        <w:t xml:space="preserve">SHS’s </w:t>
      </w:r>
      <w:r w:rsidR="006C51E3" w:rsidRPr="00842EE8">
        <w:rPr>
          <w:sz w:val="24"/>
          <w:szCs w:val="24"/>
        </w:rPr>
        <w:t xml:space="preserve">patients, including its </w:t>
      </w:r>
      <w:r w:rsidR="003F2A58" w:rsidRPr="00842EE8">
        <w:rPr>
          <w:sz w:val="24"/>
          <w:szCs w:val="24"/>
        </w:rPr>
        <w:t>ACO</w:t>
      </w:r>
      <w:r w:rsidR="006C51E3" w:rsidRPr="00842EE8">
        <w:rPr>
          <w:sz w:val="24"/>
          <w:szCs w:val="24"/>
        </w:rPr>
        <w:t>’</w:t>
      </w:r>
      <w:r w:rsidR="003F2A58" w:rsidRPr="00842EE8">
        <w:rPr>
          <w:sz w:val="24"/>
          <w:szCs w:val="24"/>
        </w:rPr>
        <w:t>s</w:t>
      </w:r>
      <w:r w:rsidR="006C51E3" w:rsidRPr="00842EE8">
        <w:rPr>
          <w:sz w:val="24"/>
          <w:szCs w:val="24"/>
        </w:rPr>
        <w:t xml:space="preserve"> patients, will benefit from a new site for ambulatory surgery which will offer </w:t>
      </w:r>
      <w:r w:rsidR="00127E6D">
        <w:rPr>
          <w:sz w:val="24"/>
          <w:szCs w:val="24"/>
        </w:rPr>
        <w:t xml:space="preserve">time </w:t>
      </w:r>
      <w:r w:rsidR="00C477CD" w:rsidRPr="00842EE8">
        <w:rPr>
          <w:sz w:val="24"/>
          <w:szCs w:val="24"/>
        </w:rPr>
        <w:t xml:space="preserve">efficiencies </w:t>
      </w:r>
      <w:r w:rsidR="00842EE8" w:rsidRPr="00842EE8">
        <w:rPr>
          <w:sz w:val="24"/>
          <w:szCs w:val="24"/>
        </w:rPr>
        <w:t xml:space="preserve">for patients and families </w:t>
      </w:r>
      <w:r w:rsidR="00C477CD" w:rsidRPr="00842EE8">
        <w:rPr>
          <w:sz w:val="24"/>
          <w:szCs w:val="24"/>
        </w:rPr>
        <w:t xml:space="preserve">related to </w:t>
      </w:r>
      <w:r w:rsidR="006C51E3" w:rsidRPr="00842EE8">
        <w:rPr>
          <w:sz w:val="24"/>
          <w:szCs w:val="24"/>
        </w:rPr>
        <w:t xml:space="preserve">ease of </w:t>
      </w:r>
      <w:r w:rsidR="00842EE8" w:rsidRPr="00842EE8">
        <w:rPr>
          <w:sz w:val="24"/>
          <w:szCs w:val="24"/>
        </w:rPr>
        <w:t xml:space="preserve">site </w:t>
      </w:r>
      <w:r w:rsidR="006C51E3" w:rsidRPr="00842EE8">
        <w:rPr>
          <w:sz w:val="24"/>
          <w:szCs w:val="24"/>
        </w:rPr>
        <w:t xml:space="preserve">navigation, parking and access to all </w:t>
      </w:r>
      <w:r w:rsidR="003F2A58" w:rsidRPr="00842EE8">
        <w:rPr>
          <w:sz w:val="24"/>
          <w:szCs w:val="24"/>
        </w:rPr>
        <w:t xml:space="preserve">their providers via an integrated network, </w:t>
      </w:r>
      <w:r w:rsidR="006C51E3" w:rsidRPr="00842EE8">
        <w:rPr>
          <w:sz w:val="24"/>
          <w:szCs w:val="24"/>
        </w:rPr>
        <w:t>of providers</w:t>
      </w:r>
      <w:r w:rsidR="00842EE8" w:rsidRPr="00842EE8">
        <w:rPr>
          <w:sz w:val="24"/>
          <w:szCs w:val="24"/>
        </w:rPr>
        <w:t>.</w:t>
      </w:r>
      <w:bookmarkStart w:id="57" w:name="_Hlk161235142"/>
    </w:p>
    <w:p w14:paraId="387804A2" w14:textId="62454481" w:rsidR="003F2A58" w:rsidRPr="00842EE8" w:rsidRDefault="003F2A58" w:rsidP="00B67C1F">
      <w:pPr>
        <w:pStyle w:val="ListParagraph"/>
        <w:numPr>
          <w:ilvl w:val="0"/>
          <w:numId w:val="39"/>
        </w:numPr>
        <w:spacing w:line="240" w:lineRule="auto"/>
        <w:rPr>
          <w:sz w:val="24"/>
          <w:szCs w:val="24"/>
        </w:rPr>
      </w:pPr>
      <w:r w:rsidRPr="00842EE8">
        <w:rPr>
          <w:sz w:val="24"/>
          <w:szCs w:val="24"/>
        </w:rPr>
        <w:t xml:space="preserve">SDS </w:t>
      </w:r>
      <w:r w:rsidR="00842EE8" w:rsidRPr="00842EE8">
        <w:rPr>
          <w:sz w:val="24"/>
          <w:szCs w:val="24"/>
        </w:rPr>
        <w:t xml:space="preserve">patients will also benefit from gaining access </w:t>
      </w:r>
      <w:r w:rsidRPr="00842EE8">
        <w:rPr>
          <w:sz w:val="24"/>
          <w:szCs w:val="24"/>
        </w:rPr>
        <w:t xml:space="preserve">into </w:t>
      </w:r>
      <w:r w:rsidR="00842EE8" w:rsidRPr="00842EE8">
        <w:rPr>
          <w:sz w:val="24"/>
          <w:szCs w:val="24"/>
        </w:rPr>
        <w:t xml:space="preserve">SHS’ </w:t>
      </w:r>
      <w:r w:rsidRPr="00842EE8">
        <w:rPr>
          <w:sz w:val="24"/>
          <w:szCs w:val="24"/>
        </w:rPr>
        <w:t>care coordination initiatives.</w:t>
      </w:r>
      <w:r w:rsidR="00C477CD" w:rsidRPr="00842EE8">
        <w:rPr>
          <w:sz w:val="24"/>
          <w:szCs w:val="24"/>
        </w:rPr>
        <w:t xml:space="preserve"> </w:t>
      </w:r>
      <w:r w:rsidRPr="00842EE8">
        <w:rPr>
          <w:sz w:val="24"/>
          <w:szCs w:val="24"/>
        </w:rPr>
        <w:t>While most care coordination needs for ambulatory surgical procedures are arranged in advance of the procedure day, should SDS care coordination needs arise on the day of surgery, SHS has made internal and cross continuum infrastructure investments to support a “longitudinal” patient-centered approach to care</w:t>
      </w:r>
      <w:r w:rsidR="00724553">
        <w:rPr>
          <w:sz w:val="24"/>
          <w:szCs w:val="24"/>
        </w:rPr>
        <w:t>,</w:t>
      </w:r>
      <w:r w:rsidR="00C477CD" w:rsidRPr="00842EE8">
        <w:rPr>
          <w:sz w:val="24"/>
          <w:szCs w:val="24"/>
        </w:rPr>
        <w:t xml:space="preserve"> whereby post-surgical recovery will be more efficiently coordinated</w:t>
      </w:r>
      <w:r w:rsidR="00724553">
        <w:rPr>
          <w:sz w:val="24"/>
          <w:szCs w:val="24"/>
        </w:rPr>
        <w:t xml:space="preserve"> with access to</w:t>
      </w:r>
      <w:r w:rsidR="00C477CD" w:rsidRPr="00842EE8">
        <w:rPr>
          <w:sz w:val="24"/>
          <w:szCs w:val="24"/>
        </w:rPr>
        <w:t xml:space="preserve"> </w:t>
      </w:r>
      <w:r w:rsidR="00532733">
        <w:rPr>
          <w:sz w:val="24"/>
          <w:szCs w:val="24"/>
        </w:rPr>
        <w:t xml:space="preserve">services such as </w:t>
      </w:r>
      <w:r w:rsidR="00C477CD" w:rsidRPr="00842EE8">
        <w:rPr>
          <w:sz w:val="24"/>
          <w:szCs w:val="24"/>
        </w:rPr>
        <w:t>rehabilitation, which may help patients avoid complications.</w:t>
      </w:r>
      <w:r w:rsidR="009C5E9C">
        <w:rPr>
          <w:sz w:val="24"/>
          <w:szCs w:val="24"/>
        </w:rPr>
        <w:t xml:space="preserve"> </w:t>
      </w:r>
    </w:p>
    <w:p w14:paraId="071D1601" w14:textId="18912849" w:rsidR="003F2A58" w:rsidRPr="00842EE8" w:rsidRDefault="003F2A58" w:rsidP="00B67C1F">
      <w:pPr>
        <w:pStyle w:val="ListParagraph"/>
        <w:numPr>
          <w:ilvl w:val="0"/>
          <w:numId w:val="39"/>
        </w:numPr>
        <w:spacing w:line="240" w:lineRule="auto"/>
        <w:rPr>
          <w:sz w:val="24"/>
          <w:szCs w:val="24"/>
        </w:rPr>
      </w:pPr>
      <w:r w:rsidRPr="00842EE8">
        <w:rPr>
          <w:sz w:val="24"/>
          <w:szCs w:val="24"/>
        </w:rPr>
        <w:t>SDS patients will experience integrated access to primary care and wellness services to efficiently manage their conditions, and to facilitate consultations and treatment at hospital and outpatient sites as needed.</w:t>
      </w:r>
      <w:r w:rsidRPr="003F2A58">
        <w:t xml:space="preserve"> </w:t>
      </w:r>
    </w:p>
    <w:bookmarkEnd w:id="55"/>
    <w:bookmarkEnd w:id="56"/>
    <w:bookmarkEnd w:id="57"/>
    <w:p w14:paraId="4A06DCAE" w14:textId="69C9E1DE" w:rsidR="0074546D" w:rsidRPr="0074546D" w:rsidRDefault="0074546D" w:rsidP="0074546D">
      <w:pPr>
        <w:contextualSpacing/>
        <w:rPr>
          <w:b/>
          <w:bCs/>
          <w:i/>
          <w:iCs/>
        </w:rPr>
      </w:pPr>
      <w:r w:rsidRPr="0074546D">
        <w:rPr>
          <w:b/>
          <w:bCs/>
          <w:i/>
          <w:iCs/>
        </w:rPr>
        <w:t>Analysis</w:t>
      </w:r>
      <w:r w:rsidR="003F2A58">
        <w:rPr>
          <w:b/>
          <w:bCs/>
          <w:i/>
          <w:iCs/>
        </w:rPr>
        <w:t xml:space="preserve"> </w:t>
      </w:r>
    </w:p>
    <w:p w14:paraId="044CCCB1" w14:textId="77777777" w:rsidR="0074546D" w:rsidRPr="0074546D" w:rsidRDefault="0074546D" w:rsidP="0074546D">
      <w:pPr>
        <w:contextualSpacing/>
      </w:pPr>
    </w:p>
    <w:p w14:paraId="56C6EF66" w14:textId="77777777" w:rsidR="0074546D" w:rsidRPr="0074546D" w:rsidRDefault="0074546D" w:rsidP="0074546D">
      <w:pPr>
        <w:contextualSpacing/>
      </w:pPr>
      <w:r w:rsidRPr="0074546D">
        <w:t>Studies show that integrated health information technology systems directly affect health outcomes, as access to a single, integrated health record improves care coordination, can reduce errors, improve patient safety, and support better patient outcomes.</w:t>
      </w:r>
      <w:r w:rsidRPr="0074546D">
        <w:rPr>
          <w:vertAlign w:val="superscript"/>
        </w:rPr>
        <w:t>gg</w:t>
      </w:r>
      <w:r w:rsidRPr="0074546D">
        <w:t xml:space="preserve"> Successful care coordination includes strong communication and effective care plan transitions among   providers and the provision of clear and simple information that patients can understand.</w:t>
      </w:r>
      <w:r w:rsidRPr="0074546D">
        <w:rPr>
          <w:vertAlign w:val="superscript"/>
        </w:rPr>
        <w:t>ee</w:t>
      </w:r>
      <w:r w:rsidRPr="0074546D">
        <w:t xml:space="preserve"> Effective care coordination can improve patient experience, increase patient safety and reduce medical errors.</w:t>
      </w:r>
      <w:r w:rsidRPr="0074546D">
        <w:rPr>
          <w:vertAlign w:val="superscript"/>
        </w:rPr>
        <w:t>ff</w:t>
      </w:r>
      <w:r w:rsidRPr="0074546D">
        <w:t xml:space="preserve"> Uniform, integrated IT systems that include scheduling, EHR and patient communication tools, are timesavers which improve efficiencies. Accordingly, staff find that the </w:t>
      </w:r>
      <w:r w:rsidRPr="0074546D">
        <w:lastRenderedPageBreak/>
        <w:t>Proposed Project will create efficiencies through the support of continuity and coordination of care initiatives for the Patient Panel.</w:t>
      </w:r>
    </w:p>
    <w:bookmarkEnd w:id="51"/>
    <w:bookmarkEnd w:id="52"/>
    <w:p w14:paraId="3E46B0E2" w14:textId="77777777" w:rsidR="00621161" w:rsidRPr="007C36FF" w:rsidRDefault="00621161" w:rsidP="00621161">
      <w:pPr>
        <w:pStyle w:val="ListParagraph"/>
        <w:spacing w:after="0" w:line="240" w:lineRule="auto"/>
        <w:ind w:left="360"/>
      </w:pPr>
    </w:p>
    <w:p w14:paraId="0521E143" w14:textId="2D1A9DF8" w:rsidR="00E40FAA" w:rsidRDefault="00371842" w:rsidP="007C36FF">
      <w:pPr>
        <w:pStyle w:val="Heading1"/>
        <w:spacing w:before="0" w:line="240" w:lineRule="auto"/>
        <w:rPr>
          <w:rFonts w:asciiTheme="minorHAnsi" w:hAnsiTheme="minorHAnsi" w:cstheme="minorHAnsi"/>
        </w:rPr>
      </w:pPr>
      <w:bookmarkStart w:id="58" w:name="_Toc18922415"/>
      <w:bookmarkStart w:id="59" w:name="_Toc157428830"/>
      <w:bookmarkStart w:id="60" w:name="_Toc174010167"/>
      <w:r w:rsidRPr="008E54FA">
        <w:rPr>
          <w:rFonts w:asciiTheme="minorHAnsi" w:hAnsiTheme="minorHAnsi" w:cstheme="minorHAnsi"/>
        </w:rPr>
        <w:t>Factor 1: d) Consultatio</w:t>
      </w:r>
      <w:bookmarkEnd w:id="58"/>
      <w:r w:rsidR="00114B38" w:rsidRPr="008E54FA">
        <w:rPr>
          <w:rFonts w:asciiTheme="minorHAnsi" w:hAnsiTheme="minorHAnsi" w:cstheme="minorHAnsi"/>
        </w:rPr>
        <w:t>n</w:t>
      </w:r>
      <w:bookmarkEnd w:id="59"/>
      <w:bookmarkEnd w:id="60"/>
      <w:r w:rsidR="008B3C74">
        <w:rPr>
          <w:rFonts w:asciiTheme="minorHAnsi" w:hAnsiTheme="minorHAnsi" w:cstheme="minorHAnsi"/>
        </w:rPr>
        <w:t xml:space="preserve"> </w:t>
      </w:r>
    </w:p>
    <w:p w14:paraId="42B5BE4E" w14:textId="77777777" w:rsidR="007B1DAB" w:rsidRPr="007B1DAB" w:rsidRDefault="007B1DAB" w:rsidP="007C36FF"/>
    <w:p w14:paraId="5EB74BF8" w14:textId="453CF9D0" w:rsidR="00FF52C0" w:rsidRDefault="00C12BBA" w:rsidP="00FF52C0">
      <w:r w:rsidRPr="008E54FA">
        <w:t xml:space="preserve">The Applicant has provided evidence of consultation, prior to the Filing Date, with all </w:t>
      </w:r>
      <w:r w:rsidR="00C06F05" w:rsidRPr="008E54FA">
        <w:t>government agencies that have</w:t>
      </w:r>
      <w:r w:rsidRPr="008E54FA">
        <w:t xml:space="preserve"> licensure, certification, or ot</w:t>
      </w:r>
      <w:r w:rsidR="00C06F05" w:rsidRPr="008E54FA">
        <w:t>her regulatory oversight, which has been done and will not be addressed further in this report.</w:t>
      </w:r>
      <w:bookmarkStart w:id="61" w:name="_Toc157428831"/>
      <w:bookmarkStart w:id="62" w:name="_Toc18922416"/>
    </w:p>
    <w:p w14:paraId="4CEFFA80" w14:textId="77777777" w:rsidR="004137EA" w:rsidRDefault="004137EA" w:rsidP="00FF52C0"/>
    <w:p w14:paraId="2D337550" w14:textId="712AF76D" w:rsidR="0074546D" w:rsidRDefault="004137EA" w:rsidP="004137EA">
      <w:pPr>
        <w:pStyle w:val="Heading1"/>
        <w:spacing w:before="0" w:line="240" w:lineRule="auto"/>
        <w:rPr>
          <w:rFonts w:asciiTheme="minorHAnsi" w:hAnsiTheme="minorHAnsi" w:cstheme="minorHAnsi"/>
        </w:rPr>
      </w:pPr>
      <w:bookmarkStart w:id="63" w:name="_Toc174010168"/>
      <w:r w:rsidRPr="008E54FA">
        <w:rPr>
          <w:rFonts w:asciiTheme="minorHAnsi" w:hAnsiTheme="minorHAnsi" w:cstheme="minorHAnsi"/>
        </w:rPr>
        <w:t xml:space="preserve">Factor </w:t>
      </w:r>
      <w:r w:rsidR="00076B1A" w:rsidRPr="004137EA">
        <w:rPr>
          <w:rStyle w:val="Heading1Char"/>
          <w:rFonts w:asciiTheme="minorHAnsi" w:hAnsiTheme="minorHAnsi" w:cstheme="minorHAnsi"/>
          <w:b/>
          <w:bCs/>
        </w:rPr>
        <w:t>1: e) Evidence of Sound Community Engagement through the Patient Panel</w:t>
      </w:r>
      <w:bookmarkEnd w:id="61"/>
      <w:bookmarkEnd w:id="63"/>
      <w:r w:rsidR="0074546D" w:rsidRPr="004137EA">
        <w:rPr>
          <w:rStyle w:val="Heading1Char"/>
          <w:rFonts w:asciiTheme="minorHAnsi" w:hAnsiTheme="minorHAnsi" w:cstheme="minorHAnsi"/>
        </w:rPr>
        <w:t xml:space="preserve"> </w:t>
      </w:r>
    </w:p>
    <w:p w14:paraId="30ACB395" w14:textId="77777777" w:rsidR="008E7DC1" w:rsidRDefault="008E7DC1" w:rsidP="008E7DC1"/>
    <w:p w14:paraId="1FE28D10" w14:textId="77777777" w:rsidR="008E7DC1" w:rsidRPr="008E7DC1" w:rsidRDefault="008E7DC1" w:rsidP="008E7DC1">
      <w:r w:rsidRPr="008E7DC1">
        <w:t>The Department’s Guideline</w:t>
      </w:r>
      <w:r w:rsidRPr="008E7DC1">
        <w:rPr>
          <w:vertAlign w:val="superscript"/>
        </w:rPr>
        <w:endnoteReference w:id="25"/>
      </w:r>
      <w:r w:rsidRPr="008E7DC1">
        <w:t xml:space="preserv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Pr="008E7DC1">
        <w:rPr>
          <w:vertAlign w:val="superscript"/>
        </w:rPr>
        <w:endnoteReference w:id="26"/>
      </w:r>
      <w:r w:rsidRPr="008E7DC1">
        <w:t xml:space="preserve"> </w:t>
      </w:r>
    </w:p>
    <w:p w14:paraId="514A5A61" w14:textId="77777777" w:rsidR="008E7DC1" w:rsidRPr="008E7DC1" w:rsidRDefault="008E7DC1" w:rsidP="008E7DC1"/>
    <w:p w14:paraId="64DA772A" w14:textId="6A194206" w:rsidR="008E7DC1" w:rsidRDefault="008E7DC1" w:rsidP="008E7DC1">
      <w:pPr>
        <w:rPr>
          <w:bCs/>
          <w:iCs/>
        </w:rPr>
      </w:pPr>
      <w:r w:rsidRPr="008E7DC1">
        <w:rPr>
          <w:bCs/>
          <w:iCs/>
        </w:rPr>
        <w:t>The Applicant reports that community voice is central to SHS’s work and decision-making</w:t>
      </w:r>
      <w:r w:rsidR="00532733">
        <w:rPr>
          <w:bCs/>
          <w:iCs/>
        </w:rPr>
        <w:t>. T</w:t>
      </w:r>
      <w:r w:rsidRPr="008E7DC1">
        <w:rPr>
          <w:bCs/>
          <w:iCs/>
        </w:rPr>
        <w:t>o inform and consult the community about the Proposed Project, it sought to engage the patient panel, family members, community members and local stakeholders that may be affected by the Project. The Applicant reports that engagement occurred through the following activities:</w:t>
      </w:r>
    </w:p>
    <w:p w14:paraId="3C23B8ED" w14:textId="77777777" w:rsidR="006D1E2D" w:rsidRPr="008E7DC1" w:rsidRDefault="006D1E2D" w:rsidP="008E7DC1">
      <w:pPr>
        <w:rPr>
          <w:bCs/>
          <w:iCs/>
        </w:rPr>
      </w:pPr>
    </w:p>
    <w:p w14:paraId="2C1A7CF2" w14:textId="1C590661" w:rsidR="008E7DC1" w:rsidRPr="004D0F78" w:rsidRDefault="008E7DC1" w:rsidP="008E7DC1">
      <w:pPr>
        <w:numPr>
          <w:ilvl w:val="0"/>
          <w:numId w:val="38"/>
        </w:numPr>
        <w:rPr>
          <w:bCs/>
          <w:iCs/>
        </w:rPr>
      </w:pPr>
      <w:bookmarkStart w:id="64" w:name="_Hlk161756515"/>
      <w:r w:rsidRPr="004D0F78">
        <w:rPr>
          <w:iCs/>
        </w:rPr>
        <w:t>PFAC</w:t>
      </w:r>
      <w:r w:rsidRPr="004D0F78">
        <w:rPr>
          <w:b/>
          <w:bCs/>
          <w:iCs/>
        </w:rPr>
        <w:t>:</w:t>
      </w:r>
      <w:r w:rsidRPr="004D0F78">
        <w:rPr>
          <w:bCs/>
          <w:iCs/>
        </w:rPr>
        <w:t xml:space="preserve"> SHS presented the Project at its Patient and Family Advisory Council (“PFAC”) meeting on April 8, 2024.</w:t>
      </w:r>
      <w:bookmarkEnd w:id="64"/>
      <w:r w:rsidRPr="004D0F78">
        <w:rPr>
          <w:bCs/>
          <w:iCs/>
        </w:rPr>
        <w:t xml:space="preserve"> PFAC members</w:t>
      </w:r>
      <w:r w:rsidR="00342F8A" w:rsidRPr="004D0F78">
        <w:rPr>
          <w:bCs/>
          <w:iCs/>
        </w:rPr>
        <w:t>’ feedback is</w:t>
      </w:r>
      <w:r w:rsidRPr="004D0F78">
        <w:rPr>
          <w:bCs/>
          <w:iCs/>
        </w:rPr>
        <w:t xml:space="preserve"> supportive of the Project.</w:t>
      </w:r>
      <w:r w:rsidRPr="004D0F78">
        <w:rPr>
          <w:bCs/>
          <w:iCs/>
          <w:vertAlign w:val="superscript"/>
        </w:rPr>
        <w:footnoteReference w:id="9"/>
      </w:r>
    </w:p>
    <w:p w14:paraId="0F381EF7" w14:textId="4A4B17BF" w:rsidR="008E7DC1" w:rsidRPr="004D0F78" w:rsidRDefault="008E7DC1" w:rsidP="00CE495D">
      <w:pPr>
        <w:ind w:left="720"/>
        <w:rPr>
          <w:bCs/>
          <w:iCs/>
        </w:rPr>
      </w:pPr>
      <w:r w:rsidRPr="004D0F78">
        <w:rPr>
          <w:bCs/>
          <w:iCs/>
        </w:rPr>
        <w:t xml:space="preserve">The Applicant reports that SHS worked closely with its PFAC Committee to understand and address patients’ interests, needs and concerns, foster ethnic/racial diversity representation; provide interpreter services for Limited English speaking and the deaf and hard of hearing to members </w:t>
      </w:r>
      <w:r w:rsidR="00342F8A" w:rsidRPr="004D0F78">
        <w:rPr>
          <w:bCs/>
          <w:iCs/>
        </w:rPr>
        <w:t xml:space="preserve">when </w:t>
      </w:r>
      <w:r w:rsidRPr="004D0F78">
        <w:rPr>
          <w:bCs/>
          <w:iCs/>
        </w:rPr>
        <w:t>needed.</w:t>
      </w:r>
    </w:p>
    <w:p w14:paraId="18925C96" w14:textId="3EDDCC60" w:rsidR="00021848" w:rsidRPr="004D0F78" w:rsidRDefault="008E7DC1" w:rsidP="00B439F3">
      <w:pPr>
        <w:pStyle w:val="ListParagraph"/>
        <w:numPr>
          <w:ilvl w:val="0"/>
          <w:numId w:val="38"/>
        </w:numPr>
        <w:spacing w:after="0" w:line="240" w:lineRule="auto"/>
        <w:rPr>
          <w:sz w:val="24"/>
          <w:szCs w:val="24"/>
        </w:rPr>
      </w:pPr>
      <w:bookmarkStart w:id="65" w:name="_Hlk172298300"/>
      <w:r w:rsidRPr="004D0F78">
        <w:rPr>
          <w:iCs/>
          <w:sz w:val="24"/>
          <w:szCs w:val="24"/>
        </w:rPr>
        <w:t>Community Forum</w:t>
      </w:r>
      <w:r w:rsidRPr="004D0F78">
        <w:rPr>
          <w:bCs/>
          <w:iCs/>
          <w:sz w:val="24"/>
          <w:szCs w:val="24"/>
        </w:rPr>
        <w:t>: On May 29, 2024, SHS and SDS host</w:t>
      </w:r>
      <w:r w:rsidR="008761F8" w:rsidRPr="004D0F78">
        <w:rPr>
          <w:bCs/>
          <w:iCs/>
          <w:sz w:val="24"/>
          <w:szCs w:val="24"/>
        </w:rPr>
        <w:t>ed</w:t>
      </w:r>
      <w:r w:rsidRPr="004D0F78">
        <w:rPr>
          <w:bCs/>
          <w:iCs/>
          <w:sz w:val="24"/>
          <w:szCs w:val="24"/>
        </w:rPr>
        <w:t xml:space="preserve"> an open forum in Fall River regarding the Project</w:t>
      </w:r>
      <w:r w:rsidR="00021848" w:rsidRPr="004D0F78">
        <w:rPr>
          <w:bCs/>
          <w:iCs/>
          <w:sz w:val="24"/>
          <w:szCs w:val="24"/>
        </w:rPr>
        <w:t>.</w:t>
      </w:r>
      <w:r w:rsidR="00021848" w:rsidRPr="004D0F78">
        <w:rPr>
          <w:sz w:val="24"/>
          <w:szCs w:val="24"/>
        </w:rPr>
        <w:t xml:space="preserve"> The event was advertised on the Southcoast internet site, and direct invitations to key constituency groups within the community were sent out.</w:t>
      </w:r>
    </w:p>
    <w:p w14:paraId="7708B568" w14:textId="403CA2ED" w:rsidR="008E7DC1" w:rsidRPr="004D0F78" w:rsidRDefault="008E7DC1" w:rsidP="008E7DC1">
      <w:pPr>
        <w:numPr>
          <w:ilvl w:val="0"/>
          <w:numId w:val="38"/>
        </w:numPr>
        <w:rPr>
          <w:bCs/>
          <w:iCs/>
        </w:rPr>
      </w:pPr>
      <w:r w:rsidRPr="004D0F78">
        <w:rPr>
          <w:bCs/>
          <w:iCs/>
        </w:rPr>
        <w:t xml:space="preserve">The Applicant is working with SDS’s individual physician owners </w:t>
      </w:r>
      <w:r w:rsidR="00342F8A" w:rsidRPr="004D0F78">
        <w:rPr>
          <w:bCs/>
          <w:iCs/>
        </w:rPr>
        <w:t xml:space="preserve">to </w:t>
      </w:r>
      <w:r w:rsidRPr="004D0F78">
        <w:rPr>
          <w:bCs/>
          <w:iCs/>
        </w:rPr>
        <w:t>inform their patients in the greater Fall River community about the Project. It is important to engage these patients because they will benefit from SDS’s increased integration with SHS post-transaction.</w:t>
      </w:r>
      <w:bookmarkEnd w:id="65"/>
    </w:p>
    <w:p w14:paraId="71FFE97E" w14:textId="7D618920" w:rsidR="00342F8A" w:rsidRPr="004D0F78" w:rsidRDefault="008E7DC1" w:rsidP="00342F8A">
      <w:pPr>
        <w:numPr>
          <w:ilvl w:val="0"/>
          <w:numId w:val="38"/>
        </w:numPr>
        <w:rPr>
          <w:bCs/>
          <w:iCs/>
        </w:rPr>
      </w:pPr>
      <w:r w:rsidRPr="004D0F78">
        <w:rPr>
          <w:iCs/>
        </w:rPr>
        <w:t>Community Benefits:</w:t>
      </w:r>
      <w:r w:rsidRPr="004D0F78">
        <w:rPr>
          <w:bCs/>
          <w:iCs/>
        </w:rPr>
        <w:t xml:space="preserve"> SHS has a robust Community Benefits Advisory Committee (CBAC) that is representative and inclusive of the community </w:t>
      </w:r>
      <w:r w:rsidR="00342F8A" w:rsidRPr="004D0F78">
        <w:rPr>
          <w:bCs/>
          <w:iCs/>
        </w:rPr>
        <w:t xml:space="preserve">within SDS service area, </w:t>
      </w:r>
      <w:r w:rsidRPr="004D0F78">
        <w:rPr>
          <w:bCs/>
          <w:iCs/>
        </w:rPr>
        <w:t xml:space="preserve">and its stakeholders across a variety of sectors, including but not limited to transportation, recreation, and immigrant assistance services, and faith-based organizations. </w:t>
      </w:r>
    </w:p>
    <w:p w14:paraId="3BEF9A51" w14:textId="77777777" w:rsidR="00342F8A" w:rsidRPr="004D0F78" w:rsidRDefault="00342F8A" w:rsidP="00342F8A">
      <w:pPr>
        <w:ind w:left="720"/>
        <w:rPr>
          <w:bCs/>
          <w:iCs/>
        </w:rPr>
      </w:pPr>
    </w:p>
    <w:p w14:paraId="1540B0B3" w14:textId="3C229555" w:rsidR="00B439F3" w:rsidRPr="00B439F3" w:rsidRDefault="008E7DC1" w:rsidP="00B439F3">
      <w:pPr>
        <w:numPr>
          <w:ilvl w:val="0"/>
          <w:numId w:val="38"/>
        </w:numPr>
        <w:rPr>
          <w:bCs/>
          <w:iCs/>
        </w:rPr>
      </w:pPr>
      <w:r w:rsidRPr="004D0F78">
        <w:rPr>
          <w:iCs/>
        </w:rPr>
        <w:t xml:space="preserve">Engage Local Public Health: Community Health Needs Assessment Review and Update- </w:t>
      </w:r>
      <w:r w:rsidRPr="004D0F78">
        <w:rPr>
          <w:bCs/>
          <w:iCs/>
        </w:rPr>
        <w:t>SHS has partnered with local departments of health to review its 2022 CHNA findings with community stakeholders</w:t>
      </w:r>
      <w:r w:rsidR="00342F8A" w:rsidRPr="004D0F78">
        <w:rPr>
          <w:bCs/>
          <w:iCs/>
        </w:rPr>
        <w:t xml:space="preserve">; it </w:t>
      </w:r>
      <w:r w:rsidRPr="004D0F78">
        <w:rPr>
          <w:bCs/>
          <w:iCs/>
        </w:rPr>
        <w:t>has also partner</w:t>
      </w:r>
      <w:r w:rsidR="00342F8A" w:rsidRPr="004D0F78">
        <w:rPr>
          <w:bCs/>
          <w:iCs/>
        </w:rPr>
        <w:t>ed</w:t>
      </w:r>
      <w:r w:rsidRPr="004D0F78">
        <w:rPr>
          <w:bCs/>
          <w:iCs/>
        </w:rPr>
        <w:t xml:space="preserve"> with the New Bedford Health Department to develop a Community Health Improvement Plan (CHIP) including co-hosting an all-day, interactive planning process to develop the components of the CHIP with over 40 participants representing a wide variety of community organizations.</w:t>
      </w:r>
    </w:p>
    <w:p w14:paraId="1C24C701" w14:textId="5E03E11E" w:rsidR="008E7DC1" w:rsidRPr="004D0F78" w:rsidRDefault="008E7DC1" w:rsidP="00B439F3">
      <w:pPr>
        <w:ind w:left="720"/>
        <w:rPr>
          <w:bCs/>
          <w:iCs/>
        </w:rPr>
      </w:pPr>
      <w:r w:rsidRPr="004D0F78">
        <w:rPr>
          <w:bCs/>
          <w:iCs/>
        </w:rPr>
        <w:t xml:space="preserve"> </w:t>
      </w:r>
    </w:p>
    <w:p w14:paraId="49F3200B" w14:textId="77777777" w:rsidR="008E7DC1" w:rsidRPr="004D0F78" w:rsidRDefault="008E7DC1" w:rsidP="008E7DC1">
      <w:pPr>
        <w:rPr>
          <w:b/>
          <w:bCs/>
          <w:i/>
          <w:iCs/>
        </w:rPr>
      </w:pPr>
      <w:r w:rsidRPr="004D0F78">
        <w:rPr>
          <w:b/>
          <w:bCs/>
          <w:i/>
          <w:iCs/>
        </w:rPr>
        <w:t>Analysis</w:t>
      </w:r>
    </w:p>
    <w:p w14:paraId="6A1D05B2" w14:textId="77777777" w:rsidR="00CA7155" w:rsidRPr="008E7DC1" w:rsidRDefault="00CA7155" w:rsidP="008E7DC1">
      <w:pPr>
        <w:rPr>
          <w:b/>
          <w:bCs/>
          <w:i/>
          <w:iCs/>
        </w:rPr>
      </w:pPr>
    </w:p>
    <w:p w14:paraId="73D7263B" w14:textId="2CD45AD4" w:rsidR="008E7DC1" w:rsidRPr="008E7DC1" w:rsidRDefault="00AD11ED" w:rsidP="008E7DC1">
      <w:r>
        <w:rPr>
          <w:bCs/>
          <w:iCs/>
        </w:rPr>
        <w:t xml:space="preserve">The community engagement initiatives described above are not currently conducted by SDS. </w:t>
      </w:r>
      <w:r w:rsidR="008E7DC1" w:rsidRPr="008E7DC1">
        <w:rPr>
          <w:bCs/>
          <w:iCs/>
        </w:rPr>
        <w:t>SHS has demonstrated its commitment to developing and maintaining linkages with community partners</w:t>
      </w:r>
      <w:r>
        <w:rPr>
          <w:bCs/>
          <w:iCs/>
        </w:rPr>
        <w:t xml:space="preserve"> within the SDS service area and therefore the SDS patient panel is likely to benefit from those initiatives</w:t>
      </w:r>
      <w:r w:rsidR="008E7DC1" w:rsidRPr="008E7DC1">
        <w:rPr>
          <w:bCs/>
          <w:iCs/>
        </w:rPr>
        <w:t xml:space="preserve">. </w:t>
      </w:r>
      <w:r w:rsidR="008E7DC1" w:rsidRPr="008E7DC1">
        <w:t xml:space="preserve">Staff reviewed the information </w:t>
      </w:r>
      <w:r w:rsidR="00862F57">
        <w:t xml:space="preserve">regarding </w:t>
      </w:r>
      <w:r w:rsidR="008E7DC1" w:rsidRPr="008E7DC1">
        <w:t>the Applicant’s community engagement and finds that it has met the required community engagement standard of Consult in the planning phase of the Proposed Project.</w:t>
      </w:r>
    </w:p>
    <w:p w14:paraId="3649F9F1" w14:textId="1256F64C" w:rsidR="007B1DAB" w:rsidRPr="000E10E9" w:rsidRDefault="008B3C74" w:rsidP="00FF52C0">
      <w:r>
        <w:rPr>
          <w:rStyle w:val="Heading1Char"/>
          <w:rFonts w:asciiTheme="minorHAnsi" w:hAnsiTheme="minorHAnsi" w:cstheme="minorHAnsi"/>
        </w:rPr>
        <w:t xml:space="preserve"> </w:t>
      </w:r>
    </w:p>
    <w:p w14:paraId="4A960CCB" w14:textId="339C1C72" w:rsidR="00E40FAA" w:rsidRDefault="00E40FAA" w:rsidP="00B31381">
      <w:pPr>
        <w:pStyle w:val="Heading1"/>
        <w:spacing w:before="0" w:line="240" w:lineRule="auto"/>
        <w:rPr>
          <w:rFonts w:asciiTheme="minorHAnsi" w:hAnsiTheme="minorHAnsi" w:cstheme="minorBidi"/>
        </w:rPr>
      </w:pPr>
      <w:bookmarkStart w:id="66" w:name="_Toc18922417"/>
      <w:bookmarkStart w:id="67" w:name="_Toc157428832"/>
      <w:bookmarkStart w:id="68" w:name="_Toc174010169"/>
      <w:bookmarkStart w:id="69" w:name="_Toc17322399"/>
      <w:bookmarkEnd w:id="62"/>
      <w:r w:rsidRPr="4116F90D">
        <w:rPr>
          <w:rFonts w:asciiTheme="minorHAnsi" w:hAnsiTheme="minorHAnsi" w:cstheme="minorBidi"/>
        </w:rPr>
        <w:t xml:space="preserve">Factor 1: f) Competition </w:t>
      </w:r>
      <w:r w:rsidR="00471349" w:rsidRPr="4116F90D">
        <w:rPr>
          <w:rFonts w:asciiTheme="minorHAnsi" w:hAnsiTheme="minorHAnsi" w:cstheme="minorBidi"/>
        </w:rPr>
        <w:t>on Price, Total Medical Expenses (</w:t>
      </w:r>
      <w:r w:rsidR="00371842" w:rsidRPr="4116F90D">
        <w:rPr>
          <w:rFonts w:asciiTheme="minorHAnsi" w:hAnsiTheme="minorHAnsi" w:cstheme="minorBidi"/>
        </w:rPr>
        <w:t>TME</w:t>
      </w:r>
      <w:r w:rsidR="00471349" w:rsidRPr="4116F90D">
        <w:rPr>
          <w:rFonts w:asciiTheme="minorHAnsi" w:hAnsiTheme="minorHAnsi" w:cstheme="minorBidi"/>
        </w:rPr>
        <w:t>), Costs and Other Measures of Health Care Spending</w:t>
      </w:r>
      <w:bookmarkEnd w:id="66"/>
      <w:bookmarkEnd w:id="67"/>
      <w:bookmarkEnd w:id="68"/>
      <w:r w:rsidR="00FF52C0">
        <w:rPr>
          <w:rFonts w:asciiTheme="minorHAnsi" w:hAnsiTheme="minorHAnsi" w:cstheme="minorBidi"/>
        </w:rPr>
        <w:t xml:space="preserve"> </w:t>
      </w:r>
    </w:p>
    <w:p w14:paraId="7439B3F9" w14:textId="77777777" w:rsidR="00E41BE2" w:rsidRDefault="00E41BE2" w:rsidP="005E55FA">
      <w:pPr>
        <w:contextualSpacing/>
        <w:rPr>
          <w:bCs/>
          <w:iCs/>
        </w:rPr>
      </w:pPr>
      <w:bookmarkStart w:id="70" w:name="_Hlk160469667"/>
      <w:bookmarkEnd w:id="69"/>
    </w:p>
    <w:p w14:paraId="16B2B37F" w14:textId="623B77B3" w:rsidR="00196EC4" w:rsidRPr="00196EC4" w:rsidRDefault="00C43448" w:rsidP="001F4CEA">
      <w:pPr>
        <w:spacing w:after="240"/>
        <w:rPr>
          <w:rFonts w:ascii="Calibri" w:eastAsia="Aptos" w:hAnsi="Calibri" w:cs="Calibri"/>
        </w:rPr>
      </w:pPr>
      <w:bookmarkStart w:id="71" w:name="_Hlk155903708"/>
      <w:bookmarkStart w:id="72" w:name="_Hlk17663634"/>
      <w:bookmarkEnd w:id="70"/>
      <w:r w:rsidRPr="00C43448">
        <w:rPr>
          <w:rFonts w:ascii="Calibri" w:eastAsia="PMingLiU" w:hAnsi="Calibri" w:cs="Times New Roman"/>
          <w:szCs w:val="22"/>
        </w:rPr>
        <w:t xml:space="preserve">The Applicant states the Proposed Affiliation is not anticipated to have an adverse impact on competition in the Massachusetts health care market based on price, total medical expense (“TME”), provider costs, or other recognized measures of health care spending. </w:t>
      </w:r>
      <w:r w:rsidR="001F4CEA" w:rsidRPr="001F4CEA">
        <w:rPr>
          <w:rFonts w:ascii="Calibri" w:eastAsia="PMingLiU" w:hAnsi="Calibri" w:cs="Times New Roman"/>
          <w:szCs w:val="22"/>
        </w:rPr>
        <w:t xml:space="preserve">With the implementation of the Proposed Project, </w:t>
      </w:r>
      <w:r w:rsidR="001F4CEA">
        <w:rPr>
          <w:rFonts w:ascii="Calibri" w:eastAsia="PMingLiU" w:hAnsi="Calibri" w:cs="Times New Roman"/>
          <w:szCs w:val="22"/>
        </w:rPr>
        <w:t xml:space="preserve">SDS’s </w:t>
      </w:r>
      <w:r w:rsidR="001F4CEA" w:rsidRPr="001F4CEA">
        <w:rPr>
          <w:rFonts w:ascii="Calibri" w:eastAsia="PMingLiU" w:hAnsi="Calibri" w:cs="Times New Roman"/>
          <w:szCs w:val="22"/>
        </w:rPr>
        <w:t xml:space="preserve">costs and reimbursement structures will not change as </w:t>
      </w:r>
      <w:r w:rsidR="001F4CEA">
        <w:rPr>
          <w:rFonts w:ascii="Calibri" w:eastAsia="PMingLiU" w:hAnsi="Calibri" w:cs="Times New Roman"/>
          <w:szCs w:val="22"/>
        </w:rPr>
        <w:t xml:space="preserve">the </w:t>
      </w:r>
      <w:r w:rsidR="001F4CEA" w:rsidRPr="001F4CEA">
        <w:rPr>
          <w:rFonts w:ascii="Calibri" w:eastAsia="PMingLiU" w:hAnsi="Calibri" w:cs="Times New Roman"/>
          <w:szCs w:val="22"/>
        </w:rPr>
        <w:t>ASC will maintain its freestanding ASC status.</w:t>
      </w:r>
      <w:r w:rsidR="001F4CEA">
        <w:rPr>
          <w:rFonts w:ascii="Calibri" w:eastAsia="PMingLiU" w:hAnsi="Calibri" w:cs="Times New Roman"/>
          <w:szCs w:val="22"/>
        </w:rPr>
        <w:t xml:space="preserve"> </w:t>
      </w:r>
      <w:r w:rsidR="00196EC4" w:rsidRPr="00196EC4">
        <w:rPr>
          <w:rFonts w:ascii="Calibri" w:eastAsia="Aptos" w:hAnsi="Calibri" w:cs="Calibri"/>
        </w:rPr>
        <w:t xml:space="preserve">The Applicant states that the Proposed Project seeks to promote utilization of the ASC setting for appropriate patients as a lower-cost alternative to </w:t>
      </w:r>
      <w:r w:rsidR="00156AF8">
        <w:rPr>
          <w:rFonts w:ascii="Calibri" w:eastAsia="Aptos" w:hAnsi="Calibri" w:cs="Calibri"/>
        </w:rPr>
        <w:t xml:space="preserve">many of the same procedures </w:t>
      </w:r>
      <w:r w:rsidR="00196EC4" w:rsidRPr="00196EC4">
        <w:rPr>
          <w:rFonts w:ascii="Calibri" w:eastAsia="Aptos" w:hAnsi="Calibri" w:cs="Calibri"/>
        </w:rPr>
        <w:t xml:space="preserve">performed in a hospital outpatient department (“HOPD”). </w:t>
      </w:r>
    </w:p>
    <w:p w14:paraId="609CDA4A" w14:textId="6E111A10" w:rsidR="0033678B" w:rsidRPr="00196EC4" w:rsidRDefault="00196EC4" w:rsidP="005442FB">
      <w:pPr>
        <w:spacing w:after="160"/>
        <w:rPr>
          <w:rFonts w:ascii="Calibri" w:eastAsia="Aptos" w:hAnsi="Calibri" w:cs="Calibri"/>
        </w:rPr>
      </w:pPr>
      <w:r w:rsidRPr="00196EC4">
        <w:rPr>
          <w:rFonts w:ascii="Calibri" w:eastAsia="Aptos" w:hAnsi="Calibri" w:cs="Calibri"/>
        </w:rPr>
        <w:t>Because Medicare reimbursement rates for ASCs are lower than HOPDs, “the cost to Medicare is lower when a surgical procedure is performed in an ASC rather than an HOPD”</w:t>
      </w:r>
      <w:r w:rsidR="00EA6C8A">
        <w:rPr>
          <w:rFonts w:ascii="Calibri" w:eastAsia="Aptos" w:hAnsi="Calibri" w:cs="Calibri"/>
        </w:rPr>
        <w:t xml:space="preserve"> </w:t>
      </w:r>
      <w:r w:rsidR="0033678B" w:rsidRPr="00196EC4">
        <w:rPr>
          <w:rFonts w:ascii="Calibri" w:eastAsia="Aptos" w:hAnsi="Calibri" w:cs="Calibri"/>
          <w:vertAlign w:val="superscript"/>
        </w:rPr>
        <w:endnoteReference w:id="27"/>
      </w:r>
      <w:r w:rsidR="0033678B" w:rsidRPr="00196EC4">
        <w:rPr>
          <w:rFonts w:ascii="Calibri" w:eastAsia="Aptos" w:hAnsi="Calibri" w:cs="Calibri"/>
        </w:rPr>
        <w:t xml:space="preserve"> according to the </w:t>
      </w:r>
      <w:r w:rsidR="0033678B" w:rsidRPr="00196EC4">
        <w:rPr>
          <w:rFonts w:ascii="Calibri" w:eastAsia="Aptos" w:hAnsi="Calibri" w:cs="Calibri"/>
          <w:i/>
          <w:iCs/>
        </w:rPr>
        <w:t>March 2024 Report to the Congress: Medicare Payment Policy</w:t>
      </w:r>
      <w:r w:rsidR="0033678B" w:rsidRPr="00196EC4">
        <w:rPr>
          <w:rFonts w:ascii="Calibri" w:eastAsia="Aptos" w:hAnsi="Calibri" w:cs="Calibri"/>
        </w:rPr>
        <w:t xml:space="preserve"> section concerning ASCs. In Massachusetts, as reported in the Health Policy Commission’s (“HPC”) </w:t>
      </w:r>
      <w:proofErr w:type="spellStart"/>
      <w:r w:rsidR="0033678B" w:rsidRPr="00196EC4">
        <w:rPr>
          <w:rFonts w:ascii="Calibri" w:eastAsia="Aptos" w:hAnsi="Calibri" w:cs="Calibri"/>
          <w:i/>
          <w:iCs/>
        </w:rPr>
        <w:t>DataPoints</w:t>
      </w:r>
      <w:proofErr w:type="spellEnd"/>
      <w:r w:rsidR="0033678B" w:rsidRPr="00196EC4">
        <w:rPr>
          <w:rFonts w:ascii="Calibri" w:eastAsia="Aptos" w:hAnsi="Calibri" w:cs="Calibri"/>
        </w:rPr>
        <w:t>, focusing on ASC trends</w:t>
      </w:r>
      <w:r w:rsidR="0033678B" w:rsidRPr="00196EC4">
        <w:rPr>
          <w:rFonts w:ascii="Calibri" w:eastAsia="Aptos" w:hAnsi="Calibri" w:cs="Calibri"/>
          <w:vertAlign w:val="superscript"/>
        </w:rPr>
        <w:endnoteReference w:id="28"/>
      </w:r>
      <w:r w:rsidR="0033678B" w:rsidRPr="00196EC4">
        <w:rPr>
          <w:rFonts w:ascii="Calibri" w:eastAsia="Aptos" w:hAnsi="Calibri" w:cs="Calibri"/>
        </w:rPr>
        <w:t xml:space="preserve"> prices are generally “far lower” than in HOPDs across commercial insurers, MassHealth, and Medicare; in 2021, they ranged from 27% to 57% lower in ASCs for the commercial population for common surgeries.</w:t>
      </w:r>
      <w:r w:rsidR="0033678B" w:rsidRPr="00196EC4">
        <w:rPr>
          <w:rFonts w:ascii="Calibri" w:eastAsia="Aptos" w:hAnsi="Calibri" w:cs="Calibri"/>
          <w:vertAlign w:val="superscript"/>
        </w:rPr>
        <w:endnoteReference w:id="29"/>
      </w:r>
      <w:r w:rsidR="0033678B" w:rsidRPr="00196EC4">
        <w:rPr>
          <w:rFonts w:ascii="Calibri" w:eastAsia="Aptos" w:hAnsi="Calibri" w:cs="Calibri"/>
        </w:rPr>
        <w:t xml:space="preserve">  The HPC attributes these lower prices primarily to lower facility payments </w:t>
      </w:r>
      <w:r w:rsidR="00D82B55">
        <w:rPr>
          <w:rFonts w:ascii="Calibri" w:eastAsia="Aptos" w:hAnsi="Calibri" w:cs="Calibri"/>
        </w:rPr>
        <w:t>to</w:t>
      </w:r>
      <w:r w:rsidR="0033678B" w:rsidRPr="00196EC4">
        <w:rPr>
          <w:rFonts w:ascii="Calibri" w:eastAsia="Aptos" w:hAnsi="Calibri" w:cs="Calibri"/>
        </w:rPr>
        <w:t xml:space="preserve"> ASC</w:t>
      </w:r>
      <w:r w:rsidR="0060362B">
        <w:rPr>
          <w:rFonts w:ascii="Calibri" w:eastAsia="Aptos" w:hAnsi="Calibri" w:cs="Calibri"/>
        </w:rPr>
        <w:t>s than to hospital</w:t>
      </w:r>
      <w:r w:rsidR="0033678B" w:rsidRPr="00196EC4">
        <w:rPr>
          <w:rFonts w:ascii="Calibri" w:eastAsia="Aptos" w:hAnsi="Calibri" w:cs="Calibri"/>
        </w:rPr>
        <w:t xml:space="preserve">s. </w:t>
      </w:r>
    </w:p>
    <w:p w14:paraId="7C6F29D6" w14:textId="05DD4315" w:rsidR="0033678B" w:rsidRPr="00196EC4" w:rsidRDefault="00FB230C" w:rsidP="005442FB">
      <w:pPr>
        <w:spacing w:after="160"/>
        <w:rPr>
          <w:rFonts w:ascii="Calibri" w:eastAsia="Aptos" w:hAnsi="Calibri" w:cs="Calibri"/>
        </w:rPr>
      </w:pPr>
      <w:r>
        <w:rPr>
          <w:rFonts w:ascii="Calibri" w:eastAsia="Aptos" w:hAnsi="Calibri" w:cs="Calibri"/>
        </w:rPr>
        <w:t>ASC related a</w:t>
      </w:r>
      <w:r w:rsidR="0033678B" w:rsidRPr="00196EC4">
        <w:rPr>
          <w:rFonts w:ascii="Calibri" w:eastAsia="Aptos" w:hAnsi="Calibri" w:cs="Calibri"/>
        </w:rPr>
        <w:t xml:space="preserve">nnual savings </w:t>
      </w:r>
      <w:r w:rsidR="000D0FFB">
        <w:rPr>
          <w:rFonts w:ascii="Calibri" w:eastAsia="Aptos" w:hAnsi="Calibri" w:cs="Calibri"/>
        </w:rPr>
        <w:t>from the shift to ASC’s from HOPDs for</w:t>
      </w:r>
      <w:r w:rsidR="0033678B" w:rsidRPr="00196EC4">
        <w:rPr>
          <w:rFonts w:ascii="Calibri" w:eastAsia="Aptos" w:hAnsi="Calibri" w:cs="Calibri"/>
        </w:rPr>
        <w:t xml:space="preserve"> the Medicare program and its beneficiaries increased steadily from $3.1 billion in 2011 – to $4.2 billion in 2018;</w:t>
      </w:r>
      <w:r w:rsidR="0033678B" w:rsidRPr="00196EC4">
        <w:rPr>
          <w:rFonts w:ascii="Calibri" w:eastAsia="Aptos" w:hAnsi="Calibri" w:cs="Calibri"/>
          <w:vertAlign w:val="superscript"/>
        </w:rPr>
        <w:endnoteReference w:id="30"/>
      </w:r>
      <w:r w:rsidR="0033678B" w:rsidRPr="00196EC4">
        <w:rPr>
          <w:rFonts w:ascii="Calibri" w:eastAsia="Aptos" w:hAnsi="Calibri" w:cs="Calibri"/>
        </w:rPr>
        <w:t xml:space="preserve"> and a recent study from 2020 projects </w:t>
      </w:r>
      <w:r w:rsidR="008D2478">
        <w:rPr>
          <w:rFonts w:ascii="Calibri" w:eastAsia="Aptos" w:hAnsi="Calibri" w:cs="Calibri"/>
        </w:rPr>
        <w:t xml:space="preserve">cumulative </w:t>
      </w:r>
      <w:r w:rsidR="0033678B" w:rsidRPr="00196EC4">
        <w:rPr>
          <w:rFonts w:ascii="Calibri" w:eastAsia="Aptos" w:hAnsi="Calibri" w:cs="Calibri"/>
        </w:rPr>
        <w:t>Medicare savings from 2019 to 2028 of $73.4 billion, with increases in projected annual savings from $4.3 billion in 2019 to $12.2 billion in 2028.</w:t>
      </w:r>
      <w:r w:rsidR="0033678B" w:rsidRPr="00196EC4">
        <w:rPr>
          <w:rFonts w:ascii="Calibri" w:eastAsia="Aptos" w:hAnsi="Calibri" w:cs="Calibri"/>
          <w:vertAlign w:val="superscript"/>
        </w:rPr>
        <w:endnoteReference w:id="31"/>
      </w:r>
      <w:r w:rsidR="0033678B" w:rsidRPr="00196EC4">
        <w:rPr>
          <w:rFonts w:ascii="Calibri" w:eastAsia="Aptos" w:hAnsi="Calibri" w:cs="Calibri"/>
        </w:rPr>
        <w:t xml:space="preserve"> </w:t>
      </w:r>
    </w:p>
    <w:p w14:paraId="06E1B0D2" w14:textId="66BC38B9" w:rsidR="00196EC4" w:rsidRPr="00196EC4" w:rsidRDefault="00196EC4" w:rsidP="005442FB">
      <w:pPr>
        <w:spacing w:after="160"/>
        <w:rPr>
          <w:rFonts w:ascii="Calibri" w:eastAsia="Aptos" w:hAnsi="Calibri" w:cs="Calibri"/>
        </w:rPr>
      </w:pPr>
      <w:r w:rsidRPr="00196EC4">
        <w:rPr>
          <w:rFonts w:ascii="Calibri" w:eastAsia="Aptos" w:hAnsi="Calibri" w:cs="Calibri"/>
        </w:rPr>
        <w:lastRenderedPageBreak/>
        <w:t>Studies also address cost savings at ASCs that are attributable to procedure length.</w:t>
      </w:r>
      <w:r w:rsidR="0033678B" w:rsidRPr="00196EC4">
        <w:rPr>
          <w:rFonts w:ascii="Calibri" w:eastAsia="Aptos" w:hAnsi="Calibri" w:cs="Calibri"/>
          <w:vertAlign w:val="superscript"/>
        </w:rPr>
        <w:endnoteReference w:id="32"/>
      </w:r>
      <w:r w:rsidR="0033678B" w:rsidRPr="00196EC4">
        <w:rPr>
          <w:rFonts w:ascii="Calibri" w:eastAsia="Aptos" w:hAnsi="Calibri" w:cs="Calibri"/>
        </w:rPr>
        <w:t xml:space="preserve"> </w:t>
      </w:r>
      <w:r w:rsidRPr="00196EC4">
        <w:rPr>
          <w:rFonts w:ascii="Calibri" w:eastAsia="Aptos" w:hAnsi="Calibri" w:cs="Calibri"/>
        </w:rPr>
        <w:t xml:space="preserve">Researchers have found that ASCs are substantially faster than hospitals at performing outpatient procedures and that the shorter procedure times are attributable to operating efficiencies </w:t>
      </w:r>
      <w:r w:rsidR="00A521A3">
        <w:rPr>
          <w:rFonts w:ascii="Calibri" w:eastAsia="Aptos" w:hAnsi="Calibri" w:cs="Calibri"/>
        </w:rPr>
        <w:t>which in turn lea</w:t>
      </w:r>
      <w:r w:rsidR="00CE5EE1">
        <w:rPr>
          <w:rFonts w:ascii="Calibri" w:eastAsia="Aptos" w:hAnsi="Calibri" w:cs="Calibri"/>
        </w:rPr>
        <w:t>d</w:t>
      </w:r>
      <w:r w:rsidRPr="00196EC4">
        <w:rPr>
          <w:rFonts w:ascii="Calibri" w:eastAsia="Aptos" w:hAnsi="Calibri" w:cs="Calibri"/>
        </w:rPr>
        <w:t xml:space="preserve"> to cost reductions </w:t>
      </w:r>
      <w:r w:rsidR="00F24045">
        <w:rPr>
          <w:rFonts w:ascii="Calibri" w:eastAsia="Aptos" w:hAnsi="Calibri" w:cs="Calibri"/>
        </w:rPr>
        <w:t>since more</w:t>
      </w:r>
      <w:r w:rsidR="00CE5EE1" w:rsidRPr="00CE5EE1">
        <w:rPr>
          <w:rFonts w:ascii="Calibri" w:eastAsia="Aptos" w:hAnsi="Calibri" w:cs="Calibri"/>
        </w:rPr>
        <w:t xml:space="preserve"> procedures per day </w:t>
      </w:r>
      <w:r w:rsidR="00F24045">
        <w:rPr>
          <w:rFonts w:ascii="Calibri" w:eastAsia="Aptos" w:hAnsi="Calibri" w:cs="Calibri"/>
        </w:rPr>
        <w:t xml:space="preserve">can be performed </w:t>
      </w:r>
      <w:r w:rsidR="00CE5EE1" w:rsidRPr="00CE5EE1">
        <w:rPr>
          <w:rFonts w:ascii="Calibri" w:eastAsia="Aptos" w:hAnsi="Calibri" w:cs="Calibri"/>
        </w:rPr>
        <w:t>with the same number of staff and operating and recovery rooms than a HOPD.</w:t>
      </w:r>
      <w:r w:rsidR="00CE5EE1" w:rsidRPr="00CE5EE1">
        <w:rPr>
          <w:rFonts w:ascii="Calibri" w:eastAsia="Aptos" w:hAnsi="Calibri" w:cs="Calibri"/>
          <w:vertAlign w:val="superscript"/>
        </w:rPr>
        <w:endnoteReference w:id="33"/>
      </w:r>
      <w:r w:rsidR="00CE5EE1" w:rsidRPr="00CE5EE1">
        <w:rPr>
          <w:rFonts w:ascii="Calibri" w:eastAsia="Aptos" w:hAnsi="Calibri" w:cs="Calibri"/>
        </w:rPr>
        <w:t xml:space="preserve"> </w:t>
      </w:r>
      <w:r w:rsidR="00CE5EE1">
        <w:rPr>
          <w:rFonts w:ascii="Calibri" w:eastAsia="Aptos" w:hAnsi="Calibri" w:cs="Calibri"/>
        </w:rPr>
        <w:t xml:space="preserve"> </w:t>
      </w:r>
      <w:r w:rsidRPr="00196EC4">
        <w:rPr>
          <w:rFonts w:ascii="Calibri" w:eastAsia="Aptos" w:hAnsi="Calibri" w:cs="Calibri"/>
        </w:rPr>
        <w:t>According to the</w:t>
      </w:r>
      <w:r w:rsidR="00CE5EE1">
        <w:rPr>
          <w:rFonts w:ascii="Calibri" w:eastAsia="Aptos" w:hAnsi="Calibri" w:cs="Calibri"/>
        </w:rPr>
        <w:t xml:space="preserve"> study</w:t>
      </w:r>
      <w:r w:rsidRPr="00196EC4">
        <w:rPr>
          <w:rFonts w:ascii="Calibri" w:eastAsia="Aptos" w:hAnsi="Calibri" w:cs="Calibri"/>
        </w:rPr>
        <w:t>, procedures performed in ASCs take, on average, “31.8 fewer minutes than those performed in hospitals – a 25% difference relative to the mean procedure time.”</w:t>
      </w:r>
      <w:r w:rsidR="00F36E2C" w:rsidRPr="00196EC4">
        <w:rPr>
          <w:rFonts w:ascii="Calibri" w:eastAsia="Aptos" w:hAnsi="Calibri" w:cs="Calibri"/>
          <w:vertAlign w:val="superscript"/>
        </w:rPr>
        <w:endnoteReference w:id="34"/>
      </w:r>
      <w:r w:rsidR="00F36E2C" w:rsidRPr="00196EC4">
        <w:rPr>
          <w:rFonts w:ascii="Calibri" w:eastAsia="Aptos" w:hAnsi="Calibri" w:cs="Calibri"/>
        </w:rPr>
        <w:t xml:space="preserve"> Researchers estimate the associated cost savings at $363 – $1,000 per outpatient case.</w:t>
      </w:r>
      <w:r w:rsidR="00CE5EE1">
        <w:rPr>
          <w:rFonts w:ascii="Calibri" w:eastAsia="Aptos" w:hAnsi="Calibri" w:cs="Calibri"/>
        </w:rPr>
        <w:t xml:space="preserve"> Annually,</w:t>
      </w:r>
      <w:r w:rsidR="00F36E2C" w:rsidRPr="00196EC4">
        <w:rPr>
          <w:rFonts w:ascii="Calibri" w:eastAsia="Aptos" w:hAnsi="Calibri" w:cs="Calibri"/>
        </w:rPr>
        <w:t xml:space="preserve"> ASCs perform more than 7 million procedures for Medicare beneficiaries</w:t>
      </w:r>
      <w:r w:rsidR="00780232">
        <w:rPr>
          <w:rFonts w:ascii="Calibri" w:eastAsia="Aptos" w:hAnsi="Calibri" w:cs="Calibri"/>
        </w:rPr>
        <w:t>;</w:t>
      </w:r>
      <w:r w:rsidR="007A7172">
        <w:rPr>
          <w:rFonts w:ascii="Calibri" w:eastAsia="Aptos" w:hAnsi="Calibri" w:cs="Calibri"/>
        </w:rPr>
        <w:t xml:space="preserve"> </w:t>
      </w:r>
      <w:r w:rsidR="00F36E2C" w:rsidRPr="00196EC4">
        <w:rPr>
          <w:rFonts w:ascii="Calibri" w:eastAsia="Aptos" w:hAnsi="Calibri" w:cs="Calibri"/>
        </w:rPr>
        <w:t xml:space="preserve">by specializing in specific procedures, ASCs </w:t>
      </w:r>
      <w:r w:rsidR="00780232">
        <w:rPr>
          <w:rFonts w:ascii="Calibri" w:eastAsia="Aptos" w:hAnsi="Calibri" w:cs="Calibri"/>
        </w:rPr>
        <w:t xml:space="preserve">can </w:t>
      </w:r>
      <w:r w:rsidR="00F36E2C" w:rsidRPr="00196EC4">
        <w:rPr>
          <w:rFonts w:ascii="Calibri" w:eastAsia="Aptos" w:hAnsi="Calibri" w:cs="Calibri"/>
        </w:rPr>
        <w:t>maximize efficienc</w:t>
      </w:r>
      <w:r w:rsidR="0080757E">
        <w:rPr>
          <w:rFonts w:ascii="Calibri" w:eastAsia="Aptos" w:hAnsi="Calibri" w:cs="Calibri"/>
        </w:rPr>
        <w:t>ies</w:t>
      </w:r>
      <w:r w:rsidR="00F36E2C" w:rsidRPr="00196EC4">
        <w:rPr>
          <w:rFonts w:ascii="Calibri" w:eastAsia="Aptos" w:hAnsi="Calibri" w:cs="Calibri"/>
        </w:rPr>
        <w:t xml:space="preserve"> lead</w:t>
      </w:r>
      <w:r w:rsidR="00F33765">
        <w:rPr>
          <w:rFonts w:ascii="Calibri" w:eastAsia="Aptos" w:hAnsi="Calibri" w:cs="Calibri"/>
        </w:rPr>
        <w:t>ing</w:t>
      </w:r>
      <w:r w:rsidR="00F36E2C" w:rsidRPr="00196EC4">
        <w:rPr>
          <w:rFonts w:ascii="Calibri" w:eastAsia="Aptos" w:hAnsi="Calibri" w:cs="Calibri"/>
        </w:rPr>
        <w:t xml:space="preserve"> to cost savings</w:t>
      </w:r>
      <w:r w:rsidR="008553E6">
        <w:rPr>
          <w:rFonts w:ascii="Calibri" w:eastAsia="Aptos" w:hAnsi="Calibri" w:cs="Calibri"/>
        </w:rPr>
        <w:t>,</w:t>
      </w:r>
      <w:r w:rsidR="00F36E2C" w:rsidRPr="00196EC4">
        <w:rPr>
          <w:rFonts w:ascii="Calibri" w:eastAsia="Aptos" w:hAnsi="Calibri" w:cs="Calibri"/>
          <w:vertAlign w:val="superscript"/>
        </w:rPr>
        <w:endnoteReference w:id="35"/>
      </w:r>
      <w:r w:rsidR="00F36E2C" w:rsidRPr="00196EC4">
        <w:rPr>
          <w:rFonts w:ascii="Calibri" w:eastAsia="Aptos" w:hAnsi="Calibri" w:cs="Calibri"/>
        </w:rPr>
        <w:t xml:space="preserve"> </w:t>
      </w:r>
      <w:r w:rsidR="0080757E">
        <w:rPr>
          <w:rFonts w:ascii="Calibri" w:eastAsia="Aptos" w:hAnsi="Calibri" w:cs="Calibri"/>
        </w:rPr>
        <w:t>while</w:t>
      </w:r>
      <w:r w:rsidR="008553E6" w:rsidRPr="008553E6">
        <w:rPr>
          <w:rFonts w:ascii="Calibri" w:eastAsia="Aptos" w:hAnsi="Calibri" w:cs="Calibri"/>
        </w:rPr>
        <w:t xml:space="preserve"> </w:t>
      </w:r>
      <w:r w:rsidR="008553E6">
        <w:rPr>
          <w:rFonts w:ascii="Calibri" w:eastAsia="Aptos" w:hAnsi="Calibri" w:cs="Calibri"/>
        </w:rPr>
        <w:t>maintain</w:t>
      </w:r>
      <w:r w:rsidR="0080757E">
        <w:rPr>
          <w:rFonts w:ascii="Calibri" w:eastAsia="Aptos" w:hAnsi="Calibri" w:cs="Calibri"/>
        </w:rPr>
        <w:t>ing</w:t>
      </w:r>
      <w:r w:rsidR="008553E6">
        <w:rPr>
          <w:rFonts w:ascii="Calibri" w:eastAsia="Aptos" w:hAnsi="Calibri" w:cs="Calibri"/>
        </w:rPr>
        <w:t xml:space="preserve"> </w:t>
      </w:r>
      <w:r w:rsidR="008553E6" w:rsidRPr="008553E6">
        <w:rPr>
          <w:rFonts w:ascii="Calibri" w:eastAsia="Aptos" w:hAnsi="Calibri" w:cs="Calibri"/>
        </w:rPr>
        <w:t>quality outcomes for patients</w:t>
      </w:r>
      <w:r w:rsidR="008553E6">
        <w:rPr>
          <w:rFonts w:ascii="Calibri" w:eastAsia="Aptos" w:hAnsi="Calibri" w:cs="Calibri"/>
        </w:rPr>
        <w:t>.</w:t>
      </w:r>
      <w:r w:rsidR="008553E6" w:rsidRPr="008553E6">
        <w:rPr>
          <w:rFonts w:ascii="Calibri" w:eastAsia="Aptos" w:hAnsi="Calibri" w:cs="Calibri"/>
          <w:vertAlign w:val="superscript"/>
        </w:rPr>
        <w:t xml:space="preserve"> </w:t>
      </w:r>
      <w:r w:rsidR="008553E6" w:rsidRPr="008553E6">
        <w:rPr>
          <w:rFonts w:ascii="Calibri" w:eastAsia="Aptos" w:hAnsi="Calibri" w:cs="Calibri"/>
          <w:vertAlign w:val="superscript"/>
        </w:rPr>
        <w:endnoteReference w:id="36"/>
      </w:r>
    </w:p>
    <w:p w14:paraId="160B7935" w14:textId="1A76AD1E" w:rsidR="001F4CEA" w:rsidRPr="001F4CEA" w:rsidRDefault="001F4CEA" w:rsidP="001F4CEA">
      <w:pPr>
        <w:spacing w:after="160"/>
        <w:rPr>
          <w:rFonts w:ascii="Calibri" w:eastAsia="Aptos" w:hAnsi="Calibri" w:cs="Calibri"/>
        </w:rPr>
      </w:pPr>
      <w:r w:rsidRPr="001F4CEA">
        <w:rPr>
          <w:rFonts w:ascii="Calibri" w:eastAsia="Aptos" w:hAnsi="Calibri" w:cs="Calibri"/>
        </w:rPr>
        <w:t>SHS’s commercial relative price in Massachusetts</w:t>
      </w:r>
      <w:r>
        <w:rPr>
          <w:rFonts w:ascii="Calibri" w:eastAsia="Aptos" w:hAnsi="Calibri" w:cs="Calibri"/>
        </w:rPr>
        <w:t xml:space="preserve"> </w:t>
      </w:r>
      <w:r w:rsidRPr="001F4CEA">
        <w:rPr>
          <w:rFonts w:ascii="Calibri" w:eastAsia="Aptos" w:hAnsi="Calibri" w:cs="Calibri"/>
        </w:rPr>
        <w:t xml:space="preserve">is below the mean and median relative price (“RP”) of its cohort of </w:t>
      </w:r>
      <w:r w:rsidRPr="001F4CEA">
        <w:rPr>
          <w:rFonts w:ascii="Calibri" w:eastAsia="Aptos" w:hAnsi="Calibri" w:cs="Calibri"/>
          <w:i/>
          <w:iCs/>
        </w:rPr>
        <w:t>Community High Public Payer Hospitals</w:t>
      </w:r>
      <w:r w:rsidRPr="001F4CEA">
        <w:rPr>
          <w:rFonts w:ascii="Calibri" w:eastAsia="Aptos" w:hAnsi="Calibri" w:cs="Calibri"/>
        </w:rPr>
        <w:t xml:space="preserve"> where the median S-RP in of the cohort is .92 whereas Southcoast Health’s is .83. </w:t>
      </w:r>
      <w:r w:rsidR="005C529E">
        <w:rPr>
          <w:rFonts w:ascii="Calibri" w:eastAsia="Aptos" w:hAnsi="Calibri" w:cs="Calibri"/>
        </w:rPr>
        <w:t>(</w:t>
      </w:r>
      <w:r w:rsidRPr="001F4CEA">
        <w:rPr>
          <w:rFonts w:ascii="Calibri" w:eastAsia="Aptos" w:hAnsi="Calibri" w:cs="Calibri"/>
        </w:rPr>
        <w:t>The mean is statewide across all cohorts is 1.00.</w:t>
      </w:r>
      <w:r w:rsidRPr="001F4CEA">
        <w:rPr>
          <w:rFonts w:ascii="Calibri" w:eastAsia="Aptos" w:hAnsi="Calibri" w:cs="Calibri"/>
          <w:vertAlign w:val="superscript"/>
        </w:rPr>
        <w:footnoteReference w:id="10"/>
      </w:r>
      <w:r w:rsidRPr="001F4CEA">
        <w:rPr>
          <w:rFonts w:ascii="Calibri" w:eastAsia="Aptos" w:hAnsi="Calibri" w:cs="Calibri"/>
        </w:rPr>
        <w:t xml:space="preserve"> </w:t>
      </w:r>
      <w:r w:rsidR="005C529E">
        <w:rPr>
          <w:rFonts w:ascii="Calibri" w:eastAsia="Aptos" w:hAnsi="Calibri" w:cs="Calibri"/>
        </w:rPr>
        <w:t>F</w:t>
      </w:r>
      <w:r w:rsidRPr="001F4CEA">
        <w:rPr>
          <w:rFonts w:ascii="Calibri" w:eastAsia="Aptos" w:hAnsi="Calibri" w:cs="Calibri"/>
        </w:rPr>
        <w:t>or a comparative list of providers within this cohort, see Appendix 2.)</w:t>
      </w:r>
    </w:p>
    <w:p w14:paraId="5D9E6CAD" w14:textId="169DC408" w:rsidR="00196EC4" w:rsidRPr="00196EC4" w:rsidRDefault="00196EC4" w:rsidP="005442FB">
      <w:pPr>
        <w:spacing w:after="160"/>
        <w:rPr>
          <w:rFonts w:ascii="Calibri" w:eastAsia="Aptos" w:hAnsi="Calibri" w:cs="Calibri"/>
        </w:rPr>
      </w:pPr>
      <w:r w:rsidRPr="00196EC4">
        <w:rPr>
          <w:rFonts w:ascii="Calibri" w:eastAsia="Aptos" w:hAnsi="Calibri" w:cs="Calibri"/>
        </w:rPr>
        <w:t xml:space="preserve">Overall, the Applicant’s </w:t>
      </w:r>
      <w:r w:rsidR="001F4CEA">
        <w:rPr>
          <w:rFonts w:ascii="Calibri" w:eastAsia="Aptos" w:hAnsi="Calibri" w:cs="Calibri"/>
        </w:rPr>
        <w:t xml:space="preserve">Proposed </w:t>
      </w:r>
      <w:r w:rsidRPr="00196EC4">
        <w:rPr>
          <w:rFonts w:ascii="Calibri" w:eastAsia="Aptos" w:hAnsi="Calibri" w:cs="Calibri"/>
        </w:rPr>
        <w:t>Project aims to lower the cost of multi-specialty surgery services for SHS’s patient panel and community through its acquisition of SDS; it seeks to</w:t>
      </w:r>
      <w:r w:rsidR="00D65BE0">
        <w:rPr>
          <w:rFonts w:ascii="Calibri" w:eastAsia="Aptos" w:hAnsi="Calibri" w:cs="Calibri"/>
        </w:rPr>
        <w:t xml:space="preserve"> </w:t>
      </w:r>
      <w:r w:rsidRPr="00196EC4">
        <w:rPr>
          <w:rFonts w:ascii="Calibri" w:eastAsia="Aptos" w:hAnsi="Calibri" w:cs="Calibri"/>
        </w:rPr>
        <w:t>encourage patients to consider the cost-effective ASC setting for appropriate surgical procedures.</w:t>
      </w:r>
    </w:p>
    <w:bookmarkEnd w:id="71"/>
    <w:p w14:paraId="56E4235C" w14:textId="43BE4F55" w:rsidR="00C43448" w:rsidRDefault="00863E19" w:rsidP="00AC0EA6">
      <w:pPr>
        <w:spacing w:before="240" w:after="240"/>
        <w:jc w:val="both"/>
        <w:rPr>
          <w:rFonts w:ascii="Calibri" w:eastAsia="PMingLiU" w:hAnsi="Calibri" w:cs="Times New Roman"/>
          <w:b/>
          <w:bCs/>
          <w:i/>
          <w:iCs/>
        </w:rPr>
      </w:pPr>
      <w:r w:rsidRPr="00AC0EA6">
        <w:rPr>
          <w:rFonts w:ascii="Calibri" w:eastAsia="PMingLiU" w:hAnsi="Calibri" w:cs="Times New Roman"/>
          <w:b/>
          <w:bCs/>
          <w:i/>
          <w:iCs/>
        </w:rPr>
        <w:t>Analysis</w:t>
      </w:r>
    </w:p>
    <w:p w14:paraId="0A1704FF" w14:textId="254D22E2" w:rsidR="00196EC4" w:rsidRPr="00196EC4" w:rsidRDefault="00196EC4" w:rsidP="00E71DE2">
      <w:pPr>
        <w:spacing w:before="240" w:after="240"/>
        <w:rPr>
          <w:rFonts w:ascii="Calibri" w:eastAsia="PMingLiU" w:hAnsi="Calibri" w:cs="Times New Roman"/>
        </w:rPr>
      </w:pPr>
      <w:r w:rsidRPr="00196EC4">
        <w:rPr>
          <w:rFonts w:ascii="Calibri" w:eastAsia="PMingLiU" w:hAnsi="Calibri" w:cs="Times New Roman"/>
        </w:rPr>
        <w:t xml:space="preserve">The acquisition of SDS by SHS will allow for </w:t>
      </w:r>
      <w:r w:rsidR="00702600">
        <w:rPr>
          <w:rFonts w:ascii="Calibri" w:eastAsia="PMingLiU" w:hAnsi="Calibri" w:cs="Times New Roman"/>
        </w:rPr>
        <w:t xml:space="preserve">improved collaboration </w:t>
      </w:r>
      <w:r w:rsidRPr="00196EC4">
        <w:rPr>
          <w:rFonts w:ascii="Calibri" w:eastAsia="PMingLiU" w:hAnsi="Calibri" w:cs="Times New Roman"/>
        </w:rPr>
        <w:t>and more coordinated care within the community</w:t>
      </w:r>
      <w:r w:rsidR="00D65BE0">
        <w:rPr>
          <w:rFonts w:ascii="Calibri" w:eastAsia="PMingLiU" w:hAnsi="Calibri" w:cs="Times New Roman"/>
        </w:rPr>
        <w:t xml:space="preserve"> which </w:t>
      </w:r>
      <w:r w:rsidRPr="00196EC4">
        <w:rPr>
          <w:rFonts w:ascii="Calibri" w:eastAsia="PMingLiU" w:hAnsi="Calibri" w:cs="Times New Roman"/>
        </w:rPr>
        <w:t>is better for the patients and better for the financial success of value-based programs by reducing unnecessary emergency department usage, inpatient surgeries, readmissions, and the overall cost of care</w:t>
      </w:r>
      <w:r w:rsidR="00840ED6">
        <w:rPr>
          <w:rFonts w:ascii="Calibri" w:eastAsia="PMingLiU" w:hAnsi="Calibri" w:cs="Times New Roman"/>
        </w:rPr>
        <w:t>,</w:t>
      </w:r>
      <w:r w:rsidRPr="00196EC4">
        <w:rPr>
          <w:rFonts w:ascii="Calibri" w:eastAsia="PMingLiU" w:hAnsi="Calibri" w:cs="Times New Roman"/>
        </w:rPr>
        <w:t xml:space="preserve"> </w:t>
      </w:r>
      <w:r w:rsidR="00CA7E9E">
        <w:rPr>
          <w:rFonts w:ascii="Calibri" w:eastAsia="PMingLiU" w:hAnsi="Calibri" w:cs="Times New Roman"/>
        </w:rPr>
        <w:t xml:space="preserve">all of </w:t>
      </w:r>
      <w:r w:rsidRPr="00196EC4">
        <w:rPr>
          <w:rFonts w:ascii="Calibri" w:eastAsia="PMingLiU" w:hAnsi="Calibri" w:cs="Times New Roman"/>
        </w:rPr>
        <w:t>which has been cited within the literature and studied by the HPC</w:t>
      </w:r>
      <w:r w:rsidR="00881FAD">
        <w:rPr>
          <w:rFonts w:ascii="Calibri" w:eastAsia="PMingLiU" w:hAnsi="Calibri" w:cs="Times New Roman"/>
        </w:rPr>
        <w:t xml:space="preserve"> as the </w:t>
      </w:r>
      <w:r w:rsidR="00A4365A">
        <w:rPr>
          <w:rFonts w:ascii="Calibri" w:eastAsia="PMingLiU" w:hAnsi="Calibri" w:cs="Times New Roman"/>
        </w:rPr>
        <w:t xml:space="preserve">associated </w:t>
      </w:r>
      <w:r w:rsidR="00881FAD">
        <w:rPr>
          <w:rFonts w:ascii="Calibri" w:eastAsia="PMingLiU" w:hAnsi="Calibri" w:cs="Times New Roman"/>
        </w:rPr>
        <w:t>benefits of ASCs</w:t>
      </w:r>
      <w:r w:rsidRPr="00196EC4">
        <w:rPr>
          <w:rFonts w:ascii="Calibri" w:eastAsia="PMingLiU" w:hAnsi="Calibri" w:cs="Times New Roman"/>
        </w:rPr>
        <w:t>.</w:t>
      </w:r>
    </w:p>
    <w:p w14:paraId="1BAAA2EE" w14:textId="2B6F6D8A" w:rsidR="004F6CED" w:rsidRDefault="00196EC4" w:rsidP="00D65BE0">
      <w:pPr>
        <w:spacing w:before="240" w:after="240"/>
        <w:rPr>
          <w:rFonts w:ascii="Calibri" w:eastAsia="PMingLiU" w:hAnsi="Calibri" w:cs="Times New Roman"/>
        </w:rPr>
      </w:pPr>
      <w:r w:rsidRPr="00196EC4">
        <w:rPr>
          <w:rFonts w:ascii="Calibri" w:eastAsia="PMingLiU" w:hAnsi="Calibri" w:cs="Times New Roman"/>
        </w:rPr>
        <w:t xml:space="preserve">Given that SDS is an operating </w:t>
      </w:r>
      <w:r w:rsidR="009524AF" w:rsidRPr="00196EC4">
        <w:rPr>
          <w:rFonts w:ascii="Calibri" w:eastAsia="PMingLiU" w:hAnsi="Calibri" w:cs="Times New Roman"/>
        </w:rPr>
        <w:t>facility,</w:t>
      </w:r>
      <w:r w:rsidRPr="00196EC4">
        <w:rPr>
          <w:rFonts w:ascii="Calibri" w:eastAsia="PMingLiU" w:hAnsi="Calibri" w:cs="Times New Roman"/>
        </w:rPr>
        <w:t xml:space="preserve"> and that the Applicant is</w:t>
      </w:r>
      <w:r w:rsidR="00BE487E">
        <w:rPr>
          <w:rFonts w:ascii="Calibri" w:eastAsia="PMingLiU" w:hAnsi="Calibri" w:cs="Times New Roman"/>
        </w:rPr>
        <w:t xml:space="preserve"> already</w:t>
      </w:r>
      <w:r w:rsidRPr="00196EC4">
        <w:rPr>
          <w:rFonts w:ascii="Calibri" w:eastAsia="PMingLiU" w:hAnsi="Calibri" w:cs="Times New Roman"/>
        </w:rPr>
        <w:t xml:space="preserve"> a</w:t>
      </w:r>
      <w:r w:rsidR="00A4365A">
        <w:rPr>
          <w:rFonts w:ascii="Calibri" w:eastAsia="PMingLiU" w:hAnsi="Calibri" w:cs="Times New Roman"/>
        </w:rPr>
        <w:t xml:space="preserve"> minority</w:t>
      </w:r>
      <w:r w:rsidRPr="00196EC4">
        <w:rPr>
          <w:rFonts w:ascii="Calibri" w:eastAsia="PMingLiU" w:hAnsi="Calibri" w:cs="Times New Roman"/>
        </w:rPr>
        <w:t xml:space="preserve"> shareholder, consistency will be maintained</w:t>
      </w:r>
      <w:r w:rsidR="0025240D">
        <w:rPr>
          <w:rFonts w:ascii="Calibri" w:eastAsia="PMingLiU" w:hAnsi="Calibri" w:cs="Times New Roman"/>
        </w:rPr>
        <w:t xml:space="preserve">. Following project approval, </w:t>
      </w:r>
      <w:r w:rsidR="00ED7CC3">
        <w:rPr>
          <w:rFonts w:ascii="Calibri" w:eastAsia="PMingLiU" w:hAnsi="Calibri" w:cs="Times New Roman"/>
        </w:rPr>
        <w:t xml:space="preserve">the </w:t>
      </w:r>
      <w:r w:rsidR="00E71DE2">
        <w:rPr>
          <w:rFonts w:ascii="Calibri" w:eastAsia="PMingLiU" w:hAnsi="Calibri" w:cs="Times New Roman"/>
        </w:rPr>
        <w:t>management structure</w:t>
      </w:r>
      <w:r w:rsidR="0025240D">
        <w:rPr>
          <w:rFonts w:ascii="Calibri" w:eastAsia="PMingLiU" w:hAnsi="Calibri" w:cs="Times New Roman"/>
        </w:rPr>
        <w:t xml:space="preserve"> will be </w:t>
      </w:r>
      <w:r w:rsidR="00913615">
        <w:rPr>
          <w:rFonts w:ascii="Calibri" w:eastAsia="PMingLiU" w:hAnsi="Calibri" w:cs="Times New Roman"/>
        </w:rPr>
        <w:t>improved</w:t>
      </w:r>
      <w:r w:rsidR="00E71DE2">
        <w:rPr>
          <w:rFonts w:ascii="Calibri" w:eastAsia="PMingLiU" w:hAnsi="Calibri" w:cs="Times New Roman"/>
        </w:rPr>
        <w:t>, and stabilization of resources and staffing</w:t>
      </w:r>
      <w:r w:rsidR="00913615">
        <w:rPr>
          <w:rFonts w:ascii="Calibri" w:eastAsia="PMingLiU" w:hAnsi="Calibri" w:cs="Times New Roman"/>
        </w:rPr>
        <w:t xml:space="preserve"> will occur</w:t>
      </w:r>
      <w:r w:rsidR="00DD0A0D">
        <w:rPr>
          <w:rFonts w:ascii="Calibri" w:eastAsia="PMingLiU" w:hAnsi="Calibri" w:cs="Times New Roman"/>
        </w:rPr>
        <w:t xml:space="preserve"> improving efficiencies</w:t>
      </w:r>
      <w:r w:rsidR="004F6CED">
        <w:rPr>
          <w:rFonts w:ascii="Calibri" w:eastAsia="PMingLiU" w:hAnsi="Calibri" w:cs="Times New Roman"/>
        </w:rPr>
        <w:t xml:space="preserve"> and volume of procedures offered that </w:t>
      </w:r>
      <w:r w:rsidR="0084300E">
        <w:rPr>
          <w:rFonts w:ascii="Calibri" w:eastAsia="PMingLiU" w:hAnsi="Calibri" w:cs="Times New Roman"/>
        </w:rPr>
        <w:t xml:space="preserve">likely </w:t>
      </w:r>
      <w:r w:rsidR="00B439F3">
        <w:rPr>
          <w:rFonts w:ascii="Calibri" w:eastAsia="PMingLiU" w:hAnsi="Calibri" w:cs="Times New Roman"/>
        </w:rPr>
        <w:t>would otherwise</w:t>
      </w:r>
      <w:r w:rsidR="004F6CED">
        <w:rPr>
          <w:rFonts w:ascii="Calibri" w:eastAsia="PMingLiU" w:hAnsi="Calibri" w:cs="Times New Roman"/>
        </w:rPr>
        <w:t xml:space="preserve"> be performed in a higher-cost HOPD setting</w:t>
      </w:r>
      <w:r w:rsidR="00E71DE2">
        <w:rPr>
          <w:rFonts w:ascii="Calibri" w:eastAsia="PMingLiU" w:hAnsi="Calibri" w:cs="Times New Roman"/>
        </w:rPr>
        <w:t>.</w:t>
      </w:r>
      <w:r w:rsidRPr="00196EC4">
        <w:rPr>
          <w:rFonts w:ascii="Calibri" w:eastAsia="PMingLiU" w:hAnsi="Calibri" w:cs="Times New Roman"/>
        </w:rPr>
        <w:t xml:space="preserve"> </w:t>
      </w:r>
      <w:r w:rsidR="00E71DE2">
        <w:rPr>
          <w:rFonts w:ascii="Calibri" w:eastAsia="PMingLiU" w:hAnsi="Calibri" w:cs="Times New Roman"/>
        </w:rPr>
        <w:t>I</w:t>
      </w:r>
      <w:r w:rsidRPr="00196EC4">
        <w:rPr>
          <w:rFonts w:ascii="Calibri" w:eastAsia="PMingLiU" w:hAnsi="Calibri" w:cs="Times New Roman"/>
        </w:rPr>
        <w:t>n addition, there is no expansion of OR capacity associated with this project.</w:t>
      </w:r>
      <w:r w:rsidR="001106E7">
        <w:rPr>
          <w:rFonts w:ascii="Calibri" w:eastAsia="PMingLiU" w:hAnsi="Calibri" w:cs="Times New Roman"/>
        </w:rPr>
        <w:t xml:space="preserve"> </w:t>
      </w:r>
      <w:r w:rsidR="001106E7" w:rsidRPr="00196EC4">
        <w:rPr>
          <w:rFonts w:ascii="Calibri" w:eastAsia="PMingLiU" w:hAnsi="Calibri" w:cs="Times New Roman"/>
        </w:rPr>
        <w:t>Thus,</w:t>
      </w:r>
      <w:r w:rsidRPr="00196EC4">
        <w:rPr>
          <w:rFonts w:ascii="Calibri" w:eastAsia="PMingLiU" w:hAnsi="Calibri" w:cs="Times New Roman"/>
        </w:rPr>
        <w:t xml:space="preserve"> the Project will likely have a positive impact on the Massachusetts healthcare market through the expansion of operating efficiencies</w:t>
      </w:r>
      <w:r w:rsidR="00E71DE2">
        <w:rPr>
          <w:rFonts w:ascii="Calibri" w:eastAsia="PMingLiU" w:hAnsi="Calibri" w:cs="Times New Roman"/>
        </w:rPr>
        <w:t xml:space="preserve"> through the single EHR</w:t>
      </w:r>
      <w:r w:rsidRPr="00196EC4">
        <w:rPr>
          <w:rFonts w:ascii="Calibri" w:eastAsia="PMingLiU" w:hAnsi="Calibri" w:cs="Times New Roman"/>
        </w:rPr>
        <w:t xml:space="preserve">, cost reductions in overall care, and ultimately total medical expense (TME). </w:t>
      </w:r>
      <w:bookmarkStart w:id="73" w:name="_Toc106783922"/>
      <w:bookmarkStart w:id="74" w:name="_Toc157428833"/>
    </w:p>
    <w:p w14:paraId="374CCC02" w14:textId="5A22D074" w:rsidR="004F6CED" w:rsidRPr="00B30E42" w:rsidRDefault="004F6CED" w:rsidP="004F6CED">
      <w:pPr>
        <w:pStyle w:val="Heading2"/>
        <w:spacing w:line="240" w:lineRule="auto"/>
        <w:rPr>
          <w:rFonts w:asciiTheme="minorHAnsi" w:hAnsiTheme="minorHAnsi" w:cstheme="minorHAnsi"/>
          <w:sz w:val="24"/>
          <w:szCs w:val="24"/>
        </w:rPr>
      </w:pPr>
      <w:bookmarkStart w:id="75" w:name="_Toc174010170"/>
      <w:bookmarkEnd w:id="73"/>
      <w:bookmarkEnd w:id="74"/>
      <w:r w:rsidRPr="00AC0EA6">
        <w:rPr>
          <w:rFonts w:asciiTheme="minorHAnsi" w:hAnsiTheme="minorHAnsi" w:cstheme="minorHAnsi"/>
          <w:sz w:val="24"/>
          <w:szCs w:val="24"/>
        </w:rPr>
        <w:t xml:space="preserve">FACTOR </w:t>
      </w:r>
      <w:r>
        <w:rPr>
          <w:rFonts w:asciiTheme="minorHAnsi" w:hAnsiTheme="minorHAnsi" w:cstheme="minorHAnsi"/>
          <w:sz w:val="24"/>
          <w:szCs w:val="24"/>
        </w:rPr>
        <w:t>1</w:t>
      </w:r>
      <w:r w:rsidRPr="00AC0EA6">
        <w:rPr>
          <w:rFonts w:asciiTheme="minorHAnsi" w:hAnsiTheme="minorHAnsi" w:cstheme="minorHAnsi"/>
          <w:sz w:val="24"/>
          <w:szCs w:val="24"/>
        </w:rPr>
        <w:t xml:space="preserve"> Summary Analysis</w:t>
      </w:r>
      <w:bookmarkEnd w:id="75"/>
    </w:p>
    <w:p w14:paraId="66A97166" w14:textId="77777777" w:rsidR="004F6CED" w:rsidRDefault="004F6CED" w:rsidP="00AC0EA6"/>
    <w:p w14:paraId="6F9A47F8" w14:textId="3D76253F" w:rsidR="005D3A9E" w:rsidRDefault="00780C76" w:rsidP="00AC0EA6">
      <w:r w:rsidRPr="00780C76">
        <w:lastRenderedPageBreak/>
        <w:t xml:space="preserve">Staff finds that the Applicant has demonstrated </w:t>
      </w:r>
      <w:r>
        <w:t xml:space="preserve">the </w:t>
      </w:r>
      <w:r w:rsidRPr="00780C76">
        <w:t xml:space="preserve">Proposed Project will address </w:t>
      </w:r>
      <w:r w:rsidR="009524AF" w:rsidRPr="00780C76">
        <w:t xml:space="preserve">the </w:t>
      </w:r>
      <w:r w:rsidR="004F6CED">
        <w:t xml:space="preserve">ongoing </w:t>
      </w:r>
      <w:r w:rsidR="009524AF" w:rsidRPr="00780C76">
        <w:t>need</w:t>
      </w:r>
      <w:r w:rsidRPr="00780C76">
        <w:t xml:space="preserve"> for high-quality, cost-effective, ambulatory surgical care</w:t>
      </w:r>
      <w:r w:rsidR="00E71DE2">
        <w:t>. T</w:t>
      </w:r>
      <w:r>
        <w:t xml:space="preserve">his acquisition of </w:t>
      </w:r>
      <w:r w:rsidR="00AE72B3">
        <w:t xml:space="preserve">the </w:t>
      </w:r>
      <w:r>
        <w:t xml:space="preserve">SDS ASC will provide an alternative lower cost site </w:t>
      </w:r>
      <w:r w:rsidR="0063149F">
        <w:t xml:space="preserve">with improved access to community resources </w:t>
      </w:r>
      <w:r>
        <w:t xml:space="preserve">for </w:t>
      </w:r>
      <w:r w:rsidR="0063149F">
        <w:t>SDS’</w:t>
      </w:r>
      <w:r w:rsidR="00A21B9E">
        <w:t>s</w:t>
      </w:r>
      <w:r w:rsidR="0063149F">
        <w:t xml:space="preserve"> and SHS’s </w:t>
      </w:r>
      <w:r w:rsidR="00BC03D6">
        <w:t xml:space="preserve">combined </w:t>
      </w:r>
      <w:r>
        <w:t>Patient Panel</w:t>
      </w:r>
      <w:r w:rsidR="0063149F">
        <w:t>s</w:t>
      </w:r>
      <w:r w:rsidR="004F6CED">
        <w:t xml:space="preserve"> with </w:t>
      </w:r>
      <w:r>
        <w:t>better integration</w:t>
      </w:r>
      <w:r w:rsidR="007B7196">
        <w:t xml:space="preserve">, </w:t>
      </w:r>
      <w:r>
        <w:t xml:space="preserve">and </w:t>
      </w:r>
      <w:r w:rsidR="007B7196">
        <w:t xml:space="preserve">the </w:t>
      </w:r>
      <w:r>
        <w:t xml:space="preserve">stabilization of the surgical staffing and </w:t>
      </w:r>
      <w:r w:rsidR="007B7196">
        <w:t xml:space="preserve">better </w:t>
      </w:r>
      <w:r>
        <w:t>management of resources</w:t>
      </w:r>
      <w:r w:rsidR="0063149F">
        <w:t xml:space="preserve"> at SDS</w:t>
      </w:r>
      <w:r>
        <w:t>.</w:t>
      </w:r>
      <w:r w:rsidR="00B02D63">
        <w:t xml:space="preserve"> </w:t>
      </w:r>
      <w:bookmarkStart w:id="76" w:name="_Hlk173852946"/>
      <w:r w:rsidR="001552F0">
        <w:t xml:space="preserve">Staff notes that </w:t>
      </w:r>
      <w:r w:rsidR="00B02D63" w:rsidRPr="00B02D63">
        <w:t xml:space="preserve">the facility has accommodated ~9,000 procedures (2018) and </w:t>
      </w:r>
      <w:r w:rsidR="001552F0">
        <w:t>in 2003 performed ~</w:t>
      </w:r>
      <w:r w:rsidR="00B02D63" w:rsidRPr="00B02D63">
        <w:t>6,000 procedures</w:t>
      </w:r>
      <w:r w:rsidR="001552F0">
        <w:t xml:space="preserve"> suggesting that there is additional operational capacity at the site</w:t>
      </w:r>
      <w:r w:rsidR="00B02D63" w:rsidRPr="00B02D63">
        <w:t xml:space="preserve">. </w:t>
      </w:r>
      <w:bookmarkEnd w:id="76"/>
      <w:r w:rsidR="008826D6">
        <w:t xml:space="preserve">Staff </w:t>
      </w:r>
      <w:r w:rsidR="00606028">
        <w:t xml:space="preserve">highlights </w:t>
      </w:r>
      <w:r w:rsidR="006C4A90">
        <w:t>S</w:t>
      </w:r>
      <w:r w:rsidR="009E55CB">
        <w:t>H</w:t>
      </w:r>
      <w:r w:rsidR="006C4A90">
        <w:t xml:space="preserve">S’s assertion </w:t>
      </w:r>
      <w:r w:rsidR="008826D6">
        <w:t xml:space="preserve">that without the </w:t>
      </w:r>
      <w:r w:rsidR="001552F0">
        <w:t>acquisition</w:t>
      </w:r>
      <w:r w:rsidR="00BF5D34">
        <w:t xml:space="preserve">, SDS </w:t>
      </w:r>
      <w:r w:rsidR="00017890">
        <w:t xml:space="preserve">is not in a </w:t>
      </w:r>
      <w:r w:rsidR="002D0A83">
        <w:t xml:space="preserve">financial </w:t>
      </w:r>
      <w:r w:rsidR="00017890">
        <w:t xml:space="preserve">position to continue to invest in its </w:t>
      </w:r>
      <w:r w:rsidR="009E55CB">
        <w:t xml:space="preserve">clinical staffing </w:t>
      </w:r>
      <w:r w:rsidR="002D0A83">
        <w:t>recruitment efforts, or its infrastructure</w:t>
      </w:r>
      <w:r w:rsidR="00F6730D">
        <w:t>, including</w:t>
      </w:r>
      <w:r w:rsidR="006640EE">
        <w:t xml:space="preserve"> modernizing its recordkeeping and E</w:t>
      </w:r>
      <w:r w:rsidR="001552F0">
        <w:t>M</w:t>
      </w:r>
      <w:r w:rsidR="006640EE">
        <w:t>R systems</w:t>
      </w:r>
      <w:r w:rsidR="00D94E7B">
        <w:t xml:space="preserve"> which</w:t>
      </w:r>
      <w:r w:rsidR="000D6760">
        <w:t>,</w:t>
      </w:r>
      <w:r w:rsidR="00D94E7B">
        <w:t xml:space="preserve"> </w:t>
      </w:r>
      <w:r w:rsidR="006C4A90">
        <w:t>Staff notes</w:t>
      </w:r>
      <w:r w:rsidR="000D6760">
        <w:t>,</w:t>
      </w:r>
      <w:r w:rsidR="006C4A90">
        <w:t xml:space="preserve"> </w:t>
      </w:r>
      <w:r w:rsidR="004F6CED">
        <w:t xml:space="preserve">could </w:t>
      </w:r>
      <w:r w:rsidR="00B83475">
        <w:t xml:space="preserve">result in </w:t>
      </w:r>
      <w:r w:rsidR="006D1E2D">
        <w:t xml:space="preserve">gaps in access </w:t>
      </w:r>
      <w:r w:rsidR="003647D8">
        <w:t>as more shareholders retire.</w:t>
      </w:r>
      <w:r w:rsidR="006C4A90">
        <w:t xml:space="preserve"> </w:t>
      </w:r>
    </w:p>
    <w:p w14:paraId="21C27431" w14:textId="77777777" w:rsidR="0063149F" w:rsidRPr="00AC0EA6" w:rsidRDefault="0063149F" w:rsidP="00AC0EA6"/>
    <w:p w14:paraId="5A354BE7" w14:textId="2DCEBFA1" w:rsidR="00140989" w:rsidRPr="00AC0EA6" w:rsidRDefault="002D535F" w:rsidP="00AC0EA6">
      <w:r w:rsidRPr="00AC0EA6">
        <w:t xml:space="preserve">As a result of </w:t>
      </w:r>
      <w:r w:rsidR="0088421A" w:rsidRPr="00AC0EA6">
        <w:t xml:space="preserve">the </w:t>
      </w:r>
      <w:r w:rsidRPr="00AC0EA6">
        <w:t>information provided by the Applicant and additional analysis, staf</w:t>
      </w:r>
      <w:r w:rsidR="00D07308" w:rsidRPr="00AC0EA6">
        <w:t xml:space="preserve">f finds </w:t>
      </w:r>
      <w:r w:rsidR="0014242D" w:rsidRPr="00AC0EA6">
        <w:t>tha</w:t>
      </w:r>
      <w:r w:rsidR="00562778" w:rsidRPr="00AC0EA6">
        <w:t xml:space="preserve">t </w:t>
      </w:r>
      <w:r w:rsidRPr="00AC0EA6">
        <w:t xml:space="preserve">the Applicant has demonstrated that the Proposed Project </w:t>
      </w:r>
      <w:r w:rsidR="00251229" w:rsidRPr="00AC0EA6">
        <w:t>meets</w:t>
      </w:r>
      <w:r w:rsidRPr="00AC0EA6">
        <w:t xml:space="preserve"> Factors 1(a-f). </w:t>
      </w:r>
    </w:p>
    <w:bookmarkEnd w:id="72"/>
    <w:p w14:paraId="3020A853" w14:textId="77777777" w:rsidR="00471349" w:rsidRDefault="00471349" w:rsidP="0017310C">
      <w:pPr>
        <w:pStyle w:val="Heading1"/>
        <w:spacing w:before="0" w:line="240" w:lineRule="auto"/>
        <w:rPr>
          <w:rFonts w:asciiTheme="minorHAnsi" w:hAnsiTheme="minorHAnsi" w:cstheme="minorHAnsi"/>
        </w:rPr>
      </w:pPr>
    </w:p>
    <w:p w14:paraId="36BC3E73" w14:textId="19A3BDDF" w:rsidR="002D535F" w:rsidRDefault="00664406" w:rsidP="00B31381">
      <w:pPr>
        <w:pStyle w:val="Heading1"/>
        <w:spacing w:before="0" w:line="240" w:lineRule="auto"/>
        <w:rPr>
          <w:rFonts w:asciiTheme="minorHAnsi" w:hAnsiTheme="minorHAnsi" w:cstheme="minorHAnsi"/>
        </w:rPr>
      </w:pPr>
      <w:bookmarkStart w:id="77" w:name="_Toc157428834"/>
      <w:bookmarkStart w:id="78" w:name="_Toc174010171"/>
      <w:r w:rsidRPr="008E54FA">
        <w:rPr>
          <w:rFonts w:asciiTheme="minorHAnsi" w:hAnsiTheme="minorHAnsi" w:cstheme="minorHAnsi"/>
        </w:rPr>
        <w:t>Factor</w:t>
      </w:r>
      <w:r w:rsidR="002D535F" w:rsidRPr="008E54FA">
        <w:rPr>
          <w:rFonts w:asciiTheme="minorHAnsi" w:hAnsiTheme="minorHAnsi" w:cstheme="minorHAnsi"/>
        </w:rPr>
        <w:t xml:space="preserve"> 2: Cost </w:t>
      </w:r>
      <w:r w:rsidR="00471349">
        <w:rPr>
          <w:rFonts w:asciiTheme="minorHAnsi" w:hAnsiTheme="minorHAnsi" w:cstheme="minorHAnsi"/>
        </w:rPr>
        <w:t>C</w:t>
      </w:r>
      <w:r w:rsidR="002D535F" w:rsidRPr="008E54FA">
        <w:rPr>
          <w:rFonts w:asciiTheme="minorHAnsi" w:hAnsiTheme="minorHAnsi" w:cstheme="minorHAnsi"/>
        </w:rPr>
        <w:t>ontainment, Improved Public Health Outcomes and Delivery System Transformation</w:t>
      </w:r>
      <w:bookmarkEnd w:id="77"/>
      <w:bookmarkEnd w:id="78"/>
    </w:p>
    <w:p w14:paraId="44B4C547" w14:textId="66010C02" w:rsidR="00794127" w:rsidRDefault="00794127" w:rsidP="00794127"/>
    <w:p w14:paraId="546E6568" w14:textId="77777777" w:rsidR="00525E4F" w:rsidRDefault="00525E4F" w:rsidP="00525E4F">
      <w:pPr>
        <w:widowControl w:val="0"/>
        <w:autoSpaceDE w:val="0"/>
        <w:autoSpaceDN w:val="0"/>
        <w:rPr>
          <w:rFonts w:ascii="Calibri" w:eastAsia="Calibri" w:hAnsi="Calibri" w:cs="Calibri"/>
          <w:b/>
          <w:bCs/>
        </w:rPr>
      </w:pPr>
      <w:bookmarkStart w:id="79" w:name="_Toc17731330"/>
      <w:bookmarkStart w:id="80" w:name="_Toc17748250"/>
      <w:bookmarkStart w:id="81" w:name="_Toc17748477"/>
      <w:bookmarkStart w:id="82" w:name="_Toc17748721"/>
      <w:bookmarkStart w:id="83" w:name="_Toc18420200"/>
      <w:bookmarkStart w:id="84" w:name="_Toc18922421"/>
      <w:r w:rsidRPr="00E67025">
        <w:rPr>
          <w:rFonts w:ascii="Calibri" w:eastAsia="Calibri" w:hAnsi="Calibri" w:cs="Calibri"/>
          <w:b/>
          <w:bCs/>
        </w:rPr>
        <w:t>Cost Containment</w:t>
      </w:r>
    </w:p>
    <w:p w14:paraId="281EE39A" w14:textId="77777777" w:rsidR="004D0F78" w:rsidRPr="00E67025" w:rsidRDefault="004D0F78" w:rsidP="00525E4F">
      <w:pPr>
        <w:widowControl w:val="0"/>
        <w:autoSpaceDE w:val="0"/>
        <w:autoSpaceDN w:val="0"/>
        <w:rPr>
          <w:rFonts w:ascii="Calibri" w:eastAsia="Calibri" w:hAnsi="Calibri" w:cs="Calibri"/>
          <w:b/>
          <w:bCs/>
        </w:rPr>
      </w:pPr>
    </w:p>
    <w:p w14:paraId="2A353634" w14:textId="21133B0B" w:rsidR="00525E4F" w:rsidRDefault="00525E4F" w:rsidP="00525E4F">
      <w:pPr>
        <w:widowControl w:val="0"/>
        <w:autoSpaceDE w:val="0"/>
        <w:autoSpaceDN w:val="0"/>
        <w:spacing w:before="2"/>
        <w:rPr>
          <w:rFonts w:ascii="Calibri" w:eastAsia="Times New Roman" w:hAnsi="Calibri" w:cs="Calibri"/>
          <w:kern w:val="2"/>
        </w:rPr>
      </w:pPr>
      <w:r w:rsidRPr="00E67025">
        <w:rPr>
          <w:rFonts w:ascii="Calibri" w:eastAsia="Calibri" w:hAnsi="Calibri" w:cs="Calibri"/>
        </w:rPr>
        <w:t>The Proposed Project will meaningfully contribute to The Commonwealth’s goals for cost containment by providing high-quality care in a lower cost setting</w:t>
      </w:r>
      <w:r w:rsidR="003B45BF">
        <w:rPr>
          <w:rFonts w:ascii="Calibri" w:eastAsia="Calibri" w:hAnsi="Calibri" w:cs="Calibri"/>
        </w:rPr>
        <w:t>.</w:t>
      </w:r>
      <w:r w:rsidRPr="00E67025">
        <w:rPr>
          <w:rFonts w:ascii="Calibri" w:eastAsia="Calibri" w:hAnsi="Calibri" w:cs="Calibri"/>
        </w:rPr>
        <w:t xml:space="preserve"> The Proposed Project will meet these goals by </w:t>
      </w:r>
      <w:r>
        <w:rPr>
          <w:rFonts w:ascii="Calibri" w:eastAsia="Calibri" w:hAnsi="Calibri" w:cs="Calibri"/>
        </w:rPr>
        <w:t>SHS, a lower cost provider with a high public payer Patient Panel</w:t>
      </w:r>
      <w:r w:rsidR="006A29A0">
        <w:rPr>
          <w:rFonts w:ascii="Calibri" w:eastAsia="Calibri" w:hAnsi="Calibri" w:cs="Calibri"/>
        </w:rPr>
        <w:t>,</w:t>
      </w:r>
      <w:r>
        <w:rPr>
          <w:rFonts w:ascii="Calibri" w:eastAsia="Calibri" w:hAnsi="Calibri" w:cs="Calibri"/>
        </w:rPr>
        <w:t xml:space="preserve"> gaining management control of </w:t>
      </w:r>
      <w:r w:rsidRPr="00E67025">
        <w:rPr>
          <w:rFonts w:ascii="Calibri" w:eastAsia="Calibri" w:hAnsi="Calibri" w:cs="Calibri"/>
        </w:rPr>
        <w:t xml:space="preserve">a freestanding ASC and shifting clinically appropriate cases from </w:t>
      </w:r>
      <w:r>
        <w:rPr>
          <w:rFonts w:ascii="Calibri" w:eastAsia="Calibri" w:hAnsi="Calibri" w:cs="Calibri"/>
        </w:rPr>
        <w:t xml:space="preserve">a HOPD </w:t>
      </w:r>
      <w:r w:rsidRPr="00E67025">
        <w:rPr>
          <w:rFonts w:ascii="Calibri" w:eastAsia="Calibri" w:hAnsi="Calibri" w:cs="Calibri"/>
        </w:rPr>
        <w:t>to the ASC</w:t>
      </w:r>
      <w:r>
        <w:rPr>
          <w:rFonts w:ascii="Calibri" w:eastAsia="Calibri" w:hAnsi="Calibri" w:cs="Calibri"/>
        </w:rPr>
        <w:t>, where reimbursement rates are lower and will remain unchanged</w:t>
      </w:r>
      <w:r w:rsidRPr="00E67025">
        <w:rPr>
          <w:rFonts w:ascii="Calibri" w:eastAsia="Calibri" w:hAnsi="Calibri" w:cs="Calibri"/>
        </w:rPr>
        <w:t xml:space="preserve">. As previously addressed in both the </w:t>
      </w:r>
      <w:r w:rsidRPr="00C120CE">
        <w:rPr>
          <w:rFonts w:ascii="Calibri" w:eastAsia="Calibri" w:hAnsi="Calibri" w:cs="Calibri"/>
          <w:i/>
          <w:iCs/>
        </w:rPr>
        <w:t>Patient Panel Need</w:t>
      </w:r>
      <w:r w:rsidRPr="00E67025">
        <w:rPr>
          <w:rFonts w:ascii="Calibri" w:eastAsia="Calibri" w:hAnsi="Calibri" w:cs="Calibri"/>
        </w:rPr>
        <w:t xml:space="preserve"> and </w:t>
      </w:r>
      <w:r w:rsidRPr="00C120CE">
        <w:rPr>
          <w:rFonts w:ascii="Calibri" w:eastAsia="Calibri" w:hAnsi="Calibri" w:cs="Calibri"/>
          <w:i/>
          <w:iCs/>
        </w:rPr>
        <w:t>Competition</w:t>
      </w:r>
      <w:r w:rsidRPr="00E67025">
        <w:rPr>
          <w:rFonts w:ascii="Calibri" w:eastAsia="Calibri" w:hAnsi="Calibri" w:cs="Calibri"/>
        </w:rPr>
        <w:t xml:space="preserve"> sections, </w:t>
      </w:r>
      <w:r w:rsidRPr="00E67025">
        <w:rPr>
          <w:rFonts w:ascii="Calibri" w:eastAsia="Times New Roman" w:hAnsi="Calibri" w:cs="Calibri"/>
          <w:kern w:val="2"/>
        </w:rPr>
        <w:t>reimbursement rates for procedures performed in ASCs are approximately 60% of the rate for the same outpatient procedures performed in a hospital setting.</w:t>
      </w:r>
      <w:r w:rsidRPr="00E67025">
        <w:rPr>
          <w:rFonts w:ascii="Calibri" w:eastAsia="Times New Roman" w:hAnsi="Calibri" w:cs="Calibri"/>
          <w:kern w:val="2"/>
          <w:vertAlign w:val="superscript"/>
        </w:rPr>
        <w:endnoteReference w:id="37"/>
      </w:r>
      <w:r>
        <w:rPr>
          <w:rFonts w:ascii="Calibri" w:eastAsia="Times New Roman" w:hAnsi="Calibri" w:cs="Calibri"/>
          <w:kern w:val="2"/>
        </w:rPr>
        <w:t xml:space="preserve"> </w:t>
      </w:r>
    </w:p>
    <w:p w14:paraId="620BD1A0" w14:textId="77777777" w:rsidR="008B7CE2" w:rsidRDefault="008B7CE2" w:rsidP="00525E4F">
      <w:pPr>
        <w:widowControl w:val="0"/>
        <w:autoSpaceDE w:val="0"/>
        <w:autoSpaceDN w:val="0"/>
        <w:spacing w:before="2"/>
        <w:rPr>
          <w:rFonts w:ascii="Calibri" w:eastAsia="Times New Roman" w:hAnsi="Calibri" w:cs="Calibri"/>
          <w:kern w:val="2"/>
        </w:rPr>
      </w:pPr>
    </w:p>
    <w:p w14:paraId="547A9717" w14:textId="307AE646" w:rsidR="003B45BF" w:rsidRPr="003B45BF" w:rsidRDefault="003B45BF" w:rsidP="003B45BF">
      <w:pPr>
        <w:widowControl w:val="0"/>
        <w:autoSpaceDE w:val="0"/>
        <w:autoSpaceDN w:val="0"/>
        <w:spacing w:before="2"/>
        <w:rPr>
          <w:rFonts w:ascii="Calibri" w:eastAsia="Times New Roman" w:hAnsi="Calibri" w:cs="Calibri"/>
          <w:kern w:val="2"/>
        </w:rPr>
      </w:pPr>
      <w:r>
        <w:rPr>
          <w:rFonts w:ascii="Calibri" w:eastAsia="Calibri" w:hAnsi="Calibri" w:cs="Calibri"/>
        </w:rPr>
        <w:t>Also, t</w:t>
      </w:r>
      <w:r w:rsidRPr="003B45BF">
        <w:rPr>
          <w:rFonts w:ascii="Calibri" w:eastAsia="Calibri" w:hAnsi="Calibri" w:cs="Calibri"/>
        </w:rPr>
        <w:t xml:space="preserve">he Proposed Project will meet these goals by strengthening an existing freestanding ASC where many physician retirements have resulted in lower volumes and investments in infrastructure have not been made. Following project implementation, </w:t>
      </w:r>
      <w:r w:rsidR="001503B0">
        <w:rPr>
          <w:rFonts w:ascii="Calibri" w:eastAsia="Calibri" w:hAnsi="Calibri" w:cs="Calibri"/>
        </w:rPr>
        <w:t xml:space="preserve">the Applicant states </w:t>
      </w:r>
      <w:r w:rsidRPr="003B45BF">
        <w:rPr>
          <w:rFonts w:ascii="Calibri" w:eastAsia="Calibri" w:hAnsi="Calibri" w:cs="Calibri"/>
        </w:rPr>
        <w:t>such investments will occur</w:t>
      </w:r>
      <w:r>
        <w:rPr>
          <w:rFonts w:ascii="Calibri" w:eastAsia="Calibri" w:hAnsi="Calibri" w:cs="Calibri"/>
        </w:rPr>
        <w:t>, including in equipment, and physician and clinical staff recruitment.</w:t>
      </w:r>
    </w:p>
    <w:p w14:paraId="7E031E33" w14:textId="77777777" w:rsidR="003B45BF" w:rsidRPr="003B45BF" w:rsidRDefault="003B45BF" w:rsidP="003B45BF">
      <w:pPr>
        <w:widowControl w:val="0"/>
        <w:autoSpaceDE w:val="0"/>
        <w:autoSpaceDN w:val="0"/>
        <w:spacing w:before="2"/>
        <w:rPr>
          <w:rFonts w:ascii="Calibri" w:eastAsia="Times New Roman" w:hAnsi="Calibri" w:cs="Calibri"/>
          <w:kern w:val="2"/>
        </w:rPr>
      </w:pPr>
    </w:p>
    <w:p w14:paraId="58AA8A5B" w14:textId="4FD8BEA4" w:rsidR="003B45BF" w:rsidRPr="003B45BF" w:rsidRDefault="003B45BF" w:rsidP="003B45BF">
      <w:pPr>
        <w:widowControl w:val="0"/>
        <w:autoSpaceDE w:val="0"/>
        <w:autoSpaceDN w:val="0"/>
        <w:spacing w:before="2"/>
        <w:rPr>
          <w:rFonts w:ascii="Calibri" w:eastAsia="Times New Roman" w:hAnsi="Calibri" w:cs="Calibri"/>
          <w:kern w:val="2"/>
        </w:rPr>
      </w:pPr>
      <w:r w:rsidRPr="003B45BF">
        <w:rPr>
          <w:rFonts w:ascii="Calibri" w:eastAsia="Times New Roman" w:hAnsi="Calibri" w:cs="Calibri"/>
          <w:kern w:val="2"/>
        </w:rPr>
        <w:t xml:space="preserve">The Applicant Asserts, given that contracted rates will not increase, and that more patients will have access to this lower cost setting, as opposed to a higher priced HOPD, the Proposed Project will not negatively impact the overall cost growth benchmark set for the state. </w:t>
      </w:r>
    </w:p>
    <w:p w14:paraId="566D2030" w14:textId="77777777" w:rsidR="00525E4F" w:rsidRPr="00E67025" w:rsidRDefault="00525E4F" w:rsidP="00525E4F">
      <w:pPr>
        <w:widowControl w:val="0"/>
        <w:autoSpaceDE w:val="0"/>
        <w:autoSpaceDN w:val="0"/>
        <w:spacing w:before="2"/>
        <w:rPr>
          <w:rFonts w:ascii="Calibri" w:eastAsia="Calibri" w:hAnsi="Calibri" w:cs="Calibri"/>
          <w:sz w:val="23"/>
          <w:highlight w:val="yellow"/>
        </w:rPr>
      </w:pPr>
    </w:p>
    <w:p w14:paraId="3378AD3A" w14:textId="77777777" w:rsidR="00525E4F" w:rsidRDefault="00525E4F" w:rsidP="00525E4F">
      <w:pPr>
        <w:widowControl w:val="0"/>
        <w:autoSpaceDE w:val="0"/>
        <w:autoSpaceDN w:val="0"/>
        <w:rPr>
          <w:rFonts w:ascii="Calibri" w:eastAsia="Calibri" w:hAnsi="Calibri" w:cs="Calibri"/>
          <w:b/>
          <w:bCs/>
          <w:i/>
          <w:iCs/>
        </w:rPr>
      </w:pPr>
      <w:r w:rsidRPr="00E67025">
        <w:rPr>
          <w:rFonts w:ascii="Calibri" w:eastAsia="Calibri" w:hAnsi="Calibri" w:cs="Calibri"/>
          <w:b/>
          <w:bCs/>
          <w:i/>
          <w:iCs/>
        </w:rPr>
        <w:t>Analysis: Cost Containment</w:t>
      </w:r>
    </w:p>
    <w:p w14:paraId="53A444F7" w14:textId="77777777" w:rsidR="00E140E2" w:rsidRPr="00E67025" w:rsidRDefault="00E140E2" w:rsidP="00525E4F">
      <w:pPr>
        <w:widowControl w:val="0"/>
        <w:autoSpaceDE w:val="0"/>
        <w:autoSpaceDN w:val="0"/>
        <w:rPr>
          <w:rFonts w:ascii="Calibri" w:eastAsia="Calibri" w:hAnsi="Calibri" w:cs="Calibri"/>
          <w:b/>
          <w:bCs/>
          <w:i/>
          <w:iCs/>
        </w:rPr>
      </w:pPr>
    </w:p>
    <w:p w14:paraId="379A511A" w14:textId="77777777" w:rsidR="00525E4F" w:rsidRPr="00E67025" w:rsidRDefault="00525E4F" w:rsidP="00525E4F">
      <w:pPr>
        <w:widowControl w:val="0"/>
        <w:autoSpaceDE w:val="0"/>
        <w:autoSpaceDN w:val="0"/>
        <w:rPr>
          <w:rFonts w:ascii="Calibri" w:eastAsia="Calibri" w:hAnsi="Calibri" w:cs="Calibri"/>
          <w:szCs w:val="20"/>
          <w:highlight w:val="yellow"/>
        </w:rPr>
      </w:pPr>
      <w:r w:rsidRPr="00E67025">
        <w:rPr>
          <w:rFonts w:ascii="Calibri" w:eastAsia="Calibri" w:hAnsi="Calibri" w:cs="Calibri"/>
          <w:color w:val="000000"/>
          <w:szCs w:val="20"/>
          <w:shd w:val="clear" w:color="auto" w:fill="FFFFFF"/>
        </w:rPr>
        <w:t xml:space="preserve">Staff finds that the Applicant has adequately explained how it aligns with cost containment goals through the expansion of access to ambulatory surgery in a lower-cost setting. In their </w:t>
      </w:r>
      <w:r w:rsidRPr="00CC2C06">
        <w:rPr>
          <w:rFonts w:ascii="Calibri" w:eastAsia="Calibri" w:hAnsi="Calibri" w:cs="Calibri"/>
          <w:i/>
          <w:iCs/>
          <w:color w:val="000000"/>
          <w:szCs w:val="20"/>
          <w:shd w:val="clear" w:color="auto" w:fill="FFFFFF"/>
        </w:rPr>
        <w:t>DataPoints</w:t>
      </w:r>
      <w:r w:rsidRPr="00E67025">
        <w:rPr>
          <w:rFonts w:ascii="Calibri" w:eastAsia="Calibri" w:hAnsi="Calibri" w:cs="Calibri"/>
          <w:color w:val="000000"/>
          <w:szCs w:val="20"/>
          <w:shd w:val="clear" w:color="auto" w:fill="FFFFFF"/>
        </w:rPr>
        <w:t xml:space="preserve"> series, the HPC examines ASC’s and suggests that additional savings can be gained </w:t>
      </w:r>
      <w:r w:rsidRPr="00E67025">
        <w:rPr>
          <w:rFonts w:ascii="Calibri" w:eastAsia="Calibri" w:hAnsi="Calibri" w:cs="Calibri"/>
          <w:color w:val="000000"/>
          <w:szCs w:val="20"/>
          <w:shd w:val="clear" w:color="auto" w:fill="FFFFFF"/>
        </w:rPr>
        <w:lastRenderedPageBreak/>
        <w:t>from expanding access to ASCs and supporting greater shifts of care from HOPDs to ASCs.</w:t>
      </w:r>
      <w:r w:rsidRPr="00E67025">
        <w:rPr>
          <w:rFonts w:ascii="Calibri" w:eastAsia="Calibri" w:hAnsi="Calibri" w:cs="Calibri"/>
          <w:color w:val="000000"/>
          <w:szCs w:val="20"/>
          <w:shd w:val="clear" w:color="auto" w:fill="FFFFFF"/>
          <w:vertAlign w:val="superscript"/>
        </w:rPr>
        <w:endnoteReference w:id="38"/>
      </w:r>
      <w:r w:rsidRPr="00E67025">
        <w:rPr>
          <w:rFonts w:ascii="Calibri" w:eastAsia="Calibri" w:hAnsi="Calibri" w:cs="Calibri"/>
          <w:color w:val="000000"/>
          <w:szCs w:val="20"/>
          <w:shd w:val="clear" w:color="auto" w:fill="FFFFFF"/>
        </w:rPr>
        <w:t xml:space="preserve"> Therefore, DoN Staff can conclude that the Proposed Project will likely meet the cost containment component of Factor 2. </w:t>
      </w:r>
    </w:p>
    <w:p w14:paraId="362633C7" w14:textId="77777777" w:rsidR="00525E4F" w:rsidRPr="00E67025" w:rsidRDefault="00525E4F" w:rsidP="00525E4F">
      <w:pPr>
        <w:widowControl w:val="0"/>
        <w:autoSpaceDE w:val="0"/>
        <w:autoSpaceDN w:val="0"/>
        <w:rPr>
          <w:rFonts w:ascii="Calibri" w:eastAsia="Calibri" w:hAnsi="Calibri" w:cs="Calibri"/>
          <w:sz w:val="25"/>
          <w:highlight w:val="yellow"/>
        </w:rPr>
      </w:pPr>
    </w:p>
    <w:p w14:paraId="729D3142" w14:textId="77777777" w:rsidR="00525E4F" w:rsidRDefault="00525E4F" w:rsidP="00525E4F">
      <w:pPr>
        <w:widowControl w:val="0"/>
        <w:autoSpaceDE w:val="0"/>
        <w:autoSpaceDN w:val="0"/>
        <w:spacing w:line="269" w:lineRule="exact"/>
        <w:outlineLvl w:val="3"/>
        <w:rPr>
          <w:rFonts w:ascii="Calibri" w:eastAsia="Calibri" w:hAnsi="Calibri" w:cs="Calibri"/>
          <w:b/>
          <w:bCs/>
        </w:rPr>
      </w:pPr>
      <w:r w:rsidRPr="00E67025">
        <w:rPr>
          <w:rFonts w:ascii="Calibri" w:eastAsia="Calibri" w:hAnsi="Calibri" w:cs="Calibri"/>
          <w:b/>
          <w:bCs/>
        </w:rPr>
        <w:t>Improved Public Health Outcomes</w:t>
      </w:r>
    </w:p>
    <w:p w14:paraId="4FAB7888" w14:textId="77777777" w:rsidR="003B45BF" w:rsidRDefault="003B45BF" w:rsidP="00525E4F">
      <w:pPr>
        <w:widowControl w:val="0"/>
        <w:autoSpaceDE w:val="0"/>
        <w:autoSpaceDN w:val="0"/>
        <w:spacing w:line="269" w:lineRule="exact"/>
        <w:outlineLvl w:val="3"/>
        <w:rPr>
          <w:rFonts w:ascii="Calibri" w:eastAsia="Calibri" w:hAnsi="Calibri" w:cs="Calibri"/>
          <w:b/>
          <w:bCs/>
        </w:rPr>
      </w:pPr>
    </w:p>
    <w:p w14:paraId="13779442" w14:textId="1054E287" w:rsidR="00525E4F" w:rsidRPr="00E67025" w:rsidRDefault="003337AB" w:rsidP="00525E4F">
      <w:pPr>
        <w:widowControl w:val="0"/>
        <w:autoSpaceDE w:val="0"/>
        <w:autoSpaceDN w:val="0"/>
        <w:spacing w:before="10"/>
        <w:rPr>
          <w:rFonts w:ascii="Calibri" w:eastAsia="Calibri" w:hAnsi="Calibri" w:cs="Calibri"/>
          <w:kern w:val="2"/>
        </w:rPr>
      </w:pPr>
      <w:r>
        <w:rPr>
          <w:rFonts w:ascii="Calibri" w:eastAsia="Calibri" w:hAnsi="Calibri" w:cs="Calibri"/>
          <w:kern w:val="2"/>
        </w:rPr>
        <w:t>T</w:t>
      </w:r>
      <w:r w:rsidRPr="003337AB">
        <w:rPr>
          <w:rFonts w:ascii="Calibri" w:eastAsia="Calibri" w:hAnsi="Calibri" w:cs="Calibri"/>
          <w:color w:val="000000"/>
          <w:szCs w:val="20"/>
          <w:shd w:val="clear" w:color="auto" w:fill="FFFFFF"/>
        </w:rPr>
        <w:t xml:space="preserve">he </w:t>
      </w:r>
      <w:r w:rsidR="00AC6810">
        <w:rPr>
          <w:rFonts w:ascii="Calibri" w:eastAsia="Calibri" w:hAnsi="Calibri" w:cs="Calibri"/>
          <w:color w:val="000000"/>
          <w:szCs w:val="20"/>
          <w:shd w:val="clear" w:color="auto" w:fill="FFFFFF"/>
        </w:rPr>
        <w:t>Applicant</w:t>
      </w:r>
      <w:r>
        <w:rPr>
          <w:rFonts w:ascii="Calibri" w:eastAsia="Calibri" w:hAnsi="Calibri" w:cs="Calibri"/>
          <w:color w:val="000000"/>
          <w:szCs w:val="20"/>
          <w:shd w:val="clear" w:color="auto" w:fill="FFFFFF"/>
        </w:rPr>
        <w:t xml:space="preserve"> asserts the </w:t>
      </w:r>
      <w:r w:rsidRPr="003337AB">
        <w:rPr>
          <w:rFonts w:ascii="Calibri" w:eastAsia="Calibri" w:hAnsi="Calibri" w:cs="Calibri"/>
          <w:color w:val="000000"/>
          <w:szCs w:val="20"/>
          <w:shd w:val="clear" w:color="auto" w:fill="FFFFFF"/>
        </w:rPr>
        <w:t>Proposed Project can improve patient health outcomes through increasing access to freestanding ASC care</w:t>
      </w:r>
      <w:r w:rsidR="003B44AA">
        <w:rPr>
          <w:rFonts w:ascii="Calibri" w:eastAsia="Calibri" w:hAnsi="Calibri" w:cs="Calibri"/>
          <w:color w:val="000000"/>
          <w:szCs w:val="20"/>
          <w:shd w:val="clear" w:color="auto" w:fill="FFFFFF"/>
        </w:rPr>
        <w:t>, i</w:t>
      </w:r>
      <w:r w:rsidR="003B44AA" w:rsidRPr="003B44AA">
        <w:rPr>
          <w:rFonts w:ascii="Calibri" w:eastAsia="Calibri" w:hAnsi="Calibri" w:cs="Calibri"/>
          <w:color w:val="000000"/>
          <w:szCs w:val="20"/>
          <w:shd w:val="clear" w:color="auto" w:fill="FFFFFF"/>
        </w:rPr>
        <w:t>n particular for the Applicant’s ACO patients</w:t>
      </w:r>
      <w:r w:rsidR="003B44AA">
        <w:rPr>
          <w:rFonts w:ascii="Calibri" w:eastAsia="Calibri" w:hAnsi="Calibri" w:cs="Calibri"/>
          <w:color w:val="000000"/>
          <w:szCs w:val="20"/>
          <w:shd w:val="clear" w:color="auto" w:fill="FFFFFF"/>
        </w:rPr>
        <w:t>,</w:t>
      </w:r>
      <w:r w:rsidRPr="003337AB">
        <w:rPr>
          <w:rFonts w:ascii="Calibri" w:eastAsia="Calibri" w:hAnsi="Calibri" w:cs="Calibri"/>
          <w:color w:val="000000"/>
          <w:szCs w:val="20"/>
          <w:shd w:val="clear" w:color="auto" w:fill="FFFFFF"/>
        </w:rPr>
        <w:t xml:space="preserve"> in an existing licensed facility that has been under-resourced for a number of years following the retirements and departures of many of the physician partners. </w:t>
      </w:r>
      <w:r w:rsidR="003B45BF">
        <w:rPr>
          <w:rFonts w:ascii="Calibri" w:eastAsia="Calibri" w:hAnsi="Calibri" w:cs="Calibri"/>
          <w:color w:val="000000"/>
          <w:shd w:val="clear" w:color="auto" w:fill="FFFFFF"/>
        </w:rPr>
        <w:t>Through investment in a full complement of clinical staffing, t</w:t>
      </w:r>
      <w:r w:rsidR="00525E4F" w:rsidRPr="00E67025">
        <w:rPr>
          <w:rFonts w:ascii="Calibri" w:eastAsia="Calibri" w:hAnsi="Calibri" w:cs="Calibri"/>
          <w:kern w:val="2"/>
        </w:rPr>
        <w:t xml:space="preserve">he </w:t>
      </w:r>
      <w:r w:rsidR="003B45BF">
        <w:rPr>
          <w:rFonts w:ascii="Calibri" w:eastAsia="Calibri" w:hAnsi="Calibri" w:cs="Calibri"/>
          <w:kern w:val="2"/>
        </w:rPr>
        <w:t>P</w:t>
      </w:r>
      <w:r w:rsidR="00525E4F" w:rsidRPr="00E67025">
        <w:rPr>
          <w:rFonts w:ascii="Calibri" w:eastAsia="Calibri" w:hAnsi="Calibri" w:cs="Calibri"/>
          <w:kern w:val="2"/>
        </w:rPr>
        <w:t xml:space="preserve">roposed </w:t>
      </w:r>
      <w:r w:rsidR="003B45BF">
        <w:rPr>
          <w:rFonts w:ascii="Calibri" w:eastAsia="Calibri" w:hAnsi="Calibri" w:cs="Calibri"/>
          <w:kern w:val="2"/>
        </w:rPr>
        <w:t xml:space="preserve">Project </w:t>
      </w:r>
      <w:r w:rsidR="00525E4F" w:rsidRPr="00E67025">
        <w:rPr>
          <w:rFonts w:ascii="Calibri" w:eastAsia="Calibri" w:hAnsi="Calibri" w:cs="Calibri"/>
          <w:kern w:val="2"/>
        </w:rPr>
        <w:t xml:space="preserve">will </w:t>
      </w:r>
      <w:r w:rsidR="00886BB3">
        <w:rPr>
          <w:rFonts w:ascii="Calibri" w:eastAsia="Calibri" w:hAnsi="Calibri" w:cs="Calibri"/>
          <w:kern w:val="2"/>
        </w:rPr>
        <w:t xml:space="preserve">ensure </w:t>
      </w:r>
      <w:r w:rsidR="00525E4F" w:rsidRPr="00E67025">
        <w:rPr>
          <w:rFonts w:ascii="Calibri" w:eastAsia="Calibri" w:hAnsi="Calibri" w:cs="Calibri"/>
          <w:kern w:val="2"/>
        </w:rPr>
        <w:t>capacity for more surgeries to be performed in the community</w:t>
      </w:r>
      <w:r w:rsidR="003B45BF">
        <w:rPr>
          <w:rFonts w:ascii="Calibri" w:eastAsia="Calibri" w:hAnsi="Calibri" w:cs="Calibri"/>
          <w:kern w:val="2"/>
        </w:rPr>
        <w:t xml:space="preserve"> which offers</w:t>
      </w:r>
      <w:r w:rsidR="00525E4F" w:rsidRPr="00E67025">
        <w:rPr>
          <w:rFonts w:ascii="Calibri" w:eastAsia="Calibri" w:hAnsi="Calibri" w:cs="Calibri"/>
          <w:kern w:val="2"/>
        </w:rPr>
        <w:t xml:space="preserve"> patients improved convenience through</w:t>
      </w:r>
      <w:r w:rsidR="00525E4F">
        <w:rPr>
          <w:rFonts w:ascii="Calibri" w:eastAsia="Calibri" w:hAnsi="Calibri" w:cs="Calibri"/>
          <w:kern w:val="2"/>
        </w:rPr>
        <w:t xml:space="preserve"> </w:t>
      </w:r>
      <w:r w:rsidR="003B45BF">
        <w:rPr>
          <w:rFonts w:ascii="Calibri" w:eastAsia="Calibri" w:hAnsi="Calibri" w:cs="Calibri"/>
          <w:kern w:val="2"/>
        </w:rPr>
        <w:t xml:space="preserve">an easily navigable site, </w:t>
      </w:r>
      <w:r w:rsidR="00241801">
        <w:rPr>
          <w:rFonts w:ascii="Calibri" w:eastAsia="Calibri" w:hAnsi="Calibri" w:cs="Calibri"/>
          <w:kern w:val="2"/>
        </w:rPr>
        <w:t xml:space="preserve">and </w:t>
      </w:r>
      <w:r w:rsidR="00525E4F" w:rsidRPr="00E67025">
        <w:rPr>
          <w:rFonts w:ascii="Calibri" w:eastAsia="Calibri" w:hAnsi="Calibri" w:cs="Calibri"/>
          <w:kern w:val="2"/>
        </w:rPr>
        <w:t>shorter wait times for scheduling procedures</w:t>
      </w:r>
      <w:r>
        <w:rPr>
          <w:rFonts w:ascii="Calibri" w:eastAsia="Calibri" w:hAnsi="Calibri" w:cs="Calibri"/>
          <w:kern w:val="2"/>
        </w:rPr>
        <w:t>. More affordable, l</w:t>
      </w:r>
      <w:r w:rsidR="00525E4F" w:rsidRPr="00E67025">
        <w:rPr>
          <w:rFonts w:ascii="Calibri" w:eastAsia="Calibri" w:hAnsi="Calibri" w:cs="Calibri"/>
          <w:kern w:val="2"/>
        </w:rPr>
        <w:t xml:space="preserve">ocal, timely access will contribute to improved patient experience and satisfaction. </w:t>
      </w:r>
      <w:r w:rsidRPr="003337AB">
        <w:rPr>
          <w:rFonts w:ascii="Calibri" w:eastAsia="Calibri" w:hAnsi="Calibri" w:cs="Calibri"/>
          <w:kern w:val="2"/>
          <w:szCs w:val="20"/>
        </w:rPr>
        <w:t xml:space="preserve">By reducing costs through the provision of care in a freestanding ASC, the Proposed Project seeks to expand access to patients of all financial means, limiting the impact that cost of care </w:t>
      </w:r>
      <w:r w:rsidR="00241801">
        <w:rPr>
          <w:rFonts w:ascii="Calibri" w:eastAsia="Calibri" w:hAnsi="Calibri" w:cs="Calibri"/>
          <w:kern w:val="2"/>
          <w:szCs w:val="20"/>
        </w:rPr>
        <w:t xml:space="preserve">influences </w:t>
      </w:r>
      <w:r w:rsidRPr="003337AB">
        <w:rPr>
          <w:rFonts w:ascii="Calibri" w:eastAsia="Calibri" w:hAnsi="Calibri" w:cs="Calibri"/>
          <w:kern w:val="2"/>
          <w:szCs w:val="20"/>
        </w:rPr>
        <w:t xml:space="preserve">the patient’s decision to </w:t>
      </w:r>
      <w:r w:rsidR="00746ABE">
        <w:rPr>
          <w:rFonts w:ascii="Calibri" w:eastAsia="Calibri" w:hAnsi="Calibri" w:cs="Calibri"/>
          <w:kern w:val="2"/>
          <w:szCs w:val="20"/>
        </w:rPr>
        <w:t>seek needed</w:t>
      </w:r>
      <w:r w:rsidRPr="003337AB">
        <w:rPr>
          <w:rFonts w:ascii="Calibri" w:eastAsia="Calibri" w:hAnsi="Calibri" w:cs="Calibri"/>
          <w:kern w:val="2"/>
          <w:szCs w:val="20"/>
        </w:rPr>
        <w:t xml:space="preserve"> care.</w:t>
      </w:r>
      <w:r w:rsidR="00525E4F" w:rsidRPr="00E67025">
        <w:rPr>
          <w:rFonts w:ascii="Calibri" w:eastAsia="Calibri" w:hAnsi="Calibri" w:cs="Calibri"/>
          <w:kern w:val="2"/>
        </w:rPr>
        <w:t xml:space="preserve"> </w:t>
      </w:r>
    </w:p>
    <w:p w14:paraId="6D7F7560" w14:textId="77777777" w:rsidR="00525E4F" w:rsidRPr="00E67025" w:rsidRDefault="00525E4F" w:rsidP="00525E4F">
      <w:pPr>
        <w:widowControl w:val="0"/>
        <w:autoSpaceDE w:val="0"/>
        <w:autoSpaceDN w:val="0"/>
        <w:spacing w:before="10"/>
        <w:rPr>
          <w:rFonts w:ascii="Calibri" w:eastAsia="Calibri" w:hAnsi="Calibri" w:cs="Calibri"/>
          <w:sz w:val="21"/>
          <w:highlight w:val="yellow"/>
        </w:rPr>
      </w:pPr>
    </w:p>
    <w:p w14:paraId="4DC6D611" w14:textId="77777777" w:rsidR="00525E4F" w:rsidRDefault="00525E4F" w:rsidP="00525E4F">
      <w:pPr>
        <w:widowControl w:val="0"/>
        <w:autoSpaceDE w:val="0"/>
        <w:autoSpaceDN w:val="0"/>
        <w:rPr>
          <w:rFonts w:ascii="Calibri" w:eastAsia="Calibri" w:hAnsi="Calibri" w:cs="Calibri"/>
          <w:b/>
          <w:bCs/>
          <w:i/>
          <w:iCs/>
        </w:rPr>
      </w:pPr>
      <w:r w:rsidRPr="00E67025">
        <w:rPr>
          <w:rFonts w:ascii="Calibri" w:eastAsia="Calibri" w:hAnsi="Calibri" w:cs="Calibri"/>
          <w:b/>
          <w:bCs/>
          <w:i/>
          <w:iCs/>
        </w:rPr>
        <w:t>Analysis: Public Health Outcomes</w:t>
      </w:r>
    </w:p>
    <w:p w14:paraId="600F1D1F" w14:textId="77777777" w:rsidR="00525E4F" w:rsidRPr="00E67025" w:rsidRDefault="00525E4F" w:rsidP="00525E4F">
      <w:pPr>
        <w:widowControl w:val="0"/>
        <w:autoSpaceDE w:val="0"/>
        <w:autoSpaceDN w:val="0"/>
        <w:rPr>
          <w:rFonts w:ascii="Calibri" w:eastAsia="Calibri" w:hAnsi="Calibri" w:cs="Calibri"/>
          <w:b/>
          <w:bCs/>
          <w:i/>
          <w:iCs/>
        </w:rPr>
      </w:pPr>
    </w:p>
    <w:p w14:paraId="0ED54ED7" w14:textId="787FC085" w:rsidR="00031976" w:rsidRPr="00290B8F" w:rsidRDefault="003337AB" w:rsidP="00290B8F">
      <w:pPr>
        <w:rPr>
          <w:rFonts w:eastAsia="Times New Roman"/>
        </w:rPr>
      </w:pPr>
      <w:r w:rsidRPr="003337AB">
        <w:rPr>
          <w:rFonts w:ascii="Calibri" w:eastAsia="Calibri" w:hAnsi="Calibri" w:cs="Calibri"/>
          <w:kern w:val="2"/>
          <w:szCs w:val="20"/>
        </w:rPr>
        <w:t xml:space="preserve">According to a recent Kaiser Family Foundation poll, </w:t>
      </w:r>
      <w:r w:rsidRPr="003337AB">
        <w:rPr>
          <w:rFonts w:ascii="Calibri" w:eastAsia="Calibri" w:hAnsi="Calibri" w:cs="Calibri"/>
          <w:i/>
          <w:iCs/>
          <w:kern w:val="2"/>
          <w:szCs w:val="20"/>
        </w:rPr>
        <w:t>“One in four adults say that in the past 12 months they have skipped or postponed getting health care they needed because of the cost...</w:t>
      </w:r>
      <w:r w:rsidRPr="003337AB">
        <w:rPr>
          <w:rFonts w:ascii="Calibri" w:eastAsia="Calibri" w:hAnsi="Calibri" w:cs="Calibri"/>
          <w:kern w:val="2"/>
          <w:szCs w:val="20"/>
        </w:rPr>
        <w:t xml:space="preserve"> </w:t>
      </w:r>
      <w:r w:rsidRPr="00290B8F">
        <w:rPr>
          <w:rFonts w:eastAsia="Calibri"/>
          <w:i/>
          <w:iCs/>
          <w:kern w:val="2"/>
        </w:rPr>
        <w:t>six in ten uninsured adults (61%) say they went without needed care because of the cost</w:t>
      </w:r>
      <w:r w:rsidRPr="00290B8F">
        <w:rPr>
          <w:rFonts w:eastAsia="Calibri"/>
          <w:kern w:val="2"/>
        </w:rPr>
        <w:t>.”</w:t>
      </w:r>
      <w:r w:rsidRPr="00290B8F">
        <w:rPr>
          <w:rFonts w:eastAsia="Calibri"/>
          <w:kern w:val="2"/>
          <w:vertAlign w:val="superscript"/>
        </w:rPr>
        <w:endnoteReference w:id="39"/>
      </w:r>
      <w:r w:rsidRPr="00290B8F">
        <w:rPr>
          <w:rFonts w:eastAsia="Calibri"/>
          <w:kern w:val="2"/>
        </w:rPr>
        <w:t xml:space="preserve"> </w:t>
      </w:r>
      <w:r w:rsidR="00290B8F" w:rsidRPr="00290B8F">
        <w:rPr>
          <w:rFonts w:eastAsia="Aptos"/>
        </w:rPr>
        <w:t xml:space="preserve">In June, 2024, the Center for Health Information and Analysis (“CHIA”) </w:t>
      </w:r>
      <w:r w:rsidR="00290B8F" w:rsidRPr="00504C30">
        <w:rPr>
          <w:rFonts w:eastAsia="Aptos"/>
        </w:rPr>
        <w:t>published</w:t>
      </w:r>
      <w:r w:rsidR="00290B8F" w:rsidRPr="00290B8F">
        <w:rPr>
          <w:rFonts w:eastAsia="Aptos"/>
          <w:i/>
          <w:iCs/>
        </w:rPr>
        <w:t xml:space="preserve"> Findings from the 2023 Massachusetts Health Insurance Survey.</w:t>
      </w:r>
      <w:r w:rsidR="00517FCD">
        <w:rPr>
          <w:rStyle w:val="EndnoteReference"/>
          <w:rFonts w:eastAsia="Aptos"/>
        </w:rPr>
        <w:endnoteReference w:id="40"/>
      </w:r>
      <w:r w:rsidR="00517FCD">
        <w:rPr>
          <w:rFonts w:eastAsia="Aptos"/>
          <w:i/>
          <w:iCs/>
        </w:rPr>
        <w:t xml:space="preserve"> </w:t>
      </w:r>
      <w:r w:rsidR="00290B8F" w:rsidRPr="00290B8F">
        <w:rPr>
          <w:rFonts w:eastAsia="Aptos"/>
        </w:rPr>
        <w:t>The survey reports that the MA uninsurance rate declined to 1.7% while the national rate declined to 8.4%.</w:t>
      </w:r>
      <w:r w:rsidR="00517FCD">
        <w:rPr>
          <w:rStyle w:val="EndnoteReference"/>
          <w:rFonts w:eastAsia="Aptos"/>
        </w:rPr>
        <w:endnoteReference w:id="41"/>
      </w:r>
      <w:r w:rsidR="00290B8F" w:rsidRPr="00290B8F">
        <w:rPr>
          <w:rFonts w:eastAsia="Aptos"/>
        </w:rPr>
        <w:t xml:space="preserve"> These rates are lower than the 2021 uninsurance rates (2.4% vs 9.2%, respectively). Despite these advances in MA, 41.3% reported that they or their families had an issue affording health care. </w:t>
      </w:r>
    </w:p>
    <w:p w14:paraId="351B094F" w14:textId="77777777" w:rsidR="00031976" w:rsidRDefault="00031976" w:rsidP="00525E4F">
      <w:pPr>
        <w:widowControl w:val="0"/>
        <w:autoSpaceDE w:val="0"/>
        <w:autoSpaceDN w:val="0"/>
        <w:spacing w:before="5"/>
        <w:rPr>
          <w:rFonts w:ascii="Calibri" w:eastAsia="Calibri" w:hAnsi="Calibri" w:cs="Calibri"/>
          <w:kern w:val="2"/>
          <w:szCs w:val="20"/>
        </w:rPr>
      </w:pPr>
    </w:p>
    <w:p w14:paraId="3EDD0B06" w14:textId="3A0D8E5B" w:rsidR="00525E4F" w:rsidRPr="00E67025" w:rsidRDefault="00525E4F" w:rsidP="00525E4F">
      <w:pPr>
        <w:widowControl w:val="0"/>
        <w:autoSpaceDE w:val="0"/>
        <w:autoSpaceDN w:val="0"/>
        <w:spacing w:before="5"/>
        <w:rPr>
          <w:rFonts w:ascii="Calibri" w:eastAsia="Calibri" w:hAnsi="Calibri" w:cs="Calibri"/>
          <w:highlight w:val="yellow"/>
        </w:rPr>
      </w:pPr>
      <w:r w:rsidRPr="00E67025">
        <w:rPr>
          <w:rFonts w:ascii="Calibri" w:eastAsia="Calibri" w:hAnsi="Calibri" w:cs="Calibri"/>
          <w:color w:val="000000"/>
          <w:shd w:val="clear" w:color="auto" w:fill="FFFFFF"/>
        </w:rPr>
        <w:t xml:space="preserve">Staff finds that the Proposed Project will provide the Patient Panel with increased access to ambulatory surgery in the ASC setting, a need for which is growing due to population changes and the increasing prevalence of certain health conditions discussed </w:t>
      </w:r>
      <w:r w:rsidR="003337AB">
        <w:rPr>
          <w:rFonts w:ascii="Calibri" w:eastAsia="Calibri" w:hAnsi="Calibri" w:cs="Calibri"/>
          <w:color w:val="000000"/>
          <w:shd w:val="clear" w:color="auto" w:fill="FFFFFF"/>
        </w:rPr>
        <w:t>in Factor 1(a)</w:t>
      </w:r>
      <w:r w:rsidRPr="00E67025">
        <w:rPr>
          <w:rFonts w:ascii="Calibri" w:eastAsia="Calibri" w:hAnsi="Calibri" w:cs="Calibri"/>
          <w:color w:val="000000"/>
          <w:shd w:val="clear" w:color="auto" w:fill="FFFFFF"/>
        </w:rPr>
        <w:t xml:space="preserve">. </w:t>
      </w:r>
      <w:r w:rsidR="003337AB">
        <w:rPr>
          <w:rFonts w:ascii="Calibri" w:eastAsia="Calibri" w:hAnsi="Calibri" w:cs="Calibri"/>
          <w:color w:val="000000"/>
          <w:shd w:val="clear" w:color="auto" w:fill="FFFFFF"/>
        </w:rPr>
        <w:t>T</w:t>
      </w:r>
      <w:r w:rsidRPr="00E67025">
        <w:rPr>
          <w:rFonts w:ascii="Calibri" w:eastAsia="Calibri" w:hAnsi="Calibri" w:cs="Calibri"/>
          <w:color w:val="000000"/>
          <w:shd w:val="clear" w:color="auto" w:fill="FFFFFF"/>
        </w:rPr>
        <w:t>hese procedures have the ability to improve health outcomes, quality of life, and functioning status. Therefore, DoN Staff can conclude that the Proposed Project will likely meet the Public Health Outcomes component of Factor 2. </w:t>
      </w:r>
    </w:p>
    <w:p w14:paraId="40FCBA13" w14:textId="77777777" w:rsidR="00525E4F" w:rsidRPr="00E67025" w:rsidRDefault="00525E4F" w:rsidP="00525E4F">
      <w:pPr>
        <w:widowControl w:val="0"/>
        <w:autoSpaceDE w:val="0"/>
        <w:autoSpaceDN w:val="0"/>
        <w:spacing w:before="5"/>
        <w:rPr>
          <w:rFonts w:ascii="Calibri" w:eastAsia="Calibri" w:hAnsi="Calibri" w:cs="Calibri"/>
          <w:highlight w:val="yellow"/>
        </w:rPr>
      </w:pPr>
    </w:p>
    <w:p w14:paraId="3A7B3D06" w14:textId="77777777" w:rsidR="00525E4F" w:rsidRPr="00E67025" w:rsidRDefault="00525E4F" w:rsidP="00525E4F">
      <w:pPr>
        <w:widowControl w:val="0"/>
        <w:autoSpaceDE w:val="0"/>
        <w:autoSpaceDN w:val="0"/>
        <w:rPr>
          <w:rFonts w:ascii="Calibri" w:eastAsia="Calibri" w:hAnsi="Calibri" w:cs="Calibri"/>
          <w:b/>
          <w:bCs/>
          <w:i/>
          <w:iCs/>
        </w:rPr>
      </w:pPr>
      <w:r w:rsidRPr="00E67025">
        <w:rPr>
          <w:rFonts w:ascii="Calibri" w:eastAsia="Calibri" w:hAnsi="Calibri" w:cs="Calibri"/>
          <w:b/>
          <w:bCs/>
          <w:i/>
          <w:iCs/>
        </w:rPr>
        <w:t>Delivery System Transformation</w:t>
      </w:r>
    </w:p>
    <w:p w14:paraId="24E0EC05" w14:textId="2616BD5C" w:rsidR="00525E4F" w:rsidRDefault="00525E4F" w:rsidP="008B7CE2">
      <w:pPr>
        <w:widowControl w:val="0"/>
        <w:autoSpaceDE w:val="0"/>
        <w:autoSpaceDN w:val="0"/>
        <w:spacing w:before="120" w:after="120"/>
        <w:rPr>
          <w:rFonts w:ascii="Calibri" w:eastAsia="Calibri" w:hAnsi="Calibri" w:cs="Calibri"/>
          <w:kern w:val="2"/>
        </w:rPr>
      </w:pPr>
      <w:r w:rsidRPr="00E67025">
        <w:rPr>
          <w:rFonts w:ascii="Calibri" w:eastAsia="Calibri" w:hAnsi="Calibri" w:cs="Calibri"/>
          <w:szCs w:val="20"/>
        </w:rPr>
        <w:t xml:space="preserve">The Applicant </w:t>
      </w:r>
      <w:r>
        <w:rPr>
          <w:rFonts w:ascii="Calibri" w:eastAsia="Calibri" w:hAnsi="Calibri" w:cs="Calibri"/>
          <w:szCs w:val="20"/>
        </w:rPr>
        <w:t xml:space="preserve">states </w:t>
      </w:r>
      <w:r w:rsidRPr="00E67025">
        <w:rPr>
          <w:rFonts w:ascii="Calibri" w:eastAsia="Calibri" w:hAnsi="Calibri" w:cs="Calibri"/>
          <w:szCs w:val="20"/>
        </w:rPr>
        <w:t xml:space="preserve">that </w:t>
      </w:r>
      <w:r>
        <w:rPr>
          <w:rFonts w:ascii="Calibri" w:eastAsia="Calibri" w:hAnsi="Calibri" w:cs="Calibri"/>
          <w:szCs w:val="20"/>
        </w:rPr>
        <w:t>with project approval, patients who seek care at SDS</w:t>
      </w:r>
      <w:r w:rsidRPr="00E67025">
        <w:rPr>
          <w:rFonts w:ascii="Calibri" w:eastAsia="Calibri" w:hAnsi="Calibri" w:cs="Calibri"/>
          <w:szCs w:val="20"/>
        </w:rPr>
        <w:t xml:space="preserve"> will have </w:t>
      </w:r>
      <w:r w:rsidR="00E56B4C">
        <w:rPr>
          <w:rFonts w:ascii="Calibri" w:eastAsia="Calibri" w:hAnsi="Calibri" w:cs="Calibri"/>
          <w:szCs w:val="20"/>
        </w:rPr>
        <w:t xml:space="preserve">services that are not currently available to them including </w:t>
      </w:r>
      <w:r w:rsidR="00E617E6">
        <w:rPr>
          <w:rFonts w:ascii="Calibri" w:eastAsia="Calibri" w:hAnsi="Calibri" w:cs="Calibri"/>
          <w:szCs w:val="20"/>
        </w:rPr>
        <w:t>i</w:t>
      </w:r>
      <w:r w:rsidR="00E56B4C">
        <w:rPr>
          <w:rFonts w:ascii="Calibri" w:eastAsia="Calibri" w:hAnsi="Calibri" w:cs="Calibri"/>
          <w:szCs w:val="20"/>
        </w:rPr>
        <w:t xml:space="preserve">nterpreter services, financial </w:t>
      </w:r>
      <w:r w:rsidR="005B42F0">
        <w:rPr>
          <w:rFonts w:ascii="Calibri" w:eastAsia="Calibri" w:hAnsi="Calibri" w:cs="Calibri"/>
          <w:szCs w:val="20"/>
        </w:rPr>
        <w:t>counseling, assistance</w:t>
      </w:r>
      <w:r w:rsidRPr="00E67025">
        <w:rPr>
          <w:rFonts w:ascii="Calibri" w:eastAsia="Calibri" w:hAnsi="Calibri" w:cs="Calibri"/>
          <w:szCs w:val="20"/>
        </w:rPr>
        <w:t xml:space="preserve"> with social determinants of health (SDoH) </w:t>
      </w:r>
      <w:r w:rsidRPr="00E67025">
        <w:rPr>
          <w:rFonts w:ascii="Calibri" w:eastAsia="Calibri" w:hAnsi="Calibri" w:cs="Calibri"/>
        </w:rPr>
        <w:t>needs</w:t>
      </w:r>
      <w:r w:rsidR="00F478A8">
        <w:rPr>
          <w:rFonts w:ascii="Calibri" w:eastAsia="Calibri" w:hAnsi="Calibri" w:cs="Calibri"/>
        </w:rPr>
        <w:t>,</w:t>
      </w:r>
      <w:r w:rsidRPr="00E67025">
        <w:rPr>
          <w:rFonts w:ascii="Calibri" w:eastAsia="Calibri" w:hAnsi="Calibri" w:cs="Calibri"/>
        </w:rPr>
        <w:t xml:space="preserve"> </w:t>
      </w:r>
      <w:r>
        <w:rPr>
          <w:rFonts w:ascii="Calibri" w:eastAsia="Calibri" w:hAnsi="Calibri" w:cs="Calibri"/>
        </w:rPr>
        <w:t xml:space="preserve">improved </w:t>
      </w:r>
      <w:r w:rsidRPr="00E67025">
        <w:rPr>
          <w:rFonts w:ascii="Calibri" w:eastAsia="Calibri" w:hAnsi="Calibri" w:cs="Calibri"/>
        </w:rPr>
        <w:t>care management</w:t>
      </w:r>
      <w:r w:rsidR="007F7CBF">
        <w:rPr>
          <w:rFonts w:ascii="Calibri" w:eastAsia="Calibri" w:hAnsi="Calibri" w:cs="Calibri"/>
        </w:rPr>
        <w:t>,</w:t>
      </w:r>
      <w:r w:rsidRPr="00E67025">
        <w:rPr>
          <w:rFonts w:ascii="Calibri" w:eastAsia="Calibri" w:hAnsi="Calibri" w:cs="Calibri"/>
        </w:rPr>
        <w:t xml:space="preserve"> </w:t>
      </w:r>
      <w:r>
        <w:rPr>
          <w:rFonts w:ascii="Calibri" w:eastAsia="Calibri" w:hAnsi="Calibri" w:cs="Calibri"/>
        </w:rPr>
        <w:t>better coordinated clinical staff</w:t>
      </w:r>
      <w:r w:rsidR="001F395A">
        <w:rPr>
          <w:rFonts w:ascii="Calibri" w:eastAsia="Calibri" w:hAnsi="Calibri" w:cs="Calibri"/>
        </w:rPr>
        <w:t>,</w:t>
      </w:r>
      <w:r w:rsidRPr="00E67025">
        <w:rPr>
          <w:rFonts w:ascii="Calibri" w:eastAsia="Calibri" w:hAnsi="Calibri" w:cs="Calibri"/>
        </w:rPr>
        <w:t xml:space="preserve"> </w:t>
      </w:r>
      <w:r>
        <w:rPr>
          <w:rFonts w:ascii="Calibri" w:eastAsia="Calibri" w:hAnsi="Calibri" w:cs="Calibri"/>
        </w:rPr>
        <w:t xml:space="preserve">and an integrated medical record as </w:t>
      </w:r>
      <w:r w:rsidRPr="00E67025">
        <w:rPr>
          <w:rFonts w:ascii="Calibri" w:eastAsia="Calibri" w:hAnsi="Calibri" w:cs="Calibri"/>
        </w:rPr>
        <w:t>outlined in Factor</w:t>
      </w:r>
      <w:r w:rsidR="001F395A">
        <w:rPr>
          <w:rFonts w:ascii="Calibri" w:eastAsia="Calibri" w:hAnsi="Calibri" w:cs="Calibri"/>
        </w:rPr>
        <w:t>s</w:t>
      </w:r>
      <w:r w:rsidRPr="00E67025">
        <w:rPr>
          <w:rFonts w:ascii="Calibri" w:eastAsia="Calibri" w:hAnsi="Calibri" w:cs="Calibri"/>
        </w:rPr>
        <w:t xml:space="preserve"> 1</w:t>
      </w:r>
      <w:r w:rsidR="00516768">
        <w:rPr>
          <w:rFonts w:ascii="Calibri" w:eastAsia="Calibri" w:hAnsi="Calibri" w:cs="Calibri"/>
        </w:rPr>
        <w:t xml:space="preserve">(b) and </w:t>
      </w:r>
      <w:r w:rsidR="009D78DB">
        <w:rPr>
          <w:rFonts w:ascii="Calibri" w:eastAsia="Calibri" w:hAnsi="Calibri" w:cs="Calibri"/>
        </w:rPr>
        <w:t>(e)</w:t>
      </w:r>
      <w:r w:rsidRPr="00E67025">
        <w:rPr>
          <w:rFonts w:ascii="Calibri" w:eastAsia="Calibri" w:hAnsi="Calibri" w:cs="Calibri"/>
        </w:rPr>
        <w:t xml:space="preserve">. </w:t>
      </w:r>
      <w:r>
        <w:rPr>
          <w:rFonts w:ascii="Calibri" w:eastAsia="Calibri" w:hAnsi="Calibri" w:cs="Calibri"/>
        </w:rPr>
        <w:t>Through Integration of the two entities, t</w:t>
      </w:r>
      <w:r w:rsidRPr="00E67025">
        <w:rPr>
          <w:rFonts w:ascii="Calibri" w:eastAsia="Calibri" w:hAnsi="Calibri" w:cs="Calibri"/>
          <w:kern w:val="2"/>
        </w:rPr>
        <w:t xml:space="preserve">he </w:t>
      </w:r>
      <w:r>
        <w:rPr>
          <w:rFonts w:ascii="Calibri" w:eastAsia="Calibri" w:hAnsi="Calibri" w:cs="Calibri"/>
          <w:kern w:val="2"/>
        </w:rPr>
        <w:t xml:space="preserve">SDS </w:t>
      </w:r>
      <w:r w:rsidRPr="00E67025">
        <w:rPr>
          <w:rFonts w:ascii="Calibri" w:eastAsia="Calibri" w:hAnsi="Calibri" w:cs="Calibri"/>
          <w:kern w:val="2"/>
        </w:rPr>
        <w:t xml:space="preserve">patients and primary care providers </w:t>
      </w:r>
      <w:r>
        <w:rPr>
          <w:rFonts w:ascii="Calibri" w:eastAsia="Calibri" w:hAnsi="Calibri" w:cs="Calibri"/>
          <w:kern w:val="2"/>
        </w:rPr>
        <w:t xml:space="preserve">will be linked via existing SHS channels thereby improving access </w:t>
      </w:r>
      <w:r w:rsidRPr="00E67025">
        <w:rPr>
          <w:rFonts w:ascii="Calibri" w:eastAsia="Calibri" w:hAnsi="Calibri" w:cs="Calibri"/>
          <w:kern w:val="2"/>
        </w:rPr>
        <w:t xml:space="preserve">to social service organizations </w:t>
      </w:r>
      <w:r>
        <w:rPr>
          <w:rFonts w:ascii="Calibri" w:eastAsia="Calibri" w:hAnsi="Calibri" w:cs="Calibri"/>
          <w:kern w:val="2"/>
        </w:rPr>
        <w:t xml:space="preserve">that </w:t>
      </w:r>
      <w:r w:rsidR="00E56B4C">
        <w:rPr>
          <w:rFonts w:ascii="Calibri" w:eastAsia="Calibri" w:hAnsi="Calibri" w:cs="Calibri"/>
          <w:kern w:val="2"/>
        </w:rPr>
        <w:lastRenderedPageBreak/>
        <w:t>may be</w:t>
      </w:r>
      <w:r w:rsidRPr="00E67025">
        <w:rPr>
          <w:rFonts w:ascii="Calibri" w:eastAsia="Calibri" w:hAnsi="Calibri" w:cs="Calibri"/>
          <w:kern w:val="2"/>
        </w:rPr>
        <w:t xml:space="preserve"> needed</w:t>
      </w:r>
      <w:r w:rsidR="00E56B4C">
        <w:rPr>
          <w:rFonts w:ascii="Calibri" w:eastAsia="Calibri" w:hAnsi="Calibri" w:cs="Calibri"/>
          <w:kern w:val="2"/>
        </w:rPr>
        <w:t xml:space="preserve"> including post-acute care services through the Applicant’s visiting </w:t>
      </w:r>
      <w:r w:rsidR="009D78DB">
        <w:rPr>
          <w:rFonts w:ascii="Calibri" w:eastAsia="Calibri" w:hAnsi="Calibri" w:cs="Calibri"/>
          <w:kern w:val="2"/>
        </w:rPr>
        <w:t>nurses’</w:t>
      </w:r>
      <w:r w:rsidR="00E56B4C">
        <w:rPr>
          <w:rFonts w:ascii="Calibri" w:eastAsia="Calibri" w:hAnsi="Calibri" w:cs="Calibri"/>
          <w:kern w:val="2"/>
        </w:rPr>
        <w:t xml:space="preserve"> association and other resources.</w:t>
      </w:r>
    </w:p>
    <w:p w14:paraId="452BA759" w14:textId="1D0169EB" w:rsidR="008761F8" w:rsidRDefault="00156AF8" w:rsidP="00525E4F">
      <w:pPr>
        <w:widowControl w:val="0"/>
        <w:autoSpaceDE w:val="0"/>
        <w:autoSpaceDN w:val="0"/>
        <w:spacing w:before="120" w:after="120"/>
        <w:rPr>
          <w:rFonts w:ascii="Calibri" w:eastAsia="Calibri" w:hAnsi="Calibri" w:cs="Calibri"/>
          <w:kern w:val="2"/>
        </w:rPr>
      </w:pPr>
      <w:r>
        <w:rPr>
          <w:rFonts w:ascii="Calibri" w:eastAsia="Calibri" w:hAnsi="Calibri" w:cs="Calibri"/>
          <w:kern w:val="2"/>
        </w:rPr>
        <w:t xml:space="preserve">In Fiscal Year 2023, </w:t>
      </w:r>
      <w:r w:rsidR="008761F8">
        <w:rPr>
          <w:rFonts w:ascii="Calibri" w:eastAsia="Calibri" w:hAnsi="Calibri" w:cs="Calibri"/>
          <w:kern w:val="2"/>
        </w:rPr>
        <w:t>27,665 patients covered by public payers receive</w:t>
      </w:r>
      <w:r>
        <w:rPr>
          <w:rFonts w:ascii="Calibri" w:eastAsia="Calibri" w:hAnsi="Calibri" w:cs="Calibri"/>
          <w:kern w:val="2"/>
        </w:rPr>
        <w:t>d</w:t>
      </w:r>
      <w:r w:rsidR="008761F8">
        <w:rPr>
          <w:rFonts w:ascii="Calibri" w:eastAsia="Calibri" w:hAnsi="Calibri" w:cs="Calibri"/>
          <w:kern w:val="2"/>
        </w:rPr>
        <w:t xml:space="preserve"> surgical procedures at SHS while only 1,703 </w:t>
      </w:r>
      <w:r>
        <w:rPr>
          <w:rFonts w:ascii="Calibri" w:eastAsia="Calibri" w:hAnsi="Calibri" w:cs="Calibri"/>
          <w:kern w:val="2"/>
        </w:rPr>
        <w:t xml:space="preserve">similarly covered </w:t>
      </w:r>
      <w:r w:rsidR="008761F8">
        <w:rPr>
          <w:rFonts w:ascii="Calibri" w:eastAsia="Calibri" w:hAnsi="Calibri" w:cs="Calibri"/>
          <w:kern w:val="2"/>
        </w:rPr>
        <w:t xml:space="preserve">patients received care at SDS. </w:t>
      </w:r>
      <w:r w:rsidR="00C748A3">
        <w:rPr>
          <w:rFonts w:ascii="Calibri" w:eastAsia="Calibri" w:hAnsi="Calibri" w:cs="Calibri"/>
          <w:kern w:val="2"/>
        </w:rPr>
        <w:t>Following the completion of the first phase of the SDS acquisition</w:t>
      </w:r>
      <w:r w:rsidR="007D328D">
        <w:rPr>
          <w:rFonts w:ascii="Calibri" w:eastAsia="Calibri" w:hAnsi="Calibri" w:cs="Calibri"/>
          <w:kern w:val="2"/>
        </w:rPr>
        <w:t xml:space="preserve"> in 2022</w:t>
      </w:r>
      <w:r w:rsidR="00C748A3">
        <w:rPr>
          <w:rFonts w:ascii="Calibri" w:eastAsia="Calibri" w:hAnsi="Calibri" w:cs="Calibri"/>
          <w:kern w:val="2"/>
        </w:rPr>
        <w:t xml:space="preserve">, </w:t>
      </w:r>
      <w:r w:rsidR="007D328D">
        <w:rPr>
          <w:rFonts w:ascii="Calibri" w:eastAsia="Calibri" w:hAnsi="Calibri" w:cs="Calibri"/>
          <w:kern w:val="2"/>
        </w:rPr>
        <w:t xml:space="preserve">the Applicant moved SDS to Tier 1 of their health plan allowing for improved access and affordability. </w:t>
      </w:r>
      <w:r w:rsidR="007D328D" w:rsidRPr="007D328D">
        <w:rPr>
          <w:rFonts w:ascii="Calibri" w:eastAsia="Calibri" w:hAnsi="Calibri" w:cs="Calibri"/>
          <w:kern w:val="2"/>
        </w:rPr>
        <w:t xml:space="preserve">The Proposed project offers </w:t>
      </w:r>
      <w:r w:rsidR="007D328D">
        <w:rPr>
          <w:rFonts w:ascii="Calibri" w:eastAsia="Calibri" w:hAnsi="Calibri" w:cs="Calibri"/>
          <w:kern w:val="2"/>
        </w:rPr>
        <w:t>a greater</w:t>
      </w:r>
      <w:r w:rsidR="007D328D" w:rsidRPr="007D328D">
        <w:rPr>
          <w:rFonts w:ascii="Calibri" w:eastAsia="Calibri" w:hAnsi="Calibri" w:cs="Calibri"/>
          <w:kern w:val="2"/>
        </w:rPr>
        <w:t xml:space="preserve"> opportunity to shift a portion of these patients to the lower cost setting with a potential </w:t>
      </w:r>
      <w:r w:rsidR="006B7405">
        <w:rPr>
          <w:rFonts w:ascii="Calibri" w:eastAsia="Calibri" w:hAnsi="Calibri" w:cs="Calibri"/>
          <w:kern w:val="2"/>
        </w:rPr>
        <w:t xml:space="preserve">significant </w:t>
      </w:r>
      <w:r w:rsidR="007D328D" w:rsidRPr="007D328D">
        <w:rPr>
          <w:rFonts w:ascii="Calibri" w:eastAsia="Calibri" w:hAnsi="Calibri" w:cs="Calibri"/>
          <w:kern w:val="2"/>
        </w:rPr>
        <w:t>cost savings as described above and in Factor 1(e).</w:t>
      </w:r>
      <w:r w:rsidR="002032E8">
        <w:rPr>
          <w:rFonts w:ascii="Calibri" w:eastAsia="Calibri" w:hAnsi="Calibri" w:cs="Calibri"/>
          <w:kern w:val="2"/>
        </w:rPr>
        <w:t xml:space="preserve"> </w:t>
      </w:r>
    </w:p>
    <w:p w14:paraId="1B7706B3" w14:textId="3649B32B" w:rsidR="0048241F" w:rsidRPr="00E67025" w:rsidRDefault="0048241F" w:rsidP="00525E4F">
      <w:pPr>
        <w:widowControl w:val="0"/>
        <w:autoSpaceDE w:val="0"/>
        <w:autoSpaceDN w:val="0"/>
        <w:spacing w:before="120" w:after="120"/>
        <w:rPr>
          <w:rFonts w:ascii="Calibri" w:eastAsia="Calibri" w:hAnsi="Calibri" w:cs="Calibri"/>
          <w:kern w:val="2"/>
        </w:rPr>
      </w:pPr>
      <w:r w:rsidRPr="00401AE6">
        <w:rPr>
          <w:rFonts w:ascii="Calibri" w:eastAsia="Calibri" w:hAnsi="Calibri" w:cs="Calibri"/>
          <w:kern w:val="2"/>
        </w:rPr>
        <w:t xml:space="preserve">The </w:t>
      </w:r>
      <w:r w:rsidR="007B65E4">
        <w:rPr>
          <w:rFonts w:ascii="Calibri" w:eastAsia="Calibri" w:hAnsi="Calibri" w:cs="Calibri"/>
          <w:kern w:val="2"/>
        </w:rPr>
        <w:t xml:space="preserve">Applicant states that </w:t>
      </w:r>
      <w:r w:rsidRPr="00401AE6">
        <w:rPr>
          <w:rFonts w:ascii="Calibri" w:eastAsia="Calibri" w:hAnsi="Calibri" w:cs="Calibri"/>
          <w:kern w:val="2"/>
        </w:rPr>
        <w:t xml:space="preserve">parties cannot implement integration plans until after the transfer of ownership is complete </w:t>
      </w:r>
      <w:r w:rsidR="00391DAD">
        <w:rPr>
          <w:rFonts w:ascii="Calibri" w:eastAsia="Calibri" w:hAnsi="Calibri" w:cs="Calibri"/>
          <w:kern w:val="2"/>
        </w:rPr>
        <w:t>due to</w:t>
      </w:r>
      <w:r w:rsidRPr="00401AE6">
        <w:rPr>
          <w:rFonts w:ascii="Calibri" w:eastAsia="Calibri" w:hAnsi="Calibri" w:cs="Calibri"/>
          <w:kern w:val="2"/>
        </w:rPr>
        <w:t xml:space="preserve"> antitrust reasons</w:t>
      </w:r>
      <w:r w:rsidR="00391DAD">
        <w:rPr>
          <w:rFonts w:ascii="Calibri" w:eastAsia="Calibri" w:hAnsi="Calibri" w:cs="Calibri"/>
          <w:kern w:val="2"/>
        </w:rPr>
        <w:t>; once</w:t>
      </w:r>
      <w:r w:rsidRPr="00401AE6">
        <w:rPr>
          <w:rFonts w:ascii="Calibri" w:eastAsia="Calibri" w:hAnsi="Calibri" w:cs="Calibri"/>
          <w:kern w:val="2"/>
        </w:rPr>
        <w:t xml:space="preserve"> the transfer of ownership is complete, SHS and SDS will be able to work collaboratively to integrate services and processes so that scheduling and patient care are highly coordinated. Key components of the integration include incorporating SHS anesthesiology providers into coverage and staffing models at SDS</w:t>
      </w:r>
      <w:r>
        <w:rPr>
          <w:rFonts w:ascii="Calibri" w:eastAsia="Calibri" w:hAnsi="Calibri" w:cs="Calibri"/>
          <w:kern w:val="2"/>
        </w:rPr>
        <w:t>. T</w:t>
      </w:r>
      <w:r w:rsidRPr="00401AE6">
        <w:rPr>
          <w:rFonts w:ascii="Calibri" w:eastAsia="Calibri" w:hAnsi="Calibri" w:cs="Calibri"/>
          <w:kern w:val="2"/>
        </w:rPr>
        <w:t xml:space="preserve">hese </w:t>
      </w:r>
      <w:r>
        <w:rPr>
          <w:rFonts w:ascii="Calibri" w:eastAsia="Calibri" w:hAnsi="Calibri" w:cs="Calibri"/>
          <w:kern w:val="2"/>
        </w:rPr>
        <w:t>actions</w:t>
      </w:r>
      <w:r w:rsidRPr="00401AE6">
        <w:rPr>
          <w:rFonts w:ascii="Calibri" w:eastAsia="Calibri" w:hAnsi="Calibri" w:cs="Calibri"/>
          <w:kern w:val="2"/>
        </w:rPr>
        <w:t xml:space="preserve"> will make it easier for SHS surgeons and proceduralists to begin transitioning outpatient cases from the SHS operating rooms to SDS where patients will experience operational efficiencies provided in an ambulatory setting. </w:t>
      </w:r>
    </w:p>
    <w:p w14:paraId="63CB3150" w14:textId="77777777" w:rsidR="00525E4F" w:rsidRPr="00E67025" w:rsidRDefault="00525E4F" w:rsidP="00525E4F">
      <w:pPr>
        <w:widowControl w:val="0"/>
        <w:autoSpaceDE w:val="0"/>
        <w:autoSpaceDN w:val="0"/>
        <w:rPr>
          <w:rFonts w:ascii="Calibri" w:eastAsia="Calibri" w:hAnsi="Calibri" w:cs="Calibri"/>
          <w:szCs w:val="20"/>
          <w:highlight w:val="yellow"/>
        </w:rPr>
      </w:pPr>
    </w:p>
    <w:p w14:paraId="052FBE6E" w14:textId="77777777" w:rsidR="00525E4F" w:rsidRDefault="00525E4F" w:rsidP="00525E4F">
      <w:pPr>
        <w:widowControl w:val="0"/>
        <w:autoSpaceDE w:val="0"/>
        <w:autoSpaceDN w:val="0"/>
        <w:rPr>
          <w:rFonts w:ascii="Calibri" w:eastAsia="Calibri" w:hAnsi="Calibri" w:cs="Calibri"/>
          <w:b/>
          <w:bCs/>
          <w:i/>
          <w:iCs/>
          <w:szCs w:val="20"/>
        </w:rPr>
      </w:pPr>
      <w:r w:rsidRPr="00E67025">
        <w:rPr>
          <w:rFonts w:ascii="Calibri" w:eastAsia="Calibri" w:hAnsi="Calibri" w:cs="Calibri"/>
          <w:b/>
          <w:bCs/>
          <w:i/>
          <w:iCs/>
          <w:szCs w:val="20"/>
        </w:rPr>
        <w:t>Analysis: Delivery System Transformation</w:t>
      </w:r>
    </w:p>
    <w:p w14:paraId="13A938D0" w14:textId="77777777" w:rsidR="00525E4F" w:rsidRPr="00E67025" w:rsidRDefault="00525E4F" w:rsidP="00525E4F">
      <w:pPr>
        <w:widowControl w:val="0"/>
        <w:autoSpaceDE w:val="0"/>
        <w:autoSpaceDN w:val="0"/>
        <w:rPr>
          <w:rFonts w:ascii="Calibri" w:eastAsia="Calibri" w:hAnsi="Calibri" w:cs="Calibri"/>
          <w:b/>
          <w:bCs/>
          <w:i/>
          <w:iCs/>
          <w:szCs w:val="20"/>
        </w:rPr>
      </w:pPr>
    </w:p>
    <w:p w14:paraId="7799ED70" w14:textId="1073BC02" w:rsidR="00EA2FC2" w:rsidRDefault="000F0838" w:rsidP="00525E4F">
      <w:pPr>
        <w:widowControl w:val="0"/>
        <w:autoSpaceDE w:val="0"/>
        <w:autoSpaceDN w:val="0"/>
        <w:rPr>
          <w:rFonts w:ascii="Calibri" w:eastAsia="Calibri" w:hAnsi="Calibri" w:cs="Calibri"/>
          <w:szCs w:val="20"/>
        </w:rPr>
      </w:pPr>
      <w:r>
        <w:rPr>
          <w:rFonts w:ascii="Calibri" w:eastAsia="Calibri" w:hAnsi="Calibri" w:cs="Calibri"/>
          <w:szCs w:val="20"/>
        </w:rPr>
        <w:t>Staff analysis of the Payer-mix for out</w:t>
      </w:r>
      <w:r w:rsidR="00E56B4C">
        <w:rPr>
          <w:rFonts w:ascii="Calibri" w:eastAsia="Calibri" w:hAnsi="Calibri" w:cs="Calibri"/>
          <w:szCs w:val="20"/>
        </w:rPr>
        <w:t>-</w:t>
      </w:r>
      <w:r>
        <w:rPr>
          <w:rFonts w:ascii="Calibri" w:eastAsia="Calibri" w:hAnsi="Calibri" w:cs="Calibri"/>
          <w:szCs w:val="20"/>
        </w:rPr>
        <w:t xml:space="preserve">patient surgical procedures for SHS and SDS provided by the Applicant </w:t>
      </w:r>
      <w:r w:rsidR="00E56B4C">
        <w:rPr>
          <w:rFonts w:ascii="Calibri" w:eastAsia="Calibri" w:hAnsi="Calibri" w:cs="Calibri"/>
          <w:szCs w:val="20"/>
        </w:rPr>
        <w:t>indicates</w:t>
      </w:r>
      <w:r>
        <w:rPr>
          <w:rFonts w:ascii="Calibri" w:eastAsia="Calibri" w:hAnsi="Calibri" w:cs="Calibri"/>
          <w:szCs w:val="20"/>
        </w:rPr>
        <w:t xml:space="preserve"> that </w:t>
      </w:r>
      <w:r w:rsidR="00E56B4C">
        <w:rPr>
          <w:rFonts w:ascii="Calibri" w:eastAsia="Calibri" w:hAnsi="Calibri" w:cs="Calibri"/>
          <w:szCs w:val="20"/>
        </w:rPr>
        <w:t xml:space="preserve">67.5% of SHS’s and 27.5% of SDS’s surgical out-patients are covered by government payers. SDS </w:t>
      </w:r>
      <w:r w:rsidR="007F7CBF">
        <w:rPr>
          <w:rFonts w:ascii="Calibri" w:eastAsia="Calibri" w:hAnsi="Calibri" w:cs="Calibri"/>
          <w:szCs w:val="20"/>
        </w:rPr>
        <w:t xml:space="preserve">serves </w:t>
      </w:r>
      <w:r w:rsidR="00E56B4C">
        <w:rPr>
          <w:rFonts w:ascii="Calibri" w:eastAsia="Calibri" w:hAnsi="Calibri" w:cs="Calibri"/>
          <w:szCs w:val="20"/>
        </w:rPr>
        <w:t>no managed Medicaid</w:t>
      </w:r>
      <w:r w:rsidR="007F7CBF">
        <w:rPr>
          <w:rFonts w:ascii="Calibri" w:eastAsia="Calibri" w:hAnsi="Calibri" w:cs="Calibri"/>
          <w:szCs w:val="20"/>
        </w:rPr>
        <w:t xml:space="preserve"> patients</w:t>
      </w:r>
      <w:r w:rsidR="00E56B4C">
        <w:rPr>
          <w:rFonts w:ascii="Calibri" w:eastAsia="Calibri" w:hAnsi="Calibri" w:cs="Calibri"/>
          <w:szCs w:val="20"/>
        </w:rPr>
        <w:t>, and just 6.5% managed Medicare</w:t>
      </w:r>
      <w:r w:rsidR="007F7CBF">
        <w:rPr>
          <w:rFonts w:ascii="Calibri" w:eastAsia="Calibri" w:hAnsi="Calibri" w:cs="Calibri"/>
          <w:szCs w:val="20"/>
        </w:rPr>
        <w:t xml:space="preserve"> patients</w:t>
      </w:r>
      <w:r w:rsidR="00E56B4C">
        <w:rPr>
          <w:rFonts w:ascii="Calibri" w:eastAsia="Calibri" w:hAnsi="Calibri" w:cs="Calibri"/>
          <w:szCs w:val="20"/>
        </w:rPr>
        <w:t>, compared to SHS’s 17.3% and 16.4%</w:t>
      </w:r>
      <w:r w:rsidR="007F7CBF">
        <w:rPr>
          <w:rFonts w:ascii="Calibri" w:eastAsia="Calibri" w:hAnsi="Calibri" w:cs="Calibri"/>
          <w:szCs w:val="20"/>
        </w:rPr>
        <w:t>,</w:t>
      </w:r>
      <w:r w:rsidR="00E56B4C">
        <w:rPr>
          <w:rFonts w:ascii="Calibri" w:eastAsia="Calibri" w:hAnsi="Calibri" w:cs="Calibri"/>
          <w:szCs w:val="20"/>
        </w:rPr>
        <w:t xml:space="preserve"> respectively.</w:t>
      </w:r>
      <w:r w:rsidR="00EA2FC2">
        <w:rPr>
          <w:rFonts w:ascii="Calibri" w:eastAsia="Calibri" w:hAnsi="Calibri" w:cs="Calibri"/>
          <w:szCs w:val="20"/>
        </w:rPr>
        <w:t xml:space="preserve"> </w:t>
      </w:r>
      <w:r w:rsidR="00EA2FC2" w:rsidRPr="00EA2FC2">
        <w:rPr>
          <w:rFonts w:ascii="Calibri" w:eastAsia="Calibri" w:hAnsi="Calibri" w:cs="Calibri"/>
          <w:szCs w:val="20"/>
        </w:rPr>
        <w:t>As part of the conditions of approval, the Applicant will report demographic and payer mix data to the Department.</w:t>
      </w:r>
      <w:r w:rsidR="00EA2FC2">
        <w:rPr>
          <w:rFonts w:ascii="Calibri" w:eastAsia="Calibri" w:hAnsi="Calibri" w:cs="Calibri"/>
          <w:szCs w:val="20"/>
        </w:rPr>
        <w:t xml:space="preserve"> </w:t>
      </w:r>
    </w:p>
    <w:p w14:paraId="67D12216" w14:textId="77777777" w:rsidR="00EA2FC2" w:rsidRDefault="00EA2FC2" w:rsidP="00525E4F">
      <w:pPr>
        <w:widowControl w:val="0"/>
        <w:autoSpaceDE w:val="0"/>
        <w:autoSpaceDN w:val="0"/>
        <w:rPr>
          <w:rFonts w:ascii="Calibri" w:eastAsia="Calibri" w:hAnsi="Calibri" w:cs="Calibri"/>
          <w:szCs w:val="20"/>
        </w:rPr>
      </w:pPr>
    </w:p>
    <w:p w14:paraId="4222D765" w14:textId="43005E09" w:rsidR="00B30E42" w:rsidRDefault="00525E4F" w:rsidP="00525E4F">
      <w:pPr>
        <w:widowControl w:val="0"/>
        <w:autoSpaceDE w:val="0"/>
        <w:autoSpaceDN w:val="0"/>
        <w:rPr>
          <w:rFonts w:ascii="Calibri" w:eastAsia="Calibri" w:hAnsi="Calibri" w:cs="Calibri"/>
          <w:color w:val="000000"/>
          <w:szCs w:val="20"/>
          <w:shd w:val="clear" w:color="auto" w:fill="FFFFFF"/>
        </w:rPr>
      </w:pPr>
      <w:r w:rsidRPr="00E67025">
        <w:rPr>
          <w:rFonts w:ascii="Calibri" w:eastAsia="Calibri" w:hAnsi="Calibri" w:cs="Calibri"/>
          <w:szCs w:val="20"/>
        </w:rPr>
        <w:t xml:space="preserve">The Applicant has demonstrated how the </w:t>
      </w:r>
      <w:r w:rsidR="00E56B4C">
        <w:rPr>
          <w:rFonts w:ascii="Calibri" w:eastAsia="Calibri" w:hAnsi="Calibri" w:cs="Calibri"/>
          <w:szCs w:val="20"/>
        </w:rPr>
        <w:t>P</w:t>
      </w:r>
      <w:r w:rsidRPr="00E67025">
        <w:rPr>
          <w:rFonts w:ascii="Calibri" w:eastAsia="Calibri" w:hAnsi="Calibri" w:cs="Calibri"/>
          <w:szCs w:val="20"/>
        </w:rPr>
        <w:t xml:space="preserve">roposed </w:t>
      </w:r>
      <w:r w:rsidR="00E56B4C">
        <w:rPr>
          <w:rFonts w:ascii="Calibri" w:eastAsia="Calibri" w:hAnsi="Calibri" w:cs="Calibri"/>
          <w:szCs w:val="20"/>
        </w:rPr>
        <w:t xml:space="preserve">Project </w:t>
      </w:r>
      <w:r w:rsidRPr="00E67025">
        <w:rPr>
          <w:rFonts w:ascii="Calibri" w:eastAsia="Calibri" w:hAnsi="Calibri" w:cs="Calibri"/>
          <w:szCs w:val="20"/>
        </w:rPr>
        <w:t xml:space="preserve">will </w:t>
      </w:r>
      <w:r w:rsidR="00E56B4C">
        <w:rPr>
          <w:rFonts w:ascii="Calibri" w:eastAsia="Calibri" w:hAnsi="Calibri" w:cs="Calibri"/>
          <w:szCs w:val="20"/>
        </w:rPr>
        <w:t xml:space="preserve">provide services that </w:t>
      </w:r>
      <w:r w:rsidRPr="00E67025">
        <w:rPr>
          <w:rFonts w:ascii="Calibri" w:eastAsia="Calibri" w:hAnsi="Calibri" w:cs="Calibri"/>
          <w:szCs w:val="20"/>
        </w:rPr>
        <w:t>support SDoH</w:t>
      </w:r>
      <w:r w:rsidR="00E56B4C">
        <w:rPr>
          <w:rFonts w:ascii="Calibri" w:eastAsia="Calibri" w:hAnsi="Calibri" w:cs="Calibri"/>
          <w:szCs w:val="20"/>
        </w:rPr>
        <w:t xml:space="preserve"> services, which are not currently available to SDS </w:t>
      </w:r>
      <w:r w:rsidR="002A0F4F">
        <w:rPr>
          <w:rFonts w:ascii="Calibri" w:eastAsia="Calibri" w:hAnsi="Calibri" w:cs="Calibri"/>
          <w:szCs w:val="20"/>
        </w:rPr>
        <w:t>patients,</w:t>
      </w:r>
      <w:r w:rsidR="00E56B4C">
        <w:rPr>
          <w:rFonts w:ascii="Calibri" w:eastAsia="Calibri" w:hAnsi="Calibri" w:cs="Calibri"/>
          <w:szCs w:val="20"/>
        </w:rPr>
        <w:t xml:space="preserve"> and </w:t>
      </w:r>
      <w:r w:rsidRPr="00E67025">
        <w:rPr>
          <w:rFonts w:ascii="Calibri" w:eastAsia="Calibri" w:hAnsi="Calibri" w:cs="Calibri"/>
          <w:szCs w:val="20"/>
        </w:rPr>
        <w:t>which has the potential to improve the continuity of care and health outcomes</w:t>
      </w:r>
      <w:r w:rsidRPr="00E67025">
        <w:rPr>
          <w:rFonts w:ascii="Calibri" w:eastAsia="Calibri" w:hAnsi="Calibri" w:cs="Calibri"/>
          <w:color w:val="000000"/>
          <w:szCs w:val="20"/>
          <w:shd w:val="clear" w:color="auto" w:fill="FFFFFF"/>
        </w:rPr>
        <w:t xml:space="preserve">. Therefore, </w:t>
      </w:r>
      <w:r w:rsidR="00EA2FC2">
        <w:rPr>
          <w:rFonts w:ascii="Calibri" w:eastAsia="Calibri" w:hAnsi="Calibri" w:cs="Calibri"/>
          <w:color w:val="000000"/>
          <w:szCs w:val="20"/>
          <w:shd w:val="clear" w:color="auto" w:fill="FFFFFF"/>
        </w:rPr>
        <w:t xml:space="preserve">with the Other Conditions, </w:t>
      </w:r>
      <w:r w:rsidRPr="00E67025">
        <w:rPr>
          <w:rFonts w:ascii="Calibri" w:eastAsia="Calibri" w:hAnsi="Calibri" w:cs="Calibri"/>
          <w:color w:val="000000"/>
          <w:szCs w:val="20"/>
          <w:shd w:val="clear" w:color="auto" w:fill="FFFFFF"/>
        </w:rPr>
        <w:t>DoN Staff can conclude that the Proposed Project will likely meet the Delivery System Transformation component of Factor 2. </w:t>
      </w:r>
    </w:p>
    <w:p w14:paraId="2887C813" w14:textId="49C82237" w:rsidR="00B30E42" w:rsidRPr="00B30E42" w:rsidRDefault="00B30E42" w:rsidP="00B30E42">
      <w:pPr>
        <w:pStyle w:val="Heading2"/>
        <w:spacing w:line="240" w:lineRule="auto"/>
        <w:rPr>
          <w:rFonts w:asciiTheme="minorHAnsi" w:hAnsiTheme="minorHAnsi" w:cstheme="minorHAnsi"/>
          <w:sz w:val="24"/>
          <w:szCs w:val="24"/>
        </w:rPr>
      </w:pPr>
      <w:bookmarkStart w:id="85" w:name="_Toc174010172"/>
      <w:r w:rsidRPr="00AC0EA6">
        <w:rPr>
          <w:rFonts w:asciiTheme="minorHAnsi" w:hAnsiTheme="minorHAnsi" w:cstheme="minorHAnsi"/>
          <w:sz w:val="24"/>
          <w:szCs w:val="24"/>
        </w:rPr>
        <w:t xml:space="preserve">FACTOR </w:t>
      </w:r>
      <w:r>
        <w:rPr>
          <w:rFonts w:asciiTheme="minorHAnsi" w:hAnsiTheme="minorHAnsi" w:cstheme="minorHAnsi"/>
          <w:sz w:val="24"/>
          <w:szCs w:val="24"/>
        </w:rPr>
        <w:t>2</w:t>
      </w:r>
      <w:r w:rsidRPr="00AC0EA6">
        <w:rPr>
          <w:rFonts w:asciiTheme="minorHAnsi" w:hAnsiTheme="minorHAnsi" w:cstheme="minorHAnsi"/>
          <w:sz w:val="24"/>
          <w:szCs w:val="24"/>
        </w:rPr>
        <w:t xml:space="preserve"> Summary Analysis</w:t>
      </w:r>
      <w:bookmarkEnd w:id="85"/>
    </w:p>
    <w:p w14:paraId="2313CEE5" w14:textId="77777777" w:rsidR="00525E4F" w:rsidRPr="00E67025" w:rsidRDefault="00525E4F" w:rsidP="00525E4F">
      <w:pPr>
        <w:widowControl w:val="0"/>
        <w:autoSpaceDE w:val="0"/>
        <w:autoSpaceDN w:val="0"/>
        <w:rPr>
          <w:rFonts w:ascii="Calibri" w:eastAsia="Calibri" w:hAnsi="Calibri" w:cs="Calibri"/>
          <w:highlight w:val="yellow"/>
        </w:rPr>
      </w:pPr>
    </w:p>
    <w:p w14:paraId="523EDABD" w14:textId="77777777" w:rsidR="00525E4F" w:rsidRPr="00E67025" w:rsidRDefault="00525E4F" w:rsidP="00525E4F">
      <w:pPr>
        <w:widowControl w:val="0"/>
        <w:autoSpaceDE w:val="0"/>
        <w:autoSpaceDN w:val="0"/>
        <w:rPr>
          <w:rFonts w:ascii="Calibri" w:eastAsia="Calibri" w:hAnsi="Calibri" w:cs="Calibri"/>
        </w:rPr>
      </w:pPr>
      <w:r w:rsidRPr="00E67025">
        <w:rPr>
          <w:rFonts w:ascii="Calibri" w:eastAsia="Calibri" w:hAnsi="Calibri" w:cs="Calibri"/>
        </w:rPr>
        <w:t>As a result of information provided by the Applicant and additional analysis, staff finds that with</w:t>
      </w:r>
    </w:p>
    <w:p w14:paraId="505A707B" w14:textId="77777777" w:rsidR="00525E4F" w:rsidRPr="00E67025" w:rsidRDefault="00525E4F" w:rsidP="00525E4F">
      <w:pPr>
        <w:widowControl w:val="0"/>
        <w:autoSpaceDE w:val="0"/>
        <w:autoSpaceDN w:val="0"/>
        <w:rPr>
          <w:rFonts w:ascii="Calibri" w:eastAsia="Calibri" w:hAnsi="Calibri" w:cs="Calibri"/>
        </w:rPr>
      </w:pPr>
      <w:r w:rsidRPr="00E67025">
        <w:rPr>
          <w:rFonts w:ascii="Calibri" w:eastAsia="Calibri" w:hAnsi="Calibri" w:cs="Calibri"/>
        </w:rPr>
        <w:t>the standard reporting conditions, the Applicant has demonstrated that the Proposed Project</w:t>
      </w:r>
    </w:p>
    <w:p w14:paraId="389A0722" w14:textId="77777777" w:rsidR="00525E4F" w:rsidRPr="00E67025" w:rsidRDefault="00525E4F" w:rsidP="00525E4F">
      <w:pPr>
        <w:widowControl w:val="0"/>
        <w:autoSpaceDE w:val="0"/>
        <w:autoSpaceDN w:val="0"/>
        <w:rPr>
          <w:rFonts w:ascii="Calibri" w:eastAsia="Calibri" w:hAnsi="Calibri" w:cs="Calibri"/>
        </w:rPr>
      </w:pPr>
      <w:r w:rsidRPr="00E67025">
        <w:rPr>
          <w:rFonts w:ascii="Calibri" w:eastAsia="Calibri" w:hAnsi="Calibri" w:cs="Calibri"/>
        </w:rPr>
        <w:t>has met Factor 2.</w:t>
      </w:r>
    </w:p>
    <w:p w14:paraId="0F6F08D8" w14:textId="77777777" w:rsidR="002D535F" w:rsidRPr="007A57C4" w:rsidRDefault="002D535F" w:rsidP="00B31381">
      <w:pPr>
        <w:contextualSpacing/>
        <w:rPr>
          <w:rFonts w:ascii="Garamond" w:eastAsia="Calibri" w:hAnsi="Garamond"/>
          <w:bCs/>
        </w:rPr>
      </w:pPr>
      <w:bookmarkStart w:id="86" w:name="_Toc17748725"/>
      <w:bookmarkStart w:id="87" w:name="_Toc17748726"/>
      <w:bookmarkEnd w:id="79"/>
      <w:bookmarkEnd w:id="80"/>
      <w:bookmarkEnd w:id="81"/>
      <w:bookmarkEnd w:id="82"/>
      <w:bookmarkEnd w:id="83"/>
      <w:bookmarkEnd w:id="84"/>
    </w:p>
    <w:p w14:paraId="31B30376" w14:textId="069CBF3D" w:rsidR="002D535F" w:rsidRDefault="002D535F" w:rsidP="00B31381">
      <w:pPr>
        <w:pStyle w:val="Heading1"/>
        <w:spacing w:before="0" w:line="240" w:lineRule="auto"/>
        <w:contextualSpacing/>
        <w:rPr>
          <w:rFonts w:asciiTheme="minorHAnsi" w:hAnsiTheme="minorHAnsi" w:cstheme="minorHAnsi"/>
        </w:rPr>
      </w:pPr>
      <w:bookmarkStart w:id="88" w:name="_Toc157428835"/>
      <w:bookmarkStart w:id="89" w:name="_Toc174010173"/>
      <w:r w:rsidRPr="008E54FA">
        <w:rPr>
          <w:rFonts w:asciiTheme="minorHAnsi" w:hAnsiTheme="minorHAnsi" w:cstheme="minorHAnsi"/>
        </w:rPr>
        <w:t>Factor 3: Relevant Licensure/Oversight Compliance</w:t>
      </w:r>
      <w:bookmarkEnd w:id="86"/>
      <w:bookmarkEnd w:id="88"/>
      <w:bookmarkEnd w:id="89"/>
    </w:p>
    <w:p w14:paraId="0FD849BB" w14:textId="16D59225" w:rsidR="00DE4CD3" w:rsidRPr="00DE4CD3" w:rsidRDefault="008F1B14" w:rsidP="00B31381">
      <w:r>
        <w:t xml:space="preserve"> </w:t>
      </w:r>
    </w:p>
    <w:p w14:paraId="685EFDFE" w14:textId="564693CA" w:rsidR="002D535F" w:rsidRPr="008E54FA" w:rsidRDefault="00414E8A" w:rsidP="00B31381">
      <w:pPr>
        <w:contextualSpacing/>
      </w:pPr>
      <w:r w:rsidRPr="008E54FA">
        <w:t xml:space="preserve">The Applicant has provided evidence of compliance and good standing with federal, state, and local laws and regulations and </w:t>
      </w:r>
      <w:r w:rsidR="001377D8" w:rsidRPr="008E54FA">
        <w:t xml:space="preserve">this Factor </w:t>
      </w:r>
      <w:r w:rsidRPr="008E54FA">
        <w:t>will not be addressed further in this report. As a result of information provided by the Applicant, staff finds the Applicant has reasonably met the standards of Factor 3.</w:t>
      </w:r>
    </w:p>
    <w:p w14:paraId="745D1D6C" w14:textId="77777777" w:rsidR="004E3B63" w:rsidRDefault="004E3B63" w:rsidP="00B31381">
      <w:pPr>
        <w:pStyle w:val="Heading1"/>
        <w:spacing w:before="0" w:line="240" w:lineRule="auto"/>
        <w:contextualSpacing/>
        <w:rPr>
          <w:rFonts w:ascii="Garamond" w:hAnsi="Garamond"/>
        </w:rPr>
      </w:pPr>
    </w:p>
    <w:p w14:paraId="1F42F715" w14:textId="2E134072" w:rsidR="002D535F" w:rsidRDefault="002D535F" w:rsidP="00B31381">
      <w:pPr>
        <w:pStyle w:val="Heading1"/>
        <w:spacing w:before="0" w:line="240" w:lineRule="auto"/>
        <w:contextualSpacing/>
        <w:rPr>
          <w:rFonts w:asciiTheme="minorHAnsi" w:hAnsiTheme="minorHAnsi" w:cstheme="minorHAnsi"/>
        </w:rPr>
      </w:pPr>
      <w:bookmarkStart w:id="90" w:name="_Toc157428836"/>
      <w:bookmarkStart w:id="91" w:name="_Toc174010174"/>
      <w:r w:rsidRPr="008E54FA">
        <w:rPr>
          <w:rFonts w:asciiTheme="minorHAnsi" w:hAnsiTheme="minorHAnsi" w:cstheme="minorHAnsi"/>
        </w:rPr>
        <w:t>Factor 4: Demonstration of Sufficient Funds Independent CPA Analysis</w:t>
      </w:r>
      <w:bookmarkEnd w:id="87"/>
      <w:bookmarkEnd w:id="90"/>
      <w:bookmarkEnd w:id="91"/>
    </w:p>
    <w:p w14:paraId="1BBCE942" w14:textId="77777777" w:rsidR="006B540F" w:rsidRPr="006B540F" w:rsidRDefault="006B540F" w:rsidP="006B540F"/>
    <w:p w14:paraId="1D5553DD" w14:textId="77777777" w:rsidR="00940CC4" w:rsidRPr="00940CC4" w:rsidRDefault="00940CC4" w:rsidP="00940CC4">
      <w:pPr>
        <w:spacing w:after="160"/>
        <w:rPr>
          <w:rFonts w:eastAsia="Aptos"/>
        </w:rPr>
      </w:pPr>
      <w:r w:rsidRPr="00940CC4">
        <w:rPr>
          <w:rFonts w:eastAsia="Aptos"/>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 </w:t>
      </w:r>
    </w:p>
    <w:p w14:paraId="3FB4EFB2" w14:textId="77777777" w:rsidR="000A59C8" w:rsidRPr="000A59C8" w:rsidRDefault="000A59C8" w:rsidP="000A59C8">
      <w:pPr>
        <w:spacing w:before="240" w:after="160"/>
        <w:rPr>
          <w:rFonts w:ascii="Calibri" w:eastAsia="Calibri" w:hAnsi="Calibri"/>
          <w:bCs/>
        </w:rPr>
      </w:pPr>
      <w:r w:rsidRPr="000A59C8">
        <w:rPr>
          <w:rFonts w:ascii="Calibri" w:eastAsia="Calibri" w:hAnsi="Calibri"/>
          <w:bCs/>
        </w:rPr>
        <w:t>To arrive at its conclusions, the scope of the CPA report is limited to an analysis of the seven-year projections for the fiscal years ending September 30, 2024, through 2030, prepared by Management, and the supporting documentation</w:t>
      </w:r>
      <w:r w:rsidRPr="000A59C8">
        <w:rPr>
          <w:rFonts w:ascii="Calibri" w:eastAsia="Calibri" w:hAnsi="Calibri"/>
        </w:rPr>
        <w:t xml:space="preserve"> including the following:</w:t>
      </w:r>
    </w:p>
    <w:p w14:paraId="1B5C45B9" w14:textId="77777777" w:rsidR="000A59C8" w:rsidRPr="000A59C8" w:rsidRDefault="000A59C8" w:rsidP="000A59C8">
      <w:pPr>
        <w:numPr>
          <w:ilvl w:val="0"/>
          <w:numId w:val="37"/>
        </w:numPr>
        <w:rPr>
          <w:rFonts w:ascii="Calibri" w:eastAsia="Calibri" w:hAnsi="Calibri"/>
        </w:rPr>
      </w:pPr>
      <w:r w:rsidRPr="000A59C8">
        <w:rPr>
          <w:rFonts w:ascii="Calibri" w:eastAsia="Calibri" w:hAnsi="Calibri"/>
        </w:rPr>
        <w:t xml:space="preserve">Both ASC and SHS seven-year Prospective Financial Schedules, prepared as of April 10, </w:t>
      </w:r>
      <w:proofErr w:type="gramStart"/>
      <w:r w:rsidRPr="000A59C8">
        <w:rPr>
          <w:rFonts w:ascii="Calibri" w:eastAsia="Calibri" w:hAnsi="Calibri"/>
        </w:rPr>
        <w:t>2024</w:t>
      </w:r>
      <w:proofErr w:type="gramEnd"/>
      <w:r w:rsidRPr="000A59C8">
        <w:rPr>
          <w:rFonts w:ascii="Calibri" w:eastAsia="Calibri" w:hAnsi="Calibri"/>
        </w:rPr>
        <w:t xml:space="preserve"> and associated revenue and expenditure assumptions;</w:t>
      </w:r>
    </w:p>
    <w:p w14:paraId="3DEB9DAD" w14:textId="77777777" w:rsidR="000A59C8" w:rsidRPr="000A59C8" w:rsidRDefault="000A59C8" w:rsidP="000A59C8">
      <w:pPr>
        <w:numPr>
          <w:ilvl w:val="0"/>
          <w:numId w:val="37"/>
        </w:numPr>
        <w:rPr>
          <w:rFonts w:ascii="Calibri" w:eastAsia="Calibri" w:hAnsi="Calibri"/>
        </w:rPr>
      </w:pPr>
      <w:r w:rsidRPr="000A59C8">
        <w:rPr>
          <w:rFonts w:ascii="Calibri" w:eastAsia="Calibri" w:hAnsi="Calibri"/>
        </w:rPr>
        <w:t>SHS historical audited financial statements;</w:t>
      </w:r>
    </w:p>
    <w:p w14:paraId="130CDD07" w14:textId="77777777" w:rsidR="000A59C8" w:rsidRPr="000A59C8" w:rsidRDefault="000A59C8" w:rsidP="000A59C8">
      <w:pPr>
        <w:numPr>
          <w:ilvl w:val="0"/>
          <w:numId w:val="37"/>
        </w:numPr>
        <w:rPr>
          <w:rFonts w:ascii="Calibri" w:eastAsia="Calibri" w:hAnsi="Calibri"/>
        </w:rPr>
      </w:pPr>
      <w:r w:rsidRPr="000A59C8">
        <w:rPr>
          <w:rFonts w:ascii="Calibri" w:eastAsia="Calibri" w:hAnsi="Calibri"/>
        </w:rPr>
        <w:t>An overview of the Proposed Project and associated business case rationale provided by SHS Management;</w:t>
      </w:r>
    </w:p>
    <w:p w14:paraId="6F880D96" w14:textId="77777777" w:rsidR="000A59C8" w:rsidRPr="000A59C8" w:rsidRDefault="000A59C8" w:rsidP="000A59C8">
      <w:pPr>
        <w:numPr>
          <w:ilvl w:val="0"/>
          <w:numId w:val="37"/>
        </w:numPr>
        <w:rPr>
          <w:rFonts w:ascii="Calibri" w:eastAsia="Calibri" w:hAnsi="Calibri"/>
        </w:rPr>
      </w:pPr>
      <w:r w:rsidRPr="000A59C8">
        <w:rPr>
          <w:rFonts w:ascii="Calibri" w:eastAsia="Calibri" w:hAnsi="Calibri"/>
        </w:rPr>
        <w:t>CPA Report Guidelines from the Determination of Need Program, dated March 2021; and</w:t>
      </w:r>
    </w:p>
    <w:p w14:paraId="517E2E99" w14:textId="77777777" w:rsidR="000A59C8" w:rsidRPr="000A59C8" w:rsidRDefault="000A59C8" w:rsidP="000A59C8">
      <w:pPr>
        <w:numPr>
          <w:ilvl w:val="0"/>
          <w:numId w:val="37"/>
        </w:numPr>
        <w:rPr>
          <w:rFonts w:ascii="Calibri" w:eastAsia="Calibri" w:hAnsi="Calibri"/>
        </w:rPr>
      </w:pPr>
      <w:r w:rsidRPr="000A59C8">
        <w:rPr>
          <w:rFonts w:ascii="Calibri" w:eastAsia="Calibri" w:hAnsi="Calibri"/>
        </w:rPr>
        <w:t>Correspondence with SHS and ASC Management.</w:t>
      </w:r>
    </w:p>
    <w:p w14:paraId="70CE8E34" w14:textId="77777777" w:rsidR="000A59C8" w:rsidRPr="000A59C8" w:rsidRDefault="000A59C8" w:rsidP="000A59C8">
      <w:pPr>
        <w:spacing w:before="240" w:after="160"/>
        <w:rPr>
          <w:rFonts w:ascii="Calibri" w:eastAsia="Calibri" w:hAnsi="Calibri"/>
          <w:b/>
        </w:rPr>
      </w:pPr>
      <w:r w:rsidRPr="000A59C8">
        <w:rPr>
          <w:rFonts w:ascii="Calibri" w:eastAsia="Calibri" w:hAnsi="Calibri"/>
        </w:rPr>
        <w:t>The CPA evaluated historical and projected standard key financial accounting metrics, reflecting profitability, liquidity, and solvency of the projections to assess the feasibility and reasonableness of the Projections.</w:t>
      </w:r>
      <w:r w:rsidRPr="000A59C8">
        <w:rPr>
          <w:rFonts w:ascii="Calibri" w:eastAsia="Calibri" w:hAnsi="Calibri"/>
          <w:vertAlign w:val="superscript"/>
        </w:rPr>
        <w:footnoteReference w:id="11"/>
      </w:r>
      <w:r w:rsidRPr="000A59C8">
        <w:rPr>
          <w:rFonts w:ascii="Calibri" w:eastAsia="Calibri" w:hAnsi="Calibri"/>
        </w:rPr>
        <w:t xml:space="preserve"> </w:t>
      </w:r>
    </w:p>
    <w:p w14:paraId="3F324CF0" w14:textId="77777777" w:rsidR="000A59C8" w:rsidRPr="000A59C8" w:rsidRDefault="000A59C8" w:rsidP="000A59C8">
      <w:pPr>
        <w:numPr>
          <w:ilvl w:val="0"/>
          <w:numId w:val="9"/>
        </w:numPr>
        <w:tabs>
          <w:tab w:val="num" w:pos="1260"/>
        </w:tabs>
        <w:spacing w:before="240" w:after="160"/>
        <w:rPr>
          <w:rFonts w:ascii="Calibri" w:eastAsia="Calibri" w:hAnsi="Calibri"/>
          <w:b/>
        </w:rPr>
      </w:pPr>
      <w:r w:rsidRPr="000A59C8">
        <w:rPr>
          <w:rFonts w:ascii="Calibri" w:eastAsia="Calibri" w:hAnsi="Calibri"/>
          <w:b/>
        </w:rPr>
        <w:t>Revenue</w:t>
      </w:r>
    </w:p>
    <w:p w14:paraId="07BE6A55" w14:textId="5D1A9C39" w:rsidR="000A59C8" w:rsidRPr="000A59C8" w:rsidRDefault="000A59C8" w:rsidP="000A59C8">
      <w:pPr>
        <w:spacing w:before="240" w:after="160"/>
        <w:rPr>
          <w:rFonts w:ascii="Calibri" w:eastAsia="Calibri" w:hAnsi="Calibri"/>
        </w:rPr>
      </w:pPr>
      <w:r w:rsidRPr="000A59C8">
        <w:rPr>
          <w:rFonts w:ascii="Calibri" w:eastAsia="Calibri" w:hAnsi="Calibri"/>
        </w:rPr>
        <w:t xml:space="preserve">To determine the reasonableness of the prospective revenues, the CPA reviewed the underlying assumptions upon which SHS Management relied. Prospective net patient service revenues were projected to grow annually at approximately 5% (based on 2.5% annual growth in both patient volume and reimbursement). Prospective other operating revenues which </w:t>
      </w:r>
      <w:r w:rsidR="002A0F4F" w:rsidRPr="000A59C8">
        <w:rPr>
          <w:rFonts w:ascii="Calibri" w:eastAsia="Calibri" w:hAnsi="Calibri"/>
        </w:rPr>
        <w:t>include</w:t>
      </w:r>
      <w:r w:rsidRPr="000A59C8">
        <w:rPr>
          <w:rFonts w:ascii="Calibri" w:eastAsia="Calibri" w:hAnsi="Calibri"/>
        </w:rPr>
        <w:t xml:space="preserve"> SHS’ retail, specialty, and contracted pharmacy activity were assumed to grow approximately 10% annually. </w:t>
      </w:r>
    </w:p>
    <w:p w14:paraId="2F01FBDF" w14:textId="77777777" w:rsidR="000A59C8" w:rsidRPr="000A59C8" w:rsidRDefault="000A59C8" w:rsidP="000A59C8">
      <w:pPr>
        <w:spacing w:before="240" w:after="160"/>
        <w:rPr>
          <w:rFonts w:ascii="Calibri" w:eastAsia="Calibri" w:hAnsi="Calibri"/>
        </w:rPr>
      </w:pPr>
      <w:r w:rsidRPr="000A59C8">
        <w:rPr>
          <w:rFonts w:ascii="Calibri" w:eastAsia="Calibri" w:hAnsi="Calibri"/>
        </w:rPr>
        <w:t xml:space="preserve">Relating to this Application, the ASC’s total revenue is less than 1% of SHS revenue for each year of the Prospective Period. The CPA’s opinion is that the revenue growth of the Applicant, </w:t>
      </w:r>
      <w:r w:rsidRPr="000A59C8">
        <w:rPr>
          <w:rFonts w:ascii="Calibri" w:eastAsia="Calibri" w:hAnsi="Calibri"/>
        </w:rPr>
        <w:lastRenderedPageBreak/>
        <w:t>including the ASC, estimated by Management reflects a reasonable estimate of future revenues of the Applicant.</w:t>
      </w:r>
    </w:p>
    <w:p w14:paraId="7A286E4E" w14:textId="77777777" w:rsidR="000A59C8" w:rsidRPr="000A59C8" w:rsidRDefault="000A59C8" w:rsidP="000A59C8">
      <w:pPr>
        <w:numPr>
          <w:ilvl w:val="0"/>
          <w:numId w:val="9"/>
        </w:numPr>
        <w:tabs>
          <w:tab w:val="num" w:pos="1260"/>
        </w:tabs>
        <w:spacing w:before="240" w:after="160"/>
        <w:rPr>
          <w:rFonts w:ascii="Calibri" w:eastAsia="Calibri" w:hAnsi="Calibri"/>
          <w:b/>
        </w:rPr>
      </w:pPr>
      <w:r w:rsidRPr="000A59C8">
        <w:rPr>
          <w:rFonts w:ascii="Calibri" w:eastAsia="Calibri" w:hAnsi="Calibri"/>
          <w:b/>
        </w:rPr>
        <w:t>Operating Expenses</w:t>
      </w:r>
    </w:p>
    <w:p w14:paraId="7C1C8D6F" w14:textId="77777777" w:rsidR="000A59C8" w:rsidRPr="000A59C8" w:rsidRDefault="000A59C8" w:rsidP="000A59C8">
      <w:pPr>
        <w:spacing w:before="240" w:after="160"/>
        <w:rPr>
          <w:rFonts w:ascii="Calibri" w:eastAsia="Calibri" w:hAnsi="Calibri"/>
        </w:rPr>
      </w:pPr>
      <w:r w:rsidRPr="000A59C8">
        <w:rPr>
          <w:rFonts w:ascii="Calibri" w:eastAsia="Calibri" w:hAnsi="Calibri"/>
        </w:rPr>
        <w:t xml:space="preserve">The CPA analyzed the expense categories included in the SHS Prospective Financial Schedules for reasonableness including a historical review and expense growth assumptions in the Applicant’s Prospective Period, including the ASC. </w:t>
      </w:r>
    </w:p>
    <w:p w14:paraId="6E6AD920" w14:textId="77777777" w:rsidR="000A59C8" w:rsidRPr="000A59C8" w:rsidRDefault="000A59C8" w:rsidP="000A59C8">
      <w:pPr>
        <w:spacing w:before="240" w:after="160"/>
        <w:rPr>
          <w:rFonts w:ascii="Calibri" w:eastAsia="Calibri" w:hAnsi="Calibri"/>
        </w:rPr>
      </w:pPr>
      <w:r w:rsidRPr="000A59C8">
        <w:rPr>
          <w:rFonts w:ascii="Calibri" w:eastAsia="Calibri" w:hAnsi="Calibri"/>
        </w:rPr>
        <w:t>The operating expenses include salaries and benefits, supplies and drugs, contract physicians, services, insurance, other expenses, depreciation and amortization, and interest expense. Throughout the projection period, salaries and benefits account for approximately 63%- 68% while supplies and drugs account for approximately 15%-16% of total operating expenses.</w:t>
      </w:r>
    </w:p>
    <w:p w14:paraId="14189FEE" w14:textId="77777777" w:rsidR="000A59C8" w:rsidRPr="000A59C8" w:rsidRDefault="000A59C8" w:rsidP="000A59C8">
      <w:pPr>
        <w:spacing w:before="240" w:after="160"/>
        <w:rPr>
          <w:rFonts w:ascii="Calibri" w:eastAsia="Calibri" w:hAnsi="Calibri"/>
        </w:rPr>
      </w:pPr>
      <w:r w:rsidRPr="000A59C8">
        <w:rPr>
          <w:rFonts w:ascii="Calibri" w:eastAsia="Calibri" w:hAnsi="Calibri"/>
        </w:rPr>
        <w:t>SHS salaries were forecasted to increase 5-6% annually throughout the Prospective Period, based on a 3% annual inflationary increase, and added expenses to account for the forecasted increase in patient volume. Expenditures including contract physicians, services, insurance, and other expenses were forecasted to grow at approximately 3% annually.</w:t>
      </w:r>
    </w:p>
    <w:p w14:paraId="0FBC3851" w14:textId="77777777" w:rsidR="000A59C8" w:rsidRPr="000A59C8" w:rsidRDefault="000A59C8" w:rsidP="000A59C8">
      <w:pPr>
        <w:spacing w:before="240" w:after="160"/>
        <w:rPr>
          <w:rFonts w:ascii="Calibri" w:eastAsia="Calibri" w:hAnsi="Calibri"/>
        </w:rPr>
      </w:pPr>
      <w:r w:rsidRPr="000A59C8">
        <w:rPr>
          <w:rFonts w:ascii="Calibri" w:eastAsia="Calibri" w:hAnsi="Calibri"/>
        </w:rPr>
        <w:t>Other operating expenses for SHS including the Hospital Health Safety Net Tax Assessment, software expenses/maintenance, utilities, and right of use assets, repairs/maintenance, patient linens and various other miscellaneous items, represent approximately 8% of total operating expenses.</w:t>
      </w:r>
    </w:p>
    <w:p w14:paraId="42C94083" w14:textId="77777777" w:rsidR="000A59C8" w:rsidRPr="000A59C8" w:rsidRDefault="000A59C8" w:rsidP="000A59C8">
      <w:pPr>
        <w:spacing w:before="240" w:after="160"/>
        <w:rPr>
          <w:rFonts w:ascii="Calibri" w:eastAsia="Calibri" w:hAnsi="Calibri"/>
        </w:rPr>
      </w:pPr>
      <w:r w:rsidRPr="000A59C8">
        <w:rPr>
          <w:rFonts w:ascii="Calibri" w:eastAsia="Calibri" w:hAnsi="Calibri"/>
        </w:rPr>
        <w:t>Relating to this Application, the ASC’s total operating expenses are less than 1% of SHS operating expenses for each year of the Prospective Period. Based upon the foregoing, it is the CPA’s opinion that the operating expenses forecasted by SHS Management are based on reasonable assumptions and are feasible for the Applicant.</w:t>
      </w:r>
    </w:p>
    <w:p w14:paraId="3DBCA733" w14:textId="77777777" w:rsidR="000A59C8" w:rsidRPr="000A59C8" w:rsidRDefault="000A59C8" w:rsidP="000A59C8">
      <w:pPr>
        <w:numPr>
          <w:ilvl w:val="0"/>
          <w:numId w:val="9"/>
        </w:numPr>
        <w:tabs>
          <w:tab w:val="num" w:pos="1260"/>
        </w:tabs>
        <w:spacing w:before="240" w:after="160"/>
        <w:rPr>
          <w:rFonts w:ascii="Calibri" w:eastAsia="Calibri" w:hAnsi="Calibri"/>
          <w:b/>
        </w:rPr>
      </w:pPr>
      <w:r w:rsidRPr="000A59C8">
        <w:rPr>
          <w:rFonts w:ascii="Calibri" w:eastAsia="Calibri" w:hAnsi="Calibri"/>
          <w:b/>
        </w:rPr>
        <w:t>Capital Expenditures and Proposed Project Funding</w:t>
      </w:r>
    </w:p>
    <w:p w14:paraId="09671F8E" w14:textId="77777777" w:rsidR="000A59C8" w:rsidRPr="000A59C8" w:rsidRDefault="000A59C8" w:rsidP="000A59C8">
      <w:pPr>
        <w:spacing w:before="240" w:after="160"/>
        <w:rPr>
          <w:rFonts w:ascii="Calibri" w:eastAsia="Calibri" w:hAnsi="Calibri"/>
          <w:b/>
        </w:rPr>
      </w:pPr>
      <w:r w:rsidRPr="000A59C8">
        <w:rPr>
          <w:rFonts w:ascii="Calibri" w:eastAsia="Calibri" w:hAnsi="Calibri"/>
        </w:rPr>
        <w:t>The CPA reviewed the capital expenditures and future cash flows to determine whether sufficient funds would be available to sustain the operation of the Applicant. Capital expenditures for the ASC are less than 1% of SHS capital expenditures therefore, the CPA determined that the prospective capital requirements and resulting impact on the cash flows are reasonable.</w:t>
      </w:r>
    </w:p>
    <w:p w14:paraId="54323DC3" w14:textId="77777777" w:rsidR="000A59C8" w:rsidRPr="000A59C8" w:rsidRDefault="000A59C8" w:rsidP="000A59C8">
      <w:pPr>
        <w:spacing w:before="240" w:after="160"/>
        <w:rPr>
          <w:rFonts w:ascii="Calibri" w:eastAsia="Calibri" w:hAnsi="Calibri"/>
          <w:b/>
          <w:bCs/>
        </w:rPr>
      </w:pPr>
      <w:r w:rsidRPr="000A59C8">
        <w:rPr>
          <w:rFonts w:ascii="Calibri" w:eastAsia="Calibri" w:hAnsi="Calibri"/>
          <w:b/>
          <w:bCs/>
        </w:rPr>
        <w:t>Conclusions on Feasibility</w:t>
      </w:r>
    </w:p>
    <w:p w14:paraId="26783E01" w14:textId="45AF4FEA" w:rsidR="000A59C8" w:rsidRPr="000A59C8" w:rsidRDefault="000A59C8" w:rsidP="000A59C8">
      <w:pPr>
        <w:spacing w:before="240" w:after="160"/>
        <w:rPr>
          <w:rFonts w:ascii="Calibri" w:eastAsia="Calibri" w:hAnsi="Calibri"/>
        </w:rPr>
      </w:pPr>
      <w:r w:rsidRPr="000A59C8">
        <w:rPr>
          <w:rFonts w:ascii="Calibri" w:eastAsia="Calibri" w:hAnsi="Calibri"/>
        </w:rPr>
        <w:t xml:space="preserve">As described herein, the CPA analyzed multiple sources of information pertaining to the Applicant and the Proposed Project and notes that the SHS Prospective Financial </w:t>
      </w:r>
      <w:r w:rsidR="002A0F4F" w:rsidRPr="000A59C8">
        <w:rPr>
          <w:rFonts w:ascii="Calibri" w:eastAsia="Calibri" w:hAnsi="Calibri"/>
        </w:rPr>
        <w:t>Schedules exhibit</w:t>
      </w:r>
      <w:r w:rsidRPr="000A59C8">
        <w:rPr>
          <w:rFonts w:ascii="Calibri" w:eastAsia="Calibri" w:hAnsi="Calibri"/>
        </w:rPr>
        <w:t xml:space="preserve"> a cumulative EBIDA</w:t>
      </w:r>
      <w:r w:rsidRPr="000A59C8">
        <w:rPr>
          <w:rFonts w:ascii="Calibri" w:eastAsia="Calibri" w:hAnsi="Calibri"/>
          <w:vertAlign w:val="superscript"/>
        </w:rPr>
        <w:footnoteReference w:id="12"/>
      </w:r>
      <w:r w:rsidRPr="000A59C8">
        <w:rPr>
          <w:rFonts w:ascii="Calibri" w:eastAsia="Calibri" w:hAnsi="Calibri"/>
        </w:rPr>
        <w:t xml:space="preserve"> surplus of approximately 5% of cumulative projected operating revenue for the six years from 2024 – 2030. Based upon its review, the CPA concluded that the Prospective Financial Schedules are based upon reasonable and feasible assumptions and </w:t>
      </w:r>
      <w:r w:rsidRPr="000A59C8">
        <w:rPr>
          <w:rFonts w:ascii="Calibri" w:eastAsia="Calibri" w:hAnsi="Calibri"/>
        </w:rPr>
        <w:lastRenderedPageBreak/>
        <w:t>determined that the SHS Prospective Financial Schedules are a reasonable expectation and based on feasible and sustainable financial projections which are not likely to have a negative impact on the patient panel or result in a liquidation of assets of the Applicant.</w:t>
      </w:r>
    </w:p>
    <w:p w14:paraId="6DEF6FDF" w14:textId="77777777" w:rsidR="000A59C8" w:rsidRPr="000A59C8" w:rsidRDefault="000A59C8" w:rsidP="000A59C8">
      <w:pPr>
        <w:spacing w:before="240" w:after="160"/>
        <w:rPr>
          <w:rFonts w:ascii="Calibri" w:eastAsia="Calibri" w:hAnsi="Calibri"/>
          <w:b/>
          <w:bCs/>
          <w:i/>
          <w:iCs/>
        </w:rPr>
      </w:pPr>
      <w:r w:rsidRPr="000A59C8">
        <w:rPr>
          <w:rFonts w:ascii="Calibri" w:eastAsia="Calibri" w:hAnsi="Calibri"/>
          <w:b/>
          <w:bCs/>
          <w:i/>
          <w:iCs/>
        </w:rPr>
        <w:t xml:space="preserve">Factor 4 Analysis </w:t>
      </w:r>
    </w:p>
    <w:p w14:paraId="4430EF26" w14:textId="15A3B11B" w:rsidR="001F2A30" w:rsidRPr="00112582" w:rsidRDefault="000A59C8" w:rsidP="000A59C8">
      <w:pPr>
        <w:spacing w:before="240" w:after="160"/>
        <w:rPr>
          <w:rFonts w:ascii="Calibri" w:eastAsia="Calibri" w:hAnsi="Calibri"/>
        </w:rPr>
      </w:pPr>
      <w:r w:rsidRPr="000A59C8">
        <w:rPr>
          <w:rFonts w:ascii="Calibri" w:eastAsia="Calibri" w:hAnsi="Calibri"/>
        </w:rPr>
        <w:t>Staff is satisfied with the CPA’s analysis of the Proposed Project’s projections. As a result of information provided by the Applicant and additional analysis, staff finds that the Applicant has demonstrated that the Proposed Project has met Factor 4.</w:t>
      </w:r>
    </w:p>
    <w:p w14:paraId="21EFEEA8" w14:textId="25BB0487" w:rsidR="002D535F" w:rsidRPr="00AB7675" w:rsidRDefault="002D535F" w:rsidP="00B31381">
      <w:pPr>
        <w:pStyle w:val="Heading1"/>
        <w:spacing w:before="0" w:line="240" w:lineRule="auto"/>
        <w:contextualSpacing/>
        <w:rPr>
          <w:rFonts w:asciiTheme="minorHAnsi" w:hAnsiTheme="minorHAnsi" w:cstheme="minorBidi"/>
        </w:rPr>
      </w:pPr>
      <w:bookmarkStart w:id="92" w:name="_Toc157428837"/>
      <w:bookmarkStart w:id="93" w:name="_Toc174010175"/>
      <w:r w:rsidRPr="4F519356">
        <w:rPr>
          <w:rFonts w:asciiTheme="minorHAnsi" w:hAnsiTheme="minorHAnsi" w:cstheme="minorBidi"/>
        </w:rPr>
        <w:t>Factor 5: Relative Merit</w:t>
      </w:r>
      <w:bookmarkEnd w:id="92"/>
      <w:r w:rsidR="00E255D1">
        <w:rPr>
          <w:rFonts w:asciiTheme="minorHAnsi" w:hAnsiTheme="minorHAnsi" w:cstheme="minorBidi"/>
        </w:rPr>
        <w:t xml:space="preserve"> </w:t>
      </w:r>
      <w:r w:rsidR="00E255D1" w:rsidRPr="008F1B14">
        <w:rPr>
          <w:rFonts w:asciiTheme="minorHAnsi" w:hAnsiTheme="minorHAnsi" w:cstheme="minorBidi"/>
          <w:b w:val="0"/>
          <w:bCs w:val="0"/>
          <w:sz w:val="24"/>
          <w:szCs w:val="24"/>
        </w:rPr>
        <w:t>NOT Required for Transfers of Ownership</w:t>
      </w:r>
      <w:bookmarkEnd w:id="93"/>
    </w:p>
    <w:p w14:paraId="1AB25283" w14:textId="523FB8A8" w:rsidR="00923527" w:rsidRDefault="00923527" w:rsidP="00B31381">
      <w:pPr>
        <w:pStyle w:val="Heading1"/>
        <w:tabs>
          <w:tab w:val="left" w:pos="8910"/>
        </w:tabs>
        <w:spacing w:before="0" w:line="240" w:lineRule="auto"/>
        <w:rPr>
          <w:rFonts w:asciiTheme="minorHAnsi" w:eastAsia="Times New Roman" w:hAnsiTheme="minorHAnsi" w:cstheme="minorHAnsi"/>
        </w:rPr>
      </w:pPr>
      <w:bookmarkStart w:id="94" w:name="_Toc17151192"/>
      <w:bookmarkStart w:id="95" w:name="_Toc17322410"/>
    </w:p>
    <w:p w14:paraId="28431165" w14:textId="66902F35" w:rsidR="00E255D1" w:rsidRPr="00E255D1" w:rsidRDefault="00FF3353" w:rsidP="00E255D1">
      <w:pPr>
        <w:pStyle w:val="Heading1"/>
        <w:spacing w:before="0" w:line="240" w:lineRule="auto"/>
        <w:rPr>
          <w:rFonts w:asciiTheme="minorHAnsi" w:eastAsia="Times New Roman" w:hAnsiTheme="minorHAnsi" w:cstheme="minorHAnsi"/>
        </w:rPr>
      </w:pPr>
      <w:bookmarkStart w:id="96" w:name="_Toc150336177"/>
      <w:bookmarkStart w:id="97" w:name="_Toc157428838"/>
      <w:bookmarkStart w:id="98" w:name="_Toc174010176"/>
      <w:r w:rsidRPr="00AB7675">
        <w:rPr>
          <w:rFonts w:asciiTheme="minorHAnsi" w:eastAsia="Times New Roman" w:hAnsiTheme="minorHAnsi" w:cstheme="minorHAnsi"/>
        </w:rPr>
        <w:t xml:space="preserve">Factor 6: Community-based Health Initiatives </w:t>
      </w:r>
      <w:bookmarkEnd w:id="96"/>
      <w:bookmarkEnd w:id="97"/>
      <w:r w:rsidR="00E255D1" w:rsidRPr="008F1B14">
        <w:rPr>
          <w:rFonts w:asciiTheme="minorHAnsi" w:eastAsia="Times New Roman" w:hAnsiTheme="minorHAnsi" w:cstheme="minorHAnsi"/>
          <w:b w:val="0"/>
          <w:bCs w:val="0"/>
          <w:sz w:val="24"/>
          <w:szCs w:val="24"/>
        </w:rPr>
        <w:t>NOT Required for Transfers of Ownership</w:t>
      </w:r>
      <w:bookmarkEnd w:id="98"/>
    </w:p>
    <w:p w14:paraId="34F6CE1E" w14:textId="2FFF1A06" w:rsidR="00FF3353" w:rsidRDefault="00FF3353" w:rsidP="00FF3353">
      <w:pPr>
        <w:pStyle w:val="Heading1"/>
        <w:spacing w:before="0" w:line="240" w:lineRule="auto"/>
        <w:rPr>
          <w:rFonts w:asciiTheme="minorHAnsi" w:eastAsia="Times New Roman" w:hAnsiTheme="minorHAnsi" w:cstheme="minorHAnsi"/>
        </w:rPr>
      </w:pPr>
    </w:p>
    <w:p w14:paraId="7C159929" w14:textId="4660C094" w:rsidR="00BB40B4" w:rsidRPr="001E489E" w:rsidRDefault="00BB40B4" w:rsidP="00944366">
      <w:pPr>
        <w:pStyle w:val="Heading1"/>
        <w:spacing w:before="0"/>
        <w:rPr>
          <w:rFonts w:asciiTheme="minorHAnsi" w:hAnsiTheme="minorHAnsi" w:cstheme="minorHAnsi"/>
          <w:sz w:val="24"/>
          <w:szCs w:val="24"/>
        </w:rPr>
      </w:pPr>
      <w:bookmarkStart w:id="99" w:name="_Toc157428840"/>
      <w:bookmarkStart w:id="100" w:name="_Toc174010177"/>
      <w:bookmarkEnd w:id="94"/>
      <w:bookmarkEnd w:id="95"/>
      <w:r w:rsidRPr="001E489E">
        <w:rPr>
          <w:rFonts w:asciiTheme="minorHAnsi" w:hAnsiTheme="minorHAnsi" w:cstheme="minorHAnsi"/>
        </w:rPr>
        <w:t>Findings and Recommendations</w:t>
      </w:r>
      <w:bookmarkEnd w:id="99"/>
      <w:bookmarkEnd w:id="100"/>
    </w:p>
    <w:p w14:paraId="08F9C49A" w14:textId="77777777" w:rsidR="00D20EF6" w:rsidRDefault="00D20EF6" w:rsidP="00B35EBE"/>
    <w:p w14:paraId="53DF4202" w14:textId="77777777" w:rsidR="006B46D1" w:rsidRDefault="006B46D1" w:rsidP="006B46D1">
      <w:r w:rsidRPr="006B46D1">
        <w:t>Based upon a review of the materials submitted, Staff finds that the Applicant has met each DoN Factor for the Proposed Project and recommends that the Department approve this Determination of Need, subject to all applicable Standard and Other Conditions.</w:t>
      </w:r>
    </w:p>
    <w:p w14:paraId="08DD22A9" w14:textId="745A38D0" w:rsidR="006B46D1" w:rsidRPr="006B46D1" w:rsidRDefault="007A340E" w:rsidP="006B46D1">
      <w:pPr>
        <w:pStyle w:val="Heading1"/>
        <w:rPr>
          <w:rFonts w:ascii="Calibri" w:hAnsi="Calibri" w:cs="Calibri"/>
          <w:color w:val="2F5496"/>
        </w:rPr>
      </w:pPr>
      <w:bookmarkStart w:id="101" w:name="_Toc157428841"/>
      <w:bookmarkStart w:id="102" w:name="_Toc174010178"/>
      <w:r>
        <w:rPr>
          <w:rStyle w:val="normaltextrun"/>
          <w:rFonts w:ascii="Calibri" w:hAnsi="Calibri" w:cs="Calibri"/>
          <w:color w:val="2F5496"/>
        </w:rPr>
        <w:t xml:space="preserve">Other </w:t>
      </w:r>
      <w:r w:rsidR="006B46D1" w:rsidRPr="00697734">
        <w:rPr>
          <w:rStyle w:val="normaltextrun"/>
          <w:rFonts w:ascii="Calibri" w:hAnsi="Calibri" w:cs="Calibri"/>
          <w:color w:val="2F5496"/>
        </w:rPr>
        <w:t>Conditions</w:t>
      </w:r>
      <w:bookmarkStart w:id="103" w:name="_Toc150336180"/>
      <w:bookmarkEnd w:id="101"/>
      <w:bookmarkEnd w:id="102"/>
      <w:r w:rsidR="006B46D1" w:rsidRPr="00697734">
        <w:rPr>
          <w:rStyle w:val="normaltextrun"/>
          <w:rFonts w:ascii="Calibri" w:hAnsi="Calibri" w:cs="Calibri"/>
          <w:color w:val="2F5496"/>
        </w:rPr>
        <w:t xml:space="preserve"> </w:t>
      </w:r>
      <w:bookmarkEnd w:id="103"/>
    </w:p>
    <w:p w14:paraId="607717F7" w14:textId="77777777" w:rsidR="006B46D1" w:rsidRDefault="006B46D1" w:rsidP="00ED115A"/>
    <w:p w14:paraId="101AB34E" w14:textId="42B0EFA6" w:rsidR="00ED115A" w:rsidRDefault="00060E5A" w:rsidP="00C65F22">
      <w:pPr>
        <w:pStyle w:val="RNNum"/>
        <w:numPr>
          <w:ilvl w:val="0"/>
          <w:numId w:val="43"/>
        </w:numPr>
        <w:rPr>
          <w:rFonts w:eastAsia="Times New Roman"/>
        </w:rPr>
      </w:pPr>
      <w:r w:rsidRPr="00060E5A">
        <w:t xml:space="preserve">In addition to the measures provided in Appendix 1, commencing with the approval of this DoN, and continuing for a period of five years after the Proposed Project is complete, the </w:t>
      </w:r>
      <w:r w:rsidR="00ED115A" w:rsidRPr="00C65F22">
        <w:rPr>
          <w:rFonts w:eastAsia="Times New Roman"/>
        </w:rPr>
        <w:t xml:space="preserve">Holder shall provide the following information as part of the annual report required by 105 CMR 100.310(A)(12): </w:t>
      </w:r>
    </w:p>
    <w:p w14:paraId="35191019" w14:textId="488A1E43" w:rsidR="00CD3D6F" w:rsidRDefault="00CD3D6F" w:rsidP="008578E7">
      <w:pPr>
        <w:pStyle w:val="RN2Num"/>
        <w:numPr>
          <w:ilvl w:val="1"/>
          <w:numId w:val="43"/>
        </w:numPr>
        <w:rPr>
          <w:rFonts w:eastAsia="Times New Roman"/>
        </w:rPr>
      </w:pPr>
      <w:r>
        <w:rPr>
          <w:rFonts w:eastAsia="Times New Roman"/>
        </w:rPr>
        <w:t>Annually, for both SHS</w:t>
      </w:r>
      <w:r w:rsidR="00C702A6">
        <w:rPr>
          <w:rFonts w:eastAsia="Times New Roman"/>
        </w:rPr>
        <w:t xml:space="preserve"> (outpatient)</w:t>
      </w:r>
      <w:r>
        <w:rPr>
          <w:rFonts w:eastAsia="Times New Roman"/>
        </w:rPr>
        <w:t xml:space="preserve"> and SDS, the applicant will report the following:</w:t>
      </w:r>
    </w:p>
    <w:p w14:paraId="32C55F0F" w14:textId="77777777" w:rsidR="00CD3D6F" w:rsidRDefault="00CD3D6F" w:rsidP="008B7CE2">
      <w:pPr>
        <w:pStyle w:val="RN3Num"/>
        <w:numPr>
          <w:ilvl w:val="2"/>
          <w:numId w:val="43"/>
        </w:numPr>
        <w:spacing w:after="0"/>
        <w:rPr>
          <w:rFonts w:eastAsia="Times New Roman"/>
        </w:rPr>
      </w:pPr>
      <w:r>
        <w:rPr>
          <w:rFonts w:eastAsia="Times New Roman"/>
        </w:rPr>
        <w:t xml:space="preserve">Surgical volume by specialty </w:t>
      </w:r>
    </w:p>
    <w:p w14:paraId="63DA3C1E" w14:textId="5D6907F9" w:rsidR="00CD3D6F" w:rsidRDefault="00CD3D6F" w:rsidP="008B7CE2">
      <w:pPr>
        <w:pStyle w:val="RN3Num"/>
        <w:numPr>
          <w:ilvl w:val="2"/>
          <w:numId w:val="43"/>
        </w:numPr>
        <w:spacing w:after="0"/>
        <w:rPr>
          <w:rFonts w:eastAsia="Times New Roman"/>
        </w:rPr>
      </w:pPr>
      <w:r>
        <w:rPr>
          <w:rFonts w:eastAsia="Times New Roman"/>
        </w:rPr>
        <w:t>Surgical payer-mix</w:t>
      </w:r>
    </w:p>
    <w:p w14:paraId="0E0C4AE7" w14:textId="25C5453A" w:rsidR="00CD3D6F" w:rsidRDefault="00CD3D6F" w:rsidP="008B7CE2">
      <w:pPr>
        <w:pStyle w:val="RN3Num"/>
        <w:numPr>
          <w:ilvl w:val="2"/>
          <w:numId w:val="43"/>
        </w:numPr>
        <w:spacing w:after="0"/>
        <w:rPr>
          <w:rFonts w:eastAsia="Times New Roman"/>
        </w:rPr>
      </w:pPr>
      <w:r>
        <w:rPr>
          <w:rFonts w:eastAsia="Times New Roman"/>
        </w:rPr>
        <w:t>Surgical Patients by race and ethnicity</w:t>
      </w:r>
    </w:p>
    <w:p w14:paraId="35D47A7E" w14:textId="679A1046" w:rsidR="00C702A6" w:rsidRPr="00B439F3" w:rsidRDefault="00C702A6" w:rsidP="00B439F3">
      <w:pPr>
        <w:pStyle w:val="RN3Num"/>
        <w:numPr>
          <w:ilvl w:val="2"/>
          <w:numId w:val="43"/>
        </w:numPr>
        <w:rPr>
          <w:rFonts w:eastAsia="Times New Roman"/>
        </w:rPr>
      </w:pPr>
      <w:r>
        <w:rPr>
          <w:rFonts w:eastAsia="Times New Roman"/>
        </w:rPr>
        <w:t>Surgical Volume by Age</w:t>
      </w:r>
    </w:p>
    <w:p w14:paraId="3E6D42BF" w14:textId="08FC533A" w:rsidR="00C65F22" w:rsidRDefault="00C65F22" w:rsidP="008578E7">
      <w:pPr>
        <w:pStyle w:val="RN2Num"/>
        <w:numPr>
          <w:ilvl w:val="1"/>
          <w:numId w:val="43"/>
        </w:numPr>
        <w:rPr>
          <w:rFonts w:eastAsia="Times New Roman"/>
        </w:rPr>
      </w:pPr>
      <w:r w:rsidRPr="008578E7">
        <w:rPr>
          <w:rFonts w:eastAsia="Times New Roman"/>
        </w:rPr>
        <w:t>In addition to SDS’s obligation to participate in MassHealth, pursuant to 105 CMR 100.310(A)(11), the Holder must certify annually that all physicians and health professionals who practice at SDS are enrolled as participating providers of MassHealth to support equitable access to all clinicians at the facility regardless of payer.</w:t>
      </w:r>
    </w:p>
    <w:p w14:paraId="7A4A0337" w14:textId="1066DB61" w:rsidR="00837E4F" w:rsidRDefault="00837E4F">
      <w:pPr>
        <w:spacing w:after="200" w:line="276" w:lineRule="auto"/>
        <w:rPr>
          <w:rFonts w:eastAsia="Times New Roman"/>
          <w:szCs w:val="20"/>
        </w:rPr>
      </w:pPr>
      <w:r>
        <w:rPr>
          <w:rFonts w:eastAsia="Times New Roman"/>
        </w:rPr>
        <w:br w:type="page"/>
      </w:r>
    </w:p>
    <w:p w14:paraId="224CD080" w14:textId="5FD185D0" w:rsidR="004B7CA1" w:rsidRPr="00571391" w:rsidRDefault="004B7CA1" w:rsidP="00571391">
      <w:pPr>
        <w:pStyle w:val="Heading1"/>
        <w:rPr>
          <w:rFonts w:ascii="Segoe UI" w:hAnsi="Segoe UI" w:cs="Segoe UI"/>
        </w:rPr>
      </w:pPr>
      <w:bookmarkStart w:id="104" w:name="_Toc174010179"/>
      <w:bookmarkStart w:id="105" w:name="_Toc157428842"/>
      <w:r w:rsidRPr="00671913">
        <w:rPr>
          <w:rFonts w:asciiTheme="minorHAnsi" w:hAnsiTheme="minorHAnsi" w:cstheme="minorHAnsi"/>
        </w:rPr>
        <w:lastRenderedPageBreak/>
        <w:t>Appendix 1</w:t>
      </w:r>
      <w:bookmarkEnd w:id="104"/>
      <w:r w:rsidR="00D20EF6" w:rsidRPr="00671913">
        <w:rPr>
          <w:rFonts w:asciiTheme="minorHAnsi" w:hAnsiTheme="minorHAnsi" w:cstheme="minorHAnsi"/>
        </w:rPr>
        <w:t xml:space="preserve"> </w:t>
      </w:r>
      <w:bookmarkEnd w:id="105"/>
    </w:p>
    <w:p w14:paraId="785BEE86" w14:textId="79DA93CC" w:rsidR="004B7CA1" w:rsidRPr="00671913" w:rsidRDefault="004B7CA1" w:rsidP="00671913"/>
    <w:p w14:paraId="109E685D" w14:textId="5B66273E" w:rsidR="00053725" w:rsidRDefault="004B7CA1" w:rsidP="00A17541">
      <w:pPr>
        <w:rPr>
          <w:rFonts w:ascii="Calibri" w:eastAsia="Calibri" w:hAnsi="Calibri" w:cs="Calibri"/>
        </w:rPr>
      </w:pPr>
      <w:r w:rsidRPr="00671913">
        <w:t xml:space="preserve">The Holder shall provide, in its annual report to the Department the following outcome measures. These metrics will become part of the annual reporting on the approved DoN, required pursuant to 105 CMR 100.310(A)(12). </w:t>
      </w:r>
      <w:r w:rsidR="00053725" w:rsidRPr="00671913">
        <w:rPr>
          <w:rFonts w:ascii="Calibri" w:eastAsia="Calibri" w:hAnsi="Calibri" w:cs="Calibri"/>
        </w:rPr>
        <w:t xml:space="preserve">To assess the impact of the Proposed Project, </w:t>
      </w:r>
      <w:r w:rsidR="00ED115A" w:rsidRPr="00671913">
        <w:rPr>
          <w:rFonts w:ascii="Calibri" w:eastAsia="Calibri" w:hAnsi="Calibri" w:cs="Calibri"/>
        </w:rPr>
        <w:t xml:space="preserve">annually </w:t>
      </w:r>
      <w:r w:rsidR="00053725" w:rsidRPr="00671913">
        <w:rPr>
          <w:rFonts w:ascii="Calibri" w:eastAsia="Calibri" w:hAnsi="Calibri" w:cs="Calibri"/>
        </w:rPr>
        <w:t xml:space="preserve">the Applicant will evaluate </w:t>
      </w:r>
      <w:r w:rsidR="00ED115A" w:rsidRPr="00671913">
        <w:rPr>
          <w:rFonts w:ascii="Calibri" w:eastAsia="Calibri" w:hAnsi="Calibri" w:cs="Calibri"/>
        </w:rPr>
        <w:t xml:space="preserve">and report </w:t>
      </w:r>
      <w:r w:rsidR="00053725" w:rsidRPr="00671913">
        <w:rPr>
          <w:rFonts w:ascii="Calibri" w:eastAsia="Calibri" w:hAnsi="Calibri" w:cs="Calibri"/>
        </w:rPr>
        <w:t>the following measures</w:t>
      </w:r>
      <w:r w:rsidR="00ED115A" w:rsidRPr="00671913">
        <w:rPr>
          <w:rFonts w:ascii="Calibri" w:eastAsia="Calibri" w:hAnsi="Calibri" w:cs="Calibri"/>
        </w:rPr>
        <w:t xml:space="preserve"> by quarter</w:t>
      </w:r>
      <w:r w:rsidR="00053725" w:rsidRPr="00671913">
        <w:rPr>
          <w:rFonts w:ascii="Calibri" w:eastAsia="Calibri" w:hAnsi="Calibri" w:cs="Calibri"/>
        </w:rPr>
        <w:t>:</w:t>
      </w:r>
    </w:p>
    <w:p w14:paraId="7BBE5A67" w14:textId="77777777" w:rsidR="00EB1C1F" w:rsidRDefault="00EB1C1F" w:rsidP="00671913">
      <w:pPr>
        <w:jc w:val="both"/>
        <w:rPr>
          <w:rFonts w:ascii="Calibri" w:eastAsia="Calibri" w:hAnsi="Calibri" w:cs="Calibri"/>
        </w:rPr>
      </w:pPr>
    </w:p>
    <w:p w14:paraId="4A07E8CD" w14:textId="77777777" w:rsidR="00EB1C1F" w:rsidRDefault="00EB1C1F" w:rsidP="00EB1C1F">
      <w:pPr>
        <w:rPr>
          <w:rFonts w:ascii="Calibri" w:eastAsia="Calibri" w:hAnsi="Calibri" w:cs="Calibri"/>
        </w:rPr>
      </w:pPr>
      <w:r w:rsidRPr="00EB1C1F">
        <w:rPr>
          <w:rFonts w:ascii="Calibri" w:eastAsia="Calibri" w:hAnsi="Calibri" w:cs="Calibri"/>
        </w:rPr>
        <w:t>To assess the impact of the proposed Project, the Applicant developed the following quality metrics and reporting schematic, as well as metric projections for quality indicators that will measure patient satisfaction and quality of care. The measures are discussed below:</w:t>
      </w:r>
    </w:p>
    <w:p w14:paraId="579954BE" w14:textId="77777777" w:rsidR="006D1E2D" w:rsidRPr="00EB1C1F" w:rsidRDefault="006D1E2D" w:rsidP="00EB1C1F">
      <w:pPr>
        <w:rPr>
          <w:rFonts w:ascii="Calibri" w:eastAsia="Calibri" w:hAnsi="Calibri" w:cs="Calibri"/>
        </w:rPr>
      </w:pPr>
    </w:p>
    <w:p w14:paraId="2C7AD944" w14:textId="77777777" w:rsidR="00EB1C1F" w:rsidRDefault="00EB1C1F" w:rsidP="00EB1C1F">
      <w:pPr>
        <w:rPr>
          <w:rFonts w:ascii="Calibri" w:eastAsia="Calibri" w:hAnsi="Calibri" w:cs="Calibri"/>
        </w:rPr>
      </w:pPr>
      <w:r w:rsidRPr="00EB1C1F">
        <w:rPr>
          <w:rFonts w:ascii="Calibri" w:eastAsia="Calibri" w:hAnsi="Calibri" w:cs="Calibri"/>
        </w:rPr>
        <w:t xml:space="preserve">1. </w:t>
      </w:r>
      <w:r w:rsidRPr="00EB1C1F">
        <w:rPr>
          <w:rFonts w:ascii="Calibri" w:eastAsia="Calibri" w:hAnsi="Calibri" w:cs="Calibri"/>
          <w:b/>
        </w:rPr>
        <w:t xml:space="preserve">Patient Satisfaction: </w:t>
      </w:r>
      <w:r w:rsidRPr="00EB1C1F">
        <w:rPr>
          <w:rFonts w:ascii="Calibri" w:eastAsia="Calibri" w:hAnsi="Calibri" w:cs="Calibri"/>
        </w:rPr>
        <w:t>Patients that are satisfied with their care are more likely to seek needed diagnostics, appropriate treatments and follow-up services. The Applicant and SDS staff will review patient satisfaction levels with SDS’s surgical services.</w:t>
      </w:r>
    </w:p>
    <w:p w14:paraId="4A306AE6" w14:textId="77777777" w:rsidR="00837E4F" w:rsidRPr="00EB1C1F" w:rsidRDefault="00837E4F" w:rsidP="00EB1C1F">
      <w:pPr>
        <w:rPr>
          <w:rFonts w:ascii="Calibri" w:eastAsia="Calibri" w:hAnsi="Calibri" w:cs="Calibri"/>
        </w:rPr>
      </w:pPr>
    </w:p>
    <w:p w14:paraId="7FEDC28B" w14:textId="77777777" w:rsidR="00EB1C1F" w:rsidRDefault="00EB1C1F" w:rsidP="00EB1C1F">
      <w:pPr>
        <w:rPr>
          <w:rFonts w:ascii="Calibri" w:eastAsia="Calibri" w:hAnsi="Calibri" w:cs="Calibri"/>
        </w:rPr>
      </w:pPr>
      <w:r w:rsidRPr="00EB1C1F">
        <w:rPr>
          <w:rFonts w:ascii="Calibri" w:eastAsia="Calibri" w:hAnsi="Calibri" w:cs="Calibri"/>
          <w:b/>
        </w:rPr>
        <w:t xml:space="preserve">Measure: </w:t>
      </w:r>
      <w:r w:rsidRPr="00EB1C1F">
        <w:rPr>
          <w:rFonts w:ascii="Calibri" w:eastAsia="Calibri" w:hAnsi="Calibri" w:cs="Calibri"/>
        </w:rPr>
        <w:t>The Outpatient and Ambulatory Surgery Community Assessment of Healthcare Providers and Systems (“OAS-CAHPS”) Survey will be provided to eligible patients. The OAS-CAHPS Survey is a patient experience survey administered to patients of ambulatory and outpatient facilities that includes questions related to six key areas: (1) Before a patient’s procedure; (2) Facility and staff; (3) Communications about the procedure; (4) Recovery; (5) Overall experience; and (6) Patient demographics. OAS-CAHPS results are reported as “top-box,” “middle-box,” and “bottom-box” scores; the top-box is the most positive response to survey items, the middle-box captures intermediate responses, and the bottom-box is the least positive response category.</w:t>
      </w:r>
    </w:p>
    <w:p w14:paraId="3397D7E4" w14:textId="77777777" w:rsidR="005442FB" w:rsidRPr="00EB1C1F" w:rsidRDefault="005442FB" w:rsidP="00EB1C1F">
      <w:pPr>
        <w:rPr>
          <w:rFonts w:ascii="Calibri" w:eastAsia="Calibri" w:hAnsi="Calibri" w:cs="Calibri"/>
        </w:rPr>
      </w:pPr>
    </w:p>
    <w:p w14:paraId="5F4D3B37" w14:textId="77777777" w:rsidR="00EB1C1F" w:rsidRPr="00EB1C1F" w:rsidRDefault="00EB1C1F" w:rsidP="00EB1C1F">
      <w:pPr>
        <w:rPr>
          <w:rFonts w:ascii="Calibri" w:eastAsia="Calibri" w:hAnsi="Calibri" w:cs="Calibri"/>
          <w:bCs/>
        </w:rPr>
      </w:pPr>
      <w:r w:rsidRPr="00EB1C1F">
        <w:rPr>
          <w:rFonts w:ascii="Calibri" w:eastAsia="Calibri" w:hAnsi="Calibri" w:cs="Calibri"/>
          <w:bCs/>
        </w:rPr>
        <w:tab/>
        <w:t>The Applicant has selected three indicators of care experience across the continuum from the OAS CAHPS slate:</w:t>
      </w:r>
    </w:p>
    <w:p w14:paraId="30E59C66" w14:textId="77777777" w:rsidR="00EB1C1F" w:rsidRPr="00EB1C1F" w:rsidRDefault="00EB1C1F" w:rsidP="00EB1C1F">
      <w:pPr>
        <w:numPr>
          <w:ilvl w:val="0"/>
          <w:numId w:val="40"/>
        </w:numPr>
        <w:rPr>
          <w:rFonts w:ascii="Calibri" w:eastAsia="Calibri" w:hAnsi="Calibri" w:cs="Calibri"/>
          <w:bCs/>
        </w:rPr>
      </w:pPr>
      <w:r w:rsidRPr="00EB1C1F">
        <w:rPr>
          <w:rFonts w:ascii="Calibri" w:eastAsia="Calibri" w:hAnsi="Calibri" w:cs="Calibri"/>
          <w:bCs/>
        </w:rPr>
        <w:t>Before the Procedure</w:t>
      </w:r>
    </w:p>
    <w:p w14:paraId="73ADD2B6" w14:textId="77777777" w:rsidR="00EB1C1F" w:rsidRPr="00EB1C1F" w:rsidRDefault="00EB1C1F" w:rsidP="00EB1C1F">
      <w:pPr>
        <w:numPr>
          <w:ilvl w:val="1"/>
          <w:numId w:val="40"/>
        </w:numPr>
        <w:rPr>
          <w:rFonts w:ascii="Calibri" w:eastAsia="Calibri" w:hAnsi="Calibri" w:cs="Calibri"/>
          <w:bCs/>
        </w:rPr>
      </w:pPr>
      <w:r w:rsidRPr="00EB1C1F">
        <w:rPr>
          <w:rFonts w:ascii="Calibri" w:eastAsia="Calibri" w:hAnsi="Calibri" w:cs="Calibri"/>
          <w:bCs/>
        </w:rPr>
        <w:t>Before your procedure, did your doctor or anyone from the facility give you all the information you needed about your procedure?</w:t>
      </w:r>
    </w:p>
    <w:p w14:paraId="6E799244" w14:textId="77777777" w:rsidR="00EB1C1F" w:rsidRPr="00EB1C1F" w:rsidRDefault="00EB1C1F" w:rsidP="00EB1C1F">
      <w:pPr>
        <w:numPr>
          <w:ilvl w:val="0"/>
          <w:numId w:val="40"/>
        </w:numPr>
        <w:rPr>
          <w:rFonts w:ascii="Calibri" w:eastAsia="Calibri" w:hAnsi="Calibri" w:cs="Calibri"/>
          <w:bCs/>
        </w:rPr>
      </w:pPr>
      <w:r w:rsidRPr="00EB1C1F">
        <w:rPr>
          <w:rFonts w:ascii="Calibri" w:eastAsia="Calibri" w:hAnsi="Calibri" w:cs="Calibri"/>
          <w:bCs/>
        </w:rPr>
        <w:t>About the Facility and Staff</w:t>
      </w:r>
    </w:p>
    <w:p w14:paraId="48ED282C" w14:textId="77777777" w:rsidR="00EB1C1F" w:rsidRPr="00EB1C1F" w:rsidRDefault="00EB1C1F" w:rsidP="00EB1C1F">
      <w:pPr>
        <w:numPr>
          <w:ilvl w:val="1"/>
          <w:numId w:val="40"/>
        </w:numPr>
        <w:rPr>
          <w:rFonts w:ascii="Calibri" w:eastAsia="Calibri" w:hAnsi="Calibri" w:cs="Calibri"/>
          <w:bCs/>
        </w:rPr>
      </w:pPr>
      <w:r w:rsidRPr="00EB1C1F">
        <w:rPr>
          <w:rFonts w:ascii="Calibri" w:eastAsia="Calibri" w:hAnsi="Calibri" w:cs="Calibri"/>
          <w:bCs/>
        </w:rPr>
        <w:t>Did the doctors and nurses treat you with courtesy and respect?</w:t>
      </w:r>
    </w:p>
    <w:p w14:paraId="4D2B085C" w14:textId="77777777" w:rsidR="00EB1C1F" w:rsidRPr="00EB1C1F" w:rsidRDefault="00EB1C1F" w:rsidP="00EB1C1F">
      <w:pPr>
        <w:numPr>
          <w:ilvl w:val="0"/>
          <w:numId w:val="40"/>
        </w:numPr>
        <w:rPr>
          <w:rFonts w:ascii="Calibri" w:eastAsia="Calibri" w:hAnsi="Calibri" w:cs="Calibri"/>
          <w:bCs/>
        </w:rPr>
      </w:pPr>
      <w:r w:rsidRPr="00EB1C1F">
        <w:rPr>
          <w:rFonts w:ascii="Calibri" w:eastAsia="Calibri" w:hAnsi="Calibri" w:cs="Calibri"/>
          <w:bCs/>
        </w:rPr>
        <w:t>Communication about the Procedure / Transitions</w:t>
      </w:r>
    </w:p>
    <w:p w14:paraId="06EC8C3D" w14:textId="77777777" w:rsidR="00EB1C1F" w:rsidRDefault="00EB1C1F" w:rsidP="00EB1C1F">
      <w:pPr>
        <w:numPr>
          <w:ilvl w:val="1"/>
          <w:numId w:val="40"/>
        </w:numPr>
        <w:rPr>
          <w:rFonts w:ascii="Calibri" w:eastAsia="Calibri" w:hAnsi="Calibri" w:cs="Calibri"/>
          <w:bCs/>
        </w:rPr>
      </w:pPr>
      <w:r w:rsidRPr="00EB1C1F">
        <w:rPr>
          <w:rFonts w:ascii="Calibri" w:eastAsia="Calibri" w:hAnsi="Calibri" w:cs="Calibri"/>
          <w:bCs/>
        </w:rPr>
        <w:t>Discharge instructions include things like symptoms you should watch for after your procedure, instructions about medicines, and home care. Before you left the facility, did you get written discharge instructions?</w:t>
      </w:r>
    </w:p>
    <w:p w14:paraId="3BCCB955" w14:textId="77777777" w:rsidR="00EB1C1F" w:rsidRPr="00EB1C1F" w:rsidRDefault="00EB1C1F" w:rsidP="00EB1C1F">
      <w:pPr>
        <w:rPr>
          <w:rFonts w:ascii="Calibri" w:eastAsia="Calibri" w:hAnsi="Calibri" w:cs="Calibri"/>
          <w:b/>
        </w:rPr>
      </w:pPr>
      <w:r w:rsidRPr="00EB1C1F">
        <w:rPr>
          <w:rFonts w:ascii="Calibri" w:eastAsia="Calibri" w:hAnsi="Calibri" w:cs="Calibri"/>
          <w:b/>
        </w:rPr>
        <w:t xml:space="preserve">Projections: </w:t>
      </w:r>
      <w:r w:rsidRPr="00EB1C1F">
        <w:rPr>
          <w:rFonts w:ascii="Calibri" w:eastAsia="Calibri" w:hAnsi="Calibri" w:cs="Calibri"/>
        </w:rPr>
        <w:t>As the Project relates to the change in ownership of SDS, the Applicant has established a new benchmark for this measure to be implemented post-transaction. Specifically, the Applicant has established a benchmark of 88% for top-box scores for “Overall Experience” at SDS, which is the top decile for reporting providers.</w:t>
      </w:r>
    </w:p>
    <w:p w14:paraId="37EEBC0F" w14:textId="77777777" w:rsidR="00EB1C1F" w:rsidRDefault="00EB1C1F" w:rsidP="00EB1C1F">
      <w:pPr>
        <w:rPr>
          <w:rFonts w:ascii="Calibri" w:eastAsia="Calibri" w:hAnsi="Calibri" w:cs="Calibri"/>
        </w:rPr>
      </w:pPr>
      <w:r w:rsidRPr="00EB1C1F">
        <w:rPr>
          <w:rFonts w:ascii="Calibri" w:eastAsia="Calibri" w:hAnsi="Calibri" w:cs="Calibri"/>
          <w:b/>
        </w:rPr>
        <w:t xml:space="preserve">Monitoring: </w:t>
      </w:r>
      <w:r w:rsidRPr="00EB1C1F">
        <w:rPr>
          <w:rFonts w:ascii="Calibri" w:eastAsia="Calibri" w:hAnsi="Calibri" w:cs="Calibri"/>
        </w:rPr>
        <w:t>Results will be reviewed on a quarterly basis and reported to DPH, as required.</w:t>
      </w:r>
    </w:p>
    <w:p w14:paraId="538AB57D" w14:textId="77777777" w:rsidR="00837E4F" w:rsidRPr="00EB1C1F" w:rsidRDefault="00837E4F" w:rsidP="00EB1C1F">
      <w:pPr>
        <w:rPr>
          <w:rFonts w:ascii="Calibri" w:eastAsia="Calibri" w:hAnsi="Calibri" w:cs="Calibri"/>
          <w:b/>
        </w:rPr>
      </w:pPr>
    </w:p>
    <w:p w14:paraId="5CB15E8B" w14:textId="77777777" w:rsidR="00EB1C1F" w:rsidRPr="00EB1C1F" w:rsidRDefault="00EB1C1F" w:rsidP="00EB1C1F">
      <w:pPr>
        <w:rPr>
          <w:rFonts w:ascii="Calibri" w:eastAsia="Calibri" w:hAnsi="Calibri" w:cs="Calibri"/>
          <w:b/>
        </w:rPr>
      </w:pPr>
      <w:r w:rsidRPr="00EB1C1F">
        <w:rPr>
          <w:rFonts w:ascii="Calibri" w:eastAsia="Calibri" w:hAnsi="Calibri" w:cs="Calibri"/>
          <w:b/>
        </w:rPr>
        <w:lastRenderedPageBreak/>
        <w:t xml:space="preserve">2. Clinical Quality and Safety: </w:t>
      </w:r>
      <w:r w:rsidRPr="00EB1C1F">
        <w:rPr>
          <w:rFonts w:ascii="Calibri" w:eastAsia="Calibri" w:hAnsi="Calibri" w:cs="Calibri"/>
          <w:bCs/>
        </w:rPr>
        <w:t>As with all health care delivery, quality and</w:t>
      </w:r>
      <w:r w:rsidRPr="00EB1C1F">
        <w:rPr>
          <w:rFonts w:ascii="Calibri" w:eastAsia="Calibri" w:hAnsi="Calibri" w:cs="Calibri"/>
          <w:b/>
        </w:rPr>
        <w:t xml:space="preserve"> </w:t>
      </w:r>
      <w:r w:rsidRPr="00EB1C1F">
        <w:rPr>
          <w:rFonts w:ascii="Calibri" w:eastAsia="Calibri" w:hAnsi="Calibri" w:cs="Calibri"/>
          <w:bCs/>
        </w:rPr>
        <w:t xml:space="preserve">safety are a top priority. The Applicant and SDS staff will review clinical quality and safety performance in accordance with Ambulatory Surgical Center Quality Reporting Specifications Manual Versions 13.0a. which is published by CMS and allows for national benchmarking including the measures targeted below: </w:t>
      </w:r>
    </w:p>
    <w:p w14:paraId="1B84E532" w14:textId="4152F60A" w:rsidR="00EB1C1F" w:rsidRDefault="00EB1C1F" w:rsidP="00EB1C1F">
      <w:pPr>
        <w:rPr>
          <w:rFonts w:ascii="Calibri" w:eastAsia="Calibri" w:hAnsi="Calibri" w:cs="Calibri"/>
          <w:bCs/>
        </w:rPr>
      </w:pPr>
      <w:r w:rsidRPr="00EB1C1F">
        <w:rPr>
          <w:rFonts w:ascii="Calibri" w:eastAsia="Calibri" w:hAnsi="Calibri" w:cs="Calibri"/>
          <w:b/>
        </w:rPr>
        <w:t xml:space="preserve">Measure: </w:t>
      </w:r>
      <w:r w:rsidRPr="00EB1C1F">
        <w:rPr>
          <w:rFonts w:ascii="Calibri" w:eastAsia="Calibri" w:hAnsi="Calibri" w:cs="Calibri"/>
          <w:bCs/>
        </w:rPr>
        <w:t xml:space="preserve">As defined by </w:t>
      </w:r>
      <w:bookmarkStart w:id="106" w:name="_Hlk162844082"/>
      <w:r w:rsidRPr="00EB1C1F">
        <w:rPr>
          <w:rFonts w:ascii="Calibri" w:eastAsia="Calibri" w:hAnsi="Calibri" w:cs="Calibri"/>
          <w:bCs/>
        </w:rPr>
        <w:t>Ambulatory Surgical Center Quality Reporting Specifications Manual Versions 13.0a</w:t>
      </w:r>
      <w:bookmarkEnd w:id="106"/>
      <w:r w:rsidRPr="00EB1C1F">
        <w:rPr>
          <w:rFonts w:ascii="Calibri" w:eastAsia="Calibri" w:hAnsi="Calibri" w:cs="Calibri"/>
          <w:bCs/>
        </w:rPr>
        <w:t xml:space="preserve">, we will track the web-based and </w:t>
      </w:r>
      <w:r w:rsidR="00837E4F" w:rsidRPr="00EB1C1F">
        <w:rPr>
          <w:rFonts w:ascii="Calibri" w:eastAsia="Calibri" w:hAnsi="Calibri" w:cs="Calibri"/>
          <w:bCs/>
        </w:rPr>
        <w:t>claims-based</w:t>
      </w:r>
      <w:r w:rsidRPr="00EB1C1F">
        <w:rPr>
          <w:rFonts w:ascii="Calibri" w:eastAsia="Calibri" w:hAnsi="Calibri" w:cs="Calibri"/>
          <w:bCs/>
        </w:rPr>
        <w:t xml:space="preserve"> measures:</w:t>
      </w:r>
    </w:p>
    <w:p w14:paraId="7A262C67" w14:textId="77777777" w:rsidR="00EB1C1F" w:rsidRPr="00EB1C1F" w:rsidRDefault="00EB1C1F" w:rsidP="00EB1C1F">
      <w:pPr>
        <w:rPr>
          <w:rFonts w:ascii="Calibri" w:eastAsia="Calibri" w:hAnsi="Calibri" w:cs="Calibri"/>
        </w:rPr>
      </w:pPr>
    </w:p>
    <w:tbl>
      <w:tblPr>
        <w:tblStyle w:val="TableGrid"/>
        <w:tblW w:w="9450" w:type="dxa"/>
        <w:tblInd w:w="-5" w:type="dxa"/>
        <w:tblLook w:val="04A0" w:firstRow="1" w:lastRow="0" w:firstColumn="1" w:lastColumn="0" w:noHBand="0" w:noVBand="1"/>
      </w:tblPr>
      <w:tblGrid>
        <w:gridCol w:w="3060"/>
        <w:gridCol w:w="6390"/>
      </w:tblGrid>
      <w:tr w:rsidR="00EB1C1F" w:rsidRPr="00EB1C1F" w14:paraId="169D0EE8" w14:textId="77777777" w:rsidTr="006427F7">
        <w:trPr>
          <w:cantSplit/>
          <w:tblHeader/>
        </w:trPr>
        <w:tc>
          <w:tcPr>
            <w:tcW w:w="3060" w:type="dxa"/>
          </w:tcPr>
          <w:p w14:paraId="54597BD1" w14:textId="77777777" w:rsidR="00EB1C1F" w:rsidRPr="00EB1C1F" w:rsidRDefault="00EB1C1F" w:rsidP="00EB1C1F">
            <w:pPr>
              <w:rPr>
                <w:rFonts w:ascii="Calibri" w:eastAsia="Calibri" w:hAnsi="Calibri" w:cs="Calibri"/>
                <w:b/>
                <w:bCs/>
              </w:rPr>
            </w:pPr>
            <w:r w:rsidRPr="00EB1C1F">
              <w:rPr>
                <w:rFonts w:ascii="Calibri" w:eastAsia="Calibri" w:hAnsi="Calibri" w:cs="Calibri"/>
                <w:b/>
                <w:bCs/>
              </w:rPr>
              <w:t>Measure</w:t>
            </w:r>
          </w:p>
        </w:tc>
        <w:tc>
          <w:tcPr>
            <w:tcW w:w="6390" w:type="dxa"/>
          </w:tcPr>
          <w:p w14:paraId="07EFD3CD" w14:textId="77777777" w:rsidR="00EB1C1F" w:rsidRPr="00EB1C1F" w:rsidRDefault="00EB1C1F" w:rsidP="00EB1C1F">
            <w:pPr>
              <w:rPr>
                <w:rFonts w:ascii="Calibri" w:eastAsia="Calibri" w:hAnsi="Calibri" w:cs="Calibri"/>
                <w:b/>
                <w:bCs/>
              </w:rPr>
            </w:pPr>
            <w:r w:rsidRPr="00EB1C1F">
              <w:rPr>
                <w:rFonts w:ascii="Calibri" w:eastAsia="Calibri" w:hAnsi="Calibri" w:cs="Calibri"/>
                <w:b/>
                <w:bCs/>
              </w:rPr>
              <w:t>Description</w:t>
            </w:r>
          </w:p>
        </w:tc>
      </w:tr>
      <w:tr w:rsidR="00EB1C1F" w:rsidRPr="00EB1C1F" w14:paraId="4E3C8765" w14:textId="77777777" w:rsidTr="006427F7">
        <w:trPr>
          <w:cantSplit/>
        </w:trPr>
        <w:tc>
          <w:tcPr>
            <w:tcW w:w="3060" w:type="dxa"/>
          </w:tcPr>
          <w:p w14:paraId="22518CEF" w14:textId="77777777" w:rsidR="00EB1C1F" w:rsidRPr="00EB1C1F" w:rsidRDefault="00EB1C1F" w:rsidP="00EB1C1F">
            <w:pPr>
              <w:rPr>
                <w:rFonts w:ascii="Calibri" w:eastAsia="Calibri" w:hAnsi="Calibri" w:cs="Calibri"/>
              </w:rPr>
            </w:pPr>
            <w:r w:rsidRPr="00EB1C1F">
              <w:rPr>
                <w:rFonts w:ascii="Calibri" w:eastAsia="Calibri" w:hAnsi="Calibri" w:cs="Calibri"/>
              </w:rPr>
              <w:t>ASC -3 Wrong Site, Wrong Side, Wrong Patient, Wrong Procedure, Wrong Implant</w:t>
            </w:r>
          </w:p>
        </w:tc>
        <w:tc>
          <w:tcPr>
            <w:tcW w:w="6390" w:type="dxa"/>
          </w:tcPr>
          <w:p w14:paraId="2D987E93" w14:textId="77777777" w:rsidR="00EB1C1F" w:rsidRPr="00EB1C1F" w:rsidRDefault="00EB1C1F" w:rsidP="00EB1C1F">
            <w:pPr>
              <w:rPr>
                <w:rFonts w:ascii="Calibri" w:eastAsia="Calibri" w:hAnsi="Calibri" w:cs="Calibri"/>
              </w:rPr>
            </w:pPr>
            <w:r w:rsidRPr="00EB1C1F">
              <w:rPr>
                <w:rFonts w:ascii="Calibri" w:eastAsia="Calibri" w:hAnsi="Calibri" w:cs="Calibri"/>
              </w:rPr>
              <w:t>The number of admissions (patients) who experience a wrong site, side, patient, procedure, or implant</w:t>
            </w:r>
          </w:p>
        </w:tc>
      </w:tr>
      <w:tr w:rsidR="00EB1C1F" w:rsidRPr="00EB1C1F" w14:paraId="066DC9A4" w14:textId="77777777" w:rsidTr="006427F7">
        <w:trPr>
          <w:cantSplit/>
        </w:trPr>
        <w:tc>
          <w:tcPr>
            <w:tcW w:w="3060" w:type="dxa"/>
          </w:tcPr>
          <w:p w14:paraId="03231E2A" w14:textId="77777777" w:rsidR="00EB1C1F" w:rsidRPr="00EB1C1F" w:rsidRDefault="00EB1C1F" w:rsidP="00EB1C1F">
            <w:pPr>
              <w:rPr>
                <w:rFonts w:ascii="Calibri" w:eastAsia="Calibri" w:hAnsi="Calibri" w:cs="Calibri"/>
              </w:rPr>
            </w:pPr>
            <w:r w:rsidRPr="00EB1C1F">
              <w:rPr>
                <w:rFonts w:ascii="Calibri" w:eastAsia="Calibri" w:hAnsi="Calibri" w:cs="Calibri"/>
              </w:rPr>
              <w:t>ASC -4 All Cause Hospital Transfer/Admission</w:t>
            </w:r>
          </w:p>
        </w:tc>
        <w:tc>
          <w:tcPr>
            <w:tcW w:w="6390" w:type="dxa"/>
          </w:tcPr>
          <w:p w14:paraId="7548D705" w14:textId="21BD5E6E" w:rsidR="00EB1C1F" w:rsidRPr="00EB1C1F" w:rsidRDefault="00EB1C1F" w:rsidP="00EB1C1F">
            <w:pPr>
              <w:rPr>
                <w:rFonts w:ascii="Calibri" w:eastAsia="Calibri" w:hAnsi="Calibri" w:cs="Calibri"/>
              </w:rPr>
            </w:pPr>
            <w:r w:rsidRPr="00EB1C1F">
              <w:rPr>
                <w:rFonts w:ascii="Calibri" w:eastAsia="Calibri" w:hAnsi="Calibri" w:cs="Calibri"/>
              </w:rPr>
              <w:t>The percentage of ASC admissions (patients) transferred or admitted to a hospital upon discharge from the ASC</w:t>
            </w:r>
          </w:p>
        </w:tc>
      </w:tr>
      <w:tr w:rsidR="00EB1C1F" w:rsidRPr="00EB1C1F" w14:paraId="4BD5B817" w14:textId="77777777" w:rsidTr="006427F7">
        <w:trPr>
          <w:cantSplit/>
        </w:trPr>
        <w:tc>
          <w:tcPr>
            <w:tcW w:w="3060" w:type="dxa"/>
          </w:tcPr>
          <w:p w14:paraId="3CDD557F" w14:textId="77777777" w:rsidR="00EB1C1F" w:rsidRPr="00EB1C1F" w:rsidRDefault="00EB1C1F" w:rsidP="00EB1C1F">
            <w:pPr>
              <w:rPr>
                <w:rFonts w:ascii="Calibri" w:eastAsia="Calibri" w:hAnsi="Calibri" w:cs="Calibri"/>
              </w:rPr>
            </w:pPr>
            <w:r w:rsidRPr="00EB1C1F">
              <w:rPr>
                <w:rFonts w:ascii="Calibri" w:eastAsia="Calibri" w:hAnsi="Calibri" w:cs="Calibri"/>
              </w:rPr>
              <w:t>ASC -9 Endoscopy/Polyp Surveillance: Appropriate Follow-up Interval for Normal Colonoscopy in Average Risk Patients</w:t>
            </w:r>
          </w:p>
        </w:tc>
        <w:tc>
          <w:tcPr>
            <w:tcW w:w="6390" w:type="dxa"/>
          </w:tcPr>
          <w:p w14:paraId="1225B677" w14:textId="77777777" w:rsidR="00EB1C1F" w:rsidRPr="00EB1C1F" w:rsidRDefault="00EB1C1F" w:rsidP="00EB1C1F">
            <w:pPr>
              <w:rPr>
                <w:rFonts w:ascii="Calibri" w:eastAsia="Calibri" w:hAnsi="Calibri" w:cs="Calibri"/>
              </w:rPr>
            </w:pPr>
            <w:r w:rsidRPr="00EB1C1F">
              <w:rPr>
                <w:rFonts w:ascii="Calibri" w:eastAsia="Calibri" w:hAnsi="Calibri" w:cs="Calibri"/>
              </w:rPr>
              <w:t>Percentage of patients aged 45 to 75 years of age receiving a screening colonoscopy without biopsy or polypectomy who had a recommended follow-up interval of at least 10 years for repeat colonoscopy documented in their colonoscopy report.</w:t>
            </w:r>
          </w:p>
        </w:tc>
      </w:tr>
      <w:tr w:rsidR="00EB1C1F" w:rsidRPr="00EB1C1F" w14:paraId="2AB76913" w14:textId="77777777" w:rsidTr="006427F7">
        <w:trPr>
          <w:cantSplit/>
        </w:trPr>
        <w:tc>
          <w:tcPr>
            <w:tcW w:w="3060" w:type="dxa"/>
          </w:tcPr>
          <w:p w14:paraId="6104216C" w14:textId="77777777" w:rsidR="00EB1C1F" w:rsidRPr="00EB1C1F" w:rsidRDefault="00EB1C1F" w:rsidP="00EB1C1F">
            <w:pPr>
              <w:rPr>
                <w:rFonts w:ascii="Calibri" w:eastAsia="Calibri" w:hAnsi="Calibri" w:cs="Calibri"/>
              </w:rPr>
            </w:pPr>
            <w:r w:rsidRPr="00EB1C1F">
              <w:rPr>
                <w:rFonts w:ascii="Calibri" w:eastAsia="Calibri" w:hAnsi="Calibri" w:cs="Calibri"/>
              </w:rPr>
              <w:t>ASC -12 Facility 7-Day Risk-Standardized Hospital Visit Rate after Outpatient Colonoscopy</w:t>
            </w:r>
          </w:p>
          <w:p w14:paraId="7683089E" w14:textId="77777777" w:rsidR="00EB1C1F" w:rsidRPr="00EB1C1F" w:rsidRDefault="00EB1C1F" w:rsidP="00EB1C1F">
            <w:pPr>
              <w:rPr>
                <w:rFonts w:ascii="Calibri" w:eastAsia="Calibri" w:hAnsi="Calibri" w:cs="Calibri"/>
              </w:rPr>
            </w:pPr>
          </w:p>
        </w:tc>
        <w:tc>
          <w:tcPr>
            <w:tcW w:w="6390" w:type="dxa"/>
          </w:tcPr>
          <w:p w14:paraId="1BEE942E" w14:textId="77777777" w:rsidR="00EB1C1F" w:rsidRPr="00EB1C1F" w:rsidRDefault="00EB1C1F" w:rsidP="00EB1C1F">
            <w:pPr>
              <w:rPr>
                <w:rFonts w:ascii="Calibri" w:eastAsia="Calibri" w:hAnsi="Calibri" w:cs="Calibri"/>
              </w:rPr>
            </w:pPr>
            <w:r w:rsidRPr="00EB1C1F">
              <w:rPr>
                <w:rFonts w:ascii="Calibri" w:eastAsia="Calibri" w:hAnsi="Calibri" w:cs="Calibri"/>
              </w:rPr>
              <w:t>The Facility 7-Day Risk-Standardized Hospital Visit Rate after Outpatient Colonoscopy Measure, hereafter referred to as the colonoscopy measure, estimates a facility-level rate of risk- standardized, all-cause, unplanned hospital visits within seven days of an outpatient colonoscopy among Medicare Fee-for-Service (FFS) patients aged 65 years and older.</w:t>
            </w:r>
          </w:p>
        </w:tc>
      </w:tr>
      <w:tr w:rsidR="00EB1C1F" w:rsidRPr="00EB1C1F" w14:paraId="5E9D6B69" w14:textId="77777777" w:rsidTr="006427F7">
        <w:trPr>
          <w:cantSplit/>
        </w:trPr>
        <w:tc>
          <w:tcPr>
            <w:tcW w:w="3060" w:type="dxa"/>
          </w:tcPr>
          <w:p w14:paraId="5946D8DD" w14:textId="77777777" w:rsidR="00EB1C1F" w:rsidRPr="00EB1C1F" w:rsidRDefault="00EB1C1F" w:rsidP="00EB1C1F">
            <w:pPr>
              <w:rPr>
                <w:rFonts w:ascii="Calibri" w:eastAsia="Calibri" w:hAnsi="Calibri" w:cs="Calibri"/>
              </w:rPr>
            </w:pPr>
            <w:r w:rsidRPr="00EB1C1F">
              <w:rPr>
                <w:rFonts w:ascii="Calibri" w:eastAsia="Calibri" w:hAnsi="Calibri" w:cs="Calibri"/>
              </w:rPr>
              <w:t>ASC -17 Risk-Standardized Hospital Visits within 7 Days after Orthopedic Ambulatory Surgical Center Procedures</w:t>
            </w:r>
          </w:p>
        </w:tc>
        <w:tc>
          <w:tcPr>
            <w:tcW w:w="6390" w:type="dxa"/>
          </w:tcPr>
          <w:p w14:paraId="0DFA83C2" w14:textId="77777777" w:rsidR="00EB1C1F" w:rsidRPr="00EB1C1F" w:rsidRDefault="00EB1C1F" w:rsidP="00EB1C1F">
            <w:pPr>
              <w:rPr>
                <w:rFonts w:ascii="Calibri" w:eastAsia="Calibri" w:hAnsi="Calibri" w:cs="Calibri"/>
              </w:rPr>
            </w:pPr>
            <w:r w:rsidRPr="00EB1C1F">
              <w:rPr>
                <w:rFonts w:ascii="Calibri" w:eastAsia="Calibri" w:hAnsi="Calibri" w:cs="Calibri"/>
              </w:rPr>
              <w:t>The measure estimates a facility-level rate of risk-standardized, all-cause, unplanned hospital visits within seven days of an orthopedic surgery at an ambulatory surgical center (ASC) among Medicare Fee-for-Service (FFS) patients aged 65 years and older.</w:t>
            </w:r>
          </w:p>
        </w:tc>
      </w:tr>
    </w:tbl>
    <w:p w14:paraId="582E955A" w14:textId="77777777" w:rsidR="00EB1C1F" w:rsidRPr="00EB1C1F" w:rsidRDefault="00EB1C1F" w:rsidP="00EB1C1F">
      <w:pPr>
        <w:rPr>
          <w:rFonts w:ascii="Calibri" w:eastAsia="Calibri" w:hAnsi="Calibri" w:cs="Calibri"/>
        </w:rPr>
      </w:pPr>
    </w:p>
    <w:p w14:paraId="1927DB28" w14:textId="3EB6E01D" w:rsidR="00837E4F" w:rsidRPr="00EB1C1F" w:rsidRDefault="00EB1C1F" w:rsidP="00EB1C1F">
      <w:pPr>
        <w:rPr>
          <w:rFonts w:ascii="Calibri" w:eastAsia="Calibri" w:hAnsi="Calibri" w:cs="Calibri"/>
        </w:rPr>
      </w:pPr>
      <w:r w:rsidRPr="00EB1C1F">
        <w:rPr>
          <w:rFonts w:ascii="Calibri" w:eastAsia="Calibri" w:hAnsi="Calibri" w:cs="Calibri"/>
        </w:rPr>
        <w:t>SHS will track the entire ASC panel of quality for indicated cases,</w:t>
      </w:r>
      <w:r w:rsidR="00837E4F">
        <w:rPr>
          <w:rFonts w:ascii="Calibri" w:eastAsia="Calibri" w:hAnsi="Calibri" w:cs="Calibri"/>
        </w:rPr>
        <w:t xml:space="preserve"> and</w:t>
      </w:r>
      <w:r w:rsidRPr="00EB1C1F">
        <w:rPr>
          <w:rFonts w:ascii="Calibri" w:eastAsia="Calibri" w:hAnsi="Calibri" w:cs="Calibri"/>
        </w:rPr>
        <w:t xml:space="preserve"> SHS has selected </w:t>
      </w:r>
      <w:r w:rsidR="00837E4F">
        <w:rPr>
          <w:rFonts w:ascii="Calibri" w:eastAsia="Calibri" w:hAnsi="Calibri" w:cs="Calibri"/>
        </w:rPr>
        <w:t xml:space="preserve">a </w:t>
      </w:r>
      <w:r w:rsidRPr="00EB1C1F">
        <w:rPr>
          <w:rFonts w:ascii="Calibri" w:eastAsia="Calibri" w:hAnsi="Calibri" w:cs="Calibri"/>
        </w:rPr>
        <w:t xml:space="preserve">subset for emphasis </w:t>
      </w:r>
      <w:r w:rsidR="00837E4F">
        <w:rPr>
          <w:rFonts w:ascii="Calibri" w:eastAsia="Calibri" w:hAnsi="Calibri" w:cs="Calibri"/>
        </w:rPr>
        <w:t xml:space="preserve">on </w:t>
      </w:r>
      <w:r w:rsidRPr="00EB1C1F">
        <w:rPr>
          <w:rFonts w:ascii="Calibri" w:eastAsia="Calibri" w:hAnsi="Calibri" w:cs="Calibri"/>
        </w:rPr>
        <w:t xml:space="preserve">safety (wrong site surgery), coordination with </w:t>
      </w:r>
      <w:r w:rsidR="00837E4F">
        <w:rPr>
          <w:rFonts w:ascii="Calibri" w:eastAsia="Calibri" w:hAnsi="Calibri" w:cs="Calibri"/>
        </w:rPr>
        <w:t xml:space="preserve">all clinical </w:t>
      </w:r>
      <w:r w:rsidRPr="00EB1C1F">
        <w:rPr>
          <w:rFonts w:ascii="Calibri" w:eastAsia="Calibri" w:hAnsi="Calibri" w:cs="Calibri"/>
        </w:rPr>
        <w:t xml:space="preserve">sites of care (hospital visits after ambulatory surgery), and to drive population health (colorectal cancer prevention). SHS has selected two populations, </w:t>
      </w:r>
      <w:r w:rsidR="008B7CE2" w:rsidRPr="00EB1C1F">
        <w:rPr>
          <w:rFonts w:ascii="Calibri" w:eastAsia="Calibri" w:hAnsi="Calibri" w:cs="Calibri"/>
        </w:rPr>
        <w:t>orthopedics,</w:t>
      </w:r>
      <w:r w:rsidRPr="00EB1C1F">
        <w:rPr>
          <w:rFonts w:ascii="Calibri" w:eastAsia="Calibri" w:hAnsi="Calibri" w:cs="Calibri"/>
        </w:rPr>
        <w:t xml:space="preserve"> and gastroenterology, that we anticipate will have high utilization in the region. SHS has placed a high emphasis on colorectal screening procedure access and throughput</w:t>
      </w:r>
      <w:r w:rsidR="00837E4F">
        <w:rPr>
          <w:rFonts w:ascii="Calibri" w:eastAsia="Calibri" w:hAnsi="Calibri" w:cs="Calibri"/>
        </w:rPr>
        <w:t xml:space="preserve">. It earned </w:t>
      </w:r>
      <w:r w:rsidRPr="00EB1C1F">
        <w:rPr>
          <w:rFonts w:ascii="Calibri" w:eastAsia="Calibri" w:hAnsi="Calibri" w:cs="Calibri"/>
        </w:rPr>
        <w:t xml:space="preserve">Joint Commission Advanced Total Joint Replacement certification. </w:t>
      </w:r>
    </w:p>
    <w:p w14:paraId="29832380" w14:textId="25A51138" w:rsidR="00EB1C1F" w:rsidRPr="00EB1C1F" w:rsidRDefault="00EB1C1F" w:rsidP="00EB1C1F">
      <w:pPr>
        <w:rPr>
          <w:rFonts w:ascii="Calibri" w:eastAsia="Calibri" w:hAnsi="Calibri" w:cs="Calibri"/>
          <w:b/>
        </w:rPr>
      </w:pPr>
      <w:r w:rsidRPr="00EB1C1F">
        <w:rPr>
          <w:rFonts w:ascii="Calibri" w:eastAsia="Calibri" w:hAnsi="Calibri" w:cs="Calibri"/>
          <w:b/>
        </w:rPr>
        <w:t xml:space="preserve">Projections: </w:t>
      </w:r>
      <w:r w:rsidRPr="00EB1C1F">
        <w:rPr>
          <w:rFonts w:ascii="Calibri" w:eastAsia="Calibri" w:hAnsi="Calibri" w:cs="Calibri"/>
          <w:bCs/>
        </w:rPr>
        <w:t xml:space="preserve">As the Project relates to the change in ownership of SDS, the Applicant intends to </w:t>
      </w:r>
      <w:r w:rsidRPr="00EB1C1F">
        <w:rPr>
          <w:rFonts w:ascii="Calibri" w:eastAsia="Calibri" w:hAnsi="Calibri" w:cs="Calibri"/>
        </w:rPr>
        <w:t>meet or exceed the ASC Quality Collaboration (“ASC-QC”) and/or CMS benchmarks.</w:t>
      </w:r>
    </w:p>
    <w:p w14:paraId="6D2C9D6C" w14:textId="651D9FE4" w:rsidR="006D1E2D" w:rsidRDefault="00EB1C1F" w:rsidP="00837E4F">
      <w:pPr>
        <w:rPr>
          <w:rFonts w:eastAsiaTheme="majorEastAsia"/>
          <w:b/>
          <w:bCs/>
          <w:color w:val="42558C" w:themeColor="accent1" w:themeShade="BF"/>
          <w:sz w:val="28"/>
          <w:szCs w:val="28"/>
        </w:rPr>
      </w:pPr>
      <w:r w:rsidRPr="00EB1C1F">
        <w:rPr>
          <w:rFonts w:ascii="Calibri" w:eastAsia="Calibri" w:hAnsi="Calibri" w:cs="Calibri"/>
          <w:b/>
        </w:rPr>
        <w:t xml:space="preserve">Monitoring: </w:t>
      </w:r>
      <w:r w:rsidRPr="00EB1C1F">
        <w:rPr>
          <w:rFonts w:ascii="Calibri" w:eastAsia="Calibri" w:hAnsi="Calibri" w:cs="Calibri"/>
        </w:rPr>
        <w:t>Results will be reviewed on a quarterly basis and reported to DPH, as required.</w:t>
      </w:r>
    </w:p>
    <w:p w14:paraId="42045675" w14:textId="1DFC2538" w:rsidR="003B4FD2" w:rsidRDefault="009746E1" w:rsidP="005442FB">
      <w:pPr>
        <w:pStyle w:val="Heading1"/>
        <w:rPr>
          <w:rFonts w:ascii="Calibri" w:eastAsia="Calibri" w:hAnsi="Calibri" w:cs="Calibri"/>
        </w:rPr>
      </w:pPr>
      <w:bookmarkStart w:id="107" w:name="_Toc174010180"/>
      <w:r w:rsidRPr="009746E1">
        <w:rPr>
          <w:rFonts w:asciiTheme="minorHAnsi" w:hAnsiTheme="minorHAnsi" w:cstheme="minorHAnsi"/>
        </w:rPr>
        <w:lastRenderedPageBreak/>
        <w:t>Appendix 2</w:t>
      </w:r>
      <w:bookmarkEnd w:id="107"/>
    </w:p>
    <w:p w14:paraId="3222FB70" w14:textId="77777777" w:rsidR="003B4FD2" w:rsidRDefault="003B4FD2" w:rsidP="00EB1C1F">
      <w:pPr>
        <w:rPr>
          <w:rFonts w:ascii="Calibri" w:eastAsia="Calibri" w:hAnsi="Calibri" w:cs="Calibri"/>
        </w:rPr>
      </w:pPr>
    </w:p>
    <w:p w14:paraId="53AEEF53" w14:textId="77777777" w:rsidR="003B4FD2" w:rsidRPr="003B4FD2" w:rsidRDefault="003B4FD2" w:rsidP="003B4FD2">
      <w:pPr>
        <w:rPr>
          <w:rFonts w:ascii="Calibri" w:eastAsia="Calibri" w:hAnsi="Calibri" w:cs="Calibri"/>
          <w:b/>
          <w:bCs/>
        </w:rPr>
      </w:pPr>
      <w:r w:rsidRPr="003B4FD2">
        <w:rPr>
          <w:rFonts w:ascii="Calibri" w:eastAsia="Calibri" w:hAnsi="Calibri" w:cs="Calibri"/>
          <w:b/>
          <w:bCs/>
        </w:rPr>
        <w:t xml:space="preserve">Community-High Public Payer Hospitals – Statewide Relative Price   </w:t>
      </w:r>
    </w:p>
    <w:p w14:paraId="79202F7F" w14:textId="7BB4FFE6" w:rsidR="003B4FD2" w:rsidRPr="003B4FD2" w:rsidRDefault="003B4FD2" w:rsidP="003B4FD2">
      <w:pPr>
        <w:rPr>
          <w:rFonts w:ascii="Calibri" w:eastAsia="Calibri" w:hAnsi="Calibri" w:cs="Calibri"/>
          <w:i/>
          <w:iCs/>
        </w:rPr>
      </w:pPr>
      <w:r w:rsidRPr="003B4FD2">
        <w:rPr>
          <w:rFonts w:ascii="Calibri" w:eastAsia="Calibri" w:hAnsi="Calibri" w:cs="Calibri"/>
          <w:i/>
          <w:iCs/>
        </w:rPr>
        <w:t xml:space="preserve">**Table reflects Statewide (Cross-Payer) Relative Price attributed to Community-High Public Payer Hospitals in MA (Insurance Category = Commercial – Self &amp; Fully Insured); table sorted in descending order by CY21 </w:t>
      </w:r>
      <w:proofErr w:type="gramStart"/>
      <w:r w:rsidRPr="003B4FD2">
        <w:rPr>
          <w:rFonts w:ascii="Calibri" w:eastAsia="Calibri" w:hAnsi="Calibri" w:cs="Calibri"/>
          <w:i/>
          <w:iCs/>
        </w:rPr>
        <w:t>RP(</w:t>
      </w:r>
      <w:proofErr w:type="gramEnd"/>
      <w:r w:rsidRPr="003B4FD2">
        <w:rPr>
          <w:rFonts w:ascii="Calibri" w:eastAsia="Calibri" w:hAnsi="Calibri" w:cs="Calibri"/>
          <w:i/>
          <w:iCs/>
        </w:rPr>
        <w:t>Source: CHIA)</w:t>
      </w:r>
    </w:p>
    <w:p w14:paraId="3412849C" w14:textId="77777777" w:rsidR="003B4FD2" w:rsidRDefault="003B4FD2" w:rsidP="00EB1C1F">
      <w:pPr>
        <w:rPr>
          <w:rFonts w:ascii="Calibri" w:eastAsia="Calibri" w:hAnsi="Calibri" w:cs="Calibri"/>
        </w:rPr>
      </w:pPr>
    </w:p>
    <w:p w14:paraId="61958CC0" w14:textId="77777777" w:rsidR="003B4FD2" w:rsidRPr="003B4FD2" w:rsidRDefault="003B4FD2" w:rsidP="00EB1C1F">
      <w:pPr>
        <w:rPr>
          <w:rFonts w:ascii="Calibri" w:eastAsia="Calibri" w:hAnsi="Calibri" w:cs="Calibri"/>
          <w:b/>
          <w:sz w:val="20"/>
          <w:szCs w:val="20"/>
        </w:rPr>
      </w:pPr>
    </w:p>
    <w:tbl>
      <w:tblPr>
        <w:tblStyle w:val="PlainTable11"/>
        <w:tblW w:w="5000" w:type="pct"/>
        <w:tblLook w:val="04A0" w:firstRow="1" w:lastRow="0" w:firstColumn="1" w:lastColumn="0" w:noHBand="0" w:noVBand="1"/>
      </w:tblPr>
      <w:tblGrid>
        <w:gridCol w:w="2394"/>
        <w:gridCol w:w="2386"/>
        <w:gridCol w:w="757"/>
        <w:gridCol w:w="763"/>
        <w:gridCol w:w="763"/>
        <w:gridCol w:w="763"/>
        <w:gridCol w:w="763"/>
        <w:gridCol w:w="761"/>
      </w:tblGrid>
      <w:tr w:rsidR="003B4FD2" w:rsidRPr="00A31DE2" w14:paraId="2EC0F807" w14:textId="77777777" w:rsidTr="00E60B72">
        <w:trPr>
          <w:cnfStyle w:val="100000000000" w:firstRow="1" w:lastRow="0" w:firstColumn="0" w:lastColumn="0" w:oddVBand="0" w:evenVBand="0" w:oddHBand="0" w:evenHBand="0" w:firstRowFirstColumn="0" w:firstRowLastColumn="0" w:lastRowFirstColumn="0" w:lastRowLastColumn="0"/>
          <w:cantSplit/>
          <w:trHeight w:val="499"/>
          <w:tblHeader/>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606C6D75" w14:textId="77777777" w:rsidR="003B4FD2" w:rsidRPr="00A31DE2" w:rsidRDefault="003B4FD2" w:rsidP="00E60B72">
            <w:pPr>
              <w:autoSpaceDN w:val="0"/>
              <w:jc w:val="center"/>
              <w:rPr>
                <w:rFonts w:ascii="Calibri" w:eastAsia="Times New Roman" w:hAnsi="Calibri" w:cs="Calibri"/>
                <w:color w:val="000000"/>
                <w:sz w:val="12"/>
                <w:szCs w:val="12"/>
              </w:rPr>
            </w:pPr>
            <w:r w:rsidRPr="00A31DE2">
              <w:rPr>
                <w:rFonts w:ascii="Calibri" w:eastAsia="Times New Roman" w:hAnsi="Calibri" w:cs="Calibri"/>
                <w:color w:val="000000"/>
                <w:sz w:val="12"/>
                <w:szCs w:val="12"/>
              </w:rPr>
              <w:t>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3AB00575" w14:textId="77777777" w:rsidR="003B4FD2" w:rsidRPr="00A31DE2" w:rsidRDefault="003B4FD2" w:rsidP="00E60B72">
            <w:pPr>
              <w:autoSpaceDN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System</w:t>
            </w:r>
          </w:p>
        </w:tc>
        <w:tc>
          <w:tcPr>
            <w:tcW w:w="405" w:type="pct"/>
            <w:tcBorders>
              <w:top w:val="single" w:sz="4" w:space="0" w:color="BFBFBF"/>
              <w:left w:val="single" w:sz="4" w:space="0" w:color="BFBFBF"/>
              <w:bottom w:val="single" w:sz="4" w:space="0" w:color="BFBFBF"/>
              <w:right w:val="single" w:sz="4" w:space="0" w:color="BFBFBF"/>
            </w:tcBorders>
            <w:vAlign w:val="center"/>
            <w:hideMark/>
          </w:tcPr>
          <w:p w14:paraId="0DCE3F2F" w14:textId="77777777" w:rsidR="003B4FD2" w:rsidRPr="00A31DE2" w:rsidRDefault="003B4FD2" w:rsidP="00E60B72">
            <w:pPr>
              <w:autoSpaceDN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Public Pay</w:t>
            </w:r>
            <w:r w:rsidRPr="00A31DE2">
              <w:rPr>
                <w:rFonts w:ascii="Calibri" w:eastAsia="Times New Roman" w:hAnsi="Calibri" w:cs="Calibri"/>
                <w:color w:val="000000"/>
                <w:sz w:val="12"/>
                <w:szCs w:val="12"/>
              </w:rPr>
              <w:br/>
              <w:t>(FY21)</w:t>
            </w:r>
          </w:p>
        </w:tc>
        <w:tc>
          <w:tcPr>
            <w:tcW w:w="408" w:type="pct"/>
            <w:tcBorders>
              <w:top w:val="single" w:sz="4" w:space="0" w:color="BFBFBF"/>
              <w:left w:val="single" w:sz="4" w:space="0" w:color="BFBFBF"/>
              <w:bottom w:val="single" w:sz="4" w:space="0" w:color="BFBFBF"/>
              <w:right w:val="single" w:sz="4" w:space="0" w:color="BFBFBF"/>
            </w:tcBorders>
            <w:vAlign w:val="center"/>
            <w:hideMark/>
          </w:tcPr>
          <w:p w14:paraId="3C5AB435" w14:textId="77777777" w:rsidR="003B4FD2" w:rsidRPr="00A31DE2" w:rsidRDefault="003B4FD2" w:rsidP="00E60B72">
            <w:pPr>
              <w:autoSpaceDN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CY17</w:t>
            </w:r>
            <w:r w:rsidRPr="00A31DE2">
              <w:rPr>
                <w:rFonts w:ascii="Calibri" w:eastAsia="Times New Roman" w:hAnsi="Calibri" w:cs="Calibri"/>
                <w:color w:val="000000"/>
                <w:sz w:val="12"/>
                <w:szCs w:val="12"/>
              </w:rPr>
              <w:br/>
              <w:t>(RP)</w:t>
            </w:r>
          </w:p>
        </w:tc>
        <w:tc>
          <w:tcPr>
            <w:tcW w:w="408" w:type="pct"/>
            <w:tcBorders>
              <w:top w:val="single" w:sz="4" w:space="0" w:color="BFBFBF"/>
              <w:left w:val="single" w:sz="4" w:space="0" w:color="BFBFBF"/>
              <w:bottom w:val="single" w:sz="4" w:space="0" w:color="BFBFBF"/>
              <w:right w:val="single" w:sz="4" w:space="0" w:color="BFBFBF"/>
            </w:tcBorders>
            <w:vAlign w:val="center"/>
            <w:hideMark/>
          </w:tcPr>
          <w:p w14:paraId="7EC02FB0" w14:textId="77777777" w:rsidR="003B4FD2" w:rsidRPr="00A31DE2" w:rsidRDefault="003B4FD2" w:rsidP="00E60B72">
            <w:pPr>
              <w:autoSpaceDN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CY18</w:t>
            </w:r>
            <w:r w:rsidRPr="00A31DE2">
              <w:rPr>
                <w:rFonts w:ascii="Calibri" w:eastAsia="Times New Roman" w:hAnsi="Calibri" w:cs="Calibri"/>
                <w:color w:val="000000"/>
                <w:sz w:val="12"/>
                <w:szCs w:val="12"/>
              </w:rPr>
              <w:br/>
              <w:t>(RP)</w:t>
            </w:r>
          </w:p>
        </w:tc>
        <w:tc>
          <w:tcPr>
            <w:tcW w:w="408" w:type="pct"/>
            <w:tcBorders>
              <w:top w:val="single" w:sz="4" w:space="0" w:color="BFBFBF"/>
              <w:left w:val="single" w:sz="4" w:space="0" w:color="BFBFBF"/>
              <w:bottom w:val="single" w:sz="4" w:space="0" w:color="BFBFBF"/>
              <w:right w:val="single" w:sz="4" w:space="0" w:color="BFBFBF"/>
            </w:tcBorders>
            <w:vAlign w:val="center"/>
            <w:hideMark/>
          </w:tcPr>
          <w:p w14:paraId="2DF27C5C" w14:textId="77777777" w:rsidR="003B4FD2" w:rsidRPr="00A31DE2" w:rsidRDefault="003B4FD2" w:rsidP="00E60B72">
            <w:pPr>
              <w:autoSpaceDN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CY19</w:t>
            </w:r>
            <w:r w:rsidRPr="00A31DE2">
              <w:rPr>
                <w:rFonts w:ascii="Calibri" w:eastAsia="Times New Roman" w:hAnsi="Calibri" w:cs="Calibri"/>
                <w:color w:val="000000"/>
                <w:sz w:val="12"/>
                <w:szCs w:val="12"/>
              </w:rPr>
              <w:br/>
              <w:t>(RP)</w:t>
            </w:r>
          </w:p>
        </w:tc>
        <w:tc>
          <w:tcPr>
            <w:tcW w:w="408" w:type="pct"/>
            <w:tcBorders>
              <w:top w:val="single" w:sz="4" w:space="0" w:color="BFBFBF"/>
              <w:left w:val="single" w:sz="4" w:space="0" w:color="BFBFBF"/>
              <w:bottom w:val="single" w:sz="4" w:space="0" w:color="BFBFBF"/>
              <w:right w:val="single" w:sz="4" w:space="0" w:color="BFBFBF"/>
            </w:tcBorders>
            <w:vAlign w:val="center"/>
            <w:hideMark/>
          </w:tcPr>
          <w:p w14:paraId="4A998DFE" w14:textId="77777777" w:rsidR="003B4FD2" w:rsidRPr="00A31DE2" w:rsidRDefault="003B4FD2" w:rsidP="00E60B72">
            <w:pPr>
              <w:autoSpaceDN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CY20</w:t>
            </w:r>
            <w:r w:rsidRPr="00A31DE2">
              <w:rPr>
                <w:rFonts w:ascii="Calibri" w:eastAsia="Times New Roman" w:hAnsi="Calibri" w:cs="Calibri"/>
                <w:color w:val="000000"/>
                <w:sz w:val="12"/>
                <w:szCs w:val="12"/>
              </w:rPr>
              <w:br/>
              <w:t>(RP)</w:t>
            </w:r>
          </w:p>
        </w:tc>
        <w:tc>
          <w:tcPr>
            <w:tcW w:w="408" w:type="pct"/>
            <w:tcBorders>
              <w:top w:val="single" w:sz="4" w:space="0" w:color="BFBFBF"/>
              <w:left w:val="single" w:sz="4" w:space="0" w:color="BFBFBF"/>
              <w:bottom w:val="single" w:sz="4" w:space="0" w:color="BFBFBF"/>
              <w:right w:val="single" w:sz="4" w:space="0" w:color="BFBFBF"/>
            </w:tcBorders>
            <w:vAlign w:val="center"/>
            <w:hideMark/>
          </w:tcPr>
          <w:p w14:paraId="7FE9286E" w14:textId="77777777" w:rsidR="003B4FD2" w:rsidRPr="00A31DE2" w:rsidRDefault="003B4FD2" w:rsidP="00E60B72">
            <w:pPr>
              <w:autoSpaceDN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CY21</w:t>
            </w:r>
            <w:r w:rsidRPr="00A31DE2">
              <w:rPr>
                <w:rFonts w:ascii="Calibri" w:eastAsia="Times New Roman" w:hAnsi="Calibri" w:cs="Calibri"/>
                <w:color w:val="000000"/>
                <w:sz w:val="12"/>
                <w:szCs w:val="12"/>
              </w:rPr>
              <w:br/>
              <w:t>(RP)</w:t>
            </w:r>
          </w:p>
        </w:tc>
      </w:tr>
      <w:tr w:rsidR="003B4FD2" w:rsidRPr="00A31DE2" w14:paraId="2B69CDF7"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3BF7E5F5"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Falmouth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303DB16F"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Cape Cod Healthcare</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49CCC976"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71.8%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059A169"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1.394</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992286A"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1.391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7253A3C"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1.450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A37CD77"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1.438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9D21484"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1.480</w:t>
            </w:r>
          </w:p>
        </w:tc>
      </w:tr>
      <w:tr w:rsidR="003B4FD2" w:rsidRPr="00A31DE2" w14:paraId="2135119E"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150F578C"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Cape Cod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089E4F09"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Cape Cod Healthcare</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3C4AB016"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74.7%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8520F17"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1.304</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F19A9B1"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1.312</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68FB7F4"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1.339</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290DE83"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1.350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AB51D62"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1.360</w:t>
            </w:r>
          </w:p>
        </w:tc>
      </w:tr>
      <w:tr w:rsidR="003B4FD2" w:rsidRPr="00A31DE2" w14:paraId="2970F4D4"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0BF1AC26"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Fairview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5165E7CC"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Berkshire Health Systems</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4D7A6D94"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67.0%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CCA92E4"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1.380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27223A6"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1.333</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FCE63A8"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1.349</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BD20165"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1.086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28C3F9C"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1.190</w:t>
            </w:r>
          </w:p>
        </w:tc>
      </w:tr>
      <w:tr w:rsidR="003B4FD2" w:rsidRPr="00A31DE2" w14:paraId="19F4FE8B"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6D6D227C"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Steward Saint Anne's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0ED0D51A"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Steward Health Care System</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7C8C0934"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71.6%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34A0A07"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0.955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A6F6503"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0.988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E832651"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0.999</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861BF6E"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1.051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78F995CE"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1.060</w:t>
            </w:r>
          </w:p>
        </w:tc>
      </w:tr>
      <w:tr w:rsidR="003B4FD2" w:rsidRPr="00A31DE2" w14:paraId="5FE715B8"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66D5D3F7"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Sturdy Memorial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343190C9"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Sturdy Memorial Foundation</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6C8C31A1"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65.0%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958D9AF"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1.023</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0A3F381"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1.102</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CC16909"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1.124</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2E781EB"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1.088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66FF3C2"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1.060</w:t>
            </w:r>
          </w:p>
        </w:tc>
      </w:tr>
      <w:tr w:rsidR="003B4FD2" w:rsidRPr="00A31DE2" w14:paraId="2E90FB71"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3F390F2F"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Berkshire Medical Center</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0B0841AA"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Berkshire Health Systems</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56CBC417"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72.6%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22E7C12"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1.235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C5AB6F3"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1.231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F295E26"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1.215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10D916C"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1.019</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090D039"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1.040</w:t>
            </w:r>
          </w:p>
        </w:tc>
      </w:tr>
      <w:tr w:rsidR="003B4FD2" w:rsidRPr="00A31DE2" w14:paraId="761A58C5"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0B0AE4A3"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Steward Good Samaritan Medical Center</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3BF1F8BD"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Steward Health Care System</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4CE034FD"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69.8%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05DAEF1"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0.916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50D3602"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0.872</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6DDB820"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0.974</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2ED95D2"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1.005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F9945DF"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0.980</w:t>
            </w:r>
          </w:p>
        </w:tc>
      </w:tr>
      <w:tr w:rsidR="003B4FD2" w:rsidRPr="00A31DE2" w14:paraId="567243BD"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6BCC78D2"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Baystate Franklin Medical Center</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1E4408DA"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 xml:space="preserve">Baystate Health </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331450B6"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72.7%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D6934D4"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1.047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81C7345"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1.110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67EF822"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1.002</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001F091"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0.967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576B7B4"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0.960</w:t>
            </w:r>
          </w:p>
        </w:tc>
      </w:tr>
      <w:tr w:rsidR="003B4FD2" w:rsidRPr="00A31DE2" w14:paraId="5057CD49"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789D9135"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North Shore Medical Center</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4FD89F81"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Mass General Brigham</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446BFE71"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70.0%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7E0D0213"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1.000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415889D"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1.000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926D6A9"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0.980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205F340"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0.962</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7951C0A1"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0.960</w:t>
            </w:r>
          </w:p>
        </w:tc>
      </w:tr>
      <w:tr w:rsidR="003B4FD2" w:rsidRPr="00A31DE2" w14:paraId="646B43F8"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536B3978"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Steward Holy Family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5388832A"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Steward Health Care System</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371CC28B"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69.5%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56011A1"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0.873</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191441A"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0.853</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CEE6187"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0.907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02047D7"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0.950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170EE1B"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0.950</w:t>
            </w:r>
          </w:p>
        </w:tc>
      </w:tr>
      <w:tr w:rsidR="003B4FD2" w:rsidRPr="00A31DE2" w14:paraId="09E7AB63"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021B69D9"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Marlborough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70B86639"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UMass Memorial Health Care</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6D3681FB"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66.1%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F2572E4"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0.878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AB586A5"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0.876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0FB3E68"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0.908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1960D26"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0.907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4833DD4"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0.940</w:t>
            </w:r>
          </w:p>
        </w:tc>
      </w:tr>
      <w:tr w:rsidR="003B4FD2" w:rsidRPr="00A31DE2" w14:paraId="265A6DF5"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17A69F61"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Morton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6E3CF85E"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Steward Health Care System</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34112DD4"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69.0%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217E547"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0.848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9C37E4E"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0.835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BD141F1"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0.912</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5DB7897"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0.928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FAE21FC"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0.940</w:t>
            </w:r>
          </w:p>
        </w:tc>
      </w:tr>
      <w:tr w:rsidR="003B4FD2" w:rsidRPr="00A31DE2" w14:paraId="1B62D91A"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76390653"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Nashoba Valley Medical Center</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04B49272"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Steward Health Care System</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1E62CF4C"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64.3%</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FB74CB5"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0.952</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6069B23"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0.867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67A7053"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0.897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233D521"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0.898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9841693"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0.940</w:t>
            </w:r>
          </w:p>
        </w:tc>
      </w:tr>
      <w:tr w:rsidR="003B4FD2" w:rsidRPr="00A31DE2" w14:paraId="23A1CE8A"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3A2F69CD"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Cooley Dickinson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47FAAF85"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Mass General Brigham</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772C572E"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70.4%</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7B19860E"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1.068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D38BB27"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1.067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4708895"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1.011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C348590"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0.975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5F49916"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0.920</w:t>
            </w:r>
          </w:p>
        </w:tc>
      </w:tr>
      <w:tr w:rsidR="003B4FD2" w:rsidRPr="00A31DE2" w14:paraId="05BB17B7"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117D4D0B"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MetroWest Medical Center</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0F01485C"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Tenet Healthcare</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3F41AF17"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66.6%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5E6CBA3"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0.897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21F1498"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0.953</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D65BFAB"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1.003</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376E2A7"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0.931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2E21137"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0.920</w:t>
            </w:r>
          </w:p>
        </w:tc>
      </w:tr>
      <w:tr w:rsidR="003B4FD2" w:rsidRPr="00A31DE2" w14:paraId="2827892D"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75898BD0"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Beth Israel Deaconess Hospital - Plymouth</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38C59D94"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Beth Israel Lahey Health</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103B09B7"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68.7%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3F067E1"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0.869</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78CDF7A1"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0.905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0A1D3FA"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0.881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B4DD44B"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0.939</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3D61D1B"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0.910</w:t>
            </w:r>
          </w:p>
        </w:tc>
      </w:tr>
      <w:tr w:rsidR="003B4FD2" w:rsidRPr="00A31DE2" w14:paraId="0345838C"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0FC63A33"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Athol Memorial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42B36881"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Heywood Healthcare</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77BCFC9E"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70.1%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8343ED9"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0.901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775BD1A3"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0.797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8864D02"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0.825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734503B1"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0.861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9AB7F75"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0.900</w:t>
            </w:r>
          </w:p>
        </w:tc>
      </w:tr>
      <w:tr w:rsidR="003B4FD2" w:rsidRPr="00A31DE2" w14:paraId="2D8DA364"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1CD455BF"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Melrose Wakefield Healthcare</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18EA4999"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Tufts Medicine</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6F162874"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65.0%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01ADAFC"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0.916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14FBE4D"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0.915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B44781F"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0.924</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CC12989"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0.920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963324E"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0.900</w:t>
            </w:r>
          </w:p>
        </w:tc>
      </w:tr>
      <w:tr w:rsidR="003B4FD2" w:rsidRPr="00A31DE2" w14:paraId="13A61C3C"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2DC210FD"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Signature Healthcare Brockton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091295B3"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Signature Healthcare Corporation</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2905BB10"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76.0%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BE60FC8"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0.798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3F843A0"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0.808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6470E0C"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0.827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EF28952"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0.889</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98AFA02"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0.900</w:t>
            </w:r>
          </w:p>
        </w:tc>
      </w:tr>
      <w:tr w:rsidR="003B4FD2" w:rsidRPr="00A31DE2" w14:paraId="6269FDC5"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6695E6C9"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Harrington Memorial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1FC3A7AE"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UMass Memorial Health Care</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30047EF3"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68.8%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78707B8"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0.895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23FF6B5"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0.852</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7AE867ED"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0.841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0E7D7B3"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0.894</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94AB763"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0.850</w:t>
            </w:r>
          </w:p>
        </w:tc>
      </w:tr>
      <w:tr w:rsidR="003B4FD2" w:rsidRPr="00A31DE2" w14:paraId="65B96169"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1739603C"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HealthAlliance-Clinton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0F2DA655"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UMass Memorial Health Care</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6552B7C2"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72.8%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160861D"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0.827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F05CAF1"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0.866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7C477988"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0.807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D0E4B85"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0.859</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8740390"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0.850</w:t>
            </w:r>
          </w:p>
        </w:tc>
      </w:tr>
      <w:tr w:rsidR="003B4FD2" w:rsidRPr="00A31DE2" w14:paraId="752481F2"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13DAD888"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Northeast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4DB195A6"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Beth Israel Lahey Health</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30C6DCA5"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65.0%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80B6987"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0.847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8DC33BD"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0.857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2B9AF61"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0.832</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889EE48"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0.858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E873C64"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0.850</w:t>
            </w:r>
          </w:p>
        </w:tc>
      </w:tr>
      <w:tr w:rsidR="003B4FD2" w:rsidRPr="00A31DE2" w14:paraId="21FF1D0F"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149A14E8"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Mercy Medical Center</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7620C2A6"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Trinity Health</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61D84740"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77.1%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1324049"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0.785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FD908C9"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0.792</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432DFD0"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0.838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EC0EB68"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0.829</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A13BB24"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0.840</w:t>
            </w:r>
          </w:p>
        </w:tc>
      </w:tr>
      <w:tr w:rsidR="003B4FD2" w:rsidRPr="00A31DE2" w14:paraId="74B84B8C"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530A9F24" w14:textId="77777777" w:rsidR="003B4FD2" w:rsidRPr="00A31DE2" w:rsidRDefault="003B4FD2" w:rsidP="00E60B72">
            <w:pPr>
              <w:autoSpaceDN w:val="0"/>
              <w:rPr>
                <w:rFonts w:ascii="Calibri" w:eastAsia="Times New Roman" w:hAnsi="Calibri" w:cs="Calibri"/>
                <w:color w:val="000000"/>
                <w:sz w:val="12"/>
                <w:szCs w:val="12"/>
                <w:highlight w:val="yellow"/>
              </w:rPr>
            </w:pPr>
            <w:r w:rsidRPr="00A31DE2">
              <w:rPr>
                <w:rFonts w:ascii="Calibri" w:eastAsia="Times New Roman" w:hAnsi="Calibri" w:cs="Calibri"/>
                <w:color w:val="000000"/>
                <w:sz w:val="12"/>
                <w:szCs w:val="12"/>
                <w:highlight w:val="yellow"/>
              </w:rPr>
              <w:t>Southcoast Hospitals Group</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598807FC"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2"/>
                <w:szCs w:val="12"/>
                <w:highlight w:val="yellow"/>
              </w:rPr>
            </w:pPr>
            <w:r w:rsidRPr="00A31DE2">
              <w:rPr>
                <w:rFonts w:ascii="Calibri" w:eastAsia="Times New Roman" w:hAnsi="Calibri" w:cs="Calibri"/>
                <w:b/>
                <w:bCs/>
                <w:color w:val="000000"/>
                <w:sz w:val="12"/>
                <w:szCs w:val="12"/>
                <w:highlight w:val="yellow"/>
              </w:rPr>
              <w:t>Southcoast Health System</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52A73B91"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2"/>
                <w:szCs w:val="12"/>
                <w:highlight w:val="yellow"/>
              </w:rPr>
            </w:pPr>
            <w:r w:rsidRPr="00A31DE2">
              <w:rPr>
                <w:rFonts w:ascii="Calibri" w:eastAsia="Times New Roman" w:hAnsi="Calibri" w:cs="Calibri"/>
                <w:b/>
                <w:bCs/>
                <w:color w:val="000000"/>
                <w:sz w:val="12"/>
                <w:szCs w:val="12"/>
                <w:highlight w:val="yellow"/>
              </w:rPr>
              <w:t>74.6%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74A50E87"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2"/>
                <w:szCs w:val="12"/>
                <w:highlight w:val="yellow"/>
              </w:rPr>
            </w:pPr>
            <w:r w:rsidRPr="00A31DE2">
              <w:rPr>
                <w:rFonts w:ascii="Calibri" w:eastAsia="Times New Roman" w:hAnsi="Calibri" w:cs="Calibri"/>
                <w:b/>
                <w:bCs/>
                <w:color w:val="000000"/>
                <w:sz w:val="12"/>
                <w:szCs w:val="12"/>
                <w:highlight w:val="yellow"/>
              </w:rPr>
              <w:t>0.868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7B2B3D9C"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2"/>
                <w:szCs w:val="12"/>
                <w:highlight w:val="yellow"/>
              </w:rPr>
            </w:pPr>
            <w:r w:rsidRPr="00A31DE2">
              <w:rPr>
                <w:rFonts w:ascii="Calibri" w:eastAsia="Times New Roman" w:hAnsi="Calibri" w:cs="Calibri"/>
                <w:b/>
                <w:bCs/>
                <w:color w:val="000000"/>
                <w:sz w:val="12"/>
                <w:szCs w:val="12"/>
                <w:highlight w:val="yellow"/>
              </w:rPr>
              <w:t>0.875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4E79184"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2"/>
                <w:szCs w:val="12"/>
                <w:highlight w:val="yellow"/>
              </w:rPr>
            </w:pPr>
            <w:r w:rsidRPr="00A31DE2">
              <w:rPr>
                <w:rFonts w:ascii="Calibri" w:eastAsia="Times New Roman" w:hAnsi="Calibri" w:cs="Calibri"/>
                <w:b/>
                <w:bCs/>
                <w:color w:val="000000"/>
                <w:sz w:val="12"/>
                <w:szCs w:val="12"/>
                <w:highlight w:val="yellow"/>
              </w:rPr>
              <w:t>0.824</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2C65AEF"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2"/>
                <w:szCs w:val="12"/>
                <w:highlight w:val="yellow"/>
              </w:rPr>
            </w:pPr>
            <w:r w:rsidRPr="00A31DE2">
              <w:rPr>
                <w:rFonts w:ascii="Calibri" w:eastAsia="Times New Roman" w:hAnsi="Calibri" w:cs="Calibri"/>
                <w:b/>
                <w:bCs/>
                <w:color w:val="000000"/>
                <w:sz w:val="12"/>
                <w:szCs w:val="12"/>
                <w:highlight w:val="yellow"/>
              </w:rPr>
              <w:t>0.856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E9B3E78"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2"/>
                <w:szCs w:val="12"/>
                <w:highlight w:val="yellow"/>
              </w:rPr>
            </w:pPr>
            <w:r w:rsidRPr="00A31DE2">
              <w:rPr>
                <w:rFonts w:ascii="Calibri" w:eastAsia="Times New Roman" w:hAnsi="Calibri" w:cs="Calibri"/>
                <w:b/>
                <w:bCs/>
                <w:color w:val="000000"/>
                <w:sz w:val="12"/>
                <w:szCs w:val="12"/>
                <w:highlight w:val="yellow"/>
              </w:rPr>
              <w:t>0.830</w:t>
            </w:r>
          </w:p>
        </w:tc>
      </w:tr>
      <w:tr w:rsidR="003B4FD2" w:rsidRPr="00A31DE2" w14:paraId="2AE3CDF2"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5D37356A"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Lawrence General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2A091194"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Lawrence General Hospital and Affiliates</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38F42E16"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75.8%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A98DB3C"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0.739</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51F4D16"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0.790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CDD18FD"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0.777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9146D24"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0.823</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FABBFA3"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0.810</w:t>
            </w:r>
          </w:p>
        </w:tc>
      </w:tr>
      <w:tr w:rsidR="003B4FD2" w:rsidRPr="00A31DE2" w14:paraId="36DF4DDF"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00608EF7"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Lowell General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1359493D"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Tufts Medicine</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635B62C8"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66.5%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3E96EA6"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0.789</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D46BA1B"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0.826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D5E9BEA"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0.846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1902E75"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0.847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3531F29"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0.810</w:t>
            </w:r>
          </w:p>
        </w:tc>
      </w:tr>
      <w:tr w:rsidR="003B4FD2" w:rsidRPr="00A31DE2" w14:paraId="3554727D"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2FBB4605"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Holyoke Medical Center</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3E79F7C5"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Valley Health System</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6823251E"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79.8%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753E6F6" w14:textId="77777777" w:rsidR="003B4FD2" w:rsidRPr="00A31DE2" w:rsidRDefault="003B4FD2" w:rsidP="00E60B72">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8D036E5"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0.771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6D6CCA0"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0.727</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975035F"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0.726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90F26E8"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0.760</w:t>
            </w:r>
          </w:p>
        </w:tc>
      </w:tr>
      <w:tr w:rsidR="003B4FD2" w:rsidRPr="00A31DE2" w14:paraId="33208680"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03B907F2"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Baystate Wing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6C727CEB"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 xml:space="preserve">Baystate Health </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7F2F3170"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70.5%</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0888F72"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0.840</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1F3E8B3"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0.786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532DE2A"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0.773</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B81C182"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0.734</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BE9604F"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0.740</w:t>
            </w:r>
          </w:p>
        </w:tc>
      </w:tr>
      <w:tr w:rsidR="003B4FD2" w:rsidRPr="00A31DE2" w14:paraId="634C4B6B" w14:textId="77777777" w:rsidTr="00E60B72">
        <w:trPr>
          <w:cnfStyle w:val="000000100000" w:firstRow="0" w:lastRow="0" w:firstColumn="0" w:lastColumn="0" w:oddVBand="0" w:evenVBand="0" w:oddHBand="1"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01D4A123"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Baystate Noble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55367DE0" w14:textId="77777777" w:rsidR="003B4FD2" w:rsidRPr="00A31DE2" w:rsidRDefault="003B4FD2" w:rsidP="00E60B72">
            <w:pPr>
              <w:autoSpaceDN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 xml:space="preserve">Baystate Health </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2687E321"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69.1%</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62130EB"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0.684</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25E8F9A"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0.718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0B7AD76"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0.736</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21864949"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0.692</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37B62F95" w14:textId="77777777" w:rsidR="003B4FD2" w:rsidRPr="00A31DE2" w:rsidRDefault="003B4FD2" w:rsidP="00E60B72">
            <w:pPr>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0.730</w:t>
            </w:r>
          </w:p>
        </w:tc>
      </w:tr>
      <w:tr w:rsidR="003B4FD2" w:rsidRPr="00A31DE2" w14:paraId="7DC8F087" w14:textId="77777777" w:rsidTr="00E60B72">
        <w:trPr>
          <w:cantSplit/>
          <w:trHeight w:val="210"/>
        </w:trPr>
        <w:tc>
          <w:tcPr>
            <w:cnfStyle w:val="001000000000" w:firstRow="0" w:lastRow="0" w:firstColumn="1" w:lastColumn="0" w:oddVBand="0" w:evenVBand="0" w:oddHBand="0" w:evenHBand="0" w:firstRowFirstColumn="0" w:firstRowLastColumn="0" w:lastRowFirstColumn="0" w:lastRowLastColumn="0"/>
            <w:tcW w:w="1280" w:type="pct"/>
            <w:tcBorders>
              <w:top w:val="single" w:sz="4" w:space="0" w:color="BFBFBF"/>
              <w:left w:val="single" w:sz="4" w:space="0" w:color="BFBFBF"/>
              <w:bottom w:val="single" w:sz="4" w:space="0" w:color="BFBFBF"/>
              <w:right w:val="single" w:sz="4" w:space="0" w:color="BFBFBF"/>
            </w:tcBorders>
            <w:noWrap/>
            <w:vAlign w:val="center"/>
            <w:hideMark/>
          </w:tcPr>
          <w:p w14:paraId="00F639C4" w14:textId="77777777" w:rsidR="003B4FD2" w:rsidRPr="00A31DE2" w:rsidRDefault="003B4FD2" w:rsidP="00E60B72">
            <w:pPr>
              <w:autoSpaceDN w:val="0"/>
              <w:rPr>
                <w:rFonts w:ascii="Calibri" w:eastAsia="Times New Roman" w:hAnsi="Calibri" w:cs="Calibri"/>
                <w:color w:val="000000"/>
                <w:sz w:val="12"/>
                <w:szCs w:val="12"/>
              </w:rPr>
            </w:pPr>
            <w:r w:rsidRPr="00A31DE2">
              <w:rPr>
                <w:rFonts w:ascii="Calibri" w:eastAsia="Times New Roman" w:hAnsi="Calibri" w:cs="Calibri"/>
                <w:color w:val="000000"/>
                <w:sz w:val="12"/>
                <w:szCs w:val="12"/>
              </w:rPr>
              <w:t>Heywood Hospital</w:t>
            </w:r>
          </w:p>
        </w:tc>
        <w:tc>
          <w:tcPr>
            <w:tcW w:w="1276" w:type="pct"/>
            <w:tcBorders>
              <w:top w:val="single" w:sz="4" w:space="0" w:color="BFBFBF"/>
              <w:left w:val="single" w:sz="4" w:space="0" w:color="BFBFBF"/>
              <w:bottom w:val="single" w:sz="4" w:space="0" w:color="BFBFBF"/>
              <w:right w:val="single" w:sz="4" w:space="0" w:color="BFBFBF"/>
            </w:tcBorders>
            <w:noWrap/>
            <w:vAlign w:val="center"/>
            <w:hideMark/>
          </w:tcPr>
          <w:p w14:paraId="0112CB48" w14:textId="77777777" w:rsidR="003B4FD2" w:rsidRPr="00A31DE2" w:rsidRDefault="003B4FD2" w:rsidP="00E60B72">
            <w:pPr>
              <w:autoSpaceDN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Heywood Healthcare</w:t>
            </w:r>
          </w:p>
        </w:tc>
        <w:tc>
          <w:tcPr>
            <w:tcW w:w="405" w:type="pct"/>
            <w:tcBorders>
              <w:top w:val="single" w:sz="4" w:space="0" w:color="BFBFBF"/>
              <w:left w:val="single" w:sz="4" w:space="0" w:color="BFBFBF"/>
              <w:bottom w:val="single" w:sz="4" w:space="0" w:color="BFBFBF"/>
              <w:right w:val="single" w:sz="4" w:space="0" w:color="BFBFBF"/>
            </w:tcBorders>
            <w:noWrap/>
            <w:vAlign w:val="center"/>
            <w:hideMark/>
          </w:tcPr>
          <w:p w14:paraId="490D29AD"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66.8%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1904B0BF"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0.712</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63FD40EA"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0.728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05B02D53"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0.719</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52C7743C"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0.728</w:t>
            </w:r>
          </w:p>
        </w:tc>
        <w:tc>
          <w:tcPr>
            <w:tcW w:w="408" w:type="pct"/>
            <w:tcBorders>
              <w:top w:val="single" w:sz="4" w:space="0" w:color="BFBFBF"/>
              <w:left w:val="single" w:sz="4" w:space="0" w:color="BFBFBF"/>
              <w:bottom w:val="single" w:sz="4" w:space="0" w:color="BFBFBF"/>
              <w:right w:val="single" w:sz="4" w:space="0" w:color="BFBFBF"/>
            </w:tcBorders>
            <w:noWrap/>
            <w:vAlign w:val="center"/>
            <w:hideMark/>
          </w:tcPr>
          <w:p w14:paraId="48C30CA5" w14:textId="77777777" w:rsidR="003B4FD2" w:rsidRPr="00A31DE2" w:rsidRDefault="003B4FD2" w:rsidP="00E60B72">
            <w:pPr>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rPr>
            </w:pPr>
            <w:r w:rsidRPr="00A31DE2">
              <w:rPr>
                <w:rFonts w:ascii="Calibri" w:eastAsia="Times New Roman" w:hAnsi="Calibri" w:cs="Calibri"/>
                <w:color w:val="000000"/>
                <w:sz w:val="12"/>
                <w:szCs w:val="12"/>
              </w:rPr>
              <w:t>0.730</w:t>
            </w:r>
          </w:p>
        </w:tc>
      </w:tr>
    </w:tbl>
    <w:p w14:paraId="0110C296" w14:textId="77777777" w:rsidR="00EB1C1F" w:rsidRDefault="00EB1C1F" w:rsidP="00EB1C1F">
      <w:pPr>
        <w:rPr>
          <w:rFonts w:ascii="Calibri" w:eastAsia="Calibri" w:hAnsi="Calibri" w:cs="Calibri"/>
        </w:rPr>
      </w:pPr>
    </w:p>
    <w:p w14:paraId="1B12ACDB" w14:textId="77777777" w:rsidR="00671913" w:rsidRPr="00671913" w:rsidRDefault="00671913" w:rsidP="00671913">
      <w:pPr>
        <w:jc w:val="both"/>
        <w:rPr>
          <w:rFonts w:ascii="Calibri" w:eastAsia="Calibri" w:hAnsi="Calibri" w:cs="Calibri"/>
        </w:rPr>
      </w:pPr>
    </w:p>
    <w:p w14:paraId="2816778D" w14:textId="77777777" w:rsidR="00053725" w:rsidRPr="00671913" w:rsidRDefault="00053725" w:rsidP="00671913">
      <w:pPr>
        <w:jc w:val="both"/>
        <w:rPr>
          <w:rFonts w:ascii="Calibri" w:eastAsia="Calibri" w:hAnsi="Calibri" w:cs="Calibri"/>
        </w:rPr>
      </w:pPr>
    </w:p>
    <w:p w14:paraId="04C104D2" w14:textId="2F60CD6A" w:rsidR="005C4091" w:rsidRPr="001E489E" w:rsidRDefault="005C4091" w:rsidP="001B10BB"/>
    <w:p w14:paraId="6D8ECC46" w14:textId="084D75E6" w:rsidR="00440B1E" w:rsidRDefault="00440B1E" w:rsidP="001B10BB"/>
    <w:p w14:paraId="1EB0AAFC" w14:textId="77777777" w:rsidR="00440B1E" w:rsidRDefault="00440B1E">
      <w:pPr>
        <w:spacing w:after="200" w:line="276" w:lineRule="auto"/>
      </w:pPr>
      <w:r>
        <w:br w:type="page"/>
      </w:r>
    </w:p>
    <w:p w14:paraId="0248112C" w14:textId="47A4AE4B" w:rsidR="00F14924" w:rsidRDefault="00F14924" w:rsidP="00F14924">
      <w:pPr>
        <w:spacing w:after="200" w:line="276" w:lineRule="auto"/>
        <w:sectPr w:rsidR="00F14924" w:rsidSect="00A5446E">
          <w:footerReference w:type="default" r:id="rId11"/>
          <w:type w:val="continuous"/>
          <w:pgSz w:w="12240" w:h="15840"/>
          <w:pgMar w:top="1440" w:right="1440" w:bottom="1440" w:left="1440" w:header="720" w:footer="432" w:gutter="0"/>
          <w:cols w:space="720"/>
          <w:titlePg/>
          <w:docGrid w:linePitch="360"/>
        </w:sectPr>
      </w:pPr>
    </w:p>
    <w:p w14:paraId="5C88A18A" w14:textId="3A305B6A" w:rsidR="00F61BC0" w:rsidRPr="001E489E" w:rsidRDefault="00F61BC0" w:rsidP="001B10BB"/>
    <w:sectPr w:rsidR="00F61BC0" w:rsidRPr="001E489E" w:rsidSect="00A5446E">
      <w:headerReference w:type="even" r:id="rId12"/>
      <w:headerReference w:type="default" r:id="rId13"/>
      <w:footerReference w:type="even" r:id="rId14"/>
      <w:footerReference w:type="default" r:id="rId15"/>
      <w:headerReference w:type="first" r:id="rId16"/>
      <w:footerReference w:type="first" r:id="rId17"/>
      <w:endnotePr>
        <w:numFmt w:val="lowerLetter"/>
      </w:endnotePr>
      <w:type w:val="continuous"/>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F7456" w14:textId="77777777" w:rsidR="00FD6D00" w:rsidRDefault="00FD6D00" w:rsidP="008C0709">
      <w:r>
        <w:separator/>
      </w:r>
    </w:p>
  </w:endnote>
  <w:endnote w:type="continuationSeparator" w:id="0">
    <w:p w14:paraId="469E2647" w14:textId="77777777" w:rsidR="00FD6D00" w:rsidRDefault="00FD6D00" w:rsidP="008C0709">
      <w:r>
        <w:continuationSeparator/>
      </w:r>
    </w:p>
  </w:endnote>
  <w:endnote w:type="continuationNotice" w:id="1">
    <w:p w14:paraId="7D025CB1" w14:textId="77777777" w:rsidR="00FD6D00" w:rsidRDefault="00FD6D00"/>
  </w:endnote>
  <w:endnote w:id="2">
    <w:p w14:paraId="2348F11D" w14:textId="77777777" w:rsidR="0033678B" w:rsidRPr="00725F70" w:rsidRDefault="0033678B" w:rsidP="00725F70">
      <w:pPr>
        <w:pStyle w:val="EndnoteText"/>
        <w:rPr>
          <w:rFonts w:cstheme="minorHAnsi"/>
          <w:sz w:val="18"/>
          <w:szCs w:val="18"/>
        </w:rPr>
      </w:pPr>
      <w:r w:rsidRPr="00725F70">
        <w:rPr>
          <w:rStyle w:val="EndnoteReference"/>
          <w:rFonts w:cs="Calibri"/>
          <w:sz w:val="18"/>
          <w:szCs w:val="18"/>
        </w:rPr>
        <w:endnoteRef/>
      </w:r>
      <w:r w:rsidRPr="00725F70">
        <w:rPr>
          <w:rFonts w:cs="Calibri"/>
          <w:sz w:val="18"/>
          <w:szCs w:val="18"/>
        </w:rPr>
        <w:t xml:space="preserve"> </w:t>
      </w:r>
      <w:r w:rsidRPr="00725F70">
        <w:rPr>
          <w:rFonts w:cstheme="minorHAnsi"/>
          <w:sz w:val="18"/>
          <w:szCs w:val="18"/>
        </w:rPr>
        <w:t xml:space="preserve">Massachusetts Health Policy Commission, </w:t>
      </w:r>
      <w:hyperlink r:id="rId1" w:history="1">
        <w:r w:rsidRPr="00725F70">
          <w:rPr>
            <w:rStyle w:val="Hyperlink"/>
            <w:rFonts w:eastAsia="Arial" w:cstheme="minorHAnsi"/>
            <w:i/>
            <w:color w:val="auto"/>
            <w:sz w:val="18"/>
            <w:szCs w:val="18"/>
            <w:u w:val="none"/>
          </w:rPr>
          <w:t>The HPC Accountable Care Organization (ACO) Certification Program</w:t>
        </w:r>
      </w:hyperlink>
      <w:r w:rsidRPr="00725F70">
        <w:rPr>
          <w:rFonts w:eastAsia="Arial" w:cstheme="minorHAnsi"/>
          <w:sz w:val="18"/>
          <w:szCs w:val="18"/>
        </w:rPr>
        <w:t xml:space="preserve"> </w:t>
      </w:r>
      <w:hyperlink r:id="rId2">
        <w:r w:rsidRPr="00725F70">
          <w:rPr>
            <w:rFonts w:eastAsia="Arial" w:cstheme="minorHAnsi"/>
            <w:color w:val="0000FF"/>
            <w:sz w:val="18"/>
            <w:szCs w:val="18"/>
            <w:u w:val="single"/>
          </w:rPr>
          <w:t>https://www.mass.gov/service-details/the-hpc-accountable-care-organization-aco-certification-program</w:t>
        </w:r>
      </w:hyperlink>
      <w:r w:rsidRPr="00725F70">
        <w:rPr>
          <w:rFonts w:eastAsia="Arial" w:cstheme="minorHAnsi"/>
          <w:color w:val="000000"/>
          <w:sz w:val="18"/>
          <w:szCs w:val="18"/>
        </w:rPr>
        <w:t xml:space="preserve"> (identifying SHS, inclusive of its SACO and SHN entities, as a HPC-certified ACO)..</w:t>
      </w:r>
    </w:p>
  </w:endnote>
  <w:endnote w:id="3">
    <w:p w14:paraId="1C05FDCA" w14:textId="0D38D14E" w:rsidR="0033678B" w:rsidRPr="00725F70" w:rsidRDefault="0033678B" w:rsidP="00725F70">
      <w:pPr>
        <w:textAlignment w:val="baseline"/>
        <w:rPr>
          <w:rFonts w:eastAsia="Arial"/>
          <w:sz w:val="18"/>
          <w:szCs w:val="18"/>
        </w:rPr>
      </w:pPr>
      <w:r w:rsidRPr="00725F70">
        <w:rPr>
          <w:rStyle w:val="EndnoteReference"/>
          <w:sz w:val="18"/>
          <w:szCs w:val="18"/>
        </w:rPr>
        <w:endnoteRef/>
      </w:r>
      <w:r w:rsidRPr="00725F70">
        <w:rPr>
          <w:sz w:val="18"/>
          <w:szCs w:val="18"/>
        </w:rPr>
        <w:t xml:space="preserve"> </w:t>
      </w:r>
      <w:r w:rsidR="00C96FA3" w:rsidRPr="00725F70">
        <w:rPr>
          <w:sz w:val="18"/>
          <w:szCs w:val="18"/>
        </w:rPr>
        <w:t xml:space="preserve">UMass Donahue Institute, Massachusetts Population Estimates Program, </w:t>
      </w:r>
      <w:hyperlink r:id="rId3" w:history="1">
        <w:r w:rsidR="00C96FA3" w:rsidRPr="00725F70">
          <w:rPr>
            <w:rStyle w:val="Hyperlink"/>
            <w:i/>
            <w:iCs/>
            <w:sz w:val="18"/>
            <w:szCs w:val="18"/>
          </w:rPr>
          <w:t>Massachusetts Population Estimates by County</w:t>
        </w:r>
      </w:hyperlink>
      <w:r w:rsidRPr="00725F70">
        <w:rPr>
          <w:rFonts w:eastAsia="Arial"/>
          <w:iCs/>
          <w:sz w:val="18"/>
          <w:szCs w:val="18"/>
        </w:rPr>
        <w:t xml:space="preserve"> (</w:t>
      </w:r>
      <w:r w:rsidRPr="00725F70">
        <w:rPr>
          <w:iCs/>
          <w:sz w:val="18"/>
          <w:szCs w:val="18"/>
        </w:rPr>
        <w:t>“</w:t>
      </w:r>
      <w:r w:rsidRPr="00725F70">
        <w:rPr>
          <w:sz w:val="18"/>
          <w:szCs w:val="18"/>
        </w:rPr>
        <w:t xml:space="preserve">By 2035, the 65-and-over population will represent 23% of the state’s population.”). </w:t>
      </w:r>
    </w:p>
  </w:endnote>
  <w:endnote w:id="4">
    <w:p w14:paraId="188A06E3" w14:textId="21D3072A" w:rsidR="0033678B" w:rsidRPr="00725F70" w:rsidRDefault="0033678B"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UMass Donahue Institute, Massachusetts Population Estimates Program, </w:t>
      </w:r>
      <w:hyperlink r:id="rId4" w:history="1">
        <w:r w:rsidRPr="00725F70">
          <w:rPr>
            <w:rStyle w:val="Hyperlink"/>
            <w:rFonts w:cstheme="minorHAnsi"/>
            <w:i/>
            <w:iCs/>
            <w:color w:val="auto"/>
            <w:sz w:val="18"/>
            <w:szCs w:val="18"/>
            <w:u w:val="none"/>
          </w:rPr>
          <w:t>Massachusetts Population Estimates by County</w:t>
        </w:r>
      </w:hyperlink>
      <w:r w:rsidRPr="00725F70">
        <w:rPr>
          <w:rFonts w:cstheme="minorHAnsi"/>
          <w:sz w:val="18"/>
          <w:szCs w:val="18"/>
        </w:rPr>
        <w:t xml:space="preserve"> </w:t>
      </w:r>
      <w:hyperlink r:id="rId5" w:history="1">
        <w:r w:rsidRPr="00725F70">
          <w:rPr>
            <w:rStyle w:val="Hyperlink"/>
            <w:rFonts w:cstheme="minorHAnsi"/>
            <w:sz w:val="18"/>
            <w:szCs w:val="18"/>
          </w:rPr>
          <w:t>https://donahue.umass.edu/business-groups/economic-public-policy-research/massachusetts-population-estimates-program/population-estimates-by-massachusetts-geography/by-county</w:t>
        </w:r>
      </w:hyperlink>
      <w:r w:rsidRPr="00725F70">
        <w:rPr>
          <w:rFonts w:cstheme="minorHAnsi"/>
          <w:sz w:val="18"/>
          <w:szCs w:val="18"/>
        </w:rPr>
        <w:t xml:space="preserve"> (applying the interactive filters of the Massachusetts County Population by Characteristics to identify the population distribution for Bristol County, by Year and Age Groups).</w:t>
      </w:r>
    </w:p>
  </w:endnote>
  <w:endnote w:id="5">
    <w:p w14:paraId="4F2131B5" w14:textId="7434FEC2" w:rsidR="0033678B" w:rsidRPr="00725F70" w:rsidRDefault="0033678B" w:rsidP="00725F70">
      <w:pPr>
        <w:textAlignment w:val="baseline"/>
        <w:rPr>
          <w:rFonts w:eastAsia="Arial"/>
          <w:color w:val="000000"/>
          <w:sz w:val="18"/>
          <w:szCs w:val="18"/>
        </w:rPr>
      </w:pPr>
      <w:r w:rsidRPr="00725F70">
        <w:rPr>
          <w:rStyle w:val="EndnoteReference"/>
          <w:sz w:val="18"/>
          <w:szCs w:val="18"/>
        </w:rPr>
        <w:endnoteRef/>
      </w:r>
      <w:r w:rsidR="00F47D3F" w:rsidRPr="00725F70">
        <w:rPr>
          <w:rFonts w:eastAsia="Arial"/>
          <w:color w:val="000000"/>
          <w:sz w:val="18"/>
          <w:szCs w:val="18"/>
        </w:rPr>
        <w:t xml:space="preserve">Partridge JSL, et al., </w:t>
      </w:r>
      <w:hyperlink r:id="rId6" w:history="1">
        <w:r w:rsidR="00F47D3F" w:rsidRPr="0079506D">
          <w:rPr>
            <w:rStyle w:val="Hyperlink"/>
            <w:rFonts w:eastAsia="Arial"/>
            <w:i/>
            <w:color w:val="auto"/>
            <w:sz w:val="18"/>
            <w:szCs w:val="18"/>
            <w:u w:val="none"/>
          </w:rPr>
          <w:t>Frailty in the older surgical patient: a review</w:t>
        </w:r>
      </w:hyperlink>
      <w:r w:rsidR="00F47D3F" w:rsidRPr="0079506D">
        <w:rPr>
          <w:rFonts w:eastAsia="Arial"/>
          <w:sz w:val="18"/>
          <w:szCs w:val="18"/>
        </w:rPr>
        <w:t xml:space="preserve">, 41 AGE </w:t>
      </w:r>
      <w:r w:rsidR="00F47D3F" w:rsidRPr="00725F70">
        <w:rPr>
          <w:rFonts w:eastAsia="Arial"/>
          <w:color w:val="000000"/>
          <w:sz w:val="18"/>
          <w:szCs w:val="18"/>
        </w:rPr>
        <w:t xml:space="preserve">AND AGEING 142 (2012), </w:t>
      </w:r>
      <w:r w:rsidR="00F47D3F" w:rsidRPr="00725F70">
        <w:rPr>
          <w:rFonts w:eastAsia="Arial"/>
          <w:i/>
          <w:color w:val="000000"/>
          <w:sz w:val="18"/>
          <w:szCs w:val="18"/>
        </w:rPr>
        <w:t xml:space="preserve">available at </w:t>
      </w:r>
      <w:hyperlink r:id="rId7">
        <w:r w:rsidR="00F47D3F" w:rsidRPr="00725F70">
          <w:rPr>
            <w:rStyle w:val="Hyperlink"/>
            <w:rFonts w:eastAsia="Arial"/>
            <w:sz w:val="18"/>
            <w:szCs w:val="18"/>
          </w:rPr>
          <w:t>https://academic.oup.com/ageing/article/41/2/142/47699;</w:t>
        </w:r>
      </w:hyperlink>
      <w:r w:rsidR="00F47D3F" w:rsidRPr="00725F70">
        <w:rPr>
          <w:rFonts w:eastAsia="Arial"/>
          <w:color w:val="000000"/>
          <w:sz w:val="18"/>
          <w:szCs w:val="18"/>
        </w:rPr>
        <w:t xml:space="preserve"> Yang R, et al., </w:t>
      </w:r>
      <w:r w:rsidR="00F47D3F" w:rsidRPr="00725F70">
        <w:rPr>
          <w:rFonts w:eastAsia="Arial"/>
          <w:i/>
          <w:color w:val="000000"/>
          <w:sz w:val="18"/>
          <w:szCs w:val="18"/>
        </w:rPr>
        <w:t>Unique Aspects of the Elderly Surgical Population: An</w:t>
      </w:r>
    </w:p>
  </w:endnote>
  <w:endnote w:id="6">
    <w:p w14:paraId="477CDA39" w14:textId="69429875" w:rsidR="0033678B" w:rsidRPr="00725F70" w:rsidRDefault="0033678B" w:rsidP="00725F70">
      <w:pPr>
        <w:textAlignment w:val="baseline"/>
        <w:rPr>
          <w:rFonts w:eastAsia="Arial"/>
          <w:color w:val="000000"/>
          <w:sz w:val="18"/>
          <w:szCs w:val="18"/>
        </w:rPr>
      </w:pPr>
      <w:r w:rsidRPr="00725F70">
        <w:rPr>
          <w:rStyle w:val="EndnoteReference"/>
          <w:sz w:val="18"/>
          <w:szCs w:val="18"/>
        </w:rPr>
        <w:endnoteRef/>
      </w:r>
      <w:r w:rsidR="00F47D3F" w:rsidRPr="00725F70">
        <w:rPr>
          <w:rFonts w:eastAsia="Arial"/>
          <w:color w:val="000000"/>
          <w:sz w:val="18"/>
          <w:szCs w:val="18"/>
        </w:rPr>
        <w:t>id</w:t>
      </w:r>
      <w:r w:rsidRPr="00725F70">
        <w:rPr>
          <w:rFonts w:eastAsia="Arial"/>
          <w:color w:val="000000"/>
          <w:sz w:val="18"/>
          <w:szCs w:val="18"/>
        </w:rPr>
        <w:t>.</w:t>
      </w:r>
    </w:p>
  </w:endnote>
  <w:endnote w:id="7">
    <w:p w14:paraId="5423DF8A" w14:textId="77777777" w:rsidR="0033678B" w:rsidRPr="00725F70" w:rsidRDefault="0033678B" w:rsidP="00725F70">
      <w:pPr>
        <w:textAlignment w:val="baseline"/>
        <w:rPr>
          <w:rFonts w:eastAsia="Arial"/>
          <w:sz w:val="18"/>
          <w:szCs w:val="18"/>
        </w:rPr>
      </w:pPr>
      <w:r w:rsidRPr="00725F70">
        <w:rPr>
          <w:rStyle w:val="EndnoteReference"/>
          <w:sz w:val="18"/>
          <w:szCs w:val="18"/>
        </w:rPr>
        <w:endnoteRef/>
      </w:r>
      <w:r w:rsidRPr="00725F70">
        <w:rPr>
          <w:sz w:val="18"/>
          <w:szCs w:val="18"/>
        </w:rPr>
        <w:t xml:space="preserve"> </w:t>
      </w:r>
      <w:r w:rsidRPr="00725F70">
        <w:rPr>
          <w:rFonts w:eastAsia="Arial"/>
          <w:color w:val="000000"/>
          <w:sz w:val="18"/>
          <w:szCs w:val="18"/>
        </w:rPr>
        <w:t xml:space="preserve">Travis A, et al., </w:t>
      </w:r>
      <w:r w:rsidRPr="00725F70">
        <w:rPr>
          <w:rFonts w:eastAsia="Arial"/>
          <w:i/>
          <w:color w:val="000000"/>
          <w:sz w:val="18"/>
          <w:szCs w:val="18"/>
        </w:rPr>
        <w:t xml:space="preserve">Endoscopy in the Elderly, </w:t>
      </w:r>
      <w:r w:rsidRPr="00725F70">
        <w:rPr>
          <w:rFonts w:eastAsia="Arial"/>
          <w:color w:val="000000"/>
          <w:sz w:val="18"/>
          <w:szCs w:val="18"/>
        </w:rPr>
        <w:t>107 AM. J. GASTROENTEROLOGY 1495 (</w:t>
      </w:r>
      <w:r w:rsidRPr="00725F70">
        <w:rPr>
          <w:rFonts w:eastAsia="Arial"/>
          <w:sz w:val="18"/>
          <w:szCs w:val="18"/>
        </w:rPr>
        <w:t>2012).</w:t>
      </w:r>
    </w:p>
  </w:endnote>
  <w:endnote w:id="8">
    <w:p w14:paraId="062AE15F" w14:textId="61FDFBFB" w:rsidR="0033678B" w:rsidRPr="00725F70" w:rsidRDefault="0033678B"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r w:rsidR="00E317C4" w:rsidRPr="00725F70">
        <w:rPr>
          <w:rFonts w:cstheme="minorHAnsi"/>
          <w:sz w:val="18"/>
          <w:szCs w:val="18"/>
        </w:rPr>
        <w:t xml:space="preserve">Massachusetts Health Policy Commission, </w:t>
      </w:r>
      <w:hyperlink r:id="rId8" w:history="1">
        <w:r w:rsidR="00E317C4" w:rsidRPr="0079506D">
          <w:rPr>
            <w:rStyle w:val="Hyperlink"/>
            <w:rFonts w:cstheme="minorHAnsi"/>
            <w:i/>
            <w:iCs/>
            <w:color w:val="auto"/>
            <w:sz w:val="18"/>
            <w:szCs w:val="18"/>
            <w:u w:val="none"/>
          </w:rPr>
          <w:t>HPC Datapoints: Trends in Ambulatory Surgical Centers in Massachusetts</w:t>
        </w:r>
      </w:hyperlink>
      <w:r w:rsidR="00E317C4" w:rsidRPr="0079506D">
        <w:rPr>
          <w:rFonts w:cstheme="minorHAnsi"/>
          <w:sz w:val="18"/>
          <w:szCs w:val="18"/>
        </w:rPr>
        <w:t xml:space="preserve">, Issue </w:t>
      </w:r>
      <w:r w:rsidR="00E317C4" w:rsidRPr="00725F70">
        <w:rPr>
          <w:rFonts w:cstheme="minorHAnsi"/>
          <w:sz w:val="18"/>
          <w:szCs w:val="18"/>
        </w:rPr>
        <w:t xml:space="preserve">26: Feb. 2024, [hereinafter, “HPC Datapoints”], </w:t>
      </w:r>
      <w:hyperlink r:id="rId9" w:history="1">
        <w:r w:rsidR="00E317C4" w:rsidRPr="00725F70">
          <w:rPr>
            <w:rStyle w:val="Hyperlink"/>
            <w:rFonts w:cstheme="minorHAnsi"/>
            <w:sz w:val="18"/>
            <w:szCs w:val="18"/>
          </w:rPr>
          <w:t>https://www.mass.gov/info-details/hpc-datapoints-issue-26</w:t>
        </w:r>
      </w:hyperlink>
      <w:r w:rsidR="00E317C4" w:rsidRPr="00725F70">
        <w:rPr>
          <w:rFonts w:cstheme="minorHAnsi"/>
          <w:sz w:val="18"/>
          <w:szCs w:val="18"/>
        </w:rPr>
        <w:t xml:space="preserve"> (“Available evidence suggests that safety and quality metrics at ASCs are comparable to and in some cases better than those in HOPDs, including the rates of adverse events, although many studies caveat the need to appropriately select patients for surgery at ASCs based on the complexity of the case”);</w:t>
      </w:r>
    </w:p>
  </w:endnote>
  <w:endnote w:id="9">
    <w:p w14:paraId="73C99BA8" w14:textId="6718CBBB" w:rsidR="00F00EF4" w:rsidRPr="00725F70" w:rsidRDefault="00F00EF4" w:rsidP="00725F70">
      <w:pPr>
        <w:pStyle w:val="EndnoteText"/>
        <w:rPr>
          <w:sz w:val="18"/>
          <w:szCs w:val="18"/>
        </w:rPr>
      </w:pPr>
      <w:r w:rsidRPr="00725F70">
        <w:rPr>
          <w:rStyle w:val="EndnoteReference"/>
          <w:sz w:val="18"/>
          <w:szCs w:val="18"/>
        </w:rPr>
        <w:endnoteRef/>
      </w:r>
      <w:r w:rsidRPr="00725F70">
        <w:rPr>
          <w:sz w:val="18"/>
          <w:szCs w:val="18"/>
        </w:rPr>
        <w:t xml:space="preserve"> Colorectal Cancer: Screening. https://www.uspreventiveservicestaskforce.org/uspstf/recommendation/colorectal-cancer-screening. Accessed December 15, 2021.</w:t>
      </w:r>
    </w:p>
  </w:endnote>
  <w:endnote w:id="10">
    <w:p w14:paraId="2F627A42" w14:textId="10EF0DD1" w:rsidR="0033678B" w:rsidRPr="00725F70" w:rsidRDefault="0033678B" w:rsidP="00725F70">
      <w:pPr>
        <w:ind w:right="504"/>
        <w:textAlignment w:val="baseline"/>
        <w:rPr>
          <w:rFonts w:eastAsia="Arial"/>
          <w:color w:val="000000"/>
          <w:sz w:val="18"/>
          <w:szCs w:val="18"/>
        </w:rPr>
      </w:pPr>
      <w:r w:rsidRPr="00725F70">
        <w:rPr>
          <w:rStyle w:val="EndnoteReference"/>
          <w:sz w:val="18"/>
          <w:szCs w:val="18"/>
        </w:rPr>
        <w:endnoteRef/>
      </w:r>
      <w:r w:rsidR="005868D8" w:rsidRPr="00725F70">
        <w:rPr>
          <w:rFonts w:eastAsia="Arial"/>
          <w:color w:val="000000"/>
          <w:sz w:val="18"/>
          <w:szCs w:val="18"/>
        </w:rPr>
        <w:t xml:space="preserve"> </w:t>
      </w:r>
      <w:proofErr w:type="spellStart"/>
      <w:r w:rsidR="005868D8" w:rsidRPr="00725F70">
        <w:rPr>
          <w:rFonts w:eastAsia="Arial"/>
          <w:color w:val="000000"/>
          <w:sz w:val="18"/>
          <w:szCs w:val="18"/>
        </w:rPr>
        <w:t>Gheno</w:t>
      </w:r>
      <w:proofErr w:type="spellEnd"/>
      <w:r w:rsidR="005868D8" w:rsidRPr="00725F70">
        <w:rPr>
          <w:rFonts w:eastAsia="Arial"/>
          <w:color w:val="000000"/>
          <w:sz w:val="18"/>
          <w:szCs w:val="18"/>
        </w:rPr>
        <w:t xml:space="preserve"> R, et al., </w:t>
      </w:r>
      <w:hyperlink r:id="rId10" w:history="1">
        <w:r w:rsidR="005868D8" w:rsidRPr="00E8389D">
          <w:rPr>
            <w:rStyle w:val="Hyperlink"/>
            <w:rFonts w:eastAsia="Arial"/>
            <w:i/>
            <w:color w:val="auto"/>
            <w:sz w:val="18"/>
            <w:szCs w:val="18"/>
            <w:u w:val="none"/>
          </w:rPr>
          <w:t>Musculoskeletal Disorders in the Elderly</w:t>
        </w:r>
        <w:r w:rsidR="005868D8" w:rsidRPr="00E8389D">
          <w:rPr>
            <w:rStyle w:val="Hyperlink"/>
            <w:rFonts w:eastAsia="Arial"/>
            <w:color w:val="auto"/>
            <w:sz w:val="18"/>
            <w:szCs w:val="18"/>
            <w:u w:val="none"/>
          </w:rPr>
          <w:t>,</w:t>
        </w:r>
      </w:hyperlink>
      <w:r w:rsidR="005868D8" w:rsidRPr="00E8389D">
        <w:rPr>
          <w:rFonts w:eastAsia="Arial"/>
          <w:sz w:val="18"/>
          <w:szCs w:val="18"/>
        </w:rPr>
        <w:t xml:space="preserve"> 2 J</w:t>
      </w:r>
      <w:r w:rsidR="005868D8" w:rsidRPr="00725F70">
        <w:rPr>
          <w:rFonts w:eastAsia="Arial"/>
          <w:color w:val="000000"/>
          <w:sz w:val="18"/>
          <w:szCs w:val="18"/>
        </w:rPr>
        <w:t xml:space="preserve">. CLINICAL IMAGING SCI. 1 (2012), </w:t>
      </w:r>
      <w:r w:rsidR="005868D8" w:rsidRPr="00725F70">
        <w:rPr>
          <w:rFonts w:eastAsia="Arial"/>
          <w:i/>
          <w:color w:val="000000"/>
          <w:sz w:val="18"/>
          <w:szCs w:val="18"/>
        </w:rPr>
        <w:t xml:space="preserve">available at </w:t>
      </w:r>
      <w:hyperlink r:id="rId11">
        <w:r w:rsidR="005868D8" w:rsidRPr="00725F70">
          <w:rPr>
            <w:rStyle w:val="Hyperlink"/>
            <w:rFonts w:eastAsia="Arial"/>
            <w:sz w:val="18"/>
            <w:szCs w:val="18"/>
          </w:rPr>
          <w:t>https://www.ncbi.nlm.nih.gov/pmc/articles/PMC3424705/.</w:t>
        </w:r>
      </w:hyperlink>
      <w:r w:rsidR="005868D8" w:rsidRPr="00725F70">
        <w:rPr>
          <w:rFonts w:eastAsia="Arial"/>
          <w:color w:val="000000"/>
          <w:sz w:val="18"/>
          <w:szCs w:val="18"/>
        </w:rPr>
        <w:t xml:space="preserve">; </w:t>
      </w:r>
      <w:r w:rsidRPr="00725F70">
        <w:rPr>
          <w:rFonts w:eastAsia="Arial"/>
          <w:color w:val="000000"/>
          <w:sz w:val="18"/>
          <w:szCs w:val="18"/>
        </w:rPr>
        <w:t xml:space="preserve">Bajwa SJS, </w:t>
      </w:r>
      <w:hyperlink r:id="rId12" w:history="1">
        <w:r w:rsidRPr="00725F70">
          <w:rPr>
            <w:rStyle w:val="Hyperlink"/>
            <w:rFonts w:eastAsia="Arial"/>
            <w:i/>
            <w:color w:val="auto"/>
            <w:sz w:val="18"/>
            <w:szCs w:val="18"/>
            <w:u w:val="none"/>
          </w:rPr>
          <w:t>Clinical conundrums and challenges during geriatric orthopedic emergency surgeries</w:t>
        </w:r>
      </w:hyperlink>
      <w:r w:rsidRPr="00725F70">
        <w:rPr>
          <w:rFonts w:eastAsia="Arial"/>
          <w:sz w:val="18"/>
          <w:szCs w:val="18"/>
        </w:rPr>
        <w:t>, 5 INT’L J. CRITICAL ILLNESS &amp; INJURY SCI. 38 (2015</w:t>
      </w:r>
      <w:r w:rsidRPr="00725F70">
        <w:rPr>
          <w:rFonts w:eastAsia="Arial"/>
          <w:color w:val="000000"/>
          <w:sz w:val="18"/>
          <w:szCs w:val="18"/>
        </w:rPr>
        <w:t xml:space="preserve">), </w:t>
      </w:r>
      <w:r w:rsidRPr="00725F70">
        <w:rPr>
          <w:rFonts w:eastAsia="Arial"/>
          <w:i/>
          <w:color w:val="000000"/>
          <w:sz w:val="18"/>
          <w:szCs w:val="18"/>
        </w:rPr>
        <w:t xml:space="preserve">available at </w:t>
      </w:r>
      <w:hyperlink r:id="rId13">
        <w:r w:rsidRPr="00725F70">
          <w:rPr>
            <w:rFonts w:eastAsia="Arial"/>
            <w:color w:val="0000FF"/>
            <w:sz w:val="18"/>
            <w:szCs w:val="18"/>
            <w:u w:val="single"/>
          </w:rPr>
          <w:t>https://www.ncbi.nlm.nih.gov/pmc/articles/PMC4366827/.</w:t>
        </w:r>
      </w:hyperlink>
    </w:p>
  </w:endnote>
  <w:endnote w:id="11">
    <w:p w14:paraId="6D168CC9" w14:textId="029B6EA2" w:rsidR="005868D8" w:rsidRPr="00725F70" w:rsidRDefault="0033678B"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proofErr w:type="spellStart"/>
      <w:r w:rsidR="005868D8" w:rsidRPr="00725F70">
        <w:rPr>
          <w:rFonts w:cstheme="minorHAnsi"/>
          <w:sz w:val="18"/>
          <w:szCs w:val="18"/>
        </w:rPr>
        <w:t>Kost</w:t>
      </w:r>
      <w:proofErr w:type="spellEnd"/>
      <w:r w:rsidR="005868D8" w:rsidRPr="00725F70">
        <w:rPr>
          <w:rFonts w:cstheme="minorHAnsi"/>
          <w:sz w:val="18"/>
          <w:szCs w:val="18"/>
        </w:rPr>
        <w:t xml:space="preserve"> KM, </w:t>
      </w:r>
      <w:hyperlink r:id="rId14" w:history="1">
        <w:r w:rsidR="005868D8" w:rsidRPr="00E8389D">
          <w:rPr>
            <w:rStyle w:val="Hyperlink"/>
            <w:rFonts w:cstheme="minorHAnsi"/>
            <w:i/>
            <w:color w:val="auto"/>
            <w:sz w:val="18"/>
            <w:szCs w:val="18"/>
            <w:u w:val="none"/>
          </w:rPr>
          <w:t>Geriatric Otolaryngology: Why It Matters</w:t>
        </w:r>
      </w:hyperlink>
      <w:r w:rsidR="005868D8" w:rsidRPr="00E8389D">
        <w:rPr>
          <w:rFonts w:cstheme="minorHAnsi"/>
          <w:sz w:val="18"/>
          <w:szCs w:val="18"/>
        </w:rPr>
        <w:t xml:space="preserve">, 34 </w:t>
      </w:r>
      <w:r w:rsidR="005868D8" w:rsidRPr="00725F70">
        <w:rPr>
          <w:rFonts w:cstheme="minorHAnsi"/>
          <w:sz w:val="18"/>
          <w:szCs w:val="18"/>
        </w:rPr>
        <w:t xml:space="preserve">CLINICAL GERIATRIC MED IX (2018), </w:t>
      </w:r>
      <w:r w:rsidR="005868D8" w:rsidRPr="00725F70">
        <w:rPr>
          <w:rFonts w:cstheme="minorHAnsi"/>
          <w:i/>
          <w:sz w:val="18"/>
          <w:szCs w:val="18"/>
        </w:rPr>
        <w:t xml:space="preserve">available at </w:t>
      </w:r>
      <w:hyperlink r:id="rId15" w:history="1">
        <w:r w:rsidR="005868D8" w:rsidRPr="00725F70">
          <w:rPr>
            <w:rStyle w:val="Hyperlink"/>
            <w:rFonts w:cstheme="minorHAnsi"/>
            <w:sz w:val="18"/>
            <w:szCs w:val="18"/>
          </w:rPr>
          <w:t>https://www.geriatric.theclinics.com/article/S0749-0690(18)30012-0/fulltext</w:t>
        </w:r>
      </w:hyperlink>
      <w:r w:rsidR="005868D8" w:rsidRPr="00725F70">
        <w:rPr>
          <w:rFonts w:cstheme="minorHAnsi"/>
          <w:sz w:val="18"/>
          <w:szCs w:val="18"/>
        </w:rPr>
        <w:t xml:space="preserve">;  Creighton Jr. FX et al., </w:t>
      </w:r>
      <w:r w:rsidR="005868D8" w:rsidRPr="00725F70">
        <w:rPr>
          <w:rFonts w:cstheme="minorHAnsi"/>
          <w:i/>
          <w:sz w:val="18"/>
          <w:szCs w:val="18"/>
        </w:rPr>
        <w:t>The growing geriatric otolaryngology patient population: A study of 131,700 new patient encounters</w:t>
      </w:r>
      <w:r w:rsidR="005868D8" w:rsidRPr="00725F70">
        <w:rPr>
          <w:rFonts w:cstheme="minorHAnsi"/>
          <w:sz w:val="18"/>
          <w:szCs w:val="18"/>
        </w:rPr>
        <w:t>, 123 LARYNGOSCOPE 97 (2012).</w:t>
      </w:r>
    </w:p>
    <w:p w14:paraId="27A39AFE" w14:textId="1523EDF6" w:rsidR="0033678B" w:rsidRPr="00725F70" w:rsidRDefault="005868D8" w:rsidP="00725F70">
      <w:pPr>
        <w:pStyle w:val="EndnoteText"/>
        <w:rPr>
          <w:rFonts w:cstheme="minorHAnsi"/>
          <w:sz w:val="18"/>
          <w:szCs w:val="18"/>
        </w:rPr>
      </w:pPr>
      <w:r w:rsidRPr="00725F70">
        <w:rPr>
          <w:rFonts w:cstheme="minorHAnsi"/>
          <w:sz w:val="18"/>
          <w:szCs w:val="18"/>
        </w:rPr>
        <w:t xml:space="preserve"> </w:t>
      </w:r>
      <w:r w:rsidR="0033678B" w:rsidRPr="00725F70">
        <w:rPr>
          <w:rFonts w:eastAsia="Arial" w:cstheme="minorHAnsi"/>
          <w:color w:val="000000"/>
          <w:sz w:val="18"/>
          <w:szCs w:val="18"/>
        </w:rPr>
        <w:t xml:space="preserve">CDC, </w:t>
      </w:r>
      <w:hyperlink r:id="rId16" w:history="1">
        <w:r w:rsidR="0033678B" w:rsidRPr="00725F70">
          <w:rPr>
            <w:rStyle w:val="Hyperlink"/>
            <w:rFonts w:eastAsia="Arial" w:cstheme="minorHAnsi"/>
            <w:color w:val="auto"/>
            <w:sz w:val="18"/>
            <w:szCs w:val="18"/>
            <w:u w:val="none"/>
          </w:rPr>
          <w:t>National Ambulatory Medical Care Survey</w:t>
        </w:r>
        <w:r w:rsidR="0033678B" w:rsidRPr="00725F70">
          <w:rPr>
            <w:rStyle w:val="Hyperlink"/>
            <w:rFonts w:eastAsia="Arial" w:cstheme="minorHAnsi"/>
            <w:i/>
            <w:color w:val="auto"/>
            <w:sz w:val="18"/>
            <w:szCs w:val="18"/>
            <w:u w:val="none"/>
          </w:rPr>
          <w:t>, Factsheet – Otolaryngology</w:t>
        </w:r>
      </w:hyperlink>
      <w:r w:rsidR="0033678B" w:rsidRPr="00725F70">
        <w:rPr>
          <w:rFonts w:eastAsia="Arial" w:cstheme="minorHAnsi"/>
          <w:sz w:val="18"/>
          <w:szCs w:val="18"/>
        </w:rPr>
        <w:t xml:space="preserve">, </w:t>
      </w:r>
      <w:hyperlink r:id="rId17" w:history="1">
        <w:r w:rsidR="0033678B" w:rsidRPr="00725F70">
          <w:rPr>
            <w:rStyle w:val="Hyperlink"/>
            <w:rFonts w:eastAsia="Arial" w:cstheme="minorHAnsi"/>
            <w:sz w:val="18"/>
            <w:szCs w:val="18"/>
          </w:rPr>
          <w:t>https://www.cdc.gov/nchs/data/ahcd/NAMCS_2010_factsheet_otolaryngology.pdf</w:t>
        </w:r>
      </w:hyperlink>
      <w:r w:rsidR="0033678B" w:rsidRPr="00725F70">
        <w:rPr>
          <w:rFonts w:eastAsia="Arial" w:cstheme="minorHAnsi"/>
          <w:color w:val="000000"/>
          <w:sz w:val="18"/>
          <w:szCs w:val="18"/>
        </w:rPr>
        <w:t>.</w:t>
      </w:r>
    </w:p>
  </w:endnote>
  <w:endnote w:id="12">
    <w:p w14:paraId="4A7DD631" w14:textId="77777777" w:rsidR="0033678B" w:rsidRPr="00725F70" w:rsidRDefault="0033678B" w:rsidP="00725F70">
      <w:pPr>
        <w:textAlignment w:val="baseline"/>
        <w:rPr>
          <w:rFonts w:eastAsia="Arial"/>
          <w:color w:val="000000"/>
          <w:sz w:val="18"/>
          <w:szCs w:val="18"/>
        </w:rPr>
      </w:pPr>
      <w:r w:rsidRPr="00725F70">
        <w:rPr>
          <w:rStyle w:val="EndnoteReference"/>
          <w:sz w:val="18"/>
          <w:szCs w:val="18"/>
        </w:rPr>
        <w:endnoteRef/>
      </w:r>
      <w:r w:rsidRPr="00725F70">
        <w:rPr>
          <w:sz w:val="18"/>
          <w:szCs w:val="18"/>
        </w:rPr>
        <w:t xml:space="preserve"> </w:t>
      </w:r>
      <w:r w:rsidRPr="00725F70">
        <w:rPr>
          <w:rFonts w:eastAsia="Arial"/>
          <w:color w:val="000000"/>
          <w:sz w:val="18"/>
          <w:szCs w:val="18"/>
        </w:rPr>
        <w:t xml:space="preserve">Kaylie DM, </w:t>
      </w:r>
      <w:r w:rsidRPr="00725F70">
        <w:rPr>
          <w:sz w:val="18"/>
          <w:szCs w:val="18"/>
        </w:rPr>
        <w:t xml:space="preserve">Merck Manual, Consumer Version, </w:t>
      </w:r>
      <w:hyperlink r:id="rId18" w:history="1">
        <w:r w:rsidRPr="00725F70">
          <w:rPr>
            <w:rStyle w:val="Hyperlink"/>
            <w:rFonts w:eastAsia="Arial"/>
            <w:i/>
            <w:color w:val="auto"/>
            <w:sz w:val="18"/>
            <w:szCs w:val="18"/>
            <w:u w:val="none"/>
          </w:rPr>
          <w:t>Effects of Aging on the Ears, Nose, and Throat</w:t>
        </w:r>
        <w:r w:rsidRPr="00725F70">
          <w:rPr>
            <w:rStyle w:val="Hyperlink"/>
            <w:rFonts w:eastAsia="Arial"/>
            <w:color w:val="auto"/>
            <w:sz w:val="18"/>
            <w:szCs w:val="18"/>
            <w:u w:val="none"/>
          </w:rPr>
          <w:t>,</w:t>
        </w:r>
      </w:hyperlink>
      <w:r w:rsidRPr="00725F70">
        <w:rPr>
          <w:rFonts w:eastAsia="Arial"/>
          <w:sz w:val="18"/>
          <w:szCs w:val="18"/>
        </w:rPr>
        <w:t xml:space="preserve"> (last </w:t>
      </w:r>
      <w:r w:rsidRPr="00725F70">
        <w:rPr>
          <w:rFonts w:eastAsia="Arial"/>
          <w:color w:val="000000"/>
          <w:sz w:val="18"/>
          <w:szCs w:val="18"/>
        </w:rPr>
        <w:t xml:space="preserve">modified Sept. 2022), </w:t>
      </w:r>
    </w:p>
    <w:p w14:paraId="588F006C" w14:textId="77777777" w:rsidR="0033678B" w:rsidRPr="00725F70" w:rsidRDefault="0033678B" w:rsidP="00725F70">
      <w:pPr>
        <w:pStyle w:val="EndnoteText"/>
        <w:rPr>
          <w:rFonts w:cstheme="minorHAnsi"/>
          <w:sz w:val="18"/>
          <w:szCs w:val="18"/>
        </w:rPr>
      </w:pPr>
      <w:r w:rsidRPr="00725F70">
        <w:rPr>
          <w:rFonts w:cstheme="minorHAnsi"/>
          <w:sz w:val="18"/>
          <w:szCs w:val="18"/>
        </w:rPr>
        <w:t xml:space="preserve"> </w:t>
      </w:r>
      <w:r w:rsidRPr="00725F70">
        <w:rPr>
          <w:rFonts w:eastAsia="Arial" w:cstheme="minorHAnsi"/>
          <w:color w:val="0000FF"/>
          <w:sz w:val="18"/>
          <w:szCs w:val="18"/>
          <w:u w:val="single"/>
        </w:rPr>
        <w:t>https://www.merckmanuals.com/home/ear,-nose,-and-throat-disorders/biology-of-the-ears-nose-and-throat/effects-of-aging-on-the-ears-nose-and-throat</w:t>
      </w:r>
      <w:r w:rsidRPr="00725F70">
        <w:rPr>
          <w:rFonts w:eastAsia="Arial" w:cstheme="minorHAnsi"/>
          <w:color w:val="000000"/>
          <w:sz w:val="18"/>
          <w:szCs w:val="18"/>
        </w:rPr>
        <w:t xml:space="preserve">; </w:t>
      </w:r>
      <w:proofErr w:type="spellStart"/>
      <w:r w:rsidRPr="00725F70">
        <w:rPr>
          <w:rFonts w:eastAsia="Arial" w:cstheme="minorHAnsi"/>
          <w:color w:val="000000"/>
          <w:sz w:val="18"/>
          <w:szCs w:val="18"/>
        </w:rPr>
        <w:t>Kost</w:t>
      </w:r>
      <w:proofErr w:type="spellEnd"/>
      <w:r w:rsidRPr="00725F70">
        <w:rPr>
          <w:rFonts w:eastAsia="Arial" w:cstheme="minorHAnsi"/>
          <w:color w:val="000000"/>
          <w:sz w:val="18"/>
          <w:szCs w:val="18"/>
        </w:rPr>
        <w:t xml:space="preserve"> KM, </w:t>
      </w:r>
      <w:hyperlink r:id="rId19" w:history="1">
        <w:r w:rsidRPr="00725F70">
          <w:rPr>
            <w:rStyle w:val="Hyperlink"/>
            <w:rFonts w:eastAsia="Arial" w:cstheme="minorHAnsi"/>
            <w:i/>
            <w:color w:val="auto"/>
            <w:sz w:val="18"/>
            <w:szCs w:val="18"/>
            <w:u w:val="none"/>
          </w:rPr>
          <w:t>Geriatric Otolaryngology: Why It Matters</w:t>
        </w:r>
      </w:hyperlink>
      <w:r w:rsidRPr="00725F70">
        <w:rPr>
          <w:rFonts w:eastAsia="Arial" w:cstheme="minorHAnsi"/>
          <w:sz w:val="18"/>
          <w:szCs w:val="18"/>
        </w:rPr>
        <w:t xml:space="preserve">, </w:t>
      </w:r>
      <w:r w:rsidRPr="00725F70">
        <w:rPr>
          <w:rFonts w:eastAsia="Arial" w:cstheme="minorHAnsi"/>
          <w:color w:val="000000"/>
          <w:sz w:val="18"/>
          <w:szCs w:val="18"/>
        </w:rPr>
        <w:t xml:space="preserve">34 CLINICAL GERIATRIC MED IX (2018), </w:t>
      </w:r>
      <w:r w:rsidRPr="00725F70">
        <w:rPr>
          <w:rFonts w:eastAsia="Arial" w:cstheme="minorHAnsi"/>
          <w:i/>
          <w:color w:val="000000"/>
          <w:sz w:val="18"/>
          <w:szCs w:val="18"/>
        </w:rPr>
        <w:t xml:space="preserve">available at </w:t>
      </w:r>
      <w:hyperlink r:id="rId20" w:history="1">
        <w:r w:rsidRPr="00725F70">
          <w:rPr>
            <w:rStyle w:val="Hyperlink"/>
            <w:rFonts w:cstheme="minorHAnsi"/>
            <w:sz w:val="18"/>
            <w:szCs w:val="18"/>
          </w:rPr>
          <w:t>https://www.geriatric.theclinics.com/article/S0749-0690(18)30012-0/fulltext</w:t>
        </w:r>
      </w:hyperlink>
      <w:r w:rsidRPr="00725F70">
        <w:rPr>
          <w:rFonts w:cstheme="minorHAnsi"/>
          <w:sz w:val="18"/>
          <w:szCs w:val="18"/>
        </w:rPr>
        <w:t xml:space="preserve">; </w:t>
      </w:r>
      <w:r w:rsidRPr="00725F70">
        <w:rPr>
          <w:rFonts w:eastAsia="Arial" w:cstheme="minorHAnsi"/>
          <w:color w:val="000000"/>
          <w:sz w:val="18"/>
          <w:szCs w:val="18"/>
        </w:rPr>
        <w:t xml:space="preserve"> Creighton Jr. FX et al., </w:t>
      </w:r>
      <w:r w:rsidRPr="00725F70">
        <w:rPr>
          <w:rFonts w:eastAsia="Arial" w:cstheme="minorHAnsi"/>
          <w:i/>
          <w:color w:val="000000"/>
          <w:sz w:val="18"/>
          <w:szCs w:val="18"/>
        </w:rPr>
        <w:t>The growing geriatric otolaryngology patient population: A study of 131,700 new patient encounters</w:t>
      </w:r>
      <w:r w:rsidRPr="00725F70">
        <w:rPr>
          <w:rFonts w:eastAsia="Arial" w:cstheme="minorHAnsi"/>
          <w:color w:val="000000"/>
          <w:sz w:val="18"/>
          <w:szCs w:val="18"/>
        </w:rPr>
        <w:t>, 123 LARYNGOSCOPE 97 (2012).</w:t>
      </w:r>
    </w:p>
  </w:endnote>
  <w:endnote w:id="13">
    <w:p w14:paraId="61F37025" w14:textId="7700D563" w:rsidR="0033678B" w:rsidRPr="00725F70" w:rsidRDefault="0033678B" w:rsidP="00725F70">
      <w:pPr>
        <w:textAlignment w:val="baseline"/>
        <w:rPr>
          <w:sz w:val="18"/>
          <w:szCs w:val="18"/>
        </w:rPr>
      </w:pPr>
      <w:r w:rsidRPr="00725F70">
        <w:rPr>
          <w:rStyle w:val="EndnoteReference"/>
          <w:sz w:val="18"/>
          <w:szCs w:val="18"/>
        </w:rPr>
        <w:endnoteRef/>
      </w:r>
      <w:r w:rsidRPr="00725F70">
        <w:rPr>
          <w:sz w:val="18"/>
          <w:szCs w:val="18"/>
        </w:rPr>
        <w:t xml:space="preserve"> According to data from 2010, of an estimated 20 million visits to non-federally employed ENT physicians and surgeons, </w:t>
      </w:r>
      <w:r w:rsidRPr="00725F70">
        <w:rPr>
          <w:rFonts w:eastAsia="Arial"/>
          <w:i/>
          <w:color w:val="000000"/>
          <w:sz w:val="18"/>
          <w:szCs w:val="18"/>
        </w:rPr>
        <w:t>Factsheet – Otolaryngology</w:t>
      </w:r>
      <w:r w:rsidRPr="00725F70">
        <w:rPr>
          <w:rFonts w:eastAsia="Arial"/>
          <w:color w:val="000000"/>
          <w:sz w:val="18"/>
          <w:szCs w:val="18"/>
        </w:rPr>
        <w:t>.</w:t>
      </w:r>
    </w:p>
  </w:endnote>
  <w:endnote w:id="14">
    <w:p w14:paraId="6EC344AA" w14:textId="77777777" w:rsidR="005868D8" w:rsidRPr="00725F70" w:rsidRDefault="008D1A3B" w:rsidP="00725F70">
      <w:pPr>
        <w:adjustRightInd w:val="0"/>
        <w:snapToGrid w:val="0"/>
        <w:rPr>
          <w:sz w:val="18"/>
          <w:szCs w:val="18"/>
        </w:rPr>
      </w:pPr>
      <w:r w:rsidRPr="00725F70">
        <w:rPr>
          <w:rStyle w:val="EndnoteReference"/>
          <w:sz w:val="18"/>
          <w:szCs w:val="18"/>
        </w:rPr>
        <w:endnoteRef/>
      </w:r>
      <w:r w:rsidRPr="00725F70">
        <w:rPr>
          <w:sz w:val="18"/>
          <w:szCs w:val="18"/>
        </w:rPr>
        <w:t xml:space="preserve"> </w:t>
      </w:r>
      <w:r w:rsidR="005868D8" w:rsidRPr="00725F70">
        <w:rPr>
          <w:sz w:val="18"/>
          <w:szCs w:val="18"/>
        </w:rPr>
        <w:t>Munnich EL, Parente ST, </w:t>
      </w:r>
      <w:r w:rsidR="005868D8" w:rsidRPr="00725F70">
        <w:rPr>
          <w:i/>
          <w:iCs/>
          <w:sz w:val="18"/>
          <w:szCs w:val="18"/>
        </w:rPr>
        <w:t>Procedures take less time at ambulatory surgery centers, keeping costs down and ability to meet demand up</w:t>
      </w:r>
      <w:r w:rsidR="005868D8" w:rsidRPr="00725F70">
        <w:rPr>
          <w:sz w:val="18"/>
          <w:szCs w:val="18"/>
        </w:rPr>
        <w:t xml:space="preserve">, </w:t>
      </w:r>
      <w:r w:rsidR="005868D8" w:rsidRPr="00725F70">
        <w:rPr>
          <w:i/>
          <w:iCs/>
          <w:sz w:val="18"/>
          <w:szCs w:val="18"/>
        </w:rPr>
        <w:t xml:space="preserve">Health </w:t>
      </w:r>
      <w:proofErr w:type="spellStart"/>
      <w:r w:rsidR="005868D8" w:rsidRPr="00725F70">
        <w:rPr>
          <w:i/>
          <w:iCs/>
          <w:sz w:val="18"/>
          <w:szCs w:val="18"/>
        </w:rPr>
        <w:t>Aff</w:t>
      </w:r>
      <w:proofErr w:type="spellEnd"/>
      <w:r w:rsidR="005868D8" w:rsidRPr="00725F70">
        <w:rPr>
          <w:i/>
          <w:iCs/>
          <w:sz w:val="18"/>
          <w:szCs w:val="18"/>
        </w:rPr>
        <w:t xml:space="preserve"> (Millwood)</w:t>
      </w:r>
      <w:r w:rsidR="005868D8" w:rsidRPr="00725F70">
        <w:rPr>
          <w:sz w:val="18"/>
          <w:szCs w:val="18"/>
        </w:rPr>
        <w:t> 2014;33:764-9. 10.1377/hlthaff.2013.1281.</w:t>
      </w:r>
    </w:p>
    <w:p w14:paraId="0034FB9B" w14:textId="774CEA73" w:rsidR="008D1A3B" w:rsidRPr="00725F70" w:rsidRDefault="008D1A3B" w:rsidP="00725F70">
      <w:pPr>
        <w:adjustRightInd w:val="0"/>
        <w:snapToGrid w:val="0"/>
        <w:rPr>
          <w:rFonts w:eastAsia="Arial"/>
          <w:color w:val="000000"/>
          <w:sz w:val="18"/>
          <w:szCs w:val="18"/>
        </w:rPr>
      </w:pPr>
      <w:r w:rsidRPr="00725F70">
        <w:rPr>
          <w:rFonts w:eastAsia="Arial"/>
          <w:color w:val="000000"/>
          <w:sz w:val="18"/>
          <w:szCs w:val="18"/>
        </w:rPr>
        <w:t>(noting that “</w:t>
      </w:r>
      <w:r w:rsidRPr="00725F70">
        <w:rPr>
          <w:rFonts w:eastAsia="Times New Roman"/>
          <w:color w:val="231F20"/>
          <w:sz w:val="18"/>
          <w:szCs w:val="18"/>
          <w:lang w:val="x-none"/>
        </w:rPr>
        <w:t>ASCs tend to treat a</w:t>
      </w:r>
      <w:r w:rsidRPr="00725F70">
        <w:rPr>
          <w:rFonts w:eastAsia="Times New Roman"/>
          <w:color w:val="231F20"/>
          <w:sz w:val="18"/>
          <w:szCs w:val="18"/>
        </w:rPr>
        <w:t xml:space="preserve"> </w:t>
      </w:r>
      <w:r w:rsidRPr="00725F70">
        <w:rPr>
          <w:rFonts w:eastAsia="Times New Roman"/>
          <w:color w:val="231F20"/>
          <w:sz w:val="18"/>
          <w:szCs w:val="18"/>
          <w:lang w:val="x-none"/>
        </w:rPr>
        <w:t>healthier mix of patients than hospitals do</w:t>
      </w:r>
      <w:r w:rsidRPr="00725F70">
        <w:rPr>
          <w:rFonts w:eastAsia="Times New Roman"/>
          <w:color w:val="231F20"/>
          <w:sz w:val="18"/>
          <w:szCs w:val="18"/>
        </w:rPr>
        <w:t>”)</w:t>
      </w:r>
      <w:r w:rsidRPr="00725F70">
        <w:rPr>
          <w:rFonts w:eastAsia="Arial"/>
          <w:color w:val="000000"/>
          <w:sz w:val="18"/>
          <w:szCs w:val="18"/>
        </w:rPr>
        <w:t xml:space="preserve">; </w:t>
      </w:r>
      <w:r w:rsidR="005868D8" w:rsidRPr="00725F70">
        <w:rPr>
          <w:rFonts w:eastAsia="Arial"/>
          <w:color w:val="000000"/>
          <w:sz w:val="18"/>
          <w:szCs w:val="18"/>
        </w:rPr>
        <w:t xml:space="preserve">Crawford DC, et al., </w:t>
      </w:r>
      <w:hyperlink r:id="rId21" w:history="1">
        <w:r w:rsidR="005868D8" w:rsidRPr="00351FF7">
          <w:rPr>
            <w:rStyle w:val="Hyperlink"/>
            <w:rFonts w:eastAsia="Arial"/>
            <w:i/>
            <w:iCs/>
            <w:color w:val="auto"/>
            <w:sz w:val="18"/>
            <w:szCs w:val="18"/>
            <w:u w:val="none"/>
          </w:rPr>
          <w:t>Clinical and Cost Implications of Inpatient Versus Outpatient Orthopedic Surgeries: A Systematic Review of the Published Literature</w:t>
        </w:r>
      </w:hyperlink>
      <w:r w:rsidR="005868D8" w:rsidRPr="00351FF7">
        <w:rPr>
          <w:rFonts w:eastAsia="Arial"/>
          <w:sz w:val="18"/>
          <w:szCs w:val="18"/>
        </w:rPr>
        <w:t xml:space="preserve">, 7 ORTHOPEDIC </w:t>
      </w:r>
      <w:r w:rsidR="005868D8" w:rsidRPr="00725F70">
        <w:rPr>
          <w:rFonts w:eastAsia="Arial"/>
          <w:color w:val="000000"/>
          <w:sz w:val="18"/>
          <w:szCs w:val="18"/>
        </w:rPr>
        <w:t xml:space="preserve">REVIEW 116 (2015), </w:t>
      </w:r>
      <w:hyperlink r:id="rId22" w:history="1">
        <w:r w:rsidR="005868D8" w:rsidRPr="00725F70">
          <w:rPr>
            <w:rStyle w:val="Hyperlink"/>
            <w:rFonts w:eastAsia="Arial"/>
            <w:sz w:val="18"/>
            <w:szCs w:val="18"/>
          </w:rPr>
          <w:t>https://www.ncbi.nlm.nih.gov/pmc/articles/PMC4703913/pdf/or-2015-4-6177.pdf</w:t>
        </w:r>
      </w:hyperlink>
      <w:r w:rsidR="005868D8" w:rsidRPr="00725F70">
        <w:rPr>
          <w:rFonts w:eastAsia="Arial"/>
          <w:color w:val="000000"/>
          <w:sz w:val="18"/>
          <w:szCs w:val="18"/>
        </w:rPr>
        <w:t xml:space="preserve"> (“All of the reviewed studies reported that outpatient surgeries had similar or improved level of pain and rates of nausea. This review found that outpatient procedures in North America appear to be less expensive and safe alternatives to inpatient care for patients who are at lower risk for complications and procedures that do not necessarily require close hospital level care monitoring following same day surgery.”);  </w:t>
      </w:r>
      <w:r w:rsidR="005868D8" w:rsidRPr="00351FF7">
        <w:rPr>
          <w:rFonts w:eastAsia="Arial"/>
          <w:sz w:val="18"/>
          <w:szCs w:val="18"/>
        </w:rPr>
        <w:t xml:space="preserve">Cook D, et al., </w:t>
      </w:r>
      <w:hyperlink r:id="rId23" w:history="1">
        <w:r w:rsidR="005868D8" w:rsidRPr="00351FF7">
          <w:rPr>
            <w:rStyle w:val="Hyperlink"/>
            <w:rFonts w:eastAsia="Arial"/>
            <w:i/>
            <w:iCs/>
            <w:color w:val="auto"/>
            <w:sz w:val="18"/>
            <w:szCs w:val="18"/>
            <w:u w:val="none"/>
          </w:rPr>
          <w:t>From ‘Solution Shop’ Model to ‘Focused Factor’ In Hospital Surgery: Increasing Care Value and Predictability</w:t>
        </w:r>
      </w:hyperlink>
      <w:r w:rsidR="005868D8" w:rsidRPr="00351FF7">
        <w:rPr>
          <w:rFonts w:eastAsia="Arial"/>
          <w:sz w:val="18"/>
          <w:szCs w:val="18"/>
        </w:rPr>
        <w:t xml:space="preserve">, 33 </w:t>
      </w:r>
      <w:r w:rsidR="005868D8" w:rsidRPr="00725F70">
        <w:rPr>
          <w:rFonts w:eastAsia="Arial"/>
          <w:color w:val="000000"/>
          <w:sz w:val="18"/>
          <w:szCs w:val="18"/>
        </w:rPr>
        <w:t xml:space="preserve">HEALTH AFFAIRS 746 (2014), </w:t>
      </w:r>
      <w:hyperlink r:id="rId24" w:history="1">
        <w:r w:rsidR="005868D8" w:rsidRPr="00725F70">
          <w:rPr>
            <w:rStyle w:val="Hyperlink"/>
            <w:rFonts w:eastAsia="Arial"/>
            <w:sz w:val="18"/>
            <w:szCs w:val="18"/>
          </w:rPr>
          <w:t>https://www.healthaffairs.org/doi/pdf/10.1377/hlthaff.2013.1266</w:t>
        </w:r>
      </w:hyperlink>
      <w:r w:rsidR="005868D8" w:rsidRPr="00725F70">
        <w:rPr>
          <w:rFonts w:eastAsia="Arial"/>
          <w:color w:val="000000"/>
          <w:sz w:val="18"/>
          <w:szCs w:val="18"/>
        </w:rPr>
        <w:t xml:space="preserve"> (advancing the idea of a “focused factory” model of healthcare, which is “characterized by a uniform approach to delivering a limited set of high-quality products)” to “increase[] care value and the predictability of care process, outcomes, and costs while preserving []the strengths of the solution shop”).</w:t>
      </w:r>
    </w:p>
  </w:endnote>
  <w:endnote w:id="15">
    <w:p w14:paraId="0BA52794" w14:textId="13AE1339" w:rsidR="00EE6BB6" w:rsidRPr="00725F70" w:rsidRDefault="00EE6BB6"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r w:rsidR="00E317C4" w:rsidRPr="00725F70">
        <w:rPr>
          <w:rFonts w:cstheme="minorHAnsi"/>
          <w:sz w:val="18"/>
          <w:szCs w:val="18"/>
        </w:rPr>
        <w:t xml:space="preserve">Munnich EL, Parente  ST, </w:t>
      </w:r>
      <w:hyperlink r:id="rId25" w:history="1">
        <w:r w:rsidR="00E317C4" w:rsidRPr="00CE4C5F">
          <w:rPr>
            <w:rStyle w:val="Hyperlink"/>
            <w:rFonts w:cstheme="minorHAnsi"/>
            <w:i/>
            <w:iCs/>
            <w:color w:val="auto"/>
            <w:sz w:val="18"/>
            <w:szCs w:val="18"/>
            <w:u w:val="none"/>
          </w:rPr>
          <w:t>Returns to specialization: Evidence from the outpatient surgery market</w:t>
        </w:r>
      </w:hyperlink>
      <w:r w:rsidR="00E317C4" w:rsidRPr="00CE4C5F">
        <w:rPr>
          <w:rFonts w:cstheme="minorHAnsi"/>
          <w:sz w:val="18"/>
          <w:szCs w:val="18"/>
        </w:rPr>
        <w:t xml:space="preserve">, J. </w:t>
      </w:r>
      <w:r w:rsidR="00E317C4" w:rsidRPr="00725F70">
        <w:rPr>
          <w:rFonts w:cstheme="minorHAnsi"/>
          <w:sz w:val="18"/>
          <w:szCs w:val="18"/>
        </w:rPr>
        <w:t xml:space="preserve">of Health Econ., v. 57, 2018, p. 147-167, </w:t>
      </w:r>
      <w:hyperlink r:id="rId26" w:history="1">
        <w:r w:rsidR="00E317C4" w:rsidRPr="00725F70">
          <w:rPr>
            <w:rStyle w:val="Hyperlink"/>
            <w:rFonts w:cstheme="minorHAnsi"/>
            <w:sz w:val="18"/>
            <w:szCs w:val="18"/>
          </w:rPr>
          <w:t>https://www.sciencedirect.com/science/article/abs/pii/S0167629617310743</w:t>
        </w:r>
      </w:hyperlink>
      <w:r w:rsidR="00E317C4" w:rsidRPr="00725F70">
        <w:rPr>
          <w:rFonts w:cstheme="minorHAnsi"/>
          <w:sz w:val="18"/>
          <w:szCs w:val="18"/>
        </w:rPr>
        <w:t xml:space="preserve"> (explaining that these effects were valid even after accounting for differences in patient health and case mix). </w:t>
      </w:r>
    </w:p>
  </w:endnote>
  <w:endnote w:id="16">
    <w:p w14:paraId="59EC0A12" w14:textId="4ACDF211" w:rsidR="00EE6BB6" w:rsidRPr="00725F70" w:rsidRDefault="00EE6BB6"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r w:rsidR="00E317C4" w:rsidRPr="00725F70">
        <w:rPr>
          <w:rFonts w:cstheme="minorHAnsi"/>
          <w:sz w:val="18"/>
          <w:szCs w:val="18"/>
        </w:rPr>
        <w:t xml:space="preserve">Ambulatory Surgery Center Association, </w:t>
      </w:r>
      <w:hyperlink r:id="rId27" w:history="1">
        <w:r w:rsidR="00E317C4" w:rsidRPr="00CE4C5F">
          <w:rPr>
            <w:rStyle w:val="Hyperlink"/>
            <w:rFonts w:cstheme="minorHAnsi"/>
            <w:i/>
            <w:iCs/>
            <w:color w:val="auto"/>
            <w:sz w:val="18"/>
            <w:szCs w:val="18"/>
            <w:u w:val="none"/>
          </w:rPr>
          <w:t>Ambulatory Surgery Centers: A Positive Trend in Health Care</w:t>
        </w:r>
      </w:hyperlink>
      <w:r w:rsidR="00E317C4" w:rsidRPr="00CE4C5F">
        <w:rPr>
          <w:rFonts w:cstheme="minorHAnsi"/>
          <w:sz w:val="18"/>
          <w:szCs w:val="18"/>
        </w:rPr>
        <w:t>, [</w:t>
      </w:r>
      <w:r w:rsidR="00E317C4" w:rsidRPr="00725F70">
        <w:rPr>
          <w:rFonts w:cstheme="minorHAnsi"/>
          <w:sz w:val="18"/>
          <w:szCs w:val="18"/>
        </w:rPr>
        <w:t xml:space="preserve">hereinafter “ASCA Report”], </w:t>
      </w:r>
      <w:hyperlink r:id="rId28" w:history="1">
        <w:r w:rsidR="00E317C4" w:rsidRPr="00725F70">
          <w:rPr>
            <w:rStyle w:val="Hyperlink"/>
            <w:rFonts w:cstheme="minorHAnsi"/>
            <w:sz w:val="18"/>
            <w:szCs w:val="18"/>
          </w:rPr>
          <w:t>https://www.ascassociation.org/advancingsurgicalcare/aboutascs/industryoverview/apositivetrendinhealthcare</w:t>
        </w:r>
      </w:hyperlink>
      <w:r w:rsidR="00E317C4" w:rsidRPr="00725F70">
        <w:rPr>
          <w:rFonts w:cstheme="minorHAnsi"/>
          <w:sz w:val="18"/>
          <w:szCs w:val="18"/>
        </w:rPr>
        <w:t xml:space="preserve"> (“Over the years, the number of ASCs has grown in response to demand from the key participants in surgical care―patients, physicians and insurers.”); </w:t>
      </w:r>
    </w:p>
  </w:endnote>
  <w:endnote w:id="17">
    <w:p w14:paraId="11A37BE3" w14:textId="0F97387D" w:rsidR="00EE6BB6" w:rsidRPr="00725F70" w:rsidRDefault="00EE6BB6"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r w:rsidRPr="00725F70">
        <w:rPr>
          <w:rFonts w:eastAsia="Arial" w:cstheme="minorHAnsi"/>
          <w:color w:val="000000"/>
          <w:sz w:val="18"/>
          <w:szCs w:val="18"/>
        </w:rPr>
        <w:t xml:space="preserve">Munnich &amp; Parente (2018), </w:t>
      </w:r>
      <w:r w:rsidRPr="00725F70">
        <w:rPr>
          <w:rFonts w:eastAsia="Arial" w:cstheme="minorHAnsi"/>
          <w:i/>
          <w:color w:val="000000"/>
          <w:sz w:val="18"/>
          <w:szCs w:val="18"/>
        </w:rPr>
        <w:t xml:space="preserve">supra </w:t>
      </w:r>
      <w:r w:rsidRPr="00725F70">
        <w:rPr>
          <w:rFonts w:eastAsia="Arial" w:cstheme="minorHAnsi"/>
          <w:color w:val="000000"/>
          <w:sz w:val="18"/>
          <w:szCs w:val="18"/>
        </w:rPr>
        <w:t xml:space="preserve">note </w:t>
      </w:r>
      <w:r w:rsidR="00B97559" w:rsidRPr="00725F70">
        <w:rPr>
          <w:rFonts w:eastAsia="Arial" w:cstheme="minorHAnsi"/>
          <w:color w:val="000000"/>
          <w:sz w:val="18"/>
          <w:szCs w:val="18"/>
        </w:rPr>
        <w:t>xiv</w:t>
      </w:r>
      <w:r w:rsidRPr="00725F70">
        <w:rPr>
          <w:rFonts w:eastAsia="Arial" w:cstheme="minorHAnsi"/>
          <w:color w:val="000000"/>
          <w:sz w:val="18"/>
          <w:szCs w:val="18"/>
        </w:rPr>
        <w:t>.</w:t>
      </w:r>
    </w:p>
  </w:endnote>
  <w:endnote w:id="18">
    <w:p w14:paraId="47D45CC0" w14:textId="23CE58A1" w:rsidR="00EE6BB6" w:rsidRPr="00725F70" w:rsidRDefault="00EE6BB6"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r w:rsidRPr="00725F70">
        <w:rPr>
          <w:rFonts w:eastAsia="Arial" w:cstheme="minorHAnsi"/>
          <w:color w:val="000000"/>
          <w:sz w:val="18"/>
          <w:szCs w:val="18"/>
        </w:rPr>
        <w:t>Hall MJ, et al,</w:t>
      </w:r>
      <w:r w:rsidR="00AC0826" w:rsidRPr="00725F70">
        <w:rPr>
          <w:rFonts w:eastAsia="Arial" w:cstheme="minorHAnsi"/>
          <w:color w:val="000000"/>
          <w:sz w:val="18"/>
          <w:szCs w:val="18"/>
        </w:rPr>
        <w:t xml:space="preserve"> Hall MJ, Schwartzman A, Zhang J, et al. </w:t>
      </w:r>
      <w:hyperlink r:id="rId29" w:history="1">
        <w:r w:rsidR="00AC0826" w:rsidRPr="00F13A9F">
          <w:rPr>
            <w:rStyle w:val="Hyperlink"/>
            <w:rFonts w:eastAsia="Arial" w:cstheme="minorHAnsi"/>
            <w:color w:val="auto"/>
            <w:sz w:val="18"/>
            <w:szCs w:val="18"/>
            <w:u w:val="none"/>
          </w:rPr>
          <w:t>Ambulatory surgery data from hospitals and</w:t>
        </w:r>
        <w:r w:rsidR="00AC0826" w:rsidRPr="00F13A9F">
          <w:rPr>
            <w:rStyle w:val="Hyperlink"/>
            <w:rFonts w:eastAsia="Calibri" w:cstheme="minorHAnsi"/>
            <w:color w:val="auto"/>
            <w:sz w:val="18"/>
            <w:szCs w:val="18"/>
            <w:u w:val="none"/>
          </w:rPr>
          <w:t xml:space="preserve"> </w:t>
        </w:r>
        <w:r w:rsidR="00AC0826" w:rsidRPr="00F13A9F">
          <w:rPr>
            <w:rStyle w:val="Hyperlink"/>
            <w:rFonts w:eastAsia="Arial" w:cstheme="minorHAnsi"/>
            <w:color w:val="auto"/>
            <w:sz w:val="18"/>
            <w:szCs w:val="18"/>
            <w:u w:val="none"/>
          </w:rPr>
          <w:t>ambulatory surgery centers:</w:t>
        </w:r>
      </w:hyperlink>
      <w:r w:rsidR="00AC0826" w:rsidRPr="00F13A9F">
        <w:rPr>
          <w:rFonts w:eastAsia="Arial" w:cstheme="minorHAnsi"/>
          <w:sz w:val="18"/>
          <w:szCs w:val="18"/>
        </w:rPr>
        <w:t xml:space="preserve"> </w:t>
      </w:r>
      <w:r w:rsidR="00AC0826" w:rsidRPr="00725F70">
        <w:rPr>
          <w:rFonts w:eastAsia="Arial" w:cstheme="minorHAnsi"/>
          <w:color w:val="000000"/>
          <w:sz w:val="18"/>
          <w:szCs w:val="18"/>
        </w:rPr>
        <w:t xml:space="preserve">United States, 2010. Nat Health Stat Rep 2017;102:1-14, </w:t>
      </w:r>
      <w:hyperlink r:id="rId30" w:history="1">
        <w:r w:rsidR="00AC0826" w:rsidRPr="00725F70">
          <w:rPr>
            <w:rStyle w:val="Hyperlink"/>
            <w:rFonts w:eastAsia="Arial" w:cstheme="minorHAnsi"/>
            <w:sz w:val="18"/>
            <w:szCs w:val="18"/>
          </w:rPr>
          <w:t>https://pubmed.ncbi.nlm.nih.gov/28256998/</w:t>
        </w:r>
      </w:hyperlink>
      <w:r w:rsidRPr="00725F70">
        <w:rPr>
          <w:rFonts w:eastAsia="Arial" w:cstheme="minorHAnsi"/>
          <w:color w:val="000000"/>
          <w:sz w:val="18"/>
          <w:szCs w:val="18"/>
        </w:rPr>
        <w:t>;</w:t>
      </w:r>
      <w:r w:rsidR="00E317C4" w:rsidRPr="00725F70">
        <w:rPr>
          <w:rFonts w:eastAsia="Arial" w:cstheme="minorHAnsi"/>
          <w:color w:val="000000"/>
          <w:sz w:val="18"/>
          <w:szCs w:val="18"/>
        </w:rPr>
        <w:t xml:space="preserve"> McKinsey &amp; Company, </w:t>
      </w:r>
      <w:hyperlink r:id="rId31" w:history="1">
        <w:r w:rsidR="00E317C4" w:rsidRPr="005E7D3F">
          <w:rPr>
            <w:rStyle w:val="Hyperlink"/>
            <w:rFonts w:eastAsia="Arial" w:cstheme="minorHAnsi"/>
            <w:i/>
            <w:iCs/>
            <w:color w:val="auto"/>
            <w:sz w:val="18"/>
            <w:szCs w:val="18"/>
            <w:u w:val="none"/>
          </w:rPr>
          <w:t>Walking out of the hospital: The continued rise of ambulatory care and how to take advantage of it</w:t>
        </w:r>
      </w:hyperlink>
      <w:r w:rsidR="00E317C4" w:rsidRPr="005E7D3F">
        <w:rPr>
          <w:rFonts w:eastAsia="Arial" w:cstheme="minorHAnsi"/>
          <w:sz w:val="18"/>
          <w:szCs w:val="18"/>
        </w:rPr>
        <w:t>, Sept</w:t>
      </w:r>
      <w:r w:rsidR="00E317C4" w:rsidRPr="00725F70">
        <w:rPr>
          <w:rFonts w:eastAsia="Arial" w:cstheme="minorHAnsi"/>
          <w:color w:val="000000"/>
          <w:sz w:val="18"/>
          <w:szCs w:val="18"/>
        </w:rPr>
        <w:t xml:space="preserve">. 18, 2020, [hereinafter “McKinsey ASC Report”], </w:t>
      </w:r>
      <w:hyperlink r:id="rId32" w:history="1">
        <w:r w:rsidR="00E317C4" w:rsidRPr="00725F70">
          <w:rPr>
            <w:rStyle w:val="Hyperlink"/>
            <w:rFonts w:eastAsia="Arial" w:cstheme="minorHAnsi"/>
            <w:sz w:val="18"/>
            <w:szCs w:val="18"/>
          </w:rPr>
          <w:t>https://www.mckinsey.com/industries/healthcare/our-insights/walking-out-of-the-hospital-the-continued-rise-of-ambulatory-care-and-how-to-take-advantage-of-it</w:t>
        </w:r>
      </w:hyperlink>
      <w:r w:rsidR="00E317C4" w:rsidRPr="00725F70">
        <w:rPr>
          <w:rFonts w:eastAsia="Arial" w:cstheme="minorHAnsi"/>
          <w:color w:val="000000"/>
          <w:sz w:val="18"/>
          <w:szCs w:val="18"/>
        </w:rPr>
        <w:t xml:space="preserve"> (projecting the ASC market to grow “at a compound annual growth rate of 6 percent between 2018 and 2023—reaching around $36 billion by 2023.”);</w:t>
      </w:r>
      <w:r w:rsidRPr="00725F70">
        <w:rPr>
          <w:rFonts w:eastAsia="Arial" w:cstheme="minorHAnsi"/>
          <w:color w:val="000000"/>
          <w:sz w:val="18"/>
          <w:szCs w:val="18"/>
        </w:rPr>
        <w:t xml:space="preserve"> </w:t>
      </w:r>
      <w:r w:rsidRPr="00725F70">
        <w:rPr>
          <w:rFonts w:cstheme="minorHAnsi"/>
          <w:color w:val="333333"/>
          <w:sz w:val="18"/>
          <w:szCs w:val="18"/>
          <w:shd w:val="clear" w:color="auto" w:fill="FFFFFF"/>
        </w:rPr>
        <w:t>(“</w:t>
      </w:r>
      <w:r w:rsidRPr="00725F70">
        <w:rPr>
          <w:rFonts w:cstheme="minorHAnsi"/>
          <w:color w:val="333333"/>
          <w:sz w:val="18"/>
          <w:szCs w:val="18"/>
        </w:rPr>
        <w:t>ASCs allow patients to be discharged within 23 hours of care, reducing their risk of infection and allowing recovery to take place in the comfort of their own homes.”).</w:t>
      </w:r>
    </w:p>
  </w:endnote>
  <w:endnote w:id="19">
    <w:p w14:paraId="38F70ED0" w14:textId="3A6E7A6E" w:rsidR="00EE6BB6" w:rsidRPr="00725F70" w:rsidRDefault="00EE6BB6"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r w:rsidRPr="00725F70">
        <w:rPr>
          <w:rFonts w:eastAsia="Arial" w:cstheme="minorHAnsi"/>
          <w:color w:val="000000"/>
          <w:sz w:val="18"/>
          <w:szCs w:val="18"/>
        </w:rPr>
        <w:t>HPC Datapoints</w:t>
      </w:r>
      <w:r w:rsidR="005125B4" w:rsidRPr="00725F70">
        <w:rPr>
          <w:rFonts w:eastAsia="Arial" w:cstheme="minorHAnsi"/>
          <w:color w:val="000000"/>
          <w:sz w:val="18"/>
          <w:szCs w:val="18"/>
        </w:rPr>
        <w:t xml:space="preserve"> </w:t>
      </w:r>
      <w:r w:rsidR="005125B4" w:rsidRPr="00725F70">
        <w:rPr>
          <w:rFonts w:eastAsia="Arial" w:cstheme="minorHAnsi"/>
          <w:i/>
          <w:iCs/>
          <w:color w:val="000000"/>
          <w:sz w:val="18"/>
          <w:szCs w:val="18"/>
        </w:rPr>
        <w:t xml:space="preserve">supra </w:t>
      </w:r>
      <w:r w:rsidR="005125B4" w:rsidRPr="00725F70">
        <w:rPr>
          <w:rFonts w:eastAsia="Arial" w:cstheme="minorHAnsi"/>
          <w:color w:val="000000"/>
          <w:sz w:val="18"/>
          <w:szCs w:val="18"/>
        </w:rPr>
        <w:t>note vii</w:t>
      </w:r>
      <w:r w:rsidRPr="00725F70">
        <w:rPr>
          <w:rFonts w:eastAsia="Arial" w:cstheme="minorHAnsi"/>
          <w:color w:val="000000"/>
          <w:sz w:val="18"/>
          <w:szCs w:val="18"/>
        </w:rPr>
        <w:t xml:space="preserve"> </w:t>
      </w:r>
    </w:p>
  </w:endnote>
  <w:endnote w:id="20">
    <w:p w14:paraId="79000BF7" w14:textId="324329B8" w:rsidR="00EE6BB6" w:rsidRPr="00725F70" w:rsidRDefault="00EE6BB6"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r w:rsidR="00C82CAE" w:rsidRPr="00725F70">
        <w:rPr>
          <w:rFonts w:cstheme="minorHAnsi"/>
          <w:sz w:val="18"/>
          <w:szCs w:val="18"/>
        </w:rPr>
        <w:t xml:space="preserve">Medicare Payment Advisory Commission, </w:t>
      </w:r>
      <w:hyperlink r:id="rId33" w:history="1">
        <w:r w:rsidR="00C82CAE" w:rsidRPr="00EE5B2D">
          <w:rPr>
            <w:rStyle w:val="Hyperlink"/>
            <w:rFonts w:cstheme="minorHAnsi"/>
            <w:i/>
            <w:iCs/>
            <w:color w:val="auto"/>
            <w:sz w:val="18"/>
            <w:szCs w:val="18"/>
            <w:u w:val="none"/>
          </w:rPr>
          <w:t>March 2024 Report to the Congress: Medicare Payment Policy</w:t>
        </w:r>
      </w:hyperlink>
      <w:r w:rsidR="00C82CAE" w:rsidRPr="00EE5B2D">
        <w:rPr>
          <w:rFonts w:cstheme="minorHAnsi"/>
          <w:sz w:val="18"/>
          <w:szCs w:val="18"/>
        </w:rPr>
        <w:t xml:space="preserve"> (March </w:t>
      </w:r>
      <w:r w:rsidR="00C82CAE" w:rsidRPr="00725F70">
        <w:rPr>
          <w:rFonts w:cstheme="minorHAnsi"/>
          <w:sz w:val="18"/>
          <w:szCs w:val="18"/>
        </w:rPr>
        <w:t>15, 2024), Chapter 10: Ambulatory Surgical Center Services: Status Report, [hereinafter “</w:t>
      </w:r>
      <w:proofErr w:type="spellStart"/>
      <w:r w:rsidR="00C82CAE" w:rsidRPr="00725F70">
        <w:rPr>
          <w:rFonts w:cstheme="minorHAnsi"/>
          <w:sz w:val="18"/>
          <w:szCs w:val="18"/>
        </w:rPr>
        <w:t>MedPac</w:t>
      </w:r>
      <w:proofErr w:type="spellEnd"/>
      <w:r w:rsidR="00C82CAE" w:rsidRPr="00725F70">
        <w:rPr>
          <w:rFonts w:cstheme="minorHAnsi"/>
          <w:sz w:val="18"/>
          <w:szCs w:val="18"/>
        </w:rPr>
        <w:t xml:space="preserve"> ASC Report”], p. 297, </w:t>
      </w:r>
      <w:hyperlink r:id="rId34" w:history="1">
        <w:r w:rsidR="00C82CAE" w:rsidRPr="00725F70">
          <w:rPr>
            <w:rStyle w:val="Hyperlink"/>
            <w:rFonts w:cstheme="minorHAnsi"/>
            <w:sz w:val="18"/>
            <w:szCs w:val="18"/>
          </w:rPr>
          <w:t>https://www.medpac.gov/wp-content/uploads/2024/03/Mar24_Ch10_MedPAC_Report_To_Congress_SEC.pdf</w:t>
        </w:r>
      </w:hyperlink>
      <w:r w:rsidR="00C82CAE" w:rsidRPr="00725F70">
        <w:rPr>
          <w:rFonts w:cstheme="minorHAnsi"/>
          <w:sz w:val="18"/>
          <w:szCs w:val="18"/>
        </w:rPr>
        <w:t xml:space="preserve">; </w:t>
      </w:r>
      <w:r w:rsidRPr="00725F70">
        <w:rPr>
          <w:rFonts w:eastAsia="Arial" w:cstheme="minorHAnsi"/>
          <w:color w:val="000000"/>
          <w:sz w:val="18"/>
          <w:szCs w:val="18"/>
        </w:rPr>
        <w:t xml:space="preserve"> (“</w:t>
      </w:r>
      <w:r w:rsidRPr="00725F70">
        <w:rPr>
          <w:rFonts w:cstheme="minorHAnsi"/>
          <w:sz w:val="18"/>
          <w:szCs w:val="18"/>
        </w:rPr>
        <w:t>For patients, ASCs can offer more convenient locations, shorter waiting times, lower cost sharing, and easier scheduling relative to hospital outpatient departments.”).</w:t>
      </w:r>
    </w:p>
  </w:endnote>
  <w:endnote w:id="21">
    <w:p w14:paraId="11D7EABC" w14:textId="3E35E08E" w:rsidR="00EE6BB6" w:rsidRPr="00725F70" w:rsidRDefault="00EE6BB6"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r w:rsidRPr="00725F70">
        <w:rPr>
          <w:rFonts w:eastAsia="Arial" w:cstheme="minorHAnsi"/>
          <w:color w:val="000000"/>
          <w:sz w:val="18"/>
          <w:szCs w:val="18"/>
        </w:rPr>
        <w:t xml:space="preserve">Munnich &amp; Parente (2018), </w:t>
      </w:r>
      <w:r w:rsidRPr="00725F70">
        <w:rPr>
          <w:rFonts w:eastAsia="Arial" w:cstheme="minorHAnsi"/>
          <w:i/>
          <w:color w:val="000000"/>
          <w:sz w:val="18"/>
          <w:szCs w:val="18"/>
        </w:rPr>
        <w:t xml:space="preserve">supra </w:t>
      </w:r>
      <w:r w:rsidRPr="00725F70">
        <w:rPr>
          <w:rFonts w:eastAsia="Arial" w:cstheme="minorHAnsi"/>
          <w:color w:val="000000"/>
          <w:sz w:val="18"/>
          <w:szCs w:val="18"/>
        </w:rPr>
        <w:t xml:space="preserve">note </w:t>
      </w:r>
      <w:r w:rsidR="00B97559" w:rsidRPr="00725F70">
        <w:rPr>
          <w:rFonts w:eastAsia="Arial" w:cstheme="minorHAnsi"/>
          <w:color w:val="000000"/>
          <w:sz w:val="18"/>
          <w:szCs w:val="18"/>
        </w:rPr>
        <w:t>xiv</w:t>
      </w:r>
      <w:r w:rsidRPr="00725F70">
        <w:rPr>
          <w:rFonts w:eastAsia="Arial" w:cstheme="minorHAnsi"/>
          <w:color w:val="000000"/>
          <w:sz w:val="18"/>
          <w:szCs w:val="18"/>
        </w:rPr>
        <w:t>; AAOS</w:t>
      </w:r>
      <w:r w:rsidR="00C82CAE" w:rsidRPr="00725F70">
        <w:rPr>
          <w:sz w:val="18"/>
          <w:szCs w:val="18"/>
        </w:rPr>
        <w:t xml:space="preserve"> </w:t>
      </w:r>
      <w:r w:rsidR="00C82CAE" w:rsidRPr="00725F70">
        <w:rPr>
          <w:rFonts w:eastAsia="Arial" w:cstheme="minorHAnsi"/>
          <w:color w:val="000000"/>
          <w:sz w:val="18"/>
          <w:szCs w:val="18"/>
        </w:rPr>
        <w:t xml:space="preserve">American Academy of Orthopedic Surgeons, Ambulatory Surgical Centers Position Statement, [hereinafter “AAOS Position Statement”], https://www.aaos.org/globalassets/about/position-statements/1161-ambulatory-surgical-centers.pdf (providing support for the role of ASCs and stating with respect to patient safety that: “It has been reported that ASCs treat lower acuity patients when compared to HOPD's. In the absence of standardized and widely reported quality measures with respect to patient safety, this is probably prudent. Preliminary patient safety data shows problem occurrence rates less than 0.1 percent on all four indicators. One study has demonstrated even high-risk Medicare patients are no more likely for re-admission after treatment in an ASC compared to a hospital”). </w:t>
      </w:r>
    </w:p>
  </w:endnote>
  <w:endnote w:id="22">
    <w:p w14:paraId="2354E645" w14:textId="15370541" w:rsidR="00EE6BB6" w:rsidRPr="00725F70" w:rsidRDefault="00EE6BB6"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r w:rsidR="00C82CAE" w:rsidRPr="00725F70">
        <w:rPr>
          <w:sz w:val="18"/>
          <w:szCs w:val="18"/>
        </w:rPr>
        <w:t>Munnich EL, Parente ST, </w:t>
      </w:r>
      <w:r w:rsidR="00C82CAE" w:rsidRPr="00725F70">
        <w:rPr>
          <w:i/>
          <w:iCs/>
          <w:sz w:val="18"/>
          <w:szCs w:val="18"/>
        </w:rPr>
        <w:t>Procedures take less time at ambulatory surgery centers, keeping costs down and ability to meet demand up</w:t>
      </w:r>
      <w:r w:rsidR="00C82CAE" w:rsidRPr="00725F70">
        <w:rPr>
          <w:sz w:val="18"/>
          <w:szCs w:val="18"/>
        </w:rPr>
        <w:t xml:space="preserve">, </w:t>
      </w:r>
      <w:r w:rsidR="00C82CAE" w:rsidRPr="00725F70">
        <w:rPr>
          <w:i/>
          <w:iCs/>
          <w:sz w:val="18"/>
          <w:szCs w:val="18"/>
        </w:rPr>
        <w:t xml:space="preserve">Health </w:t>
      </w:r>
      <w:proofErr w:type="spellStart"/>
      <w:r w:rsidR="00C82CAE" w:rsidRPr="00725F70">
        <w:rPr>
          <w:i/>
          <w:iCs/>
          <w:sz w:val="18"/>
          <w:szCs w:val="18"/>
        </w:rPr>
        <w:t>Aff</w:t>
      </w:r>
      <w:proofErr w:type="spellEnd"/>
      <w:r w:rsidR="00C82CAE" w:rsidRPr="00725F70">
        <w:rPr>
          <w:i/>
          <w:iCs/>
          <w:sz w:val="18"/>
          <w:szCs w:val="18"/>
        </w:rPr>
        <w:t xml:space="preserve"> (Millwood)</w:t>
      </w:r>
      <w:r w:rsidR="00C82CAE" w:rsidRPr="00725F70">
        <w:rPr>
          <w:sz w:val="18"/>
          <w:szCs w:val="18"/>
        </w:rPr>
        <w:t xml:space="preserve"> 2014;33:764-9. 10.1377/hlthaff.2013.1281; </w:t>
      </w:r>
      <w:r w:rsidRPr="00725F70">
        <w:rPr>
          <w:rFonts w:eastAsia="Arial" w:cstheme="minorHAnsi"/>
          <w:color w:val="000000"/>
          <w:sz w:val="18"/>
          <w:szCs w:val="18"/>
        </w:rPr>
        <w:t xml:space="preserve">AAOS Position Statement, </w:t>
      </w:r>
      <w:r w:rsidRPr="00725F70">
        <w:rPr>
          <w:rFonts w:eastAsia="Arial" w:cstheme="minorHAnsi"/>
          <w:i/>
          <w:color w:val="000000"/>
          <w:sz w:val="18"/>
          <w:szCs w:val="18"/>
        </w:rPr>
        <w:t xml:space="preserve">supra </w:t>
      </w:r>
      <w:r w:rsidRPr="00725F70">
        <w:rPr>
          <w:rFonts w:eastAsia="Arial" w:cstheme="minorHAnsi"/>
          <w:color w:val="000000"/>
          <w:sz w:val="18"/>
          <w:szCs w:val="18"/>
        </w:rPr>
        <w:t xml:space="preserve">note </w:t>
      </w:r>
      <w:r w:rsidR="00AC0826" w:rsidRPr="00725F70">
        <w:rPr>
          <w:rFonts w:eastAsia="Arial" w:cstheme="minorHAnsi"/>
          <w:color w:val="000000"/>
          <w:sz w:val="18"/>
          <w:szCs w:val="18"/>
        </w:rPr>
        <w:t>xx</w:t>
      </w:r>
      <w:r w:rsidRPr="00725F70">
        <w:rPr>
          <w:rFonts w:eastAsia="Arial" w:cstheme="minorHAnsi"/>
          <w:color w:val="000000"/>
          <w:sz w:val="18"/>
          <w:szCs w:val="18"/>
        </w:rPr>
        <w:t>; ASCA Report,</w:t>
      </w:r>
      <w:r w:rsidR="00AC0826" w:rsidRPr="00725F70">
        <w:rPr>
          <w:rFonts w:cstheme="minorHAnsi"/>
          <w:sz w:val="18"/>
          <w:szCs w:val="18"/>
        </w:rPr>
        <w:t xml:space="preserve"> </w:t>
      </w:r>
      <w:r w:rsidR="00AC0826" w:rsidRPr="00725F70">
        <w:rPr>
          <w:rFonts w:cstheme="minorHAnsi"/>
          <w:i/>
          <w:iCs/>
          <w:sz w:val="18"/>
          <w:szCs w:val="18"/>
        </w:rPr>
        <w:t xml:space="preserve">supra </w:t>
      </w:r>
      <w:r w:rsidR="00AC0826" w:rsidRPr="00725F70">
        <w:rPr>
          <w:rFonts w:cstheme="minorHAnsi"/>
          <w:sz w:val="18"/>
          <w:szCs w:val="18"/>
        </w:rPr>
        <w:t>note xv</w:t>
      </w:r>
      <w:r w:rsidRPr="00725F70">
        <w:rPr>
          <w:rFonts w:eastAsia="Arial" w:cstheme="minorHAnsi"/>
          <w:color w:val="000000"/>
          <w:sz w:val="18"/>
          <w:szCs w:val="18"/>
        </w:rPr>
        <w:t>;</w:t>
      </w:r>
      <w:r w:rsidR="00C82CAE" w:rsidRPr="00725F70">
        <w:rPr>
          <w:rFonts w:eastAsia="Arial" w:cstheme="minorHAnsi"/>
          <w:color w:val="000000"/>
          <w:sz w:val="18"/>
          <w:szCs w:val="18"/>
        </w:rPr>
        <w:t xml:space="preserve"> </w:t>
      </w:r>
      <w:r w:rsidR="00AC0826" w:rsidRPr="00725F70">
        <w:rPr>
          <w:rFonts w:eastAsia="Arial" w:cstheme="minorHAnsi"/>
          <w:color w:val="000000"/>
          <w:sz w:val="18"/>
          <w:szCs w:val="18"/>
        </w:rPr>
        <w:t>Levitt L, The Benefits of Outpatient Surgical Centers. The Centers for Advanced Orthopedics (Jun. 15, 2017)</w:t>
      </w:r>
    </w:p>
  </w:endnote>
  <w:endnote w:id="23">
    <w:p w14:paraId="690FC044" w14:textId="7DA35596" w:rsidR="0033678B" w:rsidRPr="00725F70" w:rsidRDefault="0033678B"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hyperlink r:id="rId35" w:history="1">
        <w:r w:rsidRPr="00725F70">
          <w:rPr>
            <w:rStyle w:val="Hyperlink"/>
            <w:rFonts w:cstheme="minorHAnsi"/>
            <w:sz w:val="18"/>
            <w:szCs w:val="18"/>
          </w:rPr>
          <w:t>Southcoast Health Community Health Needs Assessment 2022</w:t>
        </w:r>
      </w:hyperlink>
      <w:r w:rsidRPr="00725F70">
        <w:rPr>
          <w:rFonts w:cstheme="minorHAnsi"/>
          <w:sz w:val="18"/>
          <w:szCs w:val="18"/>
        </w:rPr>
        <w:t xml:space="preserve">, available here: </w:t>
      </w:r>
      <w:hyperlink r:id="rId36" w:history="1">
        <w:r w:rsidRPr="00725F70">
          <w:rPr>
            <w:rStyle w:val="Hyperlink"/>
            <w:rFonts w:cstheme="minorHAnsi"/>
            <w:sz w:val="18"/>
            <w:szCs w:val="18"/>
          </w:rPr>
          <w:t>https://www.southcoast.org/wp-content/uploads/2022/09/Southcoast-Health-CHNA-2022.pdf</w:t>
        </w:r>
      </w:hyperlink>
      <w:r w:rsidRPr="00725F70">
        <w:rPr>
          <w:rFonts w:cstheme="minorHAnsi"/>
          <w:sz w:val="18"/>
          <w:szCs w:val="18"/>
        </w:rPr>
        <w:t xml:space="preserve">. </w:t>
      </w:r>
    </w:p>
  </w:endnote>
  <w:endnote w:id="24">
    <w:p w14:paraId="1C4FE452" w14:textId="77777777" w:rsidR="0033678B" w:rsidRPr="00725F70" w:rsidRDefault="0033678B"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r w:rsidRPr="00725F70">
        <w:rPr>
          <w:rFonts w:cstheme="minorHAnsi"/>
          <w:i/>
          <w:iCs/>
          <w:sz w:val="18"/>
          <w:szCs w:val="18"/>
        </w:rPr>
        <w:t>See generally,</w:t>
      </w:r>
      <w:r w:rsidRPr="00725F70">
        <w:rPr>
          <w:rFonts w:cstheme="minorHAnsi"/>
          <w:sz w:val="18"/>
          <w:szCs w:val="18"/>
        </w:rPr>
        <w:t xml:space="preserve"> DHHS, Healthy People 2030, </w:t>
      </w:r>
      <w:hyperlink r:id="rId37" w:history="1">
        <w:r w:rsidRPr="00725F70">
          <w:rPr>
            <w:rStyle w:val="Hyperlink"/>
            <w:rFonts w:cstheme="minorHAnsi"/>
            <w:i/>
            <w:iCs/>
            <w:sz w:val="18"/>
            <w:szCs w:val="18"/>
          </w:rPr>
          <w:t>Social Determinants of Health</w:t>
        </w:r>
      </w:hyperlink>
      <w:r w:rsidRPr="00725F70">
        <w:rPr>
          <w:rFonts w:cstheme="minorHAnsi"/>
          <w:sz w:val="18"/>
          <w:szCs w:val="18"/>
        </w:rPr>
        <w:t xml:space="preserve">, </w:t>
      </w:r>
      <w:hyperlink r:id="rId38" w:history="1">
        <w:r w:rsidRPr="00725F70">
          <w:rPr>
            <w:rStyle w:val="Hyperlink"/>
            <w:rFonts w:cstheme="minorHAnsi"/>
            <w:sz w:val="18"/>
            <w:szCs w:val="18"/>
          </w:rPr>
          <w:t>https://health.gov/healthypeople/priority-areas/social-determinants-health</w:t>
        </w:r>
      </w:hyperlink>
      <w:r w:rsidRPr="00725F70">
        <w:rPr>
          <w:rFonts w:cstheme="minorHAnsi"/>
          <w:sz w:val="18"/>
          <w:szCs w:val="18"/>
        </w:rPr>
        <w:t>. SDoH are the conditions in the environments in which people live, learn, work, play, and age; they affect a wide range of health, functioning, and quality-of-life outcomes and risks.</w:t>
      </w:r>
    </w:p>
  </w:endnote>
  <w:endnote w:id="25">
    <w:p w14:paraId="6A143A08" w14:textId="1ED8D0BA" w:rsidR="008E7DC1" w:rsidRPr="00725F70" w:rsidRDefault="008E7DC1" w:rsidP="00725F70">
      <w:pPr>
        <w:pStyle w:val="EndnoteText"/>
        <w:contextualSpacing/>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hyperlink r:id="rId39" w:history="1">
        <w:r w:rsidRPr="00EE5B2D">
          <w:rPr>
            <w:rStyle w:val="Hyperlink"/>
            <w:rFonts w:eastAsia="Times New Roman" w:cstheme="minorHAnsi"/>
            <w:color w:val="auto"/>
            <w:sz w:val="18"/>
            <w:szCs w:val="18"/>
            <w:u w:val="none"/>
          </w:rPr>
          <w:t>Community Engagement Standards for Community Health Planning Guideline</w:t>
        </w:r>
      </w:hyperlink>
      <w:r w:rsidRPr="00EE5B2D">
        <w:rPr>
          <w:rFonts w:eastAsia="Times New Roman" w:cstheme="minorHAnsi"/>
          <w:sz w:val="18"/>
          <w:szCs w:val="18"/>
        </w:rPr>
        <w:t xml:space="preserve">. </w:t>
      </w:r>
      <w:hyperlink r:id="rId40" w:history="1">
        <w:r w:rsidR="00EE5B2D" w:rsidRPr="00EE5B2D">
          <w:rPr>
            <w:rStyle w:val="Hyperlink"/>
            <w:rFonts w:eastAsia="Times New Roman" w:cstheme="minorHAnsi"/>
            <w:color w:val="auto"/>
            <w:sz w:val="18"/>
            <w:szCs w:val="18"/>
            <w:u w:val="none"/>
          </w:rPr>
          <w:t>https://www.mass.gov/doc/community-engagement-guidelines-for-community-health-planning-pdf/download</w:t>
        </w:r>
      </w:hyperlink>
      <w:r w:rsidR="00EE5B2D" w:rsidRPr="00EE5B2D">
        <w:rPr>
          <w:rFonts w:eastAsia="Times New Roman" w:cstheme="minorHAnsi"/>
          <w:sz w:val="18"/>
          <w:szCs w:val="18"/>
        </w:rPr>
        <w:t xml:space="preserve"> </w:t>
      </w:r>
      <w:r w:rsidRPr="00EE5B2D">
        <w:rPr>
          <w:rFonts w:eastAsia="Times New Roman" w:cstheme="minorHAnsi"/>
          <w:sz w:val="18"/>
          <w:szCs w:val="18"/>
        </w:rPr>
        <w:t>.</w:t>
      </w:r>
      <w:r w:rsidRPr="00EE5B2D">
        <w:rPr>
          <w:rFonts w:cstheme="minorHAnsi"/>
          <w:sz w:val="18"/>
          <w:szCs w:val="18"/>
        </w:rPr>
        <w:t xml:space="preserve"> </w:t>
      </w:r>
    </w:p>
  </w:endnote>
  <w:endnote w:id="26">
    <w:p w14:paraId="2503475C" w14:textId="77777777" w:rsidR="008E7DC1" w:rsidRPr="00725F70" w:rsidRDefault="008E7DC1"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hyperlink r:id="rId41" w:history="1">
        <w:r w:rsidRPr="00725F70">
          <w:rPr>
            <w:rStyle w:val="Hyperlink"/>
            <w:rFonts w:cstheme="minorHAnsi"/>
            <w:color w:val="000000" w:themeColor="text1"/>
            <w:sz w:val="18"/>
            <w:szCs w:val="18"/>
            <w:u w:val="none"/>
          </w:rPr>
          <w:t>DoN Regulation 100.210 (A)(1)(e)</w:t>
        </w:r>
        <w:r w:rsidRPr="00725F70">
          <w:rPr>
            <w:rStyle w:val="Hyperlink"/>
            <w:rFonts w:cstheme="minorHAnsi"/>
            <w:sz w:val="18"/>
            <w:szCs w:val="18"/>
          </w:rPr>
          <w:t>.</w:t>
        </w:r>
      </w:hyperlink>
      <w:r w:rsidRPr="00725F70">
        <w:rPr>
          <w:rFonts w:cstheme="minorHAnsi"/>
          <w:sz w:val="18"/>
          <w:szCs w:val="18"/>
        </w:rPr>
        <w:t xml:space="preserve"> </w:t>
      </w:r>
      <w:hyperlink r:id="rId42" w:history="1">
        <w:r w:rsidRPr="00725F70">
          <w:rPr>
            <w:rStyle w:val="Hyperlink"/>
            <w:rFonts w:cstheme="minorHAnsi"/>
            <w:color w:val="auto"/>
            <w:sz w:val="18"/>
            <w:szCs w:val="18"/>
          </w:rPr>
          <w:t>at https://www.mass.gov/files/documents/2018/12/31/jud-lib-105cmr100.pdf</w:t>
        </w:r>
      </w:hyperlink>
      <w:r w:rsidRPr="00725F70">
        <w:rPr>
          <w:rStyle w:val="Hyperlink"/>
          <w:rFonts w:cstheme="minorHAnsi"/>
          <w:color w:val="auto"/>
          <w:sz w:val="18"/>
          <w:szCs w:val="18"/>
          <w:u w:val="none"/>
        </w:rPr>
        <w:t>.</w:t>
      </w:r>
    </w:p>
  </w:endnote>
  <w:endnote w:id="27">
    <w:p w14:paraId="741AB9B8" w14:textId="79D8819E" w:rsidR="0033678B" w:rsidRPr="00725F70" w:rsidRDefault="0033678B" w:rsidP="00725F70">
      <w:pPr>
        <w:textAlignment w:val="baseline"/>
        <w:rPr>
          <w:i/>
          <w:iCs/>
          <w:color w:val="0000FF"/>
          <w:sz w:val="18"/>
          <w:szCs w:val="18"/>
          <w:u w:val="single"/>
        </w:rPr>
      </w:pPr>
      <w:r w:rsidRPr="00725F70">
        <w:rPr>
          <w:rStyle w:val="EndnoteReference"/>
          <w:sz w:val="18"/>
          <w:szCs w:val="18"/>
        </w:rPr>
        <w:endnoteRef/>
      </w:r>
      <w:r w:rsidR="00C82CAE" w:rsidRPr="00725F70">
        <w:rPr>
          <w:sz w:val="18"/>
          <w:szCs w:val="18"/>
        </w:rPr>
        <w:t xml:space="preserve">Medicare Payment Advisory Commission, </w:t>
      </w:r>
      <w:hyperlink r:id="rId43" w:history="1">
        <w:r w:rsidR="00C82CAE" w:rsidRPr="0081519C">
          <w:rPr>
            <w:rStyle w:val="Hyperlink"/>
            <w:i/>
            <w:iCs/>
            <w:color w:val="auto"/>
            <w:sz w:val="18"/>
            <w:szCs w:val="18"/>
            <w:u w:val="none"/>
          </w:rPr>
          <w:t>March 2024 Report to the Congress: Medicare Payment Policy</w:t>
        </w:r>
      </w:hyperlink>
      <w:r w:rsidR="00C82CAE" w:rsidRPr="0081519C">
        <w:rPr>
          <w:sz w:val="18"/>
          <w:szCs w:val="18"/>
        </w:rPr>
        <w:t xml:space="preserve"> (March </w:t>
      </w:r>
      <w:r w:rsidR="00C82CAE" w:rsidRPr="00725F70">
        <w:rPr>
          <w:sz w:val="18"/>
          <w:szCs w:val="18"/>
        </w:rPr>
        <w:t>15, 2024), Chapter 10: Ambulatory Surgical Center Services: Status Report, [hereinafter “</w:t>
      </w:r>
      <w:proofErr w:type="spellStart"/>
      <w:r w:rsidR="00C82CAE" w:rsidRPr="00725F70">
        <w:rPr>
          <w:sz w:val="18"/>
          <w:szCs w:val="18"/>
        </w:rPr>
        <w:t>MedPac</w:t>
      </w:r>
      <w:proofErr w:type="spellEnd"/>
      <w:r w:rsidR="00C82CAE" w:rsidRPr="00725F70">
        <w:rPr>
          <w:sz w:val="18"/>
          <w:szCs w:val="18"/>
        </w:rPr>
        <w:t xml:space="preserve"> ASC Report”], p. 297, </w:t>
      </w:r>
      <w:hyperlink r:id="rId44" w:history="1">
        <w:r w:rsidR="00C82CAE" w:rsidRPr="00725F70">
          <w:rPr>
            <w:rStyle w:val="Hyperlink"/>
            <w:sz w:val="18"/>
            <w:szCs w:val="18"/>
          </w:rPr>
          <w:t>https://www.medpac.gov/wp-content/uploads/2024/03/Mar24_Ch10_MedPAC_Report_To_Congress_SEC.pdf</w:t>
        </w:r>
      </w:hyperlink>
      <w:r w:rsidR="00C82CAE" w:rsidRPr="00725F70">
        <w:rPr>
          <w:sz w:val="18"/>
          <w:szCs w:val="18"/>
        </w:rPr>
        <w:t xml:space="preserve">; </w:t>
      </w:r>
      <w:r w:rsidRPr="00725F70">
        <w:rPr>
          <w:sz w:val="18"/>
          <w:szCs w:val="18"/>
        </w:rPr>
        <w:t>; Ambulatory Surgery Center Association,</w:t>
      </w:r>
      <w:r w:rsidRPr="00725F70">
        <w:rPr>
          <w:i/>
          <w:iCs/>
          <w:sz w:val="18"/>
          <w:szCs w:val="18"/>
        </w:rPr>
        <w:t xml:space="preserve"> </w:t>
      </w:r>
      <w:hyperlink r:id="rId45" w:history="1">
        <w:r w:rsidRPr="00725F70">
          <w:rPr>
            <w:rStyle w:val="Hyperlink"/>
            <w:i/>
            <w:iCs/>
            <w:sz w:val="18"/>
            <w:szCs w:val="18"/>
          </w:rPr>
          <w:t>Reducing Medicare Costs</w:t>
        </w:r>
      </w:hyperlink>
      <w:r w:rsidRPr="00725F70">
        <w:rPr>
          <w:i/>
          <w:iCs/>
          <w:sz w:val="18"/>
          <w:szCs w:val="18"/>
        </w:rPr>
        <w:t xml:space="preserve"> </w:t>
      </w:r>
      <w:r w:rsidRPr="00725F70">
        <w:rPr>
          <w:sz w:val="18"/>
          <w:szCs w:val="18"/>
        </w:rPr>
        <w:t>(October 2020), [hereinafter “ASCA Medicare Costs Report</w:t>
      </w:r>
      <w:r w:rsidRPr="00725F70">
        <w:rPr>
          <w:rFonts w:eastAsia="Arial"/>
          <w:color w:val="000000"/>
          <w:sz w:val="18"/>
          <w:szCs w:val="18"/>
        </w:rPr>
        <w:t xml:space="preserve"> </w:t>
      </w:r>
      <w:r w:rsidRPr="00725F70">
        <w:rPr>
          <w:rFonts w:eastAsia="Arial"/>
          <w:i/>
          <w:iCs/>
          <w:color w:val="000000"/>
          <w:sz w:val="18"/>
          <w:szCs w:val="18"/>
        </w:rPr>
        <w:t>supra</w:t>
      </w:r>
      <w:r w:rsidRPr="00725F70">
        <w:rPr>
          <w:rFonts w:eastAsia="Arial"/>
          <w:color w:val="000000"/>
          <w:sz w:val="18"/>
          <w:szCs w:val="18"/>
        </w:rPr>
        <w:t xml:space="preserve"> note </w:t>
      </w:r>
      <w:r w:rsidR="00C82CAE" w:rsidRPr="00725F70">
        <w:rPr>
          <w:rFonts w:eastAsia="Arial"/>
          <w:color w:val="000000"/>
          <w:sz w:val="18"/>
          <w:szCs w:val="18"/>
        </w:rPr>
        <w:t>x</w:t>
      </w:r>
      <w:r w:rsidR="005125B4" w:rsidRPr="00725F70">
        <w:rPr>
          <w:rFonts w:eastAsia="Arial"/>
          <w:color w:val="000000"/>
          <w:sz w:val="18"/>
          <w:szCs w:val="18"/>
        </w:rPr>
        <w:t>v</w:t>
      </w:r>
      <w:r w:rsidRPr="00725F70">
        <w:rPr>
          <w:rFonts w:eastAsia="Arial"/>
          <w:color w:val="000000"/>
          <w:sz w:val="18"/>
          <w:szCs w:val="18"/>
        </w:rPr>
        <w:t xml:space="preserve">. </w:t>
      </w:r>
    </w:p>
  </w:endnote>
  <w:endnote w:id="28">
    <w:p w14:paraId="4053AF2C" w14:textId="7594F9F9" w:rsidR="0033678B" w:rsidRPr="00725F70" w:rsidRDefault="0033678B"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HPC Datapoints, </w:t>
      </w:r>
      <w:r w:rsidRPr="00725F70">
        <w:rPr>
          <w:rFonts w:cstheme="minorHAnsi"/>
          <w:i/>
          <w:iCs/>
          <w:sz w:val="18"/>
          <w:szCs w:val="18"/>
        </w:rPr>
        <w:t>supra</w:t>
      </w:r>
      <w:r w:rsidRPr="00725F70">
        <w:rPr>
          <w:rFonts w:cstheme="minorHAnsi"/>
          <w:sz w:val="18"/>
          <w:szCs w:val="18"/>
        </w:rPr>
        <w:t xml:space="preserve"> note </w:t>
      </w:r>
      <w:r w:rsidR="005125B4" w:rsidRPr="00725F70">
        <w:rPr>
          <w:rFonts w:cstheme="minorHAnsi"/>
          <w:sz w:val="18"/>
          <w:szCs w:val="18"/>
        </w:rPr>
        <w:t>vii</w:t>
      </w:r>
      <w:r w:rsidRPr="00725F70">
        <w:rPr>
          <w:rFonts w:cstheme="minorHAnsi"/>
          <w:sz w:val="18"/>
          <w:szCs w:val="18"/>
        </w:rPr>
        <w:t xml:space="preserve">. </w:t>
      </w:r>
    </w:p>
  </w:endnote>
  <w:endnote w:id="29">
    <w:p w14:paraId="6573F10A" w14:textId="77777777" w:rsidR="0033678B" w:rsidRPr="00725F70" w:rsidRDefault="0033678B"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r w:rsidRPr="00725F70">
        <w:rPr>
          <w:rFonts w:cstheme="minorHAnsi"/>
          <w:i/>
          <w:iCs/>
          <w:sz w:val="18"/>
          <w:szCs w:val="18"/>
        </w:rPr>
        <w:t>Id.</w:t>
      </w:r>
      <w:r w:rsidRPr="00725F70">
        <w:rPr>
          <w:rFonts w:cstheme="minorHAnsi"/>
          <w:sz w:val="18"/>
          <w:szCs w:val="18"/>
        </w:rPr>
        <w:t xml:space="preserve"> </w:t>
      </w:r>
    </w:p>
  </w:endnote>
  <w:endnote w:id="30">
    <w:p w14:paraId="2BF30678" w14:textId="145AFA79" w:rsidR="0033678B" w:rsidRPr="00725F70" w:rsidRDefault="0033678B" w:rsidP="00725F70">
      <w:pPr>
        <w:textAlignment w:val="baseline"/>
        <w:rPr>
          <w:rFonts w:eastAsia="Arial"/>
          <w:sz w:val="18"/>
          <w:szCs w:val="18"/>
        </w:rPr>
      </w:pPr>
      <w:r w:rsidRPr="00725F70">
        <w:rPr>
          <w:rStyle w:val="EndnoteReference"/>
          <w:sz w:val="18"/>
          <w:szCs w:val="18"/>
        </w:rPr>
        <w:endnoteRef/>
      </w:r>
      <w:r w:rsidRPr="00725F70">
        <w:rPr>
          <w:sz w:val="18"/>
          <w:szCs w:val="18"/>
        </w:rPr>
        <w:t xml:space="preserve"> ASCA Medicare Costs Report</w:t>
      </w:r>
      <w:r w:rsidRPr="00725F70">
        <w:rPr>
          <w:i/>
          <w:iCs/>
          <w:sz w:val="18"/>
          <w:szCs w:val="18"/>
        </w:rPr>
        <w:t xml:space="preserve">, supra </w:t>
      </w:r>
      <w:r w:rsidRPr="00725F70">
        <w:rPr>
          <w:sz w:val="18"/>
          <w:szCs w:val="18"/>
        </w:rPr>
        <w:t xml:space="preserve">note </w:t>
      </w:r>
      <w:r w:rsidR="005125B4" w:rsidRPr="00725F70">
        <w:rPr>
          <w:sz w:val="18"/>
          <w:szCs w:val="18"/>
        </w:rPr>
        <w:t>xv</w:t>
      </w:r>
      <w:r w:rsidRPr="00725F70">
        <w:rPr>
          <w:rFonts w:eastAsia="Arial"/>
          <w:color w:val="000000"/>
          <w:sz w:val="18"/>
          <w:szCs w:val="18"/>
        </w:rPr>
        <w:t>, section on Past Savings (Appendix B – Table 1) (“</w:t>
      </w:r>
      <w:r w:rsidRPr="00725F70">
        <w:rPr>
          <w:color w:val="333333"/>
          <w:sz w:val="18"/>
          <w:szCs w:val="18"/>
          <w:shd w:val="clear" w:color="auto" w:fill="FFFFFF"/>
        </w:rPr>
        <w:t>During the eight-year period from 2011 to 2018, the total FFS Medicare savings generated by ASCs was $28.7 billion. The savings per year increased from $3.1 billion in 2011 to $4.2 billion in 2018.”)</w:t>
      </w:r>
      <w:r w:rsidRPr="00725F70">
        <w:rPr>
          <w:i/>
          <w:iCs/>
          <w:sz w:val="18"/>
          <w:szCs w:val="18"/>
        </w:rPr>
        <w:t xml:space="preserve">; </w:t>
      </w:r>
      <w:r w:rsidRPr="00725F70">
        <w:rPr>
          <w:rFonts w:eastAsia="Arial"/>
          <w:color w:val="000000"/>
          <w:sz w:val="18"/>
          <w:szCs w:val="18"/>
        </w:rPr>
        <w:t xml:space="preserve">ASCA Report, </w:t>
      </w:r>
      <w:r w:rsidRPr="00725F70">
        <w:rPr>
          <w:rFonts w:eastAsia="Arial"/>
          <w:i/>
          <w:color w:val="000000"/>
          <w:sz w:val="18"/>
          <w:szCs w:val="18"/>
        </w:rPr>
        <w:t xml:space="preserve">supra </w:t>
      </w:r>
      <w:r w:rsidRPr="00725F70">
        <w:rPr>
          <w:rFonts w:eastAsia="Arial"/>
          <w:color w:val="000000"/>
          <w:sz w:val="18"/>
          <w:szCs w:val="18"/>
        </w:rPr>
        <w:t>note</w:t>
      </w:r>
      <w:r w:rsidR="00AC0826" w:rsidRPr="00725F70">
        <w:rPr>
          <w:rFonts w:eastAsia="Arial"/>
          <w:color w:val="000000"/>
          <w:sz w:val="18"/>
          <w:szCs w:val="18"/>
        </w:rPr>
        <w:t xml:space="preserve"> x</w:t>
      </w:r>
      <w:r w:rsidR="005125B4" w:rsidRPr="00725F70">
        <w:rPr>
          <w:rFonts w:eastAsia="Arial"/>
          <w:color w:val="000000"/>
          <w:sz w:val="18"/>
          <w:szCs w:val="18"/>
        </w:rPr>
        <w:t>v</w:t>
      </w:r>
      <w:r w:rsidRPr="00725F70">
        <w:rPr>
          <w:rFonts w:eastAsia="Arial"/>
          <w:color w:val="000000"/>
          <w:sz w:val="18"/>
          <w:szCs w:val="18"/>
        </w:rPr>
        <w:t xml:space="preserve"> (noting average annual increases of $2.6 billion per year prior to 2011); </w:t>
      </w:r>
      <w:r w:rsidRPr="00725F70">
        <w:rPr>
          <w:rFonts w:eastAsia="Arial"/>
          <w:i/>
          <w:color w:val="000000"/>
          <w:sz w:val="18"/>
          <w:szCs w:val="18"/>
        </w:rPr>
        <w:t xml:space="preserve">The ASC </w:t>
      </w:r>
      <w:r w:rsidRPr="00725F70">
        <w:rPr>
          <w:rFonts w:eastAsia="Arial"/>
          <w:i/>
          <w:sz w:val="18"/>
          <w:szCs w:val="18"/>
        </w:rPr>
        <w:t xml:space="preserve">Cost Differential, supra </w:t>
      </w:r>
      <w:r w:rsidRPr="00725F70">
        <w:rPr>
          <w:rFonts w:eastAsia="Arial"/>
          <w:sz w:val="18"/>
          <w:szCs w:val="18"/>
        </w:rPr>
        <w:t xml:space="preserve">note </w:t>
      </w:r>
      <w:r w:rsidR="00C82CAE" w:rsidRPr="00725F70">
        <w:rPr>
          <w:rFonts w:eastAsia="Arial"/>
          <w:sz w:val="18"/>
          <w:szCs w:val="18"/>
        </w:rPr>
        <w:t>xxi</w:t>
      </w:r>
      <w:r w:rsidRPr="00725F70">
        <w:rPr>
          <w:rFonts w:eastAsia="Arial"/>
          <w:sz w:val="18"/>
          <w:szCs w:val="18"/>
        </w:rPr>
        <w:t>.</w:t>
      </w:r>
    </w:p>
  </w:endnote>
  <w:endnote w:id="31">
    <w:p w14:paraId="254BEA69" w14:textId="40040F9B" w:rsidR="0033678B" w:rsidRPr="00725F70" w:rsidRDefault="0033678B" w:rsidP="00725F70">
      <w:pPr>
        <w:pStyle w:val="EndnoteText"/>
        <w:rPr>
          <w:rFonts w:eastAsia="Calibri"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ASCA Medicare Costs Report,</w:t>
      </w:r>
      <w:r w:rsidRPr="00725F70">
        <w:rPr>
          <w:rFonts w:cstheme="minorHAnsi"/>
          <w:i/>
          <w:iCs/>
          <w:sz w:val="18"/>
          <w:szCs w:val="18"/>
        </w:rPr>
        <w:t xml:space="preserve"> supra </w:t>
      </w:r>
      <w:r w:rsidRPr="00725F70">
        <w:rPr>
          <w:rFonts w:cstheme="minorHAnsi"/>
          <w:sz w:val="18"/>
          <w:szCs w:val="18"/>
        </w:rPr>
        <w:t xml:space="preserve">note </w:t>
      </w:r>
      <w:r w:rsidR="005125B4" w:rsidRPr="00725F70">
        <w:rPr>
          <w:rFonts w:cstheme="minorHAnsi"/>
          <w:sz w:val="18"/>
          <w:szCs w:val="18"/>
        </w:rPr>
        <w:t>xv</w:t>
      </w:r>
      <w:r w:rsidRPr="00725F70">
        <w:rPr>
          <w:rFonts w:eastAsia="Arial" w:cstheme="minorHAnsi"/>
          <w:color w:val="000000"/>
          <w:sz w:val="18"/>
          <w:szCs w:val="18"/>
        </w:rPr>
        <w:t xml:space="preserve">, section on Future Savings (Appendix B – Table 2). </w:t>
      </w:r>
    </w:p>
  </w:endnote>
  <w:endnote w:id="32">
    <w:p w14:paraId="17FF0A8C" w14:textId="77777777" w:rsidR="0033678B" w:rsidRPr="00725F70" w:rsidRDefault="0033678B" w:rsidP="00725F70">
      <w:pPr>
        <w:textAlignment w:val="baseline"/>
        <w:rPr>
          <w:rFonts w:eastAsia="Arial"/>
          <w:color w:val="000000"/>
          <w:sz w:val="18"/>
          <w:szCs w:val="18"/>
        </w:rPr>
      </w:pPr>
      <w:r w:rsidRPr="00725F70">
        <w:rPr>
          <w:rStyle w:val="EndnoteReference"/>
          <w:sz w:val="18"/>
          <w:szCs w:val="18"/>
        </w:rPr>
        <w:endnoteRef/>
      </w:r>
      <w:r w:rsidRPr="00725F70">
        <w:rPr>
          <w:sz w:val="18"/>
          <w:szCs w:val="18"/>
        </w:rPr>
        <w:t xml:space="preserve"> </w:t>
      </w:r>
      <w:r w:rsidRPr="00725F70">
        <w:rPr>
          <w:color w:val="212121"/>
          <w:sz w:val="18"/>
          <w:szCs w:val="18"/>
          <w:shd w:val="clear" w:color="auto" w:fill="FFFFFF"/>
        </w:rPr>
        <w:t>Munnich EL, Parente ST, </w:t>
      </w:r>
      <w:r w:rsidRPr="00725F70">
        <w:rPr>
          <w:i/>
          <w:iCs/>
          <w:color w:val="212121"/>
          <w:sz w:val="18"/>
          <w:szCs w:val="18"/>
          <w:shd w:val="clear" w:color="auto" w:fill="FFFFFF"/>
        </w:rPr>
        <w:t>Procedures take less time at ambulatory surgery centers, keeping costs down and ability to meet demand up</w:t>
      </w:r>
      <w:r w:rsidRPr="00725F70">
        <w:rPr>
          <w:color w:val="212121"/>
          <w:sz w:val="18"/>
          <w:szCs w:val="18"/>
          <w:shd w:val="clear" w:color="auto" w:fill="FFFFFF"/>
        </w:rPr>
        <w:t xml:space="preserve">, </w:t>
      </w:r>
      <w:r w:rsidRPr="00725F70">
        <w:rPr>
          <w:i/>
          <w:iCs/>
          <w:color w:val="212121"/>
          <w:sz w:val="18"/>
          <w:szCs w:val="18"/>
          <w:shd w:val="clear" w:color="auto" w:fill="FFFFFF"/>
        </w:rPr>
        <w:t xml:space="preserve">Health </w:t>
      </w:r>
      <w:proofErr w:type="spellStart"/>
      <w:r w:rsidRPr="00725F70">
        <w:rPr>
          <w:i/>
          <w:iCs/>
          <w:color w:val="212121"/>
          <w:sz w:val="18"/>
          <w:szCs w:val="18"/>
          <w:shd w:val="clear" w:color="auto" w:fill="FFFFFF"/>
        </w:rPr>
        <w:t>Aff</w:t>
      </w:r>
      <w:proofErr w:type="spellEnd"/>
      <w:r w:rsidRPr="00725F70">
        <w:rPr>
          <w:i/>
          <w:iCs/>
          <w:color w:val="212121"/>
          <w:sz w:val="18"/>
          <w:szCs w:val="18"/>
          <w:shd w:val="clear" w:color="auto" w:fill="FFFFFF"/>
        </w:rPr>
        <w:t xml:space="preserve"> (Millwood)</w:t>
      </w:r>
      <w:r w:rsidRPr="00725F70">
        <w:rPr>
          <w:color w:val="212121"/>
          <w:sz w:val="18"/>
          <w:szCs w:val="18"/>
          <w:shd w:val="clear" w:color="auto" w:fill="FFFFFF"/>
        </w:rPr>
        <w:t> 2014;33:764-9. 10.1377/hlthaff.2013.1281.</w:t>
      </w:r>
    </w:p>
  </w:endnote>
  <w:endnote w:id="33">
    <w:p w14:paraId="03EEBB63" w14:textId="77777777" w:rsidR="00CE5EE1" w:rsidRPr="00725F70" w:rsidRDefault="00CE5EE1" w:rsidP="00725F70">
      <w:pPr>
        <w:textAlignment w:val="baseline"/>
        <w:rPr>
          <w:rFonts w:eastAsia="Arial"/>
          <w:color w:val="000000"/>
          <w:sz w:val="18"/>
          <w:szCs w:val="18"/>
        </w:rPr>
      </w:pPr>
      <w:r w:rsidRPr="00725F70">
        <w:rPr>
          <w:rStyle w:val="EndnoteReference"/>
          <w:sz w:val="18"/>
          <w:szCs w:val="18"/>
        </w:rPr>
        <w:endnoteRef/>
      </w:r>
      <w:r w:rsidRPr="00725F70">
        <w:rPr>
          <w:sz w:val="18"/>
          <w:szCs w:val="18"/>
        </w:rPr>
        <w:t xml:space="preserve"> </w:t>
      </w:r>
      <w:r w:rsidRPr="00725F70">
        <w:rPr>
          <w:rFonts w:eastAsia="Arial"/>
          <w:i/>
          <w:color w:val="000000"/>
          <w:sz w:val="18"/>
          <w:szCs w:val="18"/>
        </w:rPr>
        <w:t>Id.</w:t>
      </w:r>
    </w:p>
  </w:endnote>
  <w:endnote w:id="34">
    <w:p w14:paraId="348DC5E8" w14:textId="77777777" w:rsidR="00F36E2C" w:rsidRPr="00725F70" w:rsidRDefault="00F36E2C" w:rsidP="00725F70">
      <w:pPr>
        <w:textAlignment w:val="baseline"/>
        <w:rPr>
          <w:rFonts w:eastAsia="Arial"/>
          <w:color w:val="000000"/>
          <w:sz w:val="18"/>
          <w:szCs w:val="18"/>
        </w:rPr>
      </w:pPr>
      <w:r w:rsidRPr="00725F70">
        <w:rPr>
          <w:rStyle w:val="EndnoteReference"/>
          <w:sz w:val="18"/>
          <w:szCs w:val="18"/>
        </w:rPr>
        <w:endnoteRef/>
      </w:r>
      <w:r w:rsidRPr="00725F70">
        <w:rPr>
          <w:sz w:val="18"/>
          <w:szCs w:val="18"/>
        </w:rPr>
        <w:t xml:space="preserve"> </w:t>
      </w:r>
      <w:r w:rsidRPr="00725F70">
        <w:rPr>
          <w:rFonts w:eastAsia="Arial"/>
          <w:i/>
          <w:color w:val="000000"/>
          <w:sz w:val="18"/>
          <w:szCs w:val="18"/>
        </w:rPr>
        <w:t>Id.</w:t>
      </w:r>
    </w:p>
  </w:endnote>
  <w:endnote w:id="35">
    <w:p w14:paraId="278807AB" w14:textId="0FAF9097" w:rsidR="00F36E2C" w:rsidRPr="00725F70" w:rsidRDefault="00F36E2C" w:rsidP="00725F70">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proofErr w:type="spellStart"/>
      <w:r w:rsidR="00B97559" w:rsidRPr="00725F70">
        <w:rPr>
          <w:sz w:val="18"/>
          <w:szCs w:val="18"/>
        </w:rPr>
        <w:t>Makanji</w:t>
      </w:r>
      <w:proofErr w:type="spellEnd"/>
      <w:r w:rsidR="00B97559" w:rsidRPr="00725F70">
        <w:rPr>
          <w:sz w:val="18"/>
          <w:szCs w:val="18"/>
        </w:rPr>
        <w:t xml:space="preserve"> HS, </w:t>
      </w:r>
      <w:proofErr w:type="spellStart"/>
      <w:r w:rsidR="00B97559" w:rsidRPr="00725F70">
        <w:rPr>
          <w:sz w:val="18"/>
          <w:szCs w:val="18"/>
        </w:rPr>
        <w:t>Bilolikar</w:t>
      </w:r>
      <w:proofErr w:type="spellEnd"/>
      <w:r w:rsidR="00B97559" w:rsidRPr="00725F70">
        <w:rPr>
          <w:sz w:val="18"/>
          <w:szCs w:val="18"/>
        </w:rPr>
        <w:t xml:space="preserve"> VK, Goyal DKC, Kurd MF. </w:t>
      </w:r>
      <w:hyperlink r:id="rId46" w:history="1">
        <w:r w:rsidR="00B97559" w:rsidRPr="00C75109">
          <w:rPr>
            <w:rStyle w:val="Hyperlink"/>
            <w:i/>
            <w:iCs/>
            <w:color w:val="auto"/>
            <w:sz w:val="18"/>
            <w:szCs w:val="18"/>
            <w:u w:val="none"/>
          </w:rPr>
          <w:t>Ambulatory surgery center payment models: current trends and future directions</w:t>
        </w:r>
      </w:hyperlink>
      <w:r w:rsidR="00B97559" w:rsidRPr="00C75109">
        <w:rPr>
          <w:i/>
          <w:iCs/>
          <w:sz w:val="18"/>
          <w:szCs w:val="18"/>
        </w:rPr>
        <w:t>,</w:t>
      </w:r>
      <w:r w:rsidR="00B97559" w:rsidRPr="00C75109">
        <w:rPr>
          <w:sz w:val="18"/>
          <w:szCs w:val="18"/>
        </w:rPr>
        <w:t xml:space="preserve"> J </w:t>
      </w:r>
      <w:r w:rsidR="00B97559" w:rsidRPr="00725F70">
        <w:rPr>
          <w:sz w:val="18"/>
          <w:szCs w:val="18"/>
        </w:rPr>
        <w:t xml:space="preserve">Spine Surg. 2019 Sep;5(Suppl 2):S191-S194, </w:t>
      </w:r>
      <w:hyperlink r:id="rId47" w:history="1">
        <w:r w:rsidR="00B97559" w:rsidRPr="00725F70">
          <w:rPr>
            <w:rStyle w:val="Hyperlink"/>
            <w:sz w:val="18"/>
            <w:szCs w:val="18"/>
          </w:rPr>
          <w:t>https://www.ncbi.nlm.nih.gov/pmc/articles/PMC6790812/</w:t>
        </w:r>
      </w:hyperlink>
      <w:r w:rsidR="00B97559" w:rsidRPr="00725F70">
        <w:rPr>
          <w:sz w:val="18"/>
          <w:szCs w:val="18"/>
        </w:rPr>
        <w:t xml:space="preserve"> (“In 2017, more than 50% of all outpatient surgeries were conducted in ambulatory surgery centers (ASCs)—a market which is projected to reach $40 billion in 2020. At the center of this massive growth are ASCs.”). </w:t>
      </w:r>
      <w:r w:rsidRPr="00725F70">
        <w:rPr>
          <w:rFonts w:cstheme="minorHAnsi"/>
          <w:sz w:val="18"/>
          <w:szCs w:val="18"/>
        </w:rPr>
        <w:t>(“</w:t>
      </w:r>
      <w:r w:rsidRPr="00725F70">
        <w:rPr>
          <w:rFonts w:cstheme="minorHAnsi"/>
          <w:color w:val="212121"/>
          <w:sz w:val="18"/>
          <w:szCs w:val="18"/>
        </w:rPr>
        <w:t>ASCs . . . typically focus on a small subset of routine procedures and treatments. This approach allows ASCs to reduce the overall perioperative costs of surgery</w:t>
      </w:r>
      <w:r w:rsidR="000E233B">
        <w:rPr>
          <w:rFonts w:cstheme="minorHAnsi"/>
          <w:color w:val="212121"/>
          <w:sz w:val="18"/>
          <w:szCs w:val="18"/>
        </w:rPr>
        <w:t>…</w:t>
      </w:r>
      <w:r w:rsidRPr="00725F70">
        <w:rPr>
          <w:rFonts w:cstheme="minorHAnsi"/>
          <w:color w:val="212121"/>
          <w:sz w:val="18"/>
          <w:szCs w:val="18"/>
          <w:shd w:val="clear" w:color="auto" w:fill="FFFFFF"/>
        </w:rPr>
        <w:t xml:space="preserve"> since the adoption of the Affordable Care Act (ACA), reimbursements to ASCs have become approximately 42% less when compared to hospitals for the same procedure”).</w:t>
      </w:r>
      <w:r w:rsidRPr="00725F70">
        <w:rPr>
          <w:rFonts w:cstheme="minorHAnsi"/>
          <w:color w:val="212121"/>
          <w:sz w:val="18"/>
          <w:szCs w:val="18"/>
        </w:rPr>
        <w:t xml:space="preserve"> </w:t>
      </w:r>
    </w:p>
  </w:endnote>
  <w:endnote w:id="36">
    <w:p w14:paraId="6AC930E6" w14:textId="77777777" w:rsidR="008553E6" w:rsidRPr="00725F70" w:rsidRDefault="008553E6" w:rsidP="00725F70">
      <w:pPr>
        <w:pStyle w:val="EndnoteText"/>
        <w:rPr>
          <w:rFonts w:eastAsia="Calibri"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Id. </w:t>
      </w:r>
    </w:p>
  </w:endnote>
  <w:endnote w:id="37">
    <w:p w14:paraId="08108523" w14:textId="77777777" w:rsidR="00525E4F" w:rsidRPr="00725F70" w:rsidRDefault="00525E4F" w:rsidP="00725F70">
      <w:pPr>
        <w:pStyle w:val="EndnoteText"/>
        <w:rPr>
          <w:rFonts w:cstheme="minorHAnsi"/>
          <w:sz w:val="18"/>
          <w:szCs w:val="18"/>
        </w:rPr>
      </w:pPr>
      <w:r w:rsidRPr="00725F70">
        <w:rPr>
          <w:rStyle w:val="ListParagraphChar"/>
          <w:rFonts w:cstheme="minorHAnsi"/>
          <w:sz w:val="18"/>
          <w:szCs w:val="18"/>
        </w:rPr>
        <w:endnoteRef/>
      </w:r>
      <w:r w:rsidRPr="00725F70">
        <w:rPr>
          <w:rFonts w:cstheme="minorHAnsi"/>
          <w:sz w:val="18"/>
          <w:szCs w:val="18"/>
        </w:rPr>
        <w:t xml:space="preserve"> Louis Levitt, </w:t>
      </w:r>
      <w:hyperlink r:id="rId48" w:history="1">
        <w:r w:rsidRPr="00725F70">
          <w:rPr>
            <w:rFonts w:cstheme="minorHAnsi"/>
            <w:i/>
            <w:sz w:val="18"/>
            <w:szCs w:val="18"/>
          </w:rPr>
          <w:t>The Benefits of Outpatient Surgical Centers</w:t>
        </w:r>
      </w:hyperlink>
      <w:r w:rsidRPr="00725F70">
        <w:rPr>
          <w:rFonts w:cstheme="minorHAnsi"/>
          <w:sz w:val="18"/>
          <w:szCs w:val="18"/>
        </w:rPr>
        <w:t xml:space="preserve">. The Centers for Advanced Orthopedics (Jun. 15, 2017), </w:t>
      </w:r>
      <w:hyperlink r:id="rId49" w:history="1">
        <w:r w:rsidRPr="00725F70">
          <w:rPr>
            <w:rFonts w:cstheme="minorHAnsi"/>
            <w:color w:val="365F91"/>
            <w:sz w:val="18"/>
            <w:szCs w:val="18"/>
          </w:rPr>
          <w:t>https://www.cfaortho.com/media/news/2017/06/the-benefits-of-outpatient-surgical-centers</w:t>
        </w:r>
      </w:hyperlink>
      <w:r w:rsidRPr="00725F70">
        <w:rPr>
          <w:rFonts w:cstheme="minorHAnsi"/>
          <w:sz w:val="18"/>
          <w:szCs w:val="18"/>
        </w:rPr>
        <w:t xml:space="preserve">; Michael Barbella, </w:t>
      </w:r>
      <w:hyperlink r:id="rId50" w:history="1">
        <w:r w:rsidRPr="00725F70">
          <w:rPr>
            <w:rFonts w:cstheme="minorHAnsi"/>
            <w:i/>
            <w:iCs/>
            <w:sz w:val="18"/>
            <w:szCs w:val="18"/>
          </w:rPr>
          <w:t>The ABCs of ASC Cost Savings,</w:t>
        </w:r>
      </w:hyperlink>
      <w:r w:rsidRPr="00725F70">
        <w:rPr>
          <w:rFonts w:cstheme="minorHAnsi"/>
          <w:i/>
          <w:iCs/>
          <w:sz w:val="18"/>
          <w:szCs w:val="18"/>
        </w:rPr>
        <w:t xml:space="preserve"> </w:t>
      </w:r>
      <w:r w:rsidRPr="00725F70">
        <w:rPr>
          <w:rFonts w:cstheme="minorHAnsi"/>
          <w:sz w:val="18"/>
          <w:szCs w:val="18"/>
        </w:rPr>
        <w:t xml:space="preserve">Orthopedic Design &amp; Technology (Mar. 22, 2017), </w:t>
      </w:r>
      <w:hyperlink r:id="rId51" w:history="1">
        <w:r w:rsidRPr="00725F70">
          <w:rPr>
            <w:rFonts w:cstheme="minorHAnsi"/>
            <w:color w:val="365F91"/>
            <w:sz w:val="18"/>
            <w:szCs w:val="18"/>
          </w:rPr>
          <w:t>https://www.odtmag.com/issues/2017-03-01/view_columns/the-abcs-of-asc-cost-savings/</w:t>
        </w:r>
      </w:hyperlink>
      <w:r w:rsidRPr="00725F70">
        <w:rPr>
          <w:rFonts w:cstheme="minorHAnsi"/>
          <w:sz w:val="18"/>
          <w:szCs w:val="18"/>
        </w:rPr>
        <w:t>.</w:t>
      </w:r>
    </w:p>
  </w:endnote>
  <w:endnote w:id="38">
    <w:p w14:paraId="7CD044C3" w14:textId="7CED6086" w:rsidR="00525E4F" w:rsidRPr="00725F70" w:rsidRDefault="00525E4F" w:rsidP="00525E4F">
      <w:pPr>
        <w:pStyle w:val="EndnoteText"/>
        <w:rPr>
          <w:rFonts w:cstheme="minorHAnsi"/>
          <w:sz w:val="18"/>
          <w:szCs w:val="18"/>
        </w:rPr>
      </w:pPr>
      <w:r w:rsidRPr="00725F70">
        <w:rPr>
          <w:rStyle w:val="EndnoteReference"/>
          <w:rFonts w:cstheme="minorHAnsi"/>
          <w:sz w:val="18"/>
          <w:szCs w:val="18"/>
        </w:rPr>
        <w:endnoteRef/>
      </w:r>
      <w:r w:rsidR="005125B4" w:rsidRPr="00725F70">
        <w:rPr>
          <w:rFonts w:cstheme="minorHAnsi"/>
          <w:sz w:val="18"/>
          <w:szCs w:val="18"/>
          <w:shd w:val="clear" w:color="auto" w:fill="FFFFFF"/>
        </w:rPr>
        <w:t xml:space="preserve">HPC Datapoints </w:t>
      </w:r>
      <w:r w:rsidR="005125B4" w:rsidRPr="00725F70">
        <w:rPr>
          <w:rFonts w:cstheme="minorHAnsi"/>
          <w:i/>
          <w:iCs/>
          <w:sz w:val="18"/>
          <w:szCs w:val="18"/>
          <w:shd w:val="clear" w:color="auto" w:fill="FFFFFF"/>
        </w:rPr>
        <w:t xml:space="preserve">supra </w:t>
      </w:r>
      <w:r w:rsidR="005125B4" w:rsidRPr="00725F70">
        <w:rPr>
          <w:rFonts w:cstheme="minorHAnsi"/>
          <w:sz w:val="18"/>
          <w:szCs w:val="18"/>
          <w:shd w:val="clear" w:color="auto" w:fill="FFFFFF"/>
        </w:rPr>
        <w:t>note vii</w:t>
      </w:r>
      <w:r w:rsidRPr="00725F70">
        <w:rPr>
          <w:rFonts w:cstheme="minorHAnsi"/>
          <w:sz w:val="18"/>
          <w:szCs w:val="18"/>
          <w:shd w:val="clear" w:color="auto" w:fill="FFFFFF"/>
        </w:rPr>
        <w:t> </w:t>
      </w:r>
    </w:p>
  </w:endnote>
  <w:endnote w:id="39">
    <w:p w14:paraId="77BDCFCC" w14:textId="7F1975BB" w:rsidR="003337AB" w:rsidRPr="00C75109" w:rsidRDefault="003337AB" w:rsidP="003337AB">
      <w:pPr>
        <w:pStyle w:val="EndnoteText"/>
        <w:rPr>
          <w:rFonts w:cstheme="minorHAnsi"/>
          <w:sz w:val="18"/>
          <w:szCs w:val="18"/>
        </w:rPr>
      </w:pPr>
      <w:r w:rsidRPr="00725F70">
        <w:rPr>
          <w:rStyle w:val="EndnoteReference"/>
          <w:rFonts w:cstheme="minorHAnsi"/>
          <w:sz w:val="18"/>
          <w:szCs w:val="18"/>
        </w:rPr>
        <w:endnoteRef/>
      </w:r>
      <w:r w:rsidRPr="00725F70">
        <w:rPr>
          <w:rFonts w:cstheme="minorHAnsi"/>
          <w:sz w:val="18"/>
          <w:szCs w:val="18"/>
        </w:rPr>
        <w:t xml:space="preserve"> </w:t>
      </w:r>
      <w:hyperlink r:id="rId52" w:history="1">
        <w:r w:rsidR="00C75109" w:rsidRPr="00C75109">
          <w:rPr>
            <w:rStyle w:val="Hyperlink"/>
            <w:rFonts w:cstheme="minorHAnsi"/>
            <w:color w:val="auto"/>
            <w:sz w:val="18"/>
            <w:szCs w:val="18"/>
            <w:u w:val="none"/>
          </w:rPr>
          <w:t>https://www.kff.org/health-costs/issue-brief/americans-challenges-with-health-care-costs/</w:t>
        </w:r>
      </w:hyperlink>
      <w:r w:rsidR="00C75109" w:rsidRPr="00C75109">
        <w:rPr>
          <w:rFonts w:cstheme="minorHAnsi"/>
          <w:sz w:val="18"/>
          <w:szCs w:val="18"/>
        </w:rPr>
        <w:t xml:space="preserve"> </w:t>
      </w:r>
    </w:p>
  </w:endnote>
  <w:endnote w:id="40">
    <w:p w14:paraId="0298B392" w14:textId="3CCB4935" w:rsidR="00517FCD" w:rsidRPr="00725F70" w:rsidRDefault="00517FCD">
      <w:pPr>
        <w:pStyle w:val="EndnoteText"/>
        <w:rPr>
          <w:sz w:val="18"/>
          <w:szCs w:val="18"/>
        </w:rPr>
      </w:pPr>
      <w:r w:rsidRPr="00C75109">
        <w:rPr>
          <w:rStyle w:val="EndnoteReference"/>
          <w:sz w:val="18"/>
          <w:szCs w:val="18"/>
        </w:rPr>
        <w:endnoteRef/>
      </w:r>
      <w:r w:rsidRPr="00C75109">
        <w:rPr>
          <w:sz w:val="18"/>
          <w:szCs w:val="18"/>
        </w:rPr>
        <w:t xml:space="preserve"> </w:t>
      </w:r>
      <w:hyperlink r:id="rId53" w:history="1">
        <w:r w:rsidR="00C75109" w:rsidRPr="00C75109">
          <w:rPr>
            <w:rStyle w:val="Hyperlink"/>
            <w:color w:val="auto"/>
            <w:sz w:val="18"/>
            <w:szCs w:val="18"/>
            <w:u w:val="none"/>
          </w:rPr>
          <w:t>https://www.chiamass.gov/assets/docs/r/survey/mhis-2023/2023-MHIS-Report.pdf</w:t>
        </w:r>
      </w:hyperlink>
      <w:r w:rsidR="00C75109" w:rsidRPr="00C75109">
        <w:rPr>
          <w:sz w:val="18"/>
          <w:szCs w:val="18"/>
        </w:rPr>
        <w:t xml:space="preserve"> </w:t>
      </w:r>
    </w:p>
  </w:endnote>
  <w:endnote w:id="41">
    <w:p w14:paraId="42BF6F8D" w14:textId="7B5AB9A8" w:rsidR="00517FCD" w:rsidRPr="00517FCD" w:rsidRDefault="00517FCD" w:rsidP="00517FCD">
      <w:pPr>
        <w:pStyle w:val="EndnoteText"/>
        <w:rPr>
          <w:sz w:val="18"/>
          <w:szCs w:val="18"/>
        </w:rPr>
      </w:pPr>
      <w:r w:rsidRPr="00725F70">
        <w:rPr>
          <w:rStyle w:val="EndnoteReference"/>
          <w:sz w:val="18"/>
          <w:szCs w:val="18"/>
        </w:rPr>
        <w:endnoteRef/>
      </w:r>
      <w:r w:rsidRPr="00517FCD">
        <w:rPr>
          <w:sz w:val="18"/>
          <w:szCs w:val="18"/>
        </w:rPr>
        <w:t xml:space="preserve"> From the 2022 National Health Interview Survey (NHIS), the most recent available.</w:t>
      </w:r>
    </w:p>
    <w:p w14:paraId="49A83594" w14:textId="45274EE3" w:rsidR="00517FCD" w:rsidRDefault="00517FC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511052"/>
      <w:docPartObj>
        <w:docPartGallery w:val="Page Numbers (Bottom of Page)"/>
        <w:docPartUnique/>
      </w:docPartObj>
    </w:sdtPr>
    <w:sdtEndPr>
      <w:rPr>
        <w:noProof/>
      </w:rPr>
    </w:sdtEndPr>
    <w:sdtContent>
      <w:p w14:paraId="521232CB" w14:textId="160CDF7B" w:rsidR="00685C18" w:rsidRDefault="00685C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F90F82" w14:textId="77777777" w:rsidR="00685C18" w:rsidRDefault="00685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FB998" w14:textId="77777777" w:rsidR="00E92504" w:rsidRDefault="00E92504">
    <w:pPr>
      <w:pStyle w:val="Footer"/>
    </w:pPr>
  </w:p>
  <w:p w14:paraId="71FEF4A2" w14:textId="77777777" w:rsidR="00E92504" w:rsidRDefault="00E925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018266"/>
      <w:docPartObj>
        <w:docPartGallery w:val="Page Numbers (Bottom of Page)"/>
        <w:docPartUnique/>
      </w:docPartObj>
    </w:sdtPr>
    <w:sdtEndPr>
      <w:rPr>
        <w:rFonts w:ascii="Garamond" w:hAnsi="Garamond"/>
        <w:noProof/>
        <w:sz w:val="24"/>
        <w:szCs w:val="24"/>
      </w:rPr>
    </w:sdtEndPr>
    <w:sdtContent>
      <w:p w14:paraId="3D3B6AFF" w14:textId="30BBEC25" w:rsidR="00E92504" w:rsidRPr="003E6FCA" w:rsidRDefault="00E92504">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15</w:t>
        </w:r>
        <w:r w:rsidRPr="003E6FCA">
          <w:rPr>
            <w:rFonts w:ascii="Garamond" w:hAnsi="Garamond"/>
            <w:noProof/>
            <w:sz w:val="24"/>
            <w:szCs w:val="24"/>
          </w:rPr>
          <w:fldChar w:fldCharType="end"/>
        </w:r>
      </w:p>
    </w:sdtContent>
  </w:sdt>
  <w:p w14:paraId="2B84946D" w14:textId="77777777" w:rsidR="00E92504" w:rsidRDefault="00E92504">
    <w:pPr>
      <w:pStyle w:val="Footer"/>
    </w:pPr>
  </w:p>
  <w:p w14:paraId="6A56BD2D" w14:textId="77777777" w:rsidR="00E92504" w:rsidRDefault="00E9250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F9965" w14:textId="77777777" w:rsidR="00E92504" w:rsidRDefault="00E9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09822" w14:textId="77777777" w:rsidR="00FD6D00" w:rsidRDefault="00FD6D00" w:rsidP="008C0709">
      <w:r>
        <w:separator/>
      </w:r>
    </w:p>
  </w:footnote>
  <w:footnote w:type="continuationSeparator" w:id="0">
    <w:p w14:paraId="2C2B137F" w14:textId="77777777" w:rsidR="00FD6D00" w:rsidRDefault="00FD6D00" w:rsidP="008C0709">
      <w:r>
        <w:continuationSeparator/>
      </w:r>
    </w:p>
  </w:footnote>
  <w:footnote w:type="continuationNotice" w:id="1">
    <w:p w14:paraId="545D0629" w14:textId="77777777" w:rsidR="00FD6D00" w:rsidRDefault="00FD6D00"/>
  </w:footnote>
  <w:footnote w:id="2">
    <w:p w14:paraId="32B1D78C" w14:textId="0D043408" w:rsidR="00B9587C" w:rsidRDefault="00B9587C" w:rsidP="00B9587C">
      <w:pPr>
        <w:pStyle w:val="FootnoteText"/>
      </w:pPr>
      <w:r>
        <w:rPr>
          <w:rStyle w:val="FootnoteReference"/>
        </w:rPr>
        <w:footnoteRef/>
      </w:r>
      <w:r>
        <w:t xml:space="preserve"> The first stage was not for a controlling interest, it was for a minority share, (49%), and therefore it was not subject to DoN review. Following that transaction, 3 SHS representatives became board members. </w:t>
      </w:r>
    </w:p>
  </w:footnote>
  <w:footnote w:id="3">
    <w:p w14:paraId="401FC411" w14:textId="77777777" w:rsidR="00F41472" w:rsidRDefault="00F41472" w:rsidP="00F41472">
      <w:pPr>
        <w:pStyle w:val="FootnoteText"/>
      </w:pPr>
      <w:r>
        <w:rPr>
          <w:rStyle w:val="FootnoteReference"/>
        </w:rPr>
        <w:footnoteRef/>
      </w:r>
      <w:r>
        <w:t xml:space="preserve"> </w:t>
      </w:r>
      <w:r w:rsidRPr="00BB4797">
        <w:t>The terms of the Stock Purchase Agreement (“Definitive Agreement”) provide for the ASC’s current leadership to continue for a period of time in order to maintain continuity of care for the community.</w:t>
      </w:r>
    </w:p>
  </w:footnote>
  <w:footnote w:id="4">
    <w:p w14:paraId="3969B69A" w14:textId="77777777" w:rsidR="00685C18" w:rsidRPr="00167D81" w:rsidRDefault="00685C18" w:rsidP="00CD0882">
      <w:pPr>
        <w:pStyle w:val="FootnoteText"/>
        <w:rPr>
          <w:rFonts w:cstheme="minorHAnsi"/>
        </w:rPr>
      </w:pPr>
      <w:r w:rsidRPr="00167D81">
        <w:rPr>
          <w:rStyle w:val="FootnoteReference"/>
          <w:rFonts w:cstheme="minorHAnsi"/>
        </w:rPr>
        <w:footnoteRef/>
      </w:r>
      <w:r w:rsidRPr="00167D81">
        <w:rPr>
          <w:rFonts w:cs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5">
    <w:p w14:paraId="53049DD0" w14:textId="2BABF0CA" w:rsidR="00B52E87" w:rsidRDefault="00B52E87">
      <w:pPr>
        <w:pStyle w:val="FootnoteText"/>
      </w:pPr>
      <w:r>
        <w:rPr>
          <w:rStyle w:val="FootnoteReference"/>
        </w:rPr>
        <w:footnoteRef/>
      </w:r>
      <w:r>
        <w:t xml:space="preserve"> </w:t>
      </w:r>
      <w:r w:rsidRPr="00B52E87">
        <w:t xml:space="preserve">In a presentation to Southcoast’s leadership, Board of Trustees, and the CRICO/Ambulatory Safety Net on February 12, 2024, Dr. Dani Hackner, Chief Clinical Officer of Southcoast Health, presented about how a successful, multisite program can reduce wait times and delays, and produce high efficiency screening for colorectal </w:t>
      </w:r>
      <w:proofErr w:type="gramStart"/>
      <w:r w:rsidRPr="00B52E87">
        <w:t>cancers..</w:t>
      </w:r>
      <w:proofErr w:type="gramEnd"/>
    </w:p>
  </w:footnote>
  <w:footnote w:id="6">
    <w:p w14:paraId="52993356" w14:textId="723F9838" w:rsidR="00485B35" w:rsidRDefault="00485B35">
      <w:pPr>
        <w:pStyle w:val="FootnoteText"/>
      </w:pPr>
      <w:r>
        <w:rPr>
          <w:rStyle w:val="FootnoteReference"/>
        </w:rPr>
        <w:footnoteRef/>
      </w:r>
      <w:r>
        <w:t xml:space="preserve"> None were provided for SDS </w:t>
      </w:r>
    </w:p>
  </w:footnote>
  <w:footnote w:id="7">
    <w:p w14:paraId="6459B80C" w14:textId="339E8176" w:rsidR="00485B35" w:rsidRDefault="00485B35" w:rsidP="00485B35">
      <w:pPr>
        <w:pStyle w:val="FootnoteText"/>
      </w:pPr>
      <w:r>
        <w:rPr>
          <w:rStyle w:val="FootnoteReference"/>
        </w:rPr>
        <w:footnoteRef/>
      </w:r>
      <w:r>
        <w:t xml:space="preserve"> </w:t>
      </w:r>
      <w:r w:rsidRPr="00485B35">
        <w:t>including 23470 (Reconstruct shoulder joint)</w:t>
      </w:r>
      <w:r>
        <w:t>, 23472 (Reconstruct shoulder joint), 27006 (Incision of hip tendons) 27702 (Reconstruct ankle joint), 29868 (Meniscal transplant knee with knee scope)</w:t>
      </w:r>
    </w:p>
  </w:footnote>
  <w:footnote w:id="8">
    <w:p w14:paraId="74BCF7F9" w14:textId="77777777" w:rsidR="00236FDE" w:rsidRPr="00236FDE" w:rsidRDefault="00236FDE" w:rsidP="00236FDE">
      <w:pPr>
        <w:pStyle w:val="FootnoteText"/>
      </w:pPr>
      <w:r>
        <w:rPr>
          <w:rStyle w:val="FootnoteReference"/>
        </w:rPr>
        <w:footnoteRef/>
      </w:r>
      <w:r>
        <w:t xml:space="preserve"> </w:t>
      </w:r>
      <w:r w:rsidRPr="00236FDE">
        <w:t xml:space="preserve">SHS offers access to interpreter and translation services via Language Services Associates’ services which are available 24 hours/day, 7 days/week both in person, over the phone, or a combination of in person, video and/or audio services and offer patients access to qualified interpreters skilled in 200+ languages including American Sign Language free of charge. </w:t>
      </w:r>
    </w:p>
    <w:p w14:paraId="043F3ADA" w14:textId="10820811" w:rsidR="00236FDE" w:rsidRDefault="00236FDE">
      <w:pPr>
        <w:pStyle w:val="FootnoteText"/>
      </w:pPr>
    </w:p>
  </w:footnote>
  <w:footnote w:id="9">
    <w:p w14:paraId="59D20B9C" w14:textId="162939DC" w:rsidR="008E7DC1" w:rsidRDefault="008E7DC1" w:rsidP="008E7DC1">
      <w:pPr>
        <w:pStyle w:val="FootnoteText"/>
      </w:pPr>
      <w:r>
        <w:rPr>
          <w:rStyle w:val="FootnoteReference"/>
        </w:rPr>
        <w:footnoteRef/>
      </w:r>
      <w:r>
        <w:t xml:space="preserve"> </w:t>
      </w:r>
      <w:r w:rsidR="00342F8A" w:rsidRPr="00342F8A">
        <w:rPr>
          <w:bCs/>
          <w:iCs/>
        </w:rPr>
        <w:t>The PFAC represents the voice of SHS’s patients, families and communities and is an important forum for creating partnerships and ensuring the delivery of high-quality, safe and positive health care experiences</w:t>
      </w:r>
      <w:r w:rsidR="00342F8A">
        <w:rPr>
          <w:bCs/>
          <w:iCs/>
        </w:rPr>
        <w:t xml:space="preserve">. </w:t>
      </w:r>
      <w:r w:rsidRPr="006B0CAA">
        <w:rPr>
          <w:bCs/>
          <w:iCs/>
        </w:rPr>
        <w:t>The goals of the PFAC are to: (1) enhance the delivery of care and services; (2) ensure representation of the community’s perspective; (3) foster a culture of patient-centered care.</w:t>
      </w:r>
    </w:p>
  </w:footnote>
  <w:footnote w:id="10">
    <w:p w14:paraId="5135AE42" w14:textId="77777777" w:rsidR="001F4CEA" w:rsidRDefault="001F4CEA" w:rsidP="001F4CEA">
      <w:pPr>
        <w:pStyle w:val="FootnoteText"/>
      </w:pPr>
      <w:r>
        <w:rPr>
          <w:rStyle w:val="FootnoteReference"/>
        </w:rPr>
        <w:footnoteRef/>
      </w:r>
      <w:r>
        <w:t xml:space="preserve"> This S-RP can be generally and broadly applied since it includes all payers, however it is not specific enough to calculate exact comparative percentages of one provider over/under another. While comparing cohorts can be insightful, there are also geographic considerations that may impact price.</w:t>
      </w:r>
    </w:p>
  </w:footnote>
  <w:footnote w:id="11">
    <w:p w14:paraId="43CE0C49" w14:textId="77777777" w:rsidR="000A59C8" w:rsidRPr="001F2A30" w:rsidRDefault="000A59C8" w:rsidP="000A59C8">
      <w:pPr>
        <w:pStyle w:val="FootnoteText"/>
        <w:rPr>
          <w:rFonts w:eastAsia="Times New Roman" w:cs="Calibri"/>
        </w:rPr>
      </w:pPr>
      <w:r w:rsidRPr="001F2A30">
        <w:rPr>
          <w:rStyle w:val="FootnoteReference"/>
          <w:rFonts w:cs="Calibri"/>
        </w:rPr>
        <w:footnoteRef/>
      </w:r>
      <w:r w:rsidRPr="001F2A30">
        <w:rPr>
          <w:rFonts w:cs="Calibri"/>
        </w:rPr>
        <w:t xml:space="preserve"> </w:t>
      </w:r>
      <w:r w:rsidRPr="001F2A30">
        <w:rPr>
          <w:rFonts w:eastAsia="Times New Roman" w:cs="Calibri"/>
        </w:rPr>
        <w:t xml:space="preserve">The Key Metrics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w:t>
      </w:r>
    </w:p>
    <w:p w14:paraId="52BA1E31" w14:textId="77777777" w:rsidR="000A59C8" w:rsidRDefault="000A59C8" w:rsidP="000A59C8">
      <w:pPr>
        <w:pStyle w:val="FootnoteText"/>
      </w:pPr>
    </w:p>
  </w:footnote>
  <w:footnote w:id="12">
    <w:p w14:paraId="49251731" w14:textId="77777777" w:rsidR="000A59C8" w:rsidRDefault="000A59C8" w:rsidP="000A59C8">
      <w:pPr>
        <w:pStyle w:val="FootnoteText"/>
      </w:pPr>
      <w:r>
        <w:rPr>
          <w:rStyle w:val="FootnoteReference"/>
        </w:rPr>
        <w:footnoteRef/>
      </w:r>
      <w:r>
        <w:t xml:space="preserve"> </w:t>
      </w:r>
      <w:r w:rsidRPr="0058711A">
        <w:t>defined as earnings before interest, depreciation, and amortization or “EBIDA”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951F" w14:textId="586F3467" w:rsidR="00E92504" w:rsidRDefault="00E92504">
    <w:pPr>
      <w:pStyle w:val="Header"/>
    </w:pPr>
  </w:p>
  <w:p w14:paraId="688BA6DB" w14:textId="77777777" w:rsidR="00E92504" w:rsidRDefault="00E925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C9540" w14:textId="3D3A302E" w:rsidR="00E92504" w:rsidRDefault="00E92504">
    <w:pPr>
      <w:pStyle w:val="Header"/>
    </w:pPr>
  </w:p>
  <w:p w14:paraId="7D3BF8DA" w14:textId="77777777" w:rsidR="00E92504" w:rsidRDefault="00E925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37C0D" w14:textId="441E45F9" w:rsidR="00E92504" w:rsidRDefault="00E9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C0107"/>
    <w:multiLevelType w:val="hybridMultilevel"/>
    <w:tmpl w:val="75DE21F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8E76BB"/>
    <w:multiLevelType w:val="hybridMultilevel"/>
    <w:tmpl w:val="532AF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D4277"/>
    <w:multiLevelType w:val="hybridMultilevel"/>
    <w:tmpl w:val="32B4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54D84"/>
    <w:multiLevelType w:val="hybridMultilevel"/>
    <w:tmpl w:val="078870E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5" w15:restartNumberingAfterBreak="0">
    <w:nsid w:val="17CB04BE"/>
    <w:multiLevelType w:val="hybridMultilevel"/>
    <w:tmpl w:val="A42CD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6027B"/>
    <w:multiLevelType w:val="hybridMultilevel"/>
    <w:tmpl w:val="051C5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123DA"/>
    <w:multiLevelType w:val="hybridMultilevel"/>
    <w:tmpl w:val="419416C2"/>
    <w:lvl w:ilvl="0" w:tplc="EBC8FB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31C4B"/>
    <w:multiLevelType w:val="hybridMultilevel"/>
    <w:tmpl w:val="468E0F88"/>
    <w:lvl w:ilvl="0" w:tplc="0409000F">
      <w:start w:val="1"/>
      <w:numFmt w:val="decimal"/>
      <w:lvlText w:val="%1."/>
      <w:lvlJc w:val="left"/>
      <w:pPr>
        <w:ind w:left="630" w:hanging="360"/>
      </w:pPr>
      <w:rPr>
        <w:rFonts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9" w15:restartNumberingAfterBreak="0">
    <w:nsid w:val="1E5C617E"/>
    <w:multiLevelType w:val="hybridMultilevel"/>
    <w:tmpl w:val="95A68750"/>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E44E35"/>
    <w:multiLevelType w:val="multilevel"/>
    <w:tmpl w:val="3554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B2327"/>
    <w:multiLevelType w:val="hybridMultilevel"/>
    <w:tmpl w:val="2954D12A"/>
    <w:lvl w:ilvl="0" w:tplc="0409000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1"/>
      <w:numFmt w:val="decimal"/>
      <w:lvlText w:val="%3."/>
      <w:lvlJc w:val="left"/>
      <w:pPr>
        <w:ind w:left="1800" w:hanging="18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55E5109"/>
    <w:multiLevelType w:val="hybridMultilevel"/>
    <w:tmpl w:val="35FEAF5C"/>
    <w:lvl w:ilvl="0" w:tplc="41B897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AE144B"/>
    <w:multiLevelType w:val="hybridMultilevel"/>
    <w:tmpl w:val="77B27D48"/>
    <w:lvl w:ilvl="0" w:tplc="BDA4B1A6">
      <w:start w:val="1"/>
      <w:numFmt w:val="decimal"/>
      <w:lvlText w:val="%1."/>
      <w:lvlJc w:val="left"/>
      <w:pPr>
        <w:ind w:left="360" w:hanging="360"/>
      </w:pPr>
      <w:rPr>
        <w:rFonts w:ascii="Garamond" w:eastAsia="Garamond" w:hAnsi="Garamond" w:cs="Garamond" w:hint="default"/>
        <w:b/>
        <w:bCs/>
        <w:i w:val="0"/>
        <w:iCs w:val="0"/>
        <w:w w:val="100"/>
        <w:sz w:val="24"/>
        <w:szCs w:val="24"/>
        <w:lang w:val="en-US" w:eastAsia="en-US" w:bidi="ar-SA"/>
      </w:rPr>
    </w:lvl>
    <w:lvl w:ilvl="1" w:tplc="ADE2502E">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2" w:tplc="4F18BE30">
      <w:numFmt w:val="bullet"/>
      <w:lvlText w:val="•"/>
      <w:lvlJc w:val="left"/>
      <w:pPr>
        <w:ind w:left="1731" w:hanging="360"/>
      </w:pPr>
      <w:rPr>
        <w:rFonts w:hint="default"/>
        <w:lang w:val="en-US" w:eastAsia="en-US" w:bidi="ar-SA"/>
      </w:rPr>
    </w:lvl>
    <w:lvl w:ilvl="3" w:tplc="DF44E96E">
      <w:numFmt w:val="bullet"/>
      <w:lvlText w:val="•"/>
      <w:lvlJc w:val="left"/>
      <w:pPr>
        <w:ind w:left="2742" w:hanging="360"/>
      </w:pPr>
      <w:rPr>
        <w:rFonts w:hint="default"/>
        <w:lang w:val="en-US" w:eastAsia="en-US" w:bidi="ar-SA"/>
      </w:rPr>
    </w:lvl>
    <w:lvl w:ilvl="4" w:tplc="9E40955A">
      <w:numFmt w:val="bullet"/>
      <w:lvlText w:val="•"/>
      <w:lvlJc w:val="left"/>
      <w:pPr>
        <w:ind w:left="3753" w:hanging="360"/>
      </w:pPr>
      <w:rPr>
        <w:rFonts w:hint="default"/>
        <w:lang w:val="en-US" w:eastAsia="en-US" w:bidi="ar-SA"/>
      </w:rPr>
    </w:lvl>
    <w:lvl w:ilvl="5" w:tplc="2B326754">
      <w:numFmt w:val="bullet"/>
      <w:lvlText w:val="•"/>
      <w:lvlJc w:val="left"/>
      <w:pPr>
        <w:ind w:left="4764" w:hanging="360"/>
      </w:pPr>
      <w:rPr>
        <w:rFonts w:hint="default"/>
        <w:lang w:val="en-US" w:eastAsia="en-US" w:bidi="ar-SA"/>
      </w:rPr>
    </w:lvl>
    <w:lvl w:ilvl="6" w:tplc="63E0E5B0">
      <w:numFmt w:val="bullet"/>
      <w:lvlText w:val="•"/>
      <w:lvlJc w:val="left"/>
      <w:pPr>
        <w:ind w:left="5775" w:hanging="360"/>
      </w:pPr>
      <w:rPr>
        <w:rFonts w:hint="default"/>
        <w:lang w:val="en-US" w:eastAsia="en-US" w:bidi="ar-SA"/>
      </w:rPr>
    </w:lvl>
    <w:lvl w:ilvl="7" w:tplc="545E031E">
      <w:numFmt w:val="bullet"/>
      <w:lvlText w:val="•"/>
      <w:lvlJc w:val="left"/>
      <w:pPr>
        <w:ind w:left="6786" w:hanging="360"/>
      </w:pPr>
      <w:rPr>
        <w:rFonts w:hint="default"/>
        <w:lang w:val="en-US" w:eastAsia="en-US" w:bidi="ar-SA"/>
      </w:rPr>
    </w:lvl>
    <w:lvl w:ilvl="8" w:tplc="0C5A453E">
      <w:numFmt w:val="bullet"/>
      <w:lvlText w:val="•"/>
      <w:lvlJc w:val="left"/>
      <w:pPr>
        <w:ind w:left="7797" w:hanging="360"/>
      </w:pPr>
      <w:rPr>
        <w:rFonts w:hint="default"/>
        <w:lang w:val="en-US" w:eastAsia="en-US" w:bidi="ar-SA"/>
      </w:rPr>
    </w:lvl>
  </w:abstractNum>
  <w:abstractNum w:abstractNumId="14" w15:restartNumberingAfterBreak="0">
    <w:nsid w:val="28FE5A9C"/>
    <w:multiLevelType w:val="hybridMultilevel"/>
    <w:tmpl w:val="B690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A3DC2"/>
    <w:multiLevelType w:val="hybridMultilevel"/>
    <w:tmpl w:val="ED50CE60"/>
    <w:lvl w:ilvl="0" w:tplc="A014CFC2">
      <w:start w:val="2"/>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15:restartNumberingAfterBreak="0">
    <w:nsid w:val="30270324"/>
    <w:multiLevelType w:val="hybridMultilevel"/>
    <w:tmpl w:val="FF449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B5C7D"/>
    <w:multiLevelType w:val="hybridMultilevel"/>
    <w:tmpl w:val="C7CEBAD8"/>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522CEB14">
      <w:start w:val="3"/>
      <w:numFmt w:val="upp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9B357BF"/>
    <w:multiLevelType w:val="hybridMultilevel"/>
    <w:tmpl w:val="34925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DE458B"/>
    <w:multiLevelType w:val="hybridMultilevel"/>
    <w:tmpl w:val="F89C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B325D"/>
    <w:multiLevelType w:val="hybridMultilevel"/>
    <w:tmpl w:val="48E62CB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E866D9"/>
    <w:multiLevelType w:val="hybridMultilevel"/>
    <w:tmpl w:val="CB96EC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40220979"/>
    <w:multiLevelType w:val="hybridMultilevel"/>
    <w:tmpl w:val="CD34D09E"/>
    <w:lvl w:ilvl="0" w:tplc="FFFFFFFF">
      <w:start w:val="1"/>
      <w:numFmt w:val="lowerLetter"/>
      <w:lvlText w:val="%1."/>
      <w:lvlJc w:val="left"/>
      <w:pPr>
        <w:ind w:left="108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41E40530"/>
    <w:multiLevelType w:val="multilevel"/>
    <w:tmpl w:val="55B6A798"/>
    <w:lvl w:ilvl="0">
      <w:start w:val="5"/>
      <w:numFmt w:val="decimal"/>
      <w:lvlText w:val="%1"/>
      <w:lvlJc w:val="left"/>
      <w:pPr>
        <w:ind w:left="3329" w:hanging="720"/>
      </w:pPr>
    </w:lvl>
    <w:lvl w:ilvl="1">
      <w:start w:val="1"/>
      <w:numFmt w:val="decimalZero"/>
      <w:lvlText w:val="%1.%2"/>
      <w:lvlJc w:val="left"/>
      <w:pPr>
        <w:ind w:left="3329" w:hanging="720"/>
      </w:pPr>
      <w:rPr>
        <w:rFonts w:ascii="Times New Roman" w:eastAsia="Times New Roman" w:hAnsi="Times New Roman" w:cs="Times New Roman" w:hint="default"/>
        <w:b w:val="0"/>
        <w:bCs w:val="0"/>
        <w:i w:val="0"/>
        <w:iCs w:val="0"/>
        <w:w w:val="100"/>
        <w:sz w:val="24"/>
        <w:szCs w:val="24"/>
      </w:rPr>
    </w:lvl>
    <w:lvl w:ilvl="2">
      <w:numFmt w:val="bullet"/>
      <w:lvlText w:val="•"/>
      <w:lvlJc w:val="left"/>
      <w:pPr>
        <w:ind w:left="5008" w:hanging="720"/>
      </w:pPr>
    </w:lvl>
    <w:lvl w:ilvl="3">
      <w:numFmt w:val="bullet"/>
      <w:lvlText w:val="•"/>
      <w:lvlJc w:val="left"/>
      <w:pPr>
        <w:ind w:left="5852" w:hanging="720"/>
      </w:pPr>
    </w:lvl>
    <w:lvl w:ilvl="4">
      <w:numFmt w:val="bullet"/>
      <w:lvlText w:val="•"/>
      <w:lvlJc w:val="left"/>
      <w:pPr>
        <w:ind w:left="6696" w:hanging="720"/>
      </w:pPr>
    </w:lvl>
    <w:lvl w:ilvl="5">
      <w:numFmt w:val="bullet"/>
      <w:lvlText w:val="•"/>
      <w:lvlJc w:val="left"/>
      <w:pPr>
        <w:ind w:left="7540" w:hanging="720"/>
      </w:pPr>
    </w:lvl>
    <w:lvl w:ilvl="6">
      <w:numFmt w:val="bullet"/>
      <w:lvlText w:val="•"/>
      <w:lvlJc w:val="left"/>
      <w:pPr>
        <w:ind w:left="8384" w:hanging="720"/>
      </w:pPr>
    </w:lvl>
    <w:lvl w:ilvl="7">
      <w:numFmt w:val="bullet"/>
      <w:lvlText w:val="•"/>
      <w:lvlJc w:val="left"/>
      <w:pPr>
        <w:ind w:left="9228" w:hanging="720"/>
      </w:pPr>
    </w:lvl>
    <w:lvl w:ilvl="8">
      <w:numFmt w:val="bullet"/>
      <w:lvlText w:val="•"/>
      <w:lvlJc w:val="left"/>
      <w:pPr>
        <w:ind w:left="10072" w:hanging="720"/>
      </w:pPr>
    </w:lvl>
  </w:abstractNum>
  <w:abstractNum w:abstractNumId="24" w15:restartNumberingAfterBreak="0">
    <w:nsid w:val="444D0DF8"/>
    <w:multiLevelType w:val="hybridMultilevel"/>
    <w:tmpl w:val="395CC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4451C"/>
    <w:multiLevelType w:val="hybridMultilevel"/>
    <w:tmpl w:val="EED6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209A8"/>
    <w:multiLevelType w:val="hybridMultilevel"/>
    <w:tmpl w:val="F04A01A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1"/>
      <w:numFmt w:val="decimal"/>
      <w:lvlText w:val="%3."/>
      <w:lvlJc w:val="left"/>
      <w:pPr>
        <w:ind w:left="1800" w:hanging="18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8D55E27"/>
    <w:multiLevelType w:val="hybridMultilevel"/>
    <w:tmpl w:val="00A651D2"/>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7F4B63"/>
    <w:multiLevelType w:val="hybridMultilevel"/>
    <w:tmpl w:val="9E34C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DE2123F"/>
    <w:multiLevelType w:val="hybridMultilevel"/>
    <w:tmpl w:val="6122D912"/>
    <w:lvl w:ilvl="0" w:tplc="9A6C8A52">
      <w:start w:val="1"/>
      <w:numFmt w:val="upp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C3523C"/>
    <w:multiLevelType w:val="hybridMultilevel"/>
    <w:tmpl w:val="502E6972"/>
    <w:lvl w:ilvl="0" w:tplc="5E0A393A">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EF674C3"/>
    <w:multiLevelType w:val="hybridMultilevel"/>
    <w:tmpl w:val="594069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DC7D56"/>
    <w:multiLevelType w:val="hybridMultilevel"/>
    <w:tmpl w:val="DEF64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1731D8"/>
    <w:multiLevelType w:val="hybridMultilevel"/>
    <w:tmpl w:val="544448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4F4CC6"/>
    <w:multiLevelType w:val="hybridMultilevel"/>
    <w:tmpl w:val="EA22E01A"/>
    <w:lvl w:ilvl="0" w:tplc="FFFFFFFF">
      <w:start w:val="1"/>
      <w:numFmt w:val="decimal"/>
      <w:lvlText w:val="%1."/>
      <w:lvlJc w:val="left"/>
      <w:pPr>
        <w:ind w:left="900" w:hanging="360"/>
      </w:pPr>
      <w:rPr>
        <w:rFonts w:ascii="Garamond" w:eastAsia="Garamond" w:hAnsi="Garamond" w:cs="Garamond" w:hint="default"/>
        <w:b w:val="0"/>
        <w:bCs w:val="0"/>
        <w:i w:val="0"/>
        <w:iCs w:val="0"/>
        <w:w w:val="100"/>
        <w:sz w:val="24"/>
        <w:szCs w:val="24"/>
        <w:lang w:val="en-US" w:eastAsia="en-US" w:bidi="ar-SA"/>
      </w:rPr>
    </w:lvl>
    <w:lvl w:ilvl="1" w:tplc="FFFFFFFF">
      <w:numFmt w:val="bullet"/>
      <w:lvlText w:val="•"/>
      <w:lvlJc w:val="left"/>
      <w:pPr>
        <w:ind w:left="1776" w:hanging="360"/>
      </w:pPr>
      <w:rPr>
        <w:rFonts w:hint="default"/>
        <w:lang w:val="en-US" w:eastAsia="en-US" w:bidi="ar-SA"/>
      </w:rPr>
    </w:lvl>
    <w:lvl w:ilvl="2" w:tplc="FFFFFFFF">
      <w:numFmt w:val="bullet"/>
      <w:lvlText w:val="•"/>
      <w:lvlJc w:val="left"/>
      <w:pPr>
        <w:ind w:left="2652" w:hanging="360"/>
      </w:pPr>
      <w:rPr>
        <w:rFonts w:hint="default"/>
        <w:lang w:val="en-US" w:eastAsia="en-US" w:bidi="ar-SA"/>
      </w:rPr>
    </w:lvl>
    <w:lvl w:ilvl="3" w:tplc="FFFFFFFF">
      <w:numFmt w:val="bullet"/>
      <w:lvlText w:val="•"/>
      <w:lvlJc w:val="left"/>
      <w:pPr>
        <w:ind w:left="3528" w:hanging="360"/>
      </w:pPr>
      <w:rPr>
        <w:rFonts w:hint="default"/>
        <w:lang w:val="en-US" w:eastAsia="en-US" w:bidi="ar-SA"/>
      </w:rPr>
    </w:lvl>
    <w:lvl w:ilvl="4" w:tplc="FFFFFFFF">
      <w:numFmt w:val="bullet"/>
      <w:lvlText w:val="•"/>
      <w:lvlJc w:val="left"/>
      <w:pPr>
        <w:ind w:left="4404"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56" w:hanging="360"/>
      </w:pPr>
      <w:rPr>
        <w:rFonts w:hint="default"/>
        <w:lang w:val="en-US" w:eastAsia="en-US" w:bidi="ar-SA"/>
      </w:rPr>
    </w:lvl>
    <w:lvl w:ilvl="7" w:tplc="FFFFFFFF">
      <w:numFmt w:val="bullet"/>
      <w:lvlText w:val="•"/>
      <w:lvlJc w:val="left"/>
      <w:pPr>
        <w:ind w:left="7032" w:hanging="360"/>
      </w:pPr>
      <w:rPr>
        <w:rFonts w:hint="default"/>
        <w:lang w:val="en-US" w:eastAsia="en-US" w:bidi="ar-SA"/>
      </w:rPr>
    </w:lvl>
    <w:lvl w:ilvl="8" w:tplc="FFFFFFFF">
      <w:numFmt w:val="bullet"/>
      <w:lvlText w:val="•"/>
      <w:lvlJc w:val="left"/>
      <w:pPr>
        <w:ind w:left="7908" w:hanging="360"/>
      </w:pPr>
      <w:rPr>
        <w:rFonts w:hint="default"/>
        <w:lang w:val="en-US" w:eastAsia="en-US" w:bidi="ar-SA"/>
      </w:rPr>
    </w:lvl>
  </w:abstractNum>
  <w:abstractNum w:abstractNumId="35" w15:restartNumberingAfterBreak="0">
    <w:nsid w:val="5D3C176D"/>
    <w:multiLevelType w:val="hybridMultilevel"/>
    <w:tmpl w:val="EA22E01A"/>
    <w:lvl w:ilvl="0" w:tplc="FA5AF8A0">
      <w:start w:val="1"/>
      <w:numFmt w:val="decimal"/>
      <w:lvlText w:val="%1."/>
      <w:lvlJc w:val="left"/>
      <w:pPr>
        <w:ind w:left="900" w:hanging="360"/>
      </w:pPr>
      <w:rPr>
        <w:rFonts w:ascii="Garamond" w:eastAsia="Garamond" w:hAnsi="Garamond" w:cs="Garamond" w:hint="default"/>
        <w:b w:val="0"/>
        <w:bCs w:val="0"/>
        <w:i w:val="0"/>
        <w:iCs w:val="0"/>
        <w:w w:val="100"/>
        <w:sz w:val="24"/>
        <w:szCs w:val="24"/>
        <w:lang w:val="en-US" w:eastAsia="en-US" w:bidi="ar-SA"/>
      </w:rPr>
    </w:lvl>
    <w:lvl w:ilvl="1" w:tplc="D840CCE0">
      <w:numFmt w:val="bullet"/>
      <w:lvlText w:val="•"/>
      <w:lvlJc w:val="left"/>
      <w:pPr>
        <w:ind w:left="1776" w:hanging="360"/>
      </w:pPr>
      <w:rPr>
        <w:rFonts w:hint="default"/>
        <w:lang w:val="en-US" w:eastAsia="en-US" w:bidi="ar-SA"/>
      </w:rPr>
    </w:lvl>
    <w:lvl w:ilvl="2" w:tplc="4A561E84">
      <w:numFmt w:val="bullet"/>
      <w:lvlText w:val="•"/>
      <w:lvlJc w:val="left"/>
      <w:pPr>
        <w:ind w:left="2652" w:hanging="360"/>
      </w:pPr>
      <w:rPr>
        <w:rFonts w:hint="default"/>
        <w:lang w:val="en-US" w:eastAsia="en-US" w:bidi="ar-SA"/>
      </w:rPr>
    </w:lvl>
    <w:lvl w:ilvl="3" w:tplc="2696BCC0">
      <w:numFmt w:val="bullet"/>
      <w:lvlText w:val="•"/>
      <w:lvlJc w:val="left"/>
      <w:pPr>
        <w:ind w:left="3528" w:hanging="360"/>
      </w:pPr>
      <w:rPr>
        <w:rFonts w:hint="default"/>
        <w:lang w:val="en-US" w:eastAsia="en-US" w:bidi="ar-SA"/>
      </w:rPr>
    </w:lvl>
    <w:lvl w:ilvl="4" w:tplc="8C02A69E">
      <w:numFmt w:val="bullet"/>
      <w:lvlText w:val="•"/>
      <w:lvlJc w:val="left"/>
      <w:pPr>
        <w:ind w:left="4404" w:hanging="360"/>
      </w:pPr>
      <w:rPr>
        <w:rFonts w:hint="default"/>
        <w:lang w:val="en-US" w:eastAsia="en-US" w:bidi="ar-SA"/>
      </w:rPr>
    </w:lvl>
    <w:lvl w:ilvl="5" w:tplc="9E08FEFA">
      <w:numFmt w:val="bullet"/>
      <w:lvlText w:val="•"/>
      <w:lvlJc w:val="left"/>
      <w:pPr>
        <w:ind w:left="5280" w:hanging="360"/>
      </w:pPr>
      <w:rPr>
        <w:rFonts w:hint="default"/>
        <w:lang w:val="en-US" w:eastAsia="en-US" w:bidi="ar-SA"/>
      </w:rPr>
    </w:lvl>
    <w:lvl w:ilvl="6" w:tplc="79B0F236">
      <w:numFmt w:val="bullet"/>
      <w:lvlText w:val="•"/>
      <w:lvlJc w:val="left"/>
      <w:pPr>
        <w:ind w:left="6156" w:hanging="360"/>
      </w:pPr>
      <w:rPr>
        <w:rFonts w:hint="default"/>
        <w:lang w:val="en-US" w:eastAsia="en-US" w:bidi="ar-SA"/>
      </w:rPr>
    </w:lvl>
    <w:lvl w:ilvl="7" w:tplc="A10CB8F0">
      <w:numFmt w:val="bullet"/>
      <w:lvlText w:val="•"/>
      <w:lvlJc w:val="left"/>
      <w:pPr>
        <w:ind w:left="7032" w:hanging="360"/>
      </w:pPr>
      <w:rPr>
        <w:rFonts w:hint="default"/>
        <w:lang w:val="en-US" w:eastAsia="en-US" w:bidi="ar-SA"/>
      </w:rPr>
    </w:lvl>
    <w:lvl w:ilvl="8" w:tplc="57E0B76E">
      <w:numFmt w:val="bullet"/>
      <w:lvlText w:val="•"/>
      <w:lvlJc w:val="left"/>
      <w:pPr>
        <w:ind w:left="7908" w:hanging="360"/>
      </w:pPr>
      <w:rPr>
        <w:rFonts w:hint="default"/>
        <w:lang w:val="en-US" w:eastAsia="en-US" w:bidi="ar-SA"/>
      </w:rPr>
    </w:lvl>
  </w:abstractNum>
  <w:abstractNum w:abstractNumId="36" w15:restartNumberingAfterBreak="0">
    <w:nsid w:val="5DD57E51"/>
    <w:multiLevelType w:val="hybridMultilevel"/>
    <w:tmpl w:val="FF5ADD38"/>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15:restartNumberingAfterBreak="0">
    <w:nsid w:val="61B816A7"/>
    <w:multiLevelType w:val="hybridMultilevel"/>
    <w:tmpl w:val="31B42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B92B73"/>
    <w:multiLevelType w:val="hybridMultilevel"/>
    <w:tmpl w:val="1D663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17419"/>
    <w:multiLevelType w:val="hybridMultilevel"/>
    <w:tmpl w:val="59406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AE3355"/>
    <w:multiLevelType w:val="hybridMultilevel"/>
    <w:tmpl w:val="0C2AFE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42" w15:restartNumberingAfterBreak="0">
    <w:nsid w:val="6CC16E5E"/>
    <w:multiLevelType w:val="hybridMultilevel"/>
    <w:tmpl w:val="C68EB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124DF6"/>
    <w:multiLevelType w:val="hybridMultilevel"/>
    <w:tmpl w:val="57327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D27B7"/>
    <w:multiLevelType w:val="hybridMultilevel"/>
    <w:tmpl w:val="594069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1C378F"/>
    <w:multiLevelType w:val="hybridMultilevel"/>
    <w:tmpl w:val="7266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8F5651"/>
    <w:multiLevelType w:val="hybridMultilevel"/>
    <w:tmpl w:val="78B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842630">
    <w:abstractNumId w:val="41"/>
  </w:num>
  <w:num w:numId="2" w16cid:durableId="341590028">
    <w:abstractNumId w:val="4"/>
  </w:num>
  <w:num w:numId="3" w16cid:durableId="183634637">
    <w:abstractNumId w:val="42"/>
  </w:num>
  <w:num w:numId="4" w16cid:durableId="1733577178">
    <w:abstractNumId w:val="20"/>
  </w:num>
  <w:num w:numId="5" w16cid:durableId="867915440">
    <w:abstractNumId w:val="40"/>
  </w:num>
  <w:num w:numId="6" w16cid:durableId="91902458">
    <w:abstractNumId w:val="14"/>
  </w:num>
  <w:num w:numId="7" w16cid:durableId="454911031">
    <w:abstractNumId w:val="30"/>
  </w:num>
  <w:num w:numId="8" w16cid:durableId="175074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247014">
    <w:abstractNumId w:val="9"/>
  </w:num>
  <w:num w:numId="10" w16cid:durableId="992757234">
    <w:abstractNumId w:val="16"/>
  </w:num>
  <w:num w:numId="11" w16cid:durableId="505485286">
    <w:abstractNumId w:val="5"/>
  </w:num>
  <w:num w:numId="12" w16cid:durableId="2010525973">
    <w:abstractNumId w:val="3"/>
  </w:num>
  <w:num w:numId="13" w16cid:durableId="1384669295">
    <w:abstractNumId w:val="6"/>
  </w:num>
  <w:num w:numId="14" w16cid:durableId="498545632">
    <w:abstractNumId w:val="26"/>
  </w:num>
  <w:num w:numId="15" w16cid:durableId="1411074806">
    <w:abstractNumId w:val="24"/>
  </w:num>
  <w:num w:numId="16" w16cid:durableId="1913811910">
    <w:abstractNumId w:val="38"/>
  </w:num>
  <w:num w:numId="17" w16cid:durableId="299962443">
    <w:abstractNumId w:val="0"/>
  </w:num>
  <w:num w:numId="18" w16cid:durableId="523132216">
    <w:abstractNumId w:val="46"/>
  </w:num>
  <w:num w:numId="19" w16cid:durableId="1479422406">
    <w:abstractNumId w:val="15"/>
  </w:num>
  <w:num w:numId="20" w16cid:durableId="1109548743">
    <w:abstractNumId w:val="27"/>
  </w:num>
  <w:num w:numId="21" w16cid:durableId="2022198964">
    <w:abstractNumId w:val="1"/>
  </w:num>
  <w:num w:numId="22" w16cid:durableId="748356245">
    <w:abstractNumId w:val="12"/>
  </w:num>
  <w:num w:numId="23" w16cid:durableId="297928163">
    <w:abstractNumId w:val="22"/>
  </w:num>
  <w:num w:numId="24" w16cid:durableId="1121024775">
    <w:abstractNumId w:val="11"/>
  </w:num>
  <w:num w:numId="25" w16cid:durableId="735904957">
    <w:abstractNumId w:val="2"/>
  </w:num>
  <w:num w:numId="26" w16cid:durableId="834422051">
    <w:abstractNumId w:val="7"/>
  </w:num>
  <w:num w:numId="27" w16cid:durableId="1176194238">
    <w:abstractNumId w:val="13"/>
  </w:num>
  <w:num w:numId="28" w16cid:durableId="2060085184">
    <w:abstractNumId w:val="35"/>
  </w:num>
  <w:num w:numId="29" w16cid:durableId="2118715733">
    <w:abstractNumId w:val="34"/>
  </w:num>
  <w:num w:numId="30" w16cid:durableId="633564377">
    <w:abstractNumId w:val="21"/>
  </w:num>
  <w:num w:numId="31" w16cid:durableId="1292976966">
    <w:abstractNumId w:val="28"/>
  </w:num>
  <w:num w:numId="32" w16cid:durableId="1817063552">
    <w:abstractNumId w:val="39"/>
  </w:num>
  <w:num w:numId="33" w16cid:durableId="978463676">
    <w:abstractNumId w:val="31"/>
  </w:num>
  <w:num w:numId="34" w16cid:durableId="1653020166">
    <w:abstractNumId w:val="44"/>
  </w:num>
  <w:num w:numId="35" w16cid:durableId="180633768">
    <w:abstractNumId w:val="17"/>
  </w:num>
  <w:num w:numId="36" w16cid:durableId="2143690845">
    <w:abstractNumId w:val="25"/>
  </w:num>
  <w:num w:numId="37" w16cid:durableId="1414736777">
    <w:abstractNumId w:val="43"/>
  </w:num>
  <w:num w:numId="38" w16cid:durableId="502284203">
    <w:abstractNumId w:val="32"/>
  </w:num>
  <w:num w:numId="39" w16cid:durableId="1786846607">
    <w:abstractNumId w:val="19"/>
  </w:num>
  <w:num w:numId="40" w16cid:durableId="593906596">
    <w:abstractNumId w:val="29"/>
  </w:num>
  <w:num w:numId="41" w16cid:durableId="1918902476">
    <w:abstractNumId w:val="36"/>
  </w:num>
  <w:num w:numId="42" w16cid:durableId="139421216">
    <w:abstractNumId w:val="23"/>
    <w:lvlOverride w:ilvl="0">
      <w:startOverride w:val="5"/>
    </w:lvlOverride>
    <w:lvlOverride w:ilvl="1">
      <w:startOverride w:val="1"/>
    </w:lvlOverride>
    <w:lvlOverride w:ilvl="2"/>
    <w:lvlOverride w:ilvl="3"/>
    <w:lvlOverride w:ilvl="4"/>
    <w:lvlOverride w:ilvl="5"/>
    <w:lvlOverride w:ilvl="6"/>
    <w:lvlOverride w:ilvl="7"/>
    <w:lvlOverride w:ilvl="8"/>
  </w:num>
  <w:num w:numId="43" w16cid:durableId="522137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376987">
    <w:abstractNumId w:val="33"/>
  </w:num>
  <w:num w:numId="45" w16cid:durableId="402021946">
    <w:abstractNumId w:val="37"/>
  </w:num>
  <w:num w:numId="46" w16cid:durableId="906114958">
    <w:abstractNumId w:val="47"/>
  </w:num>
  <w:num w:numId="47" w16cid:durableId="529612606">
    <w:abstractNumId w:val="8"/>
  </w:num>
  <w:num w:numId="48" w16cid:durableId="26220655">
    <w:abstractNumId w:val="18"/>
  </w:num>
  <w:num w:numId="49" w16cid:durableId="7944941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2A7"/>
    <w:rsid w:val="000004EF"/>
    <w:rsid w:val="00000925"/>
    <w:rsid w:val="00000F02"/>
    <w:rsid w:val="00000FDF"/>
    <w:rsid w:val="000014D8"/>
    <w:rsid w:val="000015D7"/>
    <w:rsid w:val="0000165F"/>
    <w:rsid w:val="00001880"/>
    <w:rsid w:val="00001B46"/>
    <w:rsid w:val="00001D68"/>
    <w:rsid w:val="00001E0F"/>
    <w:rsid w:val="000023B5"/>
    <w:rsid w:val="00002A76"/>
    <w:rsid w:val="00002ADE"/>
    <w:rsid w:val="00003291"/>
    <w:rsid w:val="0000364F"/>
    <w:rsid w:val="00003AE8"/>
    <w:rsid w:val="0000516F"/>
    <w:rsid w:val="00005226"/>
    <w:rsid w:val="000053FA"/>
    <w:rsid w:val="00005421"/>
    <w:rsid w:val="00005945"/>
    <w:rsid w:val="00005B19"/>
    <w:rsid w:val="00005DD1"/>
    <w:rsid w:val="00006043"/>
    <w:rsid w:val="000063F2"/>
    <w:rsid w:val="00006964"/>
    <w:rsid w:val="00006B6F"/>
    <w:rsid w:val="00006E18"/>
    <w:rsid w:val="00006EB8"/>
    <w:rsid w:val="00006FCD"/>
    <w:rsid w:val="000073EC"/>
    <w:rsid w:val="00007818"/>
    <w:rsid w:val="0000789D"/>
    <w:rsid w:val="00010084"/>
    <w:rsid w:val="0001067C"/>
    <w:rsid w:val="000111B6"/>
    <w:rsid w:val="00011399"/>
    <w:rsid w:val="0001145D"/>
    <w:rsid w:val="000114A8"/>
    <w:rsid w:val="000115ED"/>
    <w:rsid w:val="00012017"/>
    <w:rsid w:val="00012039"/>
    <w:rsid w:val="0001225A"/>
    <w:rsid w:val="00012296"/>
    <w:rsid w:val="00012374"/>
    <w:rsid w:val="00012B79"/>
    <w:rsid w:val="00012E91"/>
    <w:rsid w:val="00013D82"/>
    <w:rsid w:val="00014493"/>
    <w:rsid w:val="000147B7"/>
    <w:rsid w:val="0001499B"/>
    <w:rsid w:val="00014C77"/>
    <w:rsid w:val="0001519C"/>
    <w:rsid w:val="00015479"/>
    <w:rsid w:val="00015541"/>
    <w:rsid w:val="00015733"/>
    <w:rsid w:val="0001582B"/>
    <w:rsid w:val="00015923"/>
    <w:rsid w:val="00015A86"/>
    <w:rsid w:val="0001695B"/>
    <w:rsid w:val="00017890"/>
    <w:rsid w:val="00017A92"/>
    <w:rsid w:val="00017EA4"/>
    <w:rsid w:val="00017EBE"/>
    <w:rsid w:val="00020068"/>
    <w:rsid w:val="00020821"/>
    <w:rsid w:val="00020965"/>
    <w:rsid w:val="00020FD7"/>
    <w:rsid w:val="000211D3"/>
    <w:rsid w:val="0002129E"/>
    <w:rsid w:val="0002143F"/>
    <w:rsid w:val="00021848"/>
    <w:rsid w:val="00021BC0"/>
    <w:rsid w:val="0002218C"/>
    <w:rsid w:val="00022292"/>
    <w:rsid w:val="00022966"/>
    <w:rsid w:val="00022C7E"/>
    <w:rsid w:val="000238EF"/>
    <w:rsid w:val="000239AD"/>
    <w:rsid w:val="00023A81"/>
    <w:rsid w:val="00023C19"/>
    <w:rsid w:val="00023CFC"/>
    <w:rsid w:val="00023D70"/>
    <w:rsid w:val="00023E8F"/>
    <w:rsid w:val="000242E8"/>
    <w:rsid w:val="00024662"/>
    <w:rsid w:val="00025748"/>
    <w:rsid w:val="00025C87"/>
    <w:rsid w:val="000262A9"/>
    <w:rsid w:val="0002723A"/>
    <w:rsid w:val="00027413"/>
    <w:rsid w:val="00027565"/>
    <w:rsid w:val="00027B44"/>
    <w:rsid w:val="00027B66"/>
    <w:rsid w:val="00027B8C"/>
    <w:rsid w:val="00027BB8"/>
    <w:rsid w:val="00027C0E"/>
    <w:rsid w:val="00027DD7"/>
    <w:rsid w:val="00030D16"/>
    <w:rsid w:val="00030D19"/>
    <w:rsid w:val="00031976"/>
    <w:rsid w:val="000319DE"/>
    <w:rsid w:val="00031B05"/>
    <w:rsid w:val="00031DD4"/>
    <w:rsid w:val="0003203D"/>
    <w:rsid w:val="000323B4"/>
    <w:rsid w:val="000325AF"/>
    <w:rsid w:val="0003285D"/>
    <w:rsid w:val="00032F3A"/>
    <w:rsid w:val="000332B4"/>
    <w:rsid w:val="000336D9"/>
    <w:rsid w:val="000338CF"/>
    <w:rsid w:val="00033973"/>
    <w:rsid w:val="00034075"/>
    <w:rsid w:val="00034426"/>
    <w:rsid w:val="0003479D"/>
    <w:rsid w:val="00034C41"/>
    <w:rsid w:val="00034EA3"/>
    <w:rsid w:val="0003540A"/>
    <w:rsid w:val="00035726"/>
    <w:rsid w:val="000357DC"/>
    <w:rsid w:val="00035882"/>
    <w:rsid w:val="00035D6A"/>
    <w:rsid w:val="000361B5"/>
    <w:rsid w:val="000365BB"/>
    <w:rsid w:val="00036703"/>
    <w:rsid w:val="0003678F"/>
    <w:rsid w:val="00037077"/>
    <w:rsid w:val="00037248"/>
    <w:rsid w:val="00037414"/>
    <w:rsid w:val="000375FB"/>
    <w:rsid w:val="0003777C"/>
    <w:rsid w:val="0003779F"/>
    <w:rsid w:val="000378C9"/>
    <w:rsid w:val="000378CE"/>
    <w:rsid w:val="00037AF0"/>
    <w:rsid w:val="00037B9D"/>
    <w:rsid w:val="00040884"/>
    <w:rsid w:val="00040AD1"/>
    <w:rsid w:val="00040DA6"/>
    <w:rsid w:val="000415F0"/>
    <w:rsid w:val="00041BFC"/>
    <w:rsid w:val="00041F4C"/>
    <w:rsid w:val="000422A3"/>
    <w:rsid w:val="000424D3"/>
    <w:rsid w:val="0004273B"/>
    <w:rsid w:val="000427E0"/>
    <w:rsid w:val="00042D93"/>
    <w:rsid w:val="0004323A"/>
    <w:rsid w:val="00043F4F"/>
    <w:rsid w:val="000443FD"/>
    <w:rsid w:val="00044F19"/>
    <w:rsid w:val="00044FA7"/>
    <w:rsid w:val="00046064"/>
    <w:rsid w:val="00046854"/>
    <w:rsid w:val="00046895"/>
    <w:rsid w:val="000468BC"/>
    <w:rsid w:val="00047574"/>
    <w:rsid w:val="00047905"/>
    <w:rsid w:val="00047AFC"/>
    <w:rsid w:val="0005017D"/>
    <w:rsid w:val="000503A8"/>
    <w:rsid w:val="00050530"/>
    <w:rsid w:val="00050D37"/>
    <w:rsid w:val="00051634"/>
    <w:rsid w:val="000518D9"/>
    <w:rsid w:val="00051CCE"/>
    <w:rsid w:val="00052086"/>
    <w:rsid w:val="00052215"/>
    <w:rsid w:val="00052556"/>
    <w:rsid w:val="00052664"/>
    <w:rsid w:val="00052AB0"/>
    <w:rsid w:val="00052B92"/>
    <w:rsid w:val="000534AA"/>
    <w:rsid w:val="0005358D"/>
    <w:rsid w:val="000535F1"/>
    <w:rsid w:val="00053725"/>
    <w:rsid w:val="00053849"/>
    <w:rsid w:val="00054A7A"/>
    <w:rsid w:val="00054C7D"/>
    <w:rsid w:val="00054CD3"/>
    <w:rsid w:val="00054F01"/>
    <w:rsid w:val="00055F68"/>
    <w:rsid w:val="000560AA"/>
    <w:rsid w:val="00056445"/>
    <w:rsid w:val="000565B9"/>
    <w:rsid w:val="000565D5"/>
    <w:rsid w:val="00056E07"/>
    <w:rsid w:val="000572C6"/>
    <w:rsid w:val="00057858"/>
    <w:rsid w:val="00057B2F"/>
    <w:rsid w:val="00057E7A"/>
    <w:rsid w:val="00057EB5"/>
    <w:rsid w:val="00060051"/>
    <w:rsid w:val="00060374"/>
    <w:rsid w:val="00060472"/>
    <w:rsid w:val="00060584"/>
    <w:rsid w:val="000607E5"/>
    <w:rsid w:val="00060C17"/>
    <w:rsid w:val="00060D20"/>
    <w:rsid w:val="00060E5A"/>
    <w:rsid w:val="0006171E"/>
    <w:rsid w:val="0006177D"/>
    <w:rsid w:val="00061F0C"/>
    <w:rsid w:val="000635A1"/>
    <w:rsid w:val="00063ADA"/>
    <w:rsid w:val="00063F91"/>
    <w:rsid w:val="00063FB5"/>
    <w:rsid w:val="0006424E"/>
    <w:rsid w:val="000646E0"/>
    <w:rsid w:val="00064726"/>
    <w:rsid w:val="0006487F"/>
    <w:rsid w:val="00064A8A"/>
    <w:rsid w:val="00064AB0"/>
    <w:rsid w:val="00065360"/>
    <w:rsid w:val="00065CD6"/>
    <w:rsid w:val="00065E14"/>
    <w:rsid w:val="00066603"/>
    <w:rsid w:val="000672AF"/>
    <w:rsid w:val="0006737F"/>
    <w:rsid w:val="00067789"/>
    <w:rsid w:val="0006798A"/>
    <w:rsid w:val="00067A9B"/>
    <w:rsid w:val="00067B9B"/>
    <w:rsid w:val="00067D64"/>
    <w:rsid w:val="00067F0D"/>
    <w:rsid w:val="0007003D"/>
    <w:rsid w:val="00070074"/>
    <w:rsid w:val="00070785"/>
    <w:rsid w:val="00070B97"/>
    <w:rsid w:val="00070CFB"/>
    <w:rsid w:val="00070D6C"/>
    <w:rsid w:val="00071428"/>
    <w:rsid w:val="000716DE"/>
    <w:rsid w:val="0007184A"/>
    <w:rsid w:val="00071A16"/>
    <w:rsid w:val="0007293D"/>
    <w:rsid w:val="00072B19"/>
    <w:rsid w:val="00073735"/>
    <w:rsid w:val="00073C7A"/>
    <w:rsid w:val="00074313"/>
    <w:rsid w:val="000744F1"/>
    <w:rsid w:val="00074526"/>
    <w:rsid w:val="00074538"/>
    <w:rsid w:val="00074600"/>
    <w:rsid w:val="00074E5D"/>
    <w:rsid w:val="000751CD"/>
    <w:rsid w:val="000752CD"/>
    <w:rsid w:val="0007553D"/>
    <w:rsid w:val="000759EA"/>
    <w:rsid w:val="00075AB0"/>
    <w:rsid w:val="00076654"/>
    <w:rsid w:val="0007689E"/>
    <w:rsid w:val="00076B1A"/>
    <w:rsid w:val="00076C25"/>
    <w:rsid w:val="00076CF7"/>
    <w:rsid w:val="000776F9"/>
    <w:rsid w:val="00077700"/>
    <w:rsid w:val="00077A54"/>
    <w:rsid w:val="00077A72"/>
    <w:rsid w:val="00077DB8"/>
    <w:rsid w:val="0008011B"/>
    <w:rsid w:val="00080430"/>
    <w:rsid w:val="00080666"/>
    <w:rsid w:val="00080BE8"/>
    <w:rsid w:val="000810E3"/>
    <w:rsid w:val="00081C82"/>
    <w:rsid w:val="00082044"/>
    <w:rsid w:val="0008227E"/>
    <w:rsid w:val="00082400"/>
    <w:rsid w:val="00082461"/>
    <w:rsid w:val="00082892"/>
    <w:rsid w:val="00083038"/>
    <w:rsid w:val="00083335"/>
    <w:rsid w:val="0008356D"/>
    <w:rsid w:val="000839C1"/>
    <w:rsid w:val="00083FCD"/>
    <w:rsid w:val="000843CF"/>
    <w:rsid w:val="00084415"/>
    <w:rsid w:val="000844CD"/>
    <w:rsid w:val="0008479B"/>
    <w:rsid w:val="00084AE5"/>
    <w:rsid w:val="00085226"/>
    <w:rsid w:val="0008574D"/>
    <w:rsid w:val="0008582A"/>
    <w:rsid w:val="0008586B"/>
    <w:rsid w:val="00085D7B"/>
    <w:rsid w:val="00086013"/>
    <w:rsid w:val="00086051"/>
    <w:rsid w:val="00086552"/>
    <w:rsid w:val="00086D9D"/>
    <w:rsid w:val="0008716C"/>
    <w:rsid w:val="0008752D"/>
    <w:rsid w:val="00087634"/>
    <w:rsid w:val="0008768C"/>
    <w:rsid w:val="00087A93"/>
    <w:rsid w:val="00087B5A"/>
    <w:rsid w:val="00090508"/>
    <w:rsid w:val="00090574"/>
    <w:rsid w:val="000905E0"/>
    <w:rsid w:val="00090688"/>
    <w:rsid w:val="00090989"/>
    <w:rsid w:val="00090E01"/>
    <w:rsid w:val="00090EE1"/>
    <w:rsid w:val="000910CA"/>
    <w:rsid w:val="000911E7"/>
    <w:rsid w:val="000913AB"/>
    <w:rsid w:val="0009160E"/>
    <w:rsid w:val="00091793"/>
    <w:rsid w:val="00091CB3"/>
    <w:rsid w:val="000922B4"/>
    <w:rsid w:val="000923B5"/>
    <w:rsid w:val="00092A70"/>
    <w:rsid w:val="00092E92"/>
    <w:rsid w:val="0009304B"/>
    <w:rsid w:val="000939BD"/>
    <w:rsid w:val="00093CAA"/>
    <w:rsid w:val="00093CF6"/>
    <w:rsid w:val="00093E2B"/>
    <w:rsid w:val="00093E5A"/>
    <w:rsid w:val="00093FC3"/>
    <w:rsid w:val="000942E8"/>
    <w:rsid w:val="0009508F"/>
    <w:rsid w:val="0009553E"/>
    <w:rsid w:val="000955A1"/>
    <w:rsid w:val="000956A9"/>
    <w:rsid w:val="00095AB6"/>
    <w:rsid w:val="00095ADF"/>
    <w:rsid w:val="00095AFF"/>
    <w:rsid w:val="0009600B"/>
    <w:rsid w:val="0009626C"/>
    <w:rsid w:val="00096856"/>
    <w:rsid w:val="00096EC2"/>
    <w:rsid w:val="00097071"/>
    <w:rsid w:val="000971C8"/>
    <w:rsid w:val="00097838"/>
    <w:rsid w:val="00097C23"/>
    <w:rsid w:val="00097DE0"/>
    <w:rsid w:val="00097E6A"/>
    <w:rsid w:val="00097EAE"/>
    <w:rsid w:val="000A05FC"/>
    <w:rsid w:val="000A0C6F"/>
    <w:rsid w:val="000A22A9"/>
    <w:rsid w:val="000A2958"/>
    <w:rsid w:val="000A2C51"/>
    <w:rsid w:val="000A301C"/>
    <w:rsid w:val="000A303B"/>
    <w:rsid w:val="000A3524"/>
    <w:rsid w:val="000A3A57"/>
    <w:rsid w:val="000A40D6"/>
    <w:rsid w:val="000A4173"/>
    <w:rsid w:val="000A43BC"/>
    <w:rsid w:val="000A44CC"/>
    <w:rsid w:val="000A45A0"/>
    <w:rsid w:val="000A45D5"/>
    <w:rsid w:val="000A47FB"/>
    <w:rsid w:val="000A4809"/>
    <w:rsid w:val="000A4B0E"/>
    <w:rsid w:val="000A546C"/>
    <w:rsid w:val="000A549C"/>
    <w:rsid w:val="000A59C8"/>
    <w:rsid w:val="000A5C36"/>
    <w:rsid w:val="000A6030"/>
    <w:rsid w:val="000A6846"/>
    <w:rsid w:val="000A69A1"/>
    <w:rsid w:val="000A6B95"/>
    <w:rsid w:val="000A6BFD"/>
    <w:rsid w:val="000A70D9"/>
    <w:rsid w:val="000A7478"/>
    <w:rsid w:val="000A7AC1"/>
    <w:rsid w:val="000A7B1A"/>
    <w:rsid w:val="000A7E9E"/>
    <w:rsid w:val="000A7FA5"/>
    <w:rsid w:val="000B0CDF"/>
    <w:rsid w:val="000B0D2C"/>
    <w:rsid w:val="000B0DF3"/>
    <w:rsid w:val="000B13F2"/>
    <w:rsid w:val="000B1633"/>
    <w:rsid w:val="000B1838"/>
    <w:rsid w:val="000B1AE3"/>
    <w:rsid w:val="000B1B58"/>
    <w:rsid w:val="000B1CB9"/>
    <w:rsid w:val="000B1ED4"/>
    <w:rsid w:val="000B20B5"/>
    <w:rsid w:val="000B217A"/>
    <w:rsid w:val="000B245D"/>
    <w:rsid w:val="000B25B3"/>
    <w:rsid w:val="000B361F"/>
    <w:rsid w:val="000B371A"/>
    <w:rsid w:val="000B383F"/>
    <w:rsid w:val="000B410F"/>
    <w:rsid w:val="000B41F8"/>
    <w:rsid w:val="000B437C"/>
    <w:rsid w:val="000B44F9"/>
    <w:rsid w:val="000B4610"/>
    <w:rsid w:val="000B4783"/>
    <w:rsid w:val="000B47E8"/>
    <w:rsid w:val="000B4E5C"/>
    <w:rsid w:val="000B51AD"/>
    <w:rsid w:val="000B524F"/>
    <w:rsid w:val="000B5767"/>
    <w:rsid w:val="000B58B5"/>
    <w:rsid w:val="000B661C"/>
    <w:rsid w:val="000B6696"/>
    <w:rsid w:val="000B72C0"/>
    <w:rsid w:val="000B741C"/>
    <w:rsid w:val="000B797E"/>
    <w:rsid w:val="000B7B63"/>
    <w:rsid w:val="000C0407"/>
    <w:rsid w:val="000C0753"/>
    <w:rsid w:val="000C0DA1"/>
    <w:rsid w:val="000C1123"/>
    <w:rsid w:val="000C1911"/>
    <w:rsid w:val="000C1CCE"/>
    <w:rsid w:val="000C2263"/>
    <w:rsid w:val="000C299C"/>
    <w:rsid w:val="000C2E83"/>
    <w:rsid w:val="000C35A1"/>
    <w:rsid w:val="000C3CAC"/>
    <w:rsid w:val="000C408D"/>
    <w:rsid w:val="000C4360"/>
    <w:rsid w:val="000C4797"/>
    <w:rsid w:val="000C5065"/>
    <w:rsid w:val="000C55F3"/>
    <w:rsid w:val="000C5873"/>
    <w:rsid w:val="000C58C2"/>
    <w:rsid w:val="000C5A0F"/>
    <w:rsid w:val="000C5C75"/>
    <w:rsid w:val="000C5F7B"/>
    <w:rsid w:val="000C5FCE"/>
    <w:rsid w:val="000C6213"/>
    <w:rsid w:val="000C631D"/>
    <w:rsid w:val="000C63A9"/>
    <w:rsid w:val="000C648B"/>
    <w:rsid w:val="000C6565"/>
    <w:rsid w:val="000C6713"/>
    <w:rsid w:val="000C698A"/>
    <w:rsid w:val="000C7226"/>
    <w:rsid w:val="000C725B"/>
    <w:rsid w:val="000C79C7"/>
    <w:rsid w:val="000C7B09"/>
    <w:rsid w:val="000D0472"/>
    <w:rsid w:val="000D09E8"/>
    <w:rsid w:val="000D0AC5"/>
    <w:rsid w:val="000D0ADC"/>
    <w:rsid w:val="000D0C8C"/>
    <w:rsid w:val="000D0ED8"/>
    <w:rsid w:val="000D0FFB"/>
    <w:rsid w:val="000D12F2"/>
    <w:rsid w:val="000D1948"/>
    <w:rsid w:val="000D1D38"/>
    <w:rsid w:val="000D2043"/>
    <w:rsid w:val="000D20F1"/>
    <w:rsid w:val="000D272A"/>
    <w:rsid w:val="000D2A7D"/>
    <w:rsid w:val="000D2AFA"/>
    <w:rsid w:val="000D2CBA"/>
    <w:rsid w:val="000D2E2C"/>
    <w:rsid w:val="000D3495"/>
    <w:rsid w:val="000D394F"/>
    <w:rsid w:val="000D3A86"/>
    <w:rsid w:val="000D40DF"/>
    <w:rsid w:val="000D453B"/>
    <w:rsid w:val="000D458A"/>
    <w:rsid w:val="000D483B"/>
    <w:rsid w:val="000D4C43"/>
    <w:rsid w:val="000D5247"/>
    <w:rsid w:val="000D565B"/>
    <w:rsid w:val="000D63D4"/>
    <w:rsid w:val="000D6622"/>
    <w:rsid w:val="000D6760"/>
    <w:rsid w:val="000D6901"/>
    <w:rsid w:val="000D6A68"/>
    <w:rsid w:val="000D6AF2"/>
    <w:rsid w:val="000D6E6E"/>
    <w:rsid w:val="000D6F8E"/>
    <w:rsid w:val="000D709A"/>
    <w:rsid w:val="000D79CF"/>
    <w:rsid w:val="000D7BA6"/>
    <w:rsid w:val="000D7BFE"/>
    <w:rsid w:val="000D7E3B"/>
    <w:rsid w:val="000E04E4"/>
    <w:rsid w:val="000E0764"/>
    <w:rsid w:val="000E0C47"/>
    <w:rsid w:val="000E1041"/>
    <w:rsid w:val="000E10E9"/>
    <w:rsid w:val="000E1182"/>
    <w:rsid w:val="000E1CBB"/>
    <w:rsid w:val="000E1F11"/>
    <w:rsid w:val="000E233B"/>
    <w:rsid w:val="000E3F36"/>
    <w:rsid w:val="000E416C"/>
    <w:rsid w:val="000E441E"/>
    <w:rsid w:val="000E4791"/>
    <w:rsid w:val="000E4A2C"/>
    <w:rsid w:val="000E4DCD"/>
    <w:rsid w:val="000E4ED3"/>
    <w:rsid w:val="000E5195"/>
    <w:rsid w:val="000E5CD6"/>
    <w:rsid w:val="000E5F08"/>
    <w:rsid w:val="000E6158"/>
    <w:rsid w:val="000E6AC6"/>
    <w:rsid w:val="000E72BB"/>
    <w:rsid w:val="000F02D7"/>
    <w:rsid w:val="000F0838"/>
    <w:rsid w:val="000F0F2E"/>
    <w:rsid w:val="000F115E"/>
    <w:rsid w:val="000F12F9"/>
    <w:rsid w:val="000F176D"/>
    <w:rsid w:val="000F1E36"/>
    <w:rsid w:val="000F200E"/>
    <w:rsid w:val="000F2589"/>
    <w:rsid w:val="000F2794"/>
    <w:rsid w:val="000F2FF8"/>
    <w:rsid w:val="000F30D4"/>
    <w:rsid w:val="000F3375"/>
    <w:rsid w:val="000F3C99"/>
    <w:rsid w:val="000F3DAD"/>
    <w:rsid w:val="000F3E5B"/>
    <w:rsid w:val="000F4347"/>
    <w:rsid w:val="000F4A8E"/>
    <w:rsid w:val="000F4BDC"/>
    <w:rsid w:val="000F4C9D"/>
    <w:rsid w:val="000F505F"/>
    <w:rsid w:val="000F5579"/>
    <w:rsid w:val="000F58A4"/>
    <w:rsid w:val="000F5CBC"/>
    <w:rsid w:val="000F5D39"/>
    <w:rsid w:val="000F5D9D"/>
    <w:rsid w:val="000F5ECB"/>
    <w:rsid w:val="000F5F42"/>
    <w:rsid w:val="000F5F7F"/>
    <w:rsid w:val="000F6105"/>
    <w:rsid w:val="000F6390"/>
    <w:rsid w:val="000F65A5"/>
    <w:rsid w:val="000F6C04"/>
    <w:rsid w:val="000F6D1C"/>
    <w:rsid w:val="000F6DE3"/>
    <w:rsid w:val="000F72CE"/>
    <w:rsid w:val="000F73C6"/>
    <w:rsid w:val="000F7421"/>
    <w:rsid w:val="000F7808"/>
    <w:rsid w:val="000F789B"/>
    <w:rsid w:val="000F7C26"/>
    <w:rsid w:val="000F7C9A"/>
    <w:rsid w:val="000F7DFB"/>
    <w:rsid w:val="00100067"/>
    <w:rsid w:val="00100082"/>
    <w:rsid w:val="001004B1"/>
    <w:rsid w:val="001004B8"/>
    <w:rsid w:val="001005C6"/>
    <w:rsid w:val="00100B21"/>
    <w:rsid w:val="0010120C"/>
    <w:rsid w:val="00101227"/>
    <w:rsid w:val="001017D9"/>
    <w:rsid w:val="00101837"/>
    <w:rsid w:val="00101943"/>
    <w:rsid w:val="00101B15"/>
    <w:rsid w:val="00101EAD"/>
    <w:rsid w:val="001020EE"/>
    <w:rsid w:val="00102683"/>
    <w:rsid w:val="00102D4C"/>
    <w:rsid w:val="00102F27"/>
    <w:rsid w:val="001032D6"/>
    <w:rsid w:val="00103383"/>
    <w:rsid w:val="00103961"/>
    <w:rsid w:val="001039A7"/>
    <w:rsid w:val="00103AD9"/>
    <w:rsid w:val="00103B28"/>
    <w:rsid w:val="001044D4"/>
    <w:rsid w:val="00104664"/>
    <w:rsid w:val="00104BB8"/>
    <w:rsid w:val="00104C61"/>
    <w:rsid w:val="00104CD5"/>
    <w:rsid w:val="00104E11"/>
    <w:rsid w:val="00104FED"/>
    <w:rsid w:val="001051E0"/>
    <w:rsid w:val="001052CE"/>
    <w:rsid w:val="00105335"/>
    <w:rsid w:val="00105784"/>
    <w:rsid w:val="00105A50"/>
    <w:rsid w:val="00105B76"/>
    <w:rsid w:val="00106691"/>
    <w:rsid w:val="001068A0"/>
    <w:rsid w:val="00106CA8"/>
    <w:rsid w:val="00106F7D"/>
    <w:rsid w:val="00107893"/>
    <w:rsid w:val="001100CE"/>
    <w:rsid w:val="001106D5"/>
    <w:rsid w:val="001106E7"/>
    <w:rsid w:val="00110CCC"/>
    <w:rsid w:val="001114BC"/>
    <w:rsid w:val="00111894"/>
    <w:rsid w:val="0011211C"/>
    <w:rsid w:val="00112582"/>
    <w:rsid w:val="00112E30"/>
    <w:rsid w:val="0011318D"/>
    <w:rsid w:val="00113894"/>
    <w:rsid w:val="0011390D"/>
    <w:rsid w:val="001139CB"/>
    <w:rsid w:val="00113EFA"/>
    <w:rsid w:val="001140E5"/>
    <w:rsid w:val="0011440B"/>
    <w:rsid w:val="00114B38"/>
    <w:rsid w:val="00114CA0"/>
    <w:rsid w:val="00114DF7"/>
    <w:rsid w:val="00114F4A"/>
    <w:rsid w:val="0011502A"/>
    <w:rsid w:val="001156B5"/>
    <w:rsid w:val="0011583A"/>
    <w:rsid w:val="00115F6B"/>
    <w:rsid w:val="0011621B"/>
    <w:rsid w:val="001163BA"/>
    <w:rsid w:val="001166DA"/>
    <w:rsid w:val="00116B2B"/>
    <w:rsid w:val="00116E9F"/>
    <w:rsid w:val="00117338"/>
    <w:rsid w:val="001173E5"/>
    <w:rsid w:val="00117538"/>
    <w:rsid w:val="00117721"/>
    <w:rsid w:val="00117917"/>
    <w:rsid w:val="0012039D"/>
    <w:rsid w:val="001203DA"/>
    <w:rsid w:val="001204E2"/>
    <w:rsid w:val="001207E1"/>
    <w:rsid w:val="001208D8"/>
    <w:rsid w:val="00120B32"/>
    <w:rsid w:val="00120D62"/>
    <w:rsid w:val="0012122D"/>
    <w:rsid w:val="00121240"/>
    <w:rsid w:val="00121453"/>
    <w:rsid w:val="00121579"/>
    <w:rsid w:val="001215C9"/>
    <w:rsid w:val="001216D6"/>
    <w:rsid w:val="00121834"/>
    <w:rsid w:val="0012220F"/>
    <w:rsid w:val="00122462"/>
    <w:rsid w:val="00122561"/>
    <w:rsid w:val="00122642"/>
    <w:rsid w:val="0012336A"/>
    <w:rsid w:val="0012367E"/>
    <w:rsid w:val="0012392C"/>
    <w:rsid w:val="00124050"/>
    <w:rsid w:val="00124894"/>
    <w:rsid w:val="00124BCB"/>
    <w:rsid w:val="00124E50"/>
    <w:rsid w:val="0012521D"/>
    <w:rsid w:val="00125288"/>
    <w:rsid w:val="001253E0"/>
    <w:rsid w:val="001255D1"/>
    <w:rsid w:val="001259C3"/>
    <w:rsid w:val="00126377"/>
    <w:rsid w:val="001265B4"/>
    <w:rsid w:val="001265FC"/>
    <w:rsid w:val="00126E05"/>
    <w:rsid w:val="00126E8A"/>
    <w:rsid w:val="00127222"/>
    <w:rsid w:val="00127DBA"/>
    <w:rsid w:val="00127E6D"/>
    <w:rsid w:val="001300AE"/>
    <w:rsid w:val="001301CB"/>
    <w:rsid w:val="00130275"/>
    <w:rsid w:val="00130BE3"/>
    <w:rsid w:val="00130EB0"/>
    <w:rsid w:val="0013103B"/>
    <w:rsid w:val="001310BB"/>
    <w:rsid w:val="001314DD"/>
    <w:rsid w:val="0013183C"/>
    <w:rsid w:val="0013187E"/>
    <w:rsid w:val="001319F2"/>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5286"/>
    <w:rsid w:val="001354CF"/>
    <w:rsid w:val="0013591D"/>
    <w:rsid w:val="001359C8"/>
    <w:rsid w:val="00135B96"/>
    <w:rsid w:val="00135D92"/>
    <w:rsid w:val="00135E14"/>
    <w:rsid w:val="00135E81"/>
    <w:rsid w:val="0013679C"/>
    <w:rsid w:val="00136B09"/>
    <w:rsid w:val="0013724C"/>
    <w:rsid w:val="001373D9"/>
    <w:rsid w:val="00137728"/>
    <w:rsid w:val="001377D8"/>
    <w:rsid w:val="00137C5B"/>
    <w:rsid w:val="00137D3C"/>
    <w:rsid w:val="00140018"/>
    <w:rsid w:val="001401F2"/>
    <w:rsid w:val="00140989"/>
    <w:rsid w:val="00141004"/>
    <w:rsid w:val="00141279"/>
    <w:rsid w:val="001412F5"/>
    <w:rsid w:val="0014178E"/>
    <w:rsid w:val="001418D7"/>
    <w:rsid w:val="00141E82"/>
    <w:rsid w:val="0014242D"/>
    <w:rsid w:val="00142BE7"/>
    <w:rsid w:val="00142FC9"/>
    <w:rsid w:val="001430B0"/>
    <w:rsid w:val="00143664"/>
    <w:rsid w:val="001437AE"/>
    <w:rsid w:val="001438F2"/>
    <w:rsid w:val="00143A5F"/>
    <w:rsid w:val="00143C83"/>
    <w:rsid w:val="00143D18"/>
    <w:rsid w:val="00143F1D"/>
    <w:rsid w:val="00144119"/>
    <w:rsid w:val="00144153"/>
    <w:rsid w:val="001444E1"/>
    <w:rsid w:val="0014450C"/>
    <w:rsid w:val="00144A1A"/>
    <w:rsid w:val="001458A7"/>
    <w:rsid w:val="00146548"/>
    <w:rsid w:val="00146710"/>
    <w:rsid w:val="0014702B"/>
    <w:rsid w:val="001477FB"/>
    <w:rsid w:val="00147B1D"/>
    <w:rsid w:val="00147B20"/>
    <w:rsid w:val="00147C38"/>
    <w:rsid w:val="00150255"/>
    <w:rsid w:val="0015037D"/>
    <w:rsid w:val="001503B0"/>
    <w:rsid w:val="001507F3"/>
    <w:rsid w:val="00150D2E"/>
    <w:rsid w:val="00150E21"/>
    <w:rsid w:val="001512D3"/>
    <w:rsid w:val="00151BF7"/>
    <w:rsid w:val="001522A9"/>
    <w:rsid w:val="0015239E"/>
    <w:rsid w:val="00152B0A"/>
    <w:rsid w:val="00152B48"/>
    <w:rsid w:val="00153163"/>
    <w:rsid w:val="00153CB3"/>
    <w:rsid w:val="001543ED"/>
    <w:rsid w:val="001546E9"/>
    <w:rsid w:val="0015477F"/>
    <w:rsid w:val="00154CF4"/>
    <w:rsid w:val="001550CE"/>
    <w:rsid w:val="001550EF"/>
    <w:rsid w:val="00155291"/>
    <w:rsid w:val="001552F0"/>
    <w:rsid w:val="00155601"/>
    <w:rsid w:val="00155C19"/>
    <w:rsid w:val="00155FFE"/>
    <w:rsid w:val="001566BD"/>
    <w:rsid w:val="001567F2"/>
    <w:rsid w:val="00156AF8"/>
    <w:rsid w:val="001571E0"/>
    <w:rsid w:val="0015727E"/>
    <w:rsid w:val="001578D7"/>
    <w:rsid w:val="00157DDC"/>
    <w:rsid w:val="001600D5"/>
    <w:rsid w:val="0016022B"/>
    <w:rsid w:val="0016038D"/>
    <w:rsid w:val="00160781"/>
    <w:rsid w:val="00160C58"/>
    <w:rsid w:val="00161097"/>
    <w:rsid w:val="001611A7"/>
    <w:rsid w:val="00161472"/>
    <w:rsid w:val="001619F1"/>
    <w:rsid w:val="00161FA8"/>
    <w:rsid w:val="00162356"/>
    <w:rsid w:val="0016297E"/>
    <w:rsid w:val="00162F38"/>
    <w:rsid w:val="0016309B"/>
    <w:rsid w:val="00163223"/>
    <w:rsid w:val="0016369C"/>
    <w:rsid w:val="001636B5"/>
    <w:rsid w:val="001636D9"/>
    <w:rsid w:val="00163EF3"/>
    <w:rsid w:val="00163EFA"/>
    <w:rsid w:val="00164176"/>
    <w:rsid w:val="00164DE0"/>
    <w:rsid w:val="00164F44"/>
    <w:rsid w:val="001657DB"/>
    <w:rsid w:val="0016595F"/>
    <w:rsid w:val="00165E7B"/>
    <w:rsid w:val="00166275"/>
    <w:rsid w:val="001664D3"/>
    <w:rsid w:val="0016650C"/>
    <w:rsid w:val="0016671D"/>
    <w:rsid w:val="001669B9"/>
    <w:rsid w:val="00166AFB"/>
    <w:rsid w:val="00167304"/>
    <w:rsid w:val="00167738"/>
    <w:rsid w:val="00167D81"/>
    <w:rsid w:val="0017088D"/>
    <w:rsid w:val="00170DD0"/>
    <w:rsid w:val="00171342"/>
    <w:rsid w:val="001714B2"/>
    <w:rsid w:val="00171823"/>
    <w:rsid w:val="00171D8B"/>
    <w:rsid w:val="00171FF0"/>
    <w:rsid w:val="00172262"/>
    <w:rsid w:val="001727FD"/>
    <w:rsid w:val="00172EDB"/>
    <w:rsid w:val="0017310C"/>
    <w:rsid w:val="00173CC9"/>
    <w:rsid w:val="00174B59"/>
    <w:rsid w:val="00174BE5"/>
    <w:rsid w:val="00174C7E"/>
    <w:rsid w:val="001752FB"/>
    <w:rsid w:val="00175571"/>
    <w:rsid w:val="001756BB"/>
    <w:rsid w:val="00175766"/>
    <w:rsid w:val="0017586D"/>
    <w:rsid w:val="00175A04"/>
    <w:rsid w:val="00175AF1"/>
    <w:rsid w:val="00175EBF"/>
    <w:rsid w:val="001762FD"/>
    <w:rsid w:val="0017636A"/>
    <w:rsid w:val="0017662A"/>
    <w:rsid w:val="00176749"/>
    <w:rsid w:val="00176815"/>
    <w:rsid w:val="001768CC"/>
    <w:rsid w:val="00176911"/>
    <w:rsid w:val="0017737E"/>
    <w:rsid w:val="001773CB"/>
    <w:rsid w:val="00177898"/>
    <w:rsid w:val="00180307"/>
    <w:rsid w:val="00180C5A"/>
    <w:rsid w:val="00181211"/>
    <w:rsid w:val="00181B5A"/>
    <w:rsid w:val="00181DDA"/>
    <w:rsid w:val="00181FCF"/>
    <w:rsid w:val="00182719"/>
    <w:rsid w:val="001829BC"/>
    <w:rsid w:val="00182FCF"/>
    <w:rsid w:val="00183967"/>
    <w:rsid w:val="00183E43"/>
    <w:rsid w:val="001843D1"/>
    <w:rsid w:val="00184404"/>
    <w:rsid w:val="0018463C"/>
    <w:rsid w:val="001846C2"/>
    <w:rsid w:val="00184B3B"/>
    <w:rsid w:val="00184FEA"/>
    <w:rsid w:val="00185387"/>
    <w:rsid w:val="00185E34"/>
    <w:rsid w:val="00186479"/>
    <w:rsid w:val="00186706"/>
    <w:rsid w:val="0018672A"/>
    <w:rsid w:val="001867D7"/>
    <w:rsid w:val="001868B5"/>
    <w:rsid w:val="00186DEE"/>
    <w:rsid w:val="00186F0C"/>
    <w:rsid w:val="00187D4D"/>
    <w:rsid w:val="00191405"/>
    <w:rsid w:val="0019142C"/>
    <w:rsid w:val="00191A1D"/>
    <w:rsid w:val="00191B8C"/>
    <w:rsid w:val="00191DB0"/>
    <w:rsid w:val="00191DC1"/>
    <w:rsid w:val="00191FB6"/>
    <w:rsid w:val="001921C9"/>
    <w:rsid w:val="001921FD"/>
    <w:rsid w:val="001929C4"/>
    <w:rsid w:val="00192D8F"/>
    <w:rsid w:val="00193729"/>
    <w:rsid w:val="0019376A"/>
    <w:rsid w:val="00193AE7"/>
    <w:rsid w:val="00193F34"/>
    <w:rsid w:val="0019415A"/>
    <w:rsid w:val="0019497C"/>
    <w:rsid w:val="00195E58"/>
    <w:rsid w:val="00196087"/>
    <w:rsid w:val="0019608B"/>
    <w:rsid w:val="0019686D"/>
    <w:rsid w:val="00196BFC"/>
    <w:rsid w:val="00196EC4"/>
    <w:rsid w:val="00196F36"/>
    <w:rsid w:val="00196FCD"/>
    <w:rsid w:val="001971E3"/>
    <w:rsid w:val="001973F9"/>
    <w:rsid w:val="001978E9"/>
    <w:rsid w:val="0019796B"/>
    <w:rsid w:val="00197BBF"/>
    <w:rsid w:val="001A041E"/>
    <w:rsid w:val="001A05BE"/>
    <w:rsid w:val="001A07C8"/>
    <w:rsid w:val="001A0F44"/>
    <w:rsid w:val="001A1B1D"/>
    <w:rsid w:val="001A1BB7"/>
    <w:rsid w:val="001A1CEE"/>
    <w:rsid w:val="001A21B5"/>
    <w:rsid w:val="001A281F"/>
    <w:rsid w:val="001A2BC4"/>
    <w:rsid w:val="001A2ECB"/>
    <w:rsid w:val="001A3354"/>
    <w:rsid w:val="001A349C"/>
    <w:rsid w:val="001A3618"/>
    <w:rsid w:val="001A387B"/>
    <w:rsid w:val="001A3A08"/>
    <w:rsid w:val="001A3D30"/>
    <w:rsid w:val="001A41E7"/>
    <w:rsid w:val="001A48F4"/>
    <w:rsid w:val="001A4E7D"/>
    <w:rsid w:val="001A52D2"/>
    <w:rsid w:val="001A55BE"/>
    <w:rsid w:val="001A5624"/>
    <w:rsid w:val="001A59BC"/>
    <w:rsid w:val="001A5C40"/>
    <w:rsid w:val="001A641F"/>
    <w:rsid w:val="001A66F2"/>
    <w:rsid w:val="001A6912"/>
    <w:rsid w:val="001A6ADC"/>
    <w:rsid w:val="001A6E8C"/>
    <w:rsid w:val="001A6EFE"/>
    <w:rsid w:val="001A6F6E"/>
    <w:rsid w:val="001A718C"/>
    <w:rsid w:val="001A71FB"/>
    <w:rsid w:val="001A72A6"/>
    <w:rsid w:val="001A7B48"/>
    <w:rsid w:val="001B02F3"/>
    <w:rsid w:val="001B0631"/>
    <w:rsid w:val="001B0CEF"/>
    <w:rsid w:val="001B0DF8"/>
    <w:rsid w:val="001B10BB"/>
    <w:rsid w:val="001B12B2"/>
    <w:rsid w:val="001B1348"/>
    <w:rsid w:val="001B1550"/>
    <w:rsid w:val="001B15E9"/>
    <w:rsid w:val="001B163C"/>
    <w:rsid w:val="001B1667"/>
    <w:rsid w:val="001B2522"/>
    <w:rsid w:val="001B2928"/>
    <w:rsid w:val="001B2AAD"/>
    <w:rsid w:val="001B2B2D"/>
    <w:rsid w:val="001B2C1D"/>
    <w:rsid w:val="001B2E26"/>
    <w:rsid w:val="001B3A66"/>
    <w:rsid w:val="001B3B64"/>
    <w:rsid w:val="001B45F4"/>
    <w:rsid w:val="001B5330"/>
    <w:rsid w:val="001B55F0"/>
    <w:rsid w:val="001B5782"/>
    <w:rsid w:val="001B5884"/>
    <w:rsid w:val="001B5EA1"/>
    <w:rsid w:val="001B6D5E"/>
    <w:rsid w:val="001B724E"/>
    <w:rsid w:val="001B7288"/>
    <w:rsid w:val="001B7619"/>
    <w:rsid w:val="001B7902"/>
    <w:rsid w:val="001B79BC"/>
    <w:rsid w:val="001B7B43"/>
    <w:rsid w:val="001C021E"/>
    <w:rsid w:val="001C0FA7"/>
    <w:rsid w:val="001C120C"/>
    <w:rsid w:val="001C189F"/>
    <w:rsid w:val="001C1B5E"/>
    <w:rsid w:val="001C1E4A"/>
    <w:rsid w:val="001C21EF"/>
    <w:rsid w:val="001C233A"/>
    <w:rsid w:val="001C263E"/>
    <w:rsid w:val="001C26FE"/>
    <w:rsid w:val="001C27AA"/>
    <w:rsid w:val="001C27E6"/>
    <w:rsid w:val="001C281E"/>
    <w:rsid w:val="001C2BC9"/>
    <w:rsid w:val="001C3554"/>
    <w:rsid w:val="001C3E16"/>
    <w:rsid w:val="001C3E2E"/>
    <w:rsid w:val="001C3FAF"/>
    <w:rsid w:val="001C409F"/>
    <w:rsid w:val="001C4107"/>
    <w:rsid w:val="001C4161"/>
    <w:rsid w:val="001C42C9"/>
    <w:rsid w:val="001C42DD"/>
    <w:rsid w:val="001C4FE6"/>
    <w:rsid w:val="001C5095"/>
    <w:rsid w:val="001C54DB"/>
    <w:rsid w:val="001C5983"/>
    <w:rsid w:val="001C5F70"/>
    <w:rsid w:val="001C6597"/>
    <w:rsid w:val="001C67C1"/>
    <w:rsid w:val="001C68C8"/>
    <w:rsid w:val="001C69E6"/>
    <w:rsid w:val="001C6CA3"/>
    <w:rsid w:val="001C73C9"/>
    <w:rsid w:val="001C773B"/>
    <w:rsid w:val="001C7752"/>
    <w:rsid w:val="001C7980"/>
    <w:rsid w:val="001D0000"/>
    <w:rsid w:val="001D09EF"/>
    <w:rsid w:val="001D0A29"/>
    <w:rsid w:val="001D0BB1"/>
    <w:rsid w:val="001D0F36"/>
    <w:rsid w:val="001D147E"/>
    <w:rsid w:val="001D23E0"/>
    <w:rsid w:val="001D27EC"/>
    <w:rsid w:val="001D297B"/>
    <w:rsid w:val="001D2C2F"/>
    <w:rsid w:val="001D2CEE"/>
    <w:rsid w:val="001D325B"/>
    <w:rsid w:val="001D337B"/>
    <w:rsid w:val="001D34FF"/>
    <w:rsid w:val="001D363E"/>
    <w:rsid w:val="001D3E95"/>
    <w:rsid w:val="001D3EEE"/>
    <w:rsid w:val="001D48FC"/>
    <w:rsid w:val="001D4A01"/>
    <w:rsid w:val="001D4A57"/>
    <w:rsid w:val="001D4B36"/>
    <w:rsid w:val="001D4D2D"/>
    <w:rsid w:val="001D5843"/>
    <w:rsid w:val="001D5A4B"/>
    <w:rsid w:val="001D5D52"/>
    <w:rsid w:val="001D61B8"/>
    <w:rsid w:val="001D7C41"/>
    <w:rsid w:val="001D7F16"/>
    <w:rsid w:val="001D7FD7"/>
    <w:rsid w:val="001E03C5"/>
    <w:rsid w:val="001E05F3"/>
    <w:rsid w:val="001E0B84"/>
    <w:rsid w:val="001E0D4E"/>
    <w:rsid w:val="001E0E87"/>
    <w:rsid w:val="001E0F3B"/>
    <w:rsid w:val="001E1A3F"/>
    <w:rsid w:val="001E2F97"/>
    <w:rsid w:val="001E36A8"/>
    <w:rsid w:val="001E39F6"/>
    <w:rsid w:val="001E3B37"/>
    <w:rsid w:val="001E481E"/>
    <w:rsid w:val="001E489E"/>
    <w:rsid w:val="001E4939"/>
    <w:rsid w:val="001E4F1C"/>
    <w:rsid w:val="001E5266"/>
    <w:rsid w:val="001E59F7"/>
    <w:rsid w:val="001E5B50"/>
    <w:rsid w:val="001E5B7D"/>
    <w:rsid w:val="001E5EA7"/>
    <w:rsid w:val="001E5F19"/>
    <w:rsid w:val="001E6402"/>
    <w:rsid w:val="001E6580"/>
    <w:rsid w:val="001E6BC9"/>
    <w:rsid w:val="001E6E05"/>
    <w:rsid w:val="001E711E"/>
    <w:rsid w:val="001E71E5"/>
    <w:rsid w:val="001E75F1"/>
    <w:rsid w:val="001E77E1"/>
    <w:rsid w:val="001E7832"/>
    <w:rsid w:val="001E7C3B"/>
    <w:rsid w:val="001E7E17"/>
    <w:rsid w:val="001E7EE6"/>
    <w:rsid w:val="001F0933"/>
    <w:rsid w:val="001F0C49"/>
    <w:rsid w:val="001F13B7"/>
    <w:rsid w:val="001F1873"/>
    <w:rsid w:val="001F18EC"/>
    <w:rsid w:val="001F2180"/>
    <w:rsid w:val="001F248D"/>
    <w:rsid w:val="001F2827"/>
    <w:rsid w:val="001F2A30"/>
    <w:rsid w:val="001F2EEE"/>
    <w:rsid w:val="001F37CE"/>
    <w:rsid w:val="001F395A"/>
    <w:rsid w:val="001F3FF4"/>
    <w:rsid w:val="001F40C1"/>
    <w:rsid w:val="001F461B"/>
    <w:rsid w:val="001F4CEA"/>
    <w:rsid w:val="001F4DDB"/>
    <w:rsid w:val="001F5310"/>
    <w:rsid w:val="001F548F"/>
    <w:rsid w:val="001F58A7"/>
    <w:rsid w:val="001F5A13"/>
    <w:rsid w:val="001F5B57"/>
    <w:rsid w:val="001F6848"/>
    <w:rsid w:val="001F6A09"/>
    <w:rsid w:val="001F7027"/>
    <w:rsid w:val="001F7225"/>
    <w:rsid w:val="001F7272"/>
    <w:rsid w:val="001F747C"/>
    <w:rsid w:val="00200017"/>
    <w:rsid w:val="00200289"/>
    <w:rsid w:val="00200807"/>
    <w:rsid w:val="002010BA"/>
    <w:rsid w:val="002014DB"/>
    <w:rsid w:val="002016A8"/>
    <w:rsid w:val="002019A7"/>
    <w:rsid w:val="002019F5"/>
    <w:rsid w:val="00202055"/>
    <w:rsid w:val="0020236F"/>
    <w:rsid w:val="002028D8"/>
    <w:rsid w:val="002029AA"/>
    <w:rsid w:val="002032E8"/>
    <w:rsid w:val="002034ED"/>
    <w:rsid w:val="00203617"/>
    <w:rsid w:val="00203BBE"/>
    <w:rsid w:val="00203C32"/>
    <w:rsid w:val="00203CF8"/>
    <w:rsid w:val="00203E24"/>
    <w:rsid w:val="00203F74"/>
    <w:rsid w:val="0020429B"/>
    <w:rsid w:val="002042F6"/>
    <w:rsid w:val="0020445E"/>
    <w:rsid w:val="002044F9"/>
    <w:rsid w:val="00204531"/>
    <w:rsid w:val="0020481E"/>
    <w:rsid w:val="002048F3"/>
    <w:rsid w:val="00204975"/>
    <w:rsid w:val="0020499A"/>
    <w:rsid w:val="002049D1"/>
    <w:rsid w:val="00204A83"/>
    <w:rsid w:val="00204C9B"/>
    <w:rsid w:val="0020515B"/>
    <w:rsid w:val="002052D9"/>
    <w:rsid w:val="0020530A"/>
    <w:rsid w:val="00205350"/>
    <w:rsid w:val="00205875"/>
    <w:rsid w:val="00205B09"/>
    <w:rsid w:val="00205B72"/>
    <w:rsid w:val="00206428"/>
    <w:rsid w:val="00206636"/>
    <w:rsid w:val="002072A0"/>
    <w:rsid w:val="0020757B"/>
    <w:rsid w:val="0021008C"/>
    <w:rsid w:val="002103AA"/>
    <w:rsid w:val="002104C7"/>
    <w:rsid w:val="002104FF"/>
    <w:rsid w:val="00210BE8"/>
    <w:rsid w:val="00210D8B"/>
    <w:rsid w:val="00210EF8"/>
    <w:rsid w:val="002110E4"/>
    <w:rsid w:val="00211237"/>
    <w:rsid w:val="00211374"/>
    <w:rsid w:val="00211915"/>
    <w:rsid w:val="00211A5C"/>
    <w:rsid w:val="00211E9C"/>
    <w:rsid w:val="002124EE"/>
    <w:rsid w:val="00212832"/>
    <w:rsid w:val="0021361E"/>
    <w:rsid w:val="002141D4"/>
    <w:rsid w:val="002142B6"/>
    <w:rsid w:val="0021453E"/>
    <w:rsid w:val="00214650"/>
    <w:rsid w:val="00214CA2"/>
    <w:rsid w:val="00214EA6"/>
    <w:rsid w:val="00214F37"/>
    <w:rsid w:val="002152B7"/>
    <w:rsid w:val="002155BC"/>
    <w:rsid w:val="0021582E"/>
    <w:rsid w:val="00215EDF"/>
    <w:rsid w:val="0021693B"/>
    <w:rsid w:val="00216C90"/>
    <w:rsid w:val="00216D29"/>
    <w:rsid w:val="002173DE"/>
    <w:rsid w:val="002177C1"/>
    <w:rsid w:val="00217E2E"/>
    <w:rsid w:val="00217F91"/>
    <w:rsid w:val="002200C6"/>
    <w:rsid w:val="00220809"/>
    <w:rsid w:val="00220DE3"/>
    <w:rsid w:val="00221013"/>
    <w:rsid w:val="00221208"/>
    <w:rsid w:val="002212CB"/>
    <w:rsid w:val="00221472"/>
    <w:rsid w:val="00221C91"/>
    <w:rsid w:val="00222A53"/>
    <w:rsid w:val="00222B74"/>
    <w:rsid w:val="00222C1F"/>
    <w:rsid w:val="002231F6"/>
    <w:rsid w:val="00223A7B"/>
    <w:rsid w:val="00223CD3"/>
    <w:rsid w:val="00224058"/>
    <w:rsid w:val="00224078"/>
    <w:rsid w:val="002242AC"/>
    <w:rsid w:val="00224731"/>
    <w:rsid w:val="0022497C"/>
    <w:rsid w:val="00224BAA"/>
    <w:rsid w:val="00225028"/>
    <w:rsid w:val="002252A2"/>
    <w:rsid w:val="0022549A"/>
    <w:rsid w:val="00225626"/>
    <w:rsid w:val="002258AF"/>
    <w:rsid w:val="00225D76"/>
    <w:rsid w:val="00226179"/>
    <w:rsid w:val="00226E2B"/>
    <w:rsid w:val="002270FB"/>
    <w:rsid w:val="0022769C"/>
    <w:rsid w:val="002300A0"/>
    <w:rsid w:val="0023025C"/>
    <w:rsid w:val="002305D0"/>
    <w:rsid w:val="00231124"/>
    <w:rsid w:val="00231128"/>
    <w:rsid w:val="002316D5"/>
    <w:rsid w:val="00231792"/>
    <w:rsid w:val="00231AB4"/>
    <w:rsid w:val="002328B1"/>
    <w:rsid w:val="00232C0D"/>
    <w:rsid w:val="00232C79"/>
    <w:rsid w:val="002333D0"/>
    <w:rsid w:val="0023342D"/>
    <w:rsid w:val="00233478"/>
    <w:rsid w:val="0023374F"/>
    <w:rsid w:val="002338FD"/>
    <w:rsid w:val="00234300"/>
    <w:rsid w:val="002347E6"/>
    <w:rsid w:val="002347EF"/>
    <w:rsid w:val="00234964"/>
    <w:rsid w:val="002349CC"/>
    <w:rsid w:val="00234BF3"/>
    <w:rsid w:val="00234DE2"/>
    <w:rsid w:val="00235229"/>
    <w:rsid w:val="002355A2"/>
    <w:rsid w:val="00235C1F"/>
    <w:rsid w:val="00236222"/>
    <w:rsid w:val="00236373"/>
    <w:rsid w:val="002363F6"/>
    <w:rsid w:val="00236F4F"/>
    <w:rsid w:val="00236FDE"/>
    <w:rsid w:val="00237553"/>
    <w:rsid w:val="00237618"/>
    <w:rsid w:val="00237DDB"/>
    <w:rsid w:val="00237F51"/>
    <w:rsid w:val="00237F66"/>
    <w:rsid w:val="002402FD"/>
    <w:rsid w:val="002408DE"/>
    <w:rsid w:val="00240AFF"/>
    <w:rsid w:val="00240DA8"/>
    <w:rsid w:val="00240E70"/>
    <w:rsid w:val="00240F43"/>
    <w:rsid w:val="00241267"/>
    <w:rsid w:val="00241801"/>
    <w:rsid w:val="002418C5"/>
    <w:rsid w:val="00241FD7"/>
    <w:rsid w:val="00242B88"/>
    <w:rsid w:val="00242E67"/>
    <w:rsid w:val="00242E76"/>
    <w:rsid w:val="00242EB7"/>
    <w:rsid w:val="002435DA"/>
    <w:rsid w:val="002435F7"/>
    <w:rsid w:val="00243602"/>
    <w:rsid w:val="00243663"/>
    <w:rsid w:val="00244134"/>
    <w:rsid w:val="00244250"/>
    <w:rsid w:val="00244505"/>
    <w:rsid w:val="00244C8D"/>
    <w:rsid w:val="00244E6A"/>
    <w:rsid w:val="00245328"/>
    <w:rsid w:val="002455B5"/>
    <w:rsid w:val="00245701"/>
    <w:rsid w:val="00245EEE"/>
    <w:rsid w:val="00245F96"/>
    <w:rsid w:val="00246810"/>
    <w:rsid w:val="00246CBF"/>
    <w:rsid w:val="00247190"/>
    <w:rsid w:val="002473C0"/>
    <w:rsid w:val="002474B9"/>
    <w:rsid w:val="0024765B"/>
    <w:rsid w:val="0024787A"/>
    <w:rsid w:val="002479FB"/>
    <w:rsid w:val="00247AAB"/>
    <w:rsid w:val="002501D6"/>
    <w:rsid w:val="00250290"/>
    <w:rsid w:val="002505DD"/>
    <w:rsid w:val="00250EBB"/>
    <w:rsid w:val="00250FA5"/>
    <w:rsid w:val="00251229"/>
    <w:rsid w:val="00251254"/>
    <w:rsid w:val="0025126D"/>
    <w:rsid w:val="002518E0"/>
    <w:rsid w:val="00251F4D"/>
    <w:rsid w:val="00252144"/>
    <w:rsid w:val="0025240D"/>
    <w:rsid w:val="00252431"/>
    <w:rsid w:val="00252586"/>
    <w:rsid w:val="002532A4"/>
    <w:rsid w:val="00253348"/>
    <w:rsid w:val="00253406"/>
    <w:rsid w:val="00253599"/>
    <w:rsid w:val="00253B94"/>
    <w:rsid w:val="00253DE8"/>
    <w:rsid w:val="00253F08"/>
    <w:rsid w:val="0025455E"/>
    <w:rsid w:val="002545FD"/>
    <w:rsid w:val="00255138"/>
    <w:rsid w:val="002553C0"/>
    <w:rsid w:val="0025544F"/>
    <w:rsid w:val="002554CB"/>
    <w:rsid w:val="00255985"/>
    <w:rsid w:val="00256D96"/>
    <w:rsid w:val="002574A3"/>
    <w:rsid w:val="00257622"/>
    <w:rsid w:val="002578D9"/>
    <w:rsid w:val="00257D54"/>
    <w:rsid w:val="00260429"/>
    <w:rsid w:val="002606E9"/>
    <w:rsid w:val="0026071B"/>
    <w:rsid w:val="00260D4E"/>
    <w:rsid w:val="00260D6F"/>
    <w:rsid w:val="00260F6E"/>
    <w:rsid w:val="00261362"/>
    <w:rsid w:val="00261528"/>
    <w:rsid w:val="00261A68"/>
    <w:rsid w:val="00261B67"/>
    <w:rsid w:val="00261B77"/>
    <w:rsid w:val="002620F3"/>
    <w:rsid w:val="0026293E"/>
    <w:rsid w:val="00262DFA"/>
    <w:rsid w:val="00263239"/>
    <w:rsid w:val="00263256"/>
    <w:rsid w:val="00263332"/>
    <w:rsid w:val="00263513"/>
    <w:rsid w:val="0026387E"/>
    <w:rsid w:val="00263D57"/>
    <w:rsid w:val="00263D59"/>
    <w:rsid w:val="00264429"/>
    <w:rsid w:val="002644B6"/>
    <w:rsid w:val="00264704"/>
    <w:rsid w:val="00264777"/>
    <w:rsid w:val="002647EF"/>
    <w:rsid w:val="002652BE"/>
    <w:rsid w:val="002658A9"/>
    <w:rsid w:val="002658BE"/>
    <w:rsid w:val="00265A28"/>
    <w:rsid w:val="00265C05"/>
    <w:rsid w:val="00265D78"/>
    <w:rsid w:val="002668EC"/>
    <w:rsid w:val="00266E9E"/>
    <w:rsid w:val="00267548"/>
    <w:rsid w:val="00267B78"/>
    <w:rsid w:val="00267CB8"/>
    <w:rsid w:val="00267D85"/>
    <w:rsid w:val="00267E93"/>
    <w:rsid w:val="00270690"/>
    <w:rsid w:val="00270832"/>
    <w:rsid w:val="002716CA"/>
    <w:rsid w:val="002716F0"/>
    <w:rsid w:val="00271A00"/>
    <w:rsid w:val="00271E98"/>
    <w:rsid w:val="00272683"/>
    <w:rsid w:val="00272AF5"/>
    <w:rsid w:val="00273192"/>
    <w:rsid w:val="002738AD"/>
    <w:rsid w:val="00274B67"/>
    <w:rsid w:val="00274D85"/>
    <w:rsid w:val="00275324"/>
    <w:rsid w:val="0027537F"/>
    <w:rsid w:val="002758F5"/>
    <w:rsid w:val="002759C7"/>
    <w:rsid w:val="00275F25"/>
    <w:rsid w:val="0027620E"/>
    <w:rsid w:val="002768D8"/>
    <w:rsid w:val="00276E8E"/>
    <w:rsid w:val="00277732"/>
    <w:rsid w:val="002800EF"/>
    <w:rsid w:val="00280639"/>
    <w:rsid w:val="002806D0"/>
    <w:rsid w:val="00280CE7"/>
    <w:rsid w:val="00280F40"/>
    <w:rsid w:val="00281659"/>
    <w:rsid w:val="00281CB8"/>
    <w:rsid w:val="002824DF"/>
    <w:rsid w:val="00282613"/>
    <w:rsid w:val="00282F96"/>
    <w:rsid w:val="00283023"/>
    <w:rsid w:val="00283233"/>
    <w:rsid w:val="002833C5"/>
    <w:rsid w:val="0028347D"/>
    <w:rsid w:val="00283918"/>
    <w:rsid w:val="00283C63"/>
    <w:rsid w:val="00283D23"/>
    <w:rsid w:val="00283E62"/>
    <w:rsid w:val="00283F23"/>
    <w:rsid w:val="002844A6"/>
    <w:rsid w:val="002845B5"/>
    <w:rsid w:val="0028488A"/>
    <w:rsid w:val="002852EB"/>
    <w:rsid w:val="00285428"/>
    <w:rsid w:val="002855D0"/>
    <w:rsid w:val="002855D6"/>
    <w:rsid w:val="00285851"/>
    <w:rsid w:val="00285FBC"/>
    <w:rsid w:val="002866B9"/>
    <w:rsid w:val="00286ED6"/>
    <w:rsid w:val="00287204"/>
    <w:rsid w:val="002877F4"/>
    <w:rsid w:val="00287B7B"/>
    <w:rsid w:val="00287B7F"/>
    <w:rsid w:val="00287D17"/>
    <w:rsid w:val="00290057"/>
    <w:rsid w:val="0029048E"/>
    <w:rsid w:val="002904B3"/>
    <w:rsid w:val="002904FA"/>
    <w:rsid w:val="00290B8F"/>
    <w:rsid w:val="002910EF"/>
    <w:rsid w:val="0029122A"/>
    <w:rsid w:val="0029190A"/>
    <w:rsid w:val="00292079"/>
    <w:rsid w:val="00292B79"/>
    <w:rsid w:val="00292B7A"/>
    <w:rsid w:val="00293B0F"/>
    <w:rsid w:val="00293CC9"/>
    <w:rsid w:val="00293E43"/>
    <w:rsid w:val="00294487"/>
    <w:rsid w:val="00294671"/>
    <w:rsid w:val="0029476B"/>
    <w:rsid w:val="00294B17"/>
    <w:rsid w:val="00295393"/>
    <w:rsid w:val="002958C9"/>
    <w:rsid w:val="00295E14"/>
    <w:rsid w:val="00296539"/>
    <w:rsid w:val="00296A1E"/>
    <w:rsid w:val="00297417"/>
    <w:rsid w:val="0029752F"/>
    <w:rsid w:val="00297AEF"/>
    <w:rsid w:val="002A018F"/>
    <w:rsid w:val="002A0250"/>
    <w:rsid w:val="002A02C6"/>
    <w:rsid w:val="002A067D"/>
    <w:rsid w:val="002A07B0"/>
    <w:rsid w:val="002A08DB"/>
    <w:rsid w:val="002A0B9D"/>
    <w:rsid w:val="002A0F4F"/>
    <w:rsid w:val="002A17E3"/>
    <w:rsid w:val="002A1A23"/>
    <w:rsid w:val="002A1C2F"/>
    <w:rsid w:val="002A1C8D"/>
    <w:rsid w:val="002A1F64"/>
    <w:rsid w:val="002A22A5"/>
    <w:rsid w:val="002A305B"/>
    <w:rsid w:val="002A357B"/>
    <w:rsid w:val="002A3BEE"/>
    <w:rsid w:val="002A40E9"/>
    <w:rsid w:val="002A4FDF"/>
    <w:rsid w:val="002A67D1"/>
    <w:rsid w:val="002A67D2"/>
    <w:rsid w:val="002A6A2D"/>
    <w:rsid w:val="002A6C16"/>
    <w:rsid w:val="002A70A8"/>
    <w:rsid w:val="002A7457"/>
    <w:rsid w:val="002A7737"/>
    <w:rsid w:val="002A7AC5"/>
    <w:rsid w:val="002B0000"/>
    <w:rsid w:val="002B0008"/>
    <w:rsid w:val="002B003D"/>
    <w:rsid w:val="002B06EE"/>
    <w:rsid w:val="002B07D6"/>
    <w:rsid w:val="002B0A57"/>
    <w:rsid w:val="002B0CBA"/>
    <w:rsid w:val="002B0DB2"/>
    <w:rsid w:val="002B1C0B"/>
    <w:rsid w:val="002B1DA6"/>
    <w:rsid w:val="002B1F17"/>
    <w:rsid w:val="002B250C"/>
    <w:rsid w:val="002B3346"/>
    <w:rsid w:val="002B342D"/>
    <w:rsid w:val="002B34C5"/>
    <w:rsid w:val="002B3B4C"/>
    <w:rsid w:val="002B3B9E"/>
    <w:rsid w:val="002B3C6F"/>
    <w:rsid w:val="002B3EEE"/>
    <w:rsid w:val="002B426F"/>
    <w:rsid w:val="002B49DB"/>
    <w:rsid w:val="002B52F6"/>
    <w:rsid w:val="002B53CF"/>
    <w:rsid w:val="002B544C"/>
    <w:rsid w:val="002B598D"/>
    <w:rsid w:val="002B59D2"/>
    <w:rsid w:val="002B6554"/>
    <w:rsid w:val="002B6D88"/>
    <w:rsid w:val="002B72EA"/>
    <w:rsid w:val="002B74D4"/>
    <w:rsid w:val="002B7A96"/>
    <w:rsid w:val="002B7B61"/>
    <w:rsid w:val="002C0763"/>
    <w:rsid w:val="002C0B97"/>
    <w:rsid w:val="002C0C20"/>
    <w:rsid w:val="002C11E2"/>
    <w:rsid w:val="002C1C4F"/>
    <w:rsid w:val="002C25AD"/>
    <w:rsid w:val="002C2859"/>
    <w:rsid w:val="002C2B96"/>
    <w:rsid w:val="002C2CE1"/>
    <w:rsid w:val="002C2DBC"/>
    <w:rsid w:val="002C3360"/>
    <w:rsid w:val="002C3B08"/>
    <w:rsid w:val="002C3E4C"/>
    <w:rsid w:val="002C405B"/>
    <w:rsid w:val="002C420D"/>
    <w:rsid w:val="002C4601"/>
    <w:rsid w:val="002C4688"/>
    <w:rsid w:val="002C4B24"/>
    <w:rsid w:val="002C4B8A"/>
    <w:rsid w:val="002C5267"/>
    <w:rsid w:val="002C583B"/>
    <w:rsid w:val="002C585A"/>
    <w:rsid w:val="002C622A"/>
    <w:rsid w:val="002C654D"/>
    <w:rsid w:val="002C6C92"/>
    <w:rsid w:val="002C715A"/>
    <w:rsid w:val="002C728D"/>
    <w:rsid w:val="002C765F"/>
    <w:rsid w:val="002C7AB6"/>
    <w:rsid w:val="002D002B"/>
    <w:rsid w:val="002D01E5"/>
    <w:rsid w:val="002D0382"/>
    <w:rsid w:val="002D06DB"/>
    <w:rsid w:val="002D0A83"/>
    <w:rsid w:val="002D0E7A"/>
    <w:rsid w:val="002D1171"/>
    <w:rsid w:val="002D1645"/>
    <w:rsid w:val="002D1649"/>
    <w:rsid w:val="002D22FA"/>
    <w:rsid w:val="002D2E0C"/>
    <w:rsid w:val="002D3984"/>
    <w:rsid w:val="002D3CC6"/>
    <w:rsid w:val="002D4320"/>
    <w:rsid w:val="002D452D"/>
    <w:rsid w:val="002D4618"/>
    <w:rsid w:val="002D464C"/>
    <w:rsid w:val="002D4902"/>
    <w:rsid w:val="002D4C32"/>
    <w:rsid w:val="002D535F"/>
    <w:rsid w:val="002D54A7"/>
    <w:rsid w:val="002D55B9"/>
    <w:rsid w:val="002D565E"/>
    <w:rsid w:val="002D5686"/>
    <w:rsid w:val="002D5974"/>
    <w:rsid w:val="002D6167"/>
    <w:rsid w:val="002D6186"/>
    <w:rsid w:val="002D6207"/>
    <w:rsid w:val="002D6285"/>
    <w:rsid w:val="002D71C7"/>
    <w:rsid w:val="002D736B"/>
    <w:rsid w:val="002D7555"/>
    <w:rsid w:val="002D7A10"/>
    <w:rsid w:val="002D7D23"/>
    <w:rsid w:val="002E00DA"/>
    <w:rsid w:val="002E0220"/>
    <w:rsid w:val="002E088D"/>
    <w:rsid w:val="002E0A71"/>
    <w:rsid w:val="002E1837"/>
    <w:rsid w:val="002E1AFB"/>
    <w:rsid w:val="002E3100"/>
    <w:rsid w:val="002E3344"/>
    <w:rsid w:val="002E3B40"/>
    <w:rsid w:val="002E3D19"/>
    <w:rsid w:val="002E3DC8"/>
    <w:rsid w:val="002E4467"/>
    <w:rsid w:val="002E446F"/>
    <w:rsid w:val="002E4937"/>
    <w:rsid w:val="002E4D11"/>
    <w:rsid w:val="002E4EE7"/>
    <w:rsid w:val="002E5176"/>
    <w:rsid w:val="002E6361"/>
    <w:rsid w:val="002E6C0E"/>
    <w:rsid w:val="002E719D"/>
    <w:rsid w:val="002E71CE"/>
    <w:rsid w:val="002E73A8"/>
    <w:rsid w:val="002E75BB"/>
    <w:rsid w:val="002E762D"/>
    <w:rsid w:val="002F0065"/>
    <w:rsid w:val="002F021B"/>
    <w:rsid w:val="002F095E"/>
    <w:rsid w:val="002F0C48"/>
    <w:rsid w:val="002F1159"/>
    <w:rsid w:val="002F1D45"/>
    <w:rsid w:val="002F2165"/>
    <w:rsid w:val="002F2575"/>
    <w:rsid w:val="002F2688"/>
    <w:rsid w:val="002F27DC"/>
    <w:rsid w:val="002F372E"/>
    <w:rsid w:val="002F434B"/>
    <w:rsid w:val="002F44A3"/>
    <w:rsid w:val="002F4906"/>
    <w:rsid w:val="002F50C8"/>
    <w:rsid w:val="002F510C"/>
    <w:rsid w:val="002F5457"/>
    <w:rsid w:val="002F57BD"/>
    <w:rsid w:val="002F63D1"/>
    <w:rsid w:val="002F63F0"/>
    <w:rsid w:val="002F6791"/>
    <w:rsid w:val="002F6D2A"/>
    <w:rsid w:val="002F6D71"/>
    <w:rsid w:val="002F7362"/>
    <w:rsid w:val="002F756A"/>
    <w:rsid w:val="002F7E7D"/>
    <w:rsid w:val="00300145"/>
    <w:rsid w:val="00300250"/>
    <w:rsid w:val="003006CD"/>
    <w:rsid w:val="0030077A"/>
    <w:rsid w:val="00300AD0"/>
    <w:rsid w:val="00300CA5"/>
    <w:rsid w:val="00300D64"/>
    <w:rsid w:val="0030103B"/>
    <w:rsid w:val="0030134E"/>
    <w:rsid w:val="00301486"/>
    <w:rsid w:val="00301934"/>
    <w:rsid w:val="00301C1C"/>
    <w:rsid w:val="00301DCF"/>
    <w:rsid w:val="00301DD5"/>
    <w:rsid w:val="003021F9"/>
    <w:rsid w:val="00302263"/>
    <w:rsid w:val="003027BB"/>
    <w:rsid w:val="00302E5E"/>
    <w:rsid w:val="003038A3"/>
    <w:rsid w:val="00304376"/>
    <w:rsid w:val="003046AA"/>
    <w:rsid w:val="0030486A"/>
    <w:rsid w:val="00305595"/>
    <w:rsid w:val="00307076"/>
    <w:rsid w:val="003070FD"/>
    <w:rsid w:val="00310195"/>
    <w:rsid w:val="00310551"/>
    <w:rsid w:val="00310EA3"/>
    <w:rsid w:val="00310F27"/>
    <w:rsid w:val="00310F6C"/>
    <w:rsid w:val="00311198"/>
    <w:rsid w:val="00311BA6"/>
    <w:rsid w:val="00311D30"/>
    <w:rsid w:val="00311F38"/>
    <w:rsid w:val="00312447"/>
    <w:rsid w:val="00312AE9"/>
    <w:rsid w:val="00312EA3"/>
    <w:rsid w:val="00312FA7"/>
    <w:rsid w:val="00313022"/>
    <w:rsid w:val="0031307D"/>
    <w:rsid w:val="00313518"/>
    <w:rsid w:val="00313954"/>
    <w:rsid w:val="00314305"/>
    <w:rsid w:val="00314845"/>
    <w:rsid w:val="0031500A"/>
    <w:rsid w:val="00315192"/>
    <w:rsid w:val="003154A9"/>
    <w:rsid w:val="00315C6D"/>
    <w:rsid w:val="00316392"/>
    <w:rsid w:val="003167ED"/>
    <w:rsid w:val="00316B9D"/>
    <w:rsid w:val="00316F81"/>
    <w:rsid w:val="00316FEC"/>
    <w:rsid w:val="0031714F"/>
    <w:rsid w:val="003173DF"/>
    <w:rsid w:val="003178CB"/>
    <w:rsid w:val="00317B97"/>
    <w:rsid w:val="00317F62"/>
    <w:rsid w:val="003201F8"/>
    <w:rsid w:val="0032050F"/>
    <w:rsid w:val="00320B13"/>
    <w:rsid w:val="0032125A"/>
    <w:rsid w:val="00321D34"/>
    <w:rsid w:val="00321E51"/>
    <w:rsid w:val="00322151"/>
    <w:rsid w:val="00322AED"/>
    <w:rsid w:val="00322E72"/>
    <w:rsid w:val="00322ED5"/>
    <w:rsid w:val="003230A5"/>
    <w:rsid w:val="00323698"/>
    <w:rsid w:val="00323FFC"/>
    <w:rsid w:val="0032411E"/>
    <w:rsid w:val="00324267"/>
    <w:rsid w:val="003253C6"/>
    <w:rsid w:val="003254E6"/>
    <w:rsid w:val="003263D4"/>
    <w:rsid w:val="00326761"/>
    <w:rsid w:val="00326CFB"/>
    <w:rsid w:val="00326F8D"/>
    <w:rsid w:val="00327ADC"/>
    <w:rsid w:val="00327BEA"/>
    <w:rsid w:val="003301E3"/>
    <w:rsid w:val="00330478"/>
    <w:rsid w:val="00330739"/>
    <w:rsid w:val="00330782"/>
    <w:rsid w:val="00330A95"/>
    <w:rsid w:val="003310BB"/>
    <w:rsid w:val="0033127D"/>
    <w:rsid w:val="0033162E"/>
    <w:rsid w:val="003317B8"/>
    <w:rsid w:val="003317C9"/>
    <w:rsid w:val="00331CAE"/>
    <w:rsid w:val="00331ED7"/>
    <w:rsid w:val="00332085"/>
    <w:rsid w:val="0033284A"/>
    <w:rsid w:val="00332D9D"/>
    <w:rsid w:val="00333109"/>
    <w:rsid w:val="00333666"/>
    <w:rsid w:val="003337AB"/>
    <w:rsid w:val="00333EA3"/>
    <w:rsid w:val="00334923"/>
    <w:rsid w:val="00334DA8"/>
    <w:rsid w:val="00334F21"/>
    <w:rsid w:val="003351A7"/>
    <w:rsid w:val="003352A0"/>
    <w:rsid w:val="00335526"/>
    <w:rsid w:val="00335576"/>
    <w:rsid w:val="003356A9"/>
    <w:rsid w:val="00335FDA"/>
    <w:rsid w:val="003361A1"/>
    <w:rsid w:val="003361AE"/>
    <w:rsid w:val="0033626E"/>
    <w:rsid w:val="0033678B"/>
    <w:rsid w:val="003369A0"/>
    <w:rsid w:val="00336A6A"/>
    <w:rsid w:val="00336BA0"/>
    <w:rsid w:val="00337368"/>
    <w:rsid w:val="00337410"/>
    <w:rsid w:val="00337508"/>
    <w:rsid w:val="00337846"/>
    <w:rsid w:val="00337AFC"/>
    <w:rsid w:val="0034024F"/>
    <w:rsid w:val="00340576"/>
    <w:rsid w:val="003408C0"/>
    <w:rsid w:val="00340D7E"/>
    <w:rsid w:val="003411C0"/>
    <w:rsid w:val="00342BE3"/>
    <w:rsid w:val="00342F8A"/>
    <w:rsid w:val="00343451"/>
    <w:rsid w:val="00343835"/>
    <w:rsid w:val="00343D33"/>
    <w:rsid w:val="00344FC2"/>
    <w:rsid w:val="003459AF"/>
    <w:rsid w:val="00346046"/>
    <w:rsid w:val="0034662B"/>
    <w:rsid w:val="003466EF"/>
    <w:rsid w:val="0034670F"/>
    <w:rsid w:val="00346ABF"/>
    <w:rsid w:val="00346D72"/>
    <w:rsid w:val="00347748"/>
    <w:rsid w:val="003479AB"/>
    <w:rsid w:val="00347D27"/>
    <w:rsid w:val="00347DC8"/>
    <w:rsid w:val="00347DD6"/>
    <w:rsid w:val="00347F5E"/>
    <w:rsid w:val="003508B6"/>
    <w:rsid w:val="00350E11"/>
    <w:rsid w:val="00351549"/>
    <w:rsid w:val="00351FF7"/>
    <w:rsid w:val="00352116"/>
    <w:rsid w:val="003522FB"/>
    <w:rsid w:val="00352302"/>
    <w:rsid w:val="003526E7"/>
    <w:rsid w:val="0035294B"/>
    <w:rsid w:val="00353063"/>
    <w:rsid w:val="00353553"/>
    <w:rsid w:val="00353931"/>
    <w:rsid w:val="00353FBE"/>
    <w:rsid w:val="003546BA"/>
    <w:rsid w:val="003550EB"/>
    <w:rsid w:val="00355171"/>
    <w:rsid w:val="003556DC"/>
    <w:rsid w:val="0035585B"/>
    <w:rsid w:val="00355C11"/>
    <w:rsid w:val="00356C0A"/>
    <w:rsid w:val="00356CB6"/>
    <w:rsid w:val="00356E44"/>
    <w:rsid w:val="003573A9"/>
    <w:rsid w:val="00357426"/>
    <w:rsid w:val="003600C5"/>
    <w:rsid w:val="003600E1"/>
    <w:rsid w:val="00360540"/>
    <w:rsid w:val="0036079F"/>
    <w:rsid w:val="003608BE"/>
    <w:rsid w:val="00360CC4"/>
    <w:rsid w:val="00360CE1"/>
    <w:rsid w:val="00360D35"/>
    <w:rsid w:val="00360DD5"/>
    <w:rsid w:val="00360EB9"/>
    <w:rsid w:val="00361671"/>
    <w:rsid w:val="00361ADC"/>
    <w:rsid w:val="00362183"/>
    <w:rsid w:val="00362407"/>
    <w:rsid w:val="00362F66"/>
    <w:rsid w:val="00363200"/>
    <w:rsid w:val="00363367"/>
    <w:rsid w:val="0036336C"/>
    <w:rsid w:val="00363404"/>
    <w:rsid w:val="00363774"/>
    <w:rsid w:val="00363D01"/>
    <w:rsid w:val="003647D8"/>
    <w:rsid w:val="0036543A"/>
    <w:rsid w:val="0036568A"/>
    <w:rsid w:val="003656CA"/>
    <w:rsid w:val="00366F54"/>
    <w:rsid w:val="00367010"/>
    <w:rsid w:val="00367965"/>
    <w:rsid w:val="00367BD9"/>
    <w:rsid w:val="003701B3"/>
    <w:rsid w:val="00370303"/>
    <w:rsid w:val="0037053A"/>
    <w:rsid w:val="003709A3"/>
    <w:rsid w:val="003714BE"/>
    <w:rsid w:val="00371842"/>
    <w:rsid w:val="00371F6E"/>
    <w:rsid w:val="0037243A"/>
    <w:rsid w:val="00372BBD"/>
    <w:rsid w:val="00372C58"/>
    <w:rsid w:val="00372D83"/>
    <w:rsid w:val="00373605"/>
    <w:rsid w:val="00373A79"/>
    <w:rsid w:val="00373B27"/>
    <w:rsid w:val="00373F13"/>
    <w:rsid w:val="0037445E"/>
    <w:rsid w:val="003744A4"/>
    <w:rsid w:val="0037456F"/>
    <w:rsid w:val="00374C94"/>
    <w:rsid w:val="00374F9B"/>
    <w:rsid w:val="00375009"/>
    <w:rsid w:val="003751F1"/>
    <w:rsid w:val="00376206"/>
    <w:rsid w:val="00376280"/>
    <w:rsid w:val="00376305"/>
    <w:rsid w:val="00376508"/>
    <w:rsid w:val="00377313"/>
    <w:rsid w:val="003774BA"/>
    <w:rsid w:val="00377C7E"/>
    <w:rsid w:val="00377E40"/>
    <w:rsid w:val="0038012B"/>
    <w:rsid w:val="00380992"/>
    <w:rsid w:val="00381D4B"/>
    <w:rsid w:val="003825FA"/>
    <w:rsid w:val="003826C7"/>
    <w:rsid w:val="003828B3"/>
    <w:rsid w:val="003828B6"/>
    <w:rsid w:val="00382AA1"/>
    <w:rsid w:val="0038376A"/>
    <w:rsid w:val="003838B3"/>
    <w:rsid w:val="00383CFF"/>
    <w:rsid w:val="0038410B"/>
    <w:rsid w:val="003844A8"/>
    <w:rsid w:val="003848E7"/>
    <w:rsid w:val="00384D60"/>
    <w:rsid w:val="0038538E"/>
    <w:rsid w:val="00385644"/>
    <w:rsid w:val="0038596E"/>
    <w:rsid w:val="00386929"/>
    <w:rsid w:val="00386AF1"/>
    <w:rsid w:val="00386BF8"/>
    <w:rsid w:val="00386C9C"/>
    <w:rsid w:val="003871E1"/>
    <w:rsid w:val="003877C1"/>
    <w:rsid w:val="003879C3"/>
    <w:rsid w:val="00387EEE"/>
    <w:rsid w:val="00390290"/>
    <w:rsid w:val="0039062A"/>
    <w:rsid w:val="00390878"/>
    <w:rsid w:val="00390B13"/>
    <w:rsid w:val="00390B26"/>
    <w:rsid w:val="00390E4E"/>
    <w:rsid w:val="00391025"/>
    <w:rsid w:val="003910F8"/>
    <w:rsid w:val="00391A40"/>
    <w:rsid w:val="00391DAD"/>
    <w:rsid w:val="0039207A"/>
    <w:rsid w:val="0039215D"/>
    <w:rsid w:val="003925E0"/>
    <w:rsid w:val="00392610"/>
    <w:rsid w:val="00392841"/>
    <w:rsid w:val="003929D8"/>
    <w:rsid w:val="0039337F"/>
    <w:rsid w:val="00393905"/>
    <w:rsid w:val="00393BD5"/>
    <w:rsid w:val="003949A7"/>
    <w:rsid w:val="00394BDF"/>
    <w:rsid w:val="00394E1B"/>
    <w:rsid w:val="00394E74"/>
    <w:rsid w:val="0039548B"/>
    <w:rsid w:val="003955DE"/>
    <w:rsid w:val="0039577D"/>
    <w:rsid w:val="00395D53"/>
    <w:rsid w:val="00395DEF"/>
    <w:rsid w:val="003964D0"/>
    <w:rsid w:val="003967E5"/>
    <w:rsid w:val="00396BC2"/>
    <w:rsid w:val="003974CD"/>
    <w:rsid w:val="00397C9E"/>
    <w:rsid w:val="003A02CA"/>
    <w:rsid w:val="003A12B3"/>
    <w:rsid w:val="003A19C7"/>
    <w:rsid w:val="003A1B00"/>
    <w:rsid w:val="003A1CFE"/>
    <w:rsid w:val="003A221F"/>
    <w:rsid w:val="003A243B"/>
    <w:rsid w:val="003A2B87"/>
    <w:rsid w:val="003A2DFE"/>
    <w:rsid w:val="003A35B1"/>
    <w:rsid w:val="003A35EB"/>
    <w:rsid w:val="003A3766"/>
    <w:rsid w:val="003A39A5"/>
    <w:rsid w:val="003A3B1E"/>
    <w:rsid w:val="003A4E32"/>
    <w:rsid w:val="003A4E8F"/>
    <w:rsid w:val="003A5254"/>
    <w:rsid w:val="003A5552"/>
    <w:rsid w:val="003A57E0"/>
    <w:rsid w:val="003A6431"/>
    <w:rsid w:val="003A663E"/>
    <w:rsid w:val="003A6B26"/>
    <w:rsid w:val="003A6CC5"/>
    <w:rsid w:val="003A73BA"/>
    <w:rsid w:val="003A7669"/>
    <w:rsid w:val="003A7C39"/>
    <w:rsid w:val="003A7D45"/>
    <w:rsid w:val="003A7EA8"/>
    <w:rsid w:val="003B04CA"/>
    <w:rsid w:val="003B0BB0"/>
    <w:rsid w:val="003B0C26"/>
    <w:rsid w:val="003B0FB8"/>
    <w:rsid w:val="003B1753"/>
    <w:rsid w:val="003B1AA5"/>
    <w:rsid w:val="003B22B3"/>
    <w:rsid w:val="003B22E3"/>
    <w:rsid w:val="003B236A"/>
    <w:rsid w:val="003B2D8F"/>
    <w:rsid w:val="003B3666"/>
    <w:rsid w:val="003B44AA"/>
    <w:rsid w:val="003B44FD"/>
    <w:rsid w:val="003B45BF"/>
    <w:rsid w:val="003B4BD7"/>
    <w:rsid w:val="003B4E85"/>
    <w:rsid w:val="003B4FD2"/>
    <w:rsid w:val="003B4FEA"/>
    <w:rsid w:val="003B53B4"/>
    <w:rsid w:val="003B560C"/>
    <w:rsid w:val="003B5A78"/>
    <w:rsid w:val="003B5CCE"/>
    <w:rsid w:val="003B5F5E"/>
    <w:rsid w:val="003B6698"/>
    <w:rsid w:val="003B66FF"/>
    <w:rsid w:val="003B677D"/>
    <w:rsid w:val="003B6D79"/>
    <w:rsid w:val="003B70C5"/>
    <w:rsid w:val="003B796A"/>
    <w:rsid w:val="003B7DD4"/>
    <w:rsid w:val="003B7E0B"/>
    <w:rsid w:val="003C0150"/>
    <w:rsid w:val="003C0640"/>
    <w:rsid w:val="003C0FA7"/>
    <w:rsid w:val="003C14E5"/>
    <w:rsid w:val="003C1DBC"/>
    <w:rsid w:val="003C2367"/>
    <w:rsid w:val="003C25E0"/>
    <w:rsid w:val="003C25EF"/>
    <w:rsid w:val="003C26DE"/>
    <w:rsid w:val="003C2839"/>
    <w:rsid w:val="003C2950"/>
    <w:rsid w:val="003C29A0"/>
    <w:rsid w:val="003C2ADA"/>
    <w:rsid w:val="003C2E58"/>
    <w:rsid w:val="003C38B6"/>
    <w:rsid w:val="003C395B"/>
    <w:rsid w:val="003C3F6E"/>
    <w:rsid w:val="003C4324"/>
    <w:rsid w:val="003C4417"/>
    <w:rsid w:val="003C44CF"/>
    <w:rsid w:val="003C4A5A"/>
    <w:rsid w:val="003C4AD0"/>
    <w:rsid w:val="003C5116"/>
    <w:rsid w:val="003C5813"/>
    <w:rsid w:val="003C5E53"/>
    <w:rsid w:val="003C5FA7"/>
    <w:rsid w:val="003C5FAD"/>
    <w:rsid w:val="003C62B0"/>
    <w:rsid w:val="003C64E5"/>
    <w:rsid w:val="003C661E"/>
    <w:rsid w:val="003C667D"/>
    <w:rsid w:val="003C68A3"/>
    <w:rsid w:val="003C6C21"/>
    <w:rsid w:val="003C6EA8"/>
    <w:rsid w:val="003C721A"/>
    <w:rsid w:val="003C7535"/>
    <w:rsid w:val="003C78E0"/>
    <w:rsid w:val="003D0133"/>
    <w:rsid w:val="003D016B"/>
    <w:rsid w:val="003D018E"/>
    <w:rsid w:val="003D0291"/>
    <w:rsid w:val="003D0381"/>
    <w:rsid w:val="003D0638"/>
    <w:rsid w:val="003D0697"/>
    <w:rsid w:val="003D08F7"/>
    <w:rsid w:val="003D2130"/>
    <w:rsid w:val="003D2446"/>
    <w:rsid w:val="003D32DF"/>
    <w:rsid w:val="003D39DA"/>
    <w:rsid w:val="003D3A89"/>
    <w:rsid w:val="003D3C24"/>
    <w:rsid w:val="003D3E00"/>
    <w:rsid w:val="003D3F00"/>
    <w:rsid w:val="003D3F28"/>
    <w:rsid w:val="003D4389"/>
    <w:rsid w:val="003D4511"/>
    <w:rsid w:val="003D45CC"/>
    <w:rsid w:val="003D4772"/>
    <w:rsid w:val="003D486E"/>
    <w:rsid w:val="003D55B4"/>
    <w:rsid w:val="003D590A"/>
    <w:rsid w:val="003D5D1D"/>
    <w:rsid w:val="003D5D83"/>
    <w:rsid w:val="003D6339"/>
    <w:rsid w:val="003D6427"/>
    <w:rsid w:val="003D6D9A"/>
    <w:rsid w:val="003D6FC1"/>
    <w:rsid w:val="003D7099"/>
    <w:rsid w:val="003D73C3"/>
    <w:rsid w:val="003D7510"/>
    <w:rsid w:val="003D75FF"/>
    <w:rsid w:val="003D761E"/>
    <w:rsid w:val="003E04FD"/>
    <w:rsid w:val="003E13B6"/>
    <w:rsid w:val="003E13D4"/>
    <w:rsid w:val="003E1AA1"/>
    <w:rsid w:val="003E1F6D"/>
    <w:rsid w:val="003E2316"/>
    <w:rsid w:val="003E2749"/>
    <w:rsid w:val="003E2C85"/>
    <w:rsid w:val="003E2EE8"/>
    <w:rsid w:val="003E31F8"/>
    <w:rsid w:val="003E330E"/>
    <w:rsid w:val="003E3ABE"/>
    <w:rsid w:val="003E3BF9"/>
    <w:rsid w:val="003E3C9B"/>
    <w:rsid w:val="003E3EDA"/>
    <w:rsid w:val="003E40DF"/>
    <w:rsid w:val="003E43AC"/>
    <w:rsid w:val="003E459C"/>
    <w:rsid w:val="003E4D3F"/>
    <w:rsid w:val="003E517A"/>
    <w:rsid w:val="003E51E3"/>
    <w:rsid w:val="003E5241"/>
    <w:rsid w:val="003E528A"/>
    <w:rsid w:val="003E53EB"/>
    <w:rsid w:val="003E5408"/>
    <w:rsid w:val="003E586C"/>
    <w:rsid w:val="003E5CDC"/>
    <w:rsid w:val="003E5DFF"/>
    <w:rsid w:val="003E5E2E"/>
    <w:rsid w:val="003E6079"/>
    <w:rsid w:val="003E6091"/>
    <w:rsid w:val="003E631D"/>
    <w:rsid w:val="003E6360"/>
    <w:rsid w:val="003E6C92"/>
    <w:rsid w:val="003E6E06"/>
    <w:rsid w:val="003E6E31"/>
    <w:rsid w:val="003E6FCA"/>
    <w:rsid w:val="003E7334"/>
    <w:rsid w:val="003E763F"/>
    <w:rsid w:val="003E7982"/>
    <w:rsid w:val="003E79A6"/>
    <w:rsid w:val="003F016B"/>
    <w:rsid w:val="003F057A"/>
    <w:rsid w:val="003F0C5E"/>
    <w:rsid w:val="003F0D07"/>
    <w:rsid w:val="003F1134"/>
    <w:rsid w:val="003F1173"/>
    <w:rsid w:val="003F174C"/>
    <w:rsid w:val="003F277D"/>
    <w:rsid w:val="003F27F5"/>
    <w:rsid w:val="003F29A4"/>
    <w:rsid w:val="003F2A58"/>
    <w:rsid w:val="003F2ED0"/>
    <w:rsid w:val="003F3433"/>
    <w:rsid w:val="003F345D"/>
    <w:rsid w:val="003F377E"/>
    <w:rsid w:val="003F3CE9"/>
    <w:rsid w:val="003F4605"/>
    <w:rsid w:val="003F4BC9"/>
    <w:rsid w:val="003F4BD0"/>
    <w:rsid w:val="003F4C9B"/>
    <w:rsid w:val="003F4CBE"/>
    <w:rsid w:val="003F5C09"/>
    <w:rsid w:val="003F62E7"/>
    <w:rsid w:val="003F6321"/>
    <w:rsid w:val="003F6D8A"/>
    <w:rsid w:val="003F7467"/>
    <w:rsid w:val="003F7ADD"/>
    <w:rsid w:val="003F7CD2"/>
    <w:rsid w:val="003F7E20"/>
    <w:rsid w:val="0040001D"/>
    <w:rsid w:val="00400B42"/>
    <w:rsid w:val="00401931"/>
    <w:rsid w:val="004023F7"/>
    <w:rsid w:val="0040296A"/>
    <w:rsid w:val="00402B0F"/>
    <w:rsid w:val="00403969"/>
    <w:rsid w:val="004040D3"/>
    <w:rsid w:val="004043EB"/>
    <w:rsid w:val="00404E54"/>
    <w:rsid w:val="00405A93"/>
    <w:rsid w:val="00405B9F"/>
    <w:rsid w:val="00405D0E"/>
    <w:rsid w:val="00406608"/>
    <w:rsid w:val="00406717"/>
    <w:rsid w:val="004067B2"/>
    <w:rsid w:val="00406938"/>
    <w:rsid w:val="00406B97"/>
    <w:rsid w:val="00406D40"/>
    <w:rsid w:val="004075A6"/>
    <w:rsid w:val="00407E45"/>
    <w:rsid w:val="004108A2"/>
    <w:rsid w:val="00411A6A"/>
    <w:rsid w:val="00411AB4"/>
    <w:rsid w:val="00411D5C"/>
    <w:rsid w:val="0041225B"/>
    <w:rsid w:val="0041232A"/>
    <w:rsid w:val="0041234F"/>
    <w:rsid w:val="00412CAC"/>
    <w:rsid w:val="00412DB1"/>
    <w:rsid w:val="0041321F"/>
    <w:rsid w:val="004134FA"/>
    <w:rsid w:val="004137EA"/>
    <w:rsid w:val="00413A79"/>
    <w:rsid w:val="00413FDF"/>
    <w:rsid w:val="004140CD"/>
    <w:rsid w:val="00414366"/>
    <w:rsid w:val="004149CF"/>
    <w:rsid w:val="00414A6D"/>
    <w:rsid w:val="00414DE9"/>
    <w:rsid w:val="00414E8A"/>
    <w:rsid w:val="004152CA"/>
    <w:rsid w:val="0041548D"/>
    <w:rsid w:val="004156B1"/>
    <w:rsid w:val="00416869"/>
    <w:rsid w:val="00417203"/>
    <w:rsid w:val="004173BD"/>
    <w:rsid w:val="004173BF"/>
    <w:rsid w:val="00417C7C"/>
    <w:rsid w:val="00417E1A"/>
    <w:rsid w:val="004201C4"/>
    <w:rsid w:val="004201E8"/>
    <w:rsid w:val="00420583"/>
    <w:rsid w:val="00420722"/>
    <w:rsid w:val="00420BFE"/>
    <w:rsid w:val="00421051"/>
    <w:rsid w:val="0042114B"/>
    <w:rsid w:val="00421203"/>
    <w:rsid w:val="00421250"/>
    <w:rsid w:val="00421423"/>
    <w:rsid w:val="00421476"/>
    <w:rsid w:val="00421888"/>
    <w:rsid w:val="00421BFE"/>
    <w:rsid w:val="004220F5"/>
    <w:rsid w:val="00422151"/>
    <w:rsid w:val="004229D9"/>
    <w:rsid w:val="00422BAC"/>
    <w:rsid w:val="0042318F"/>
    <w:rsid w:val="00423590"/>
    <w:rsid w:val="00423B8A"/>
    <w:rsid w:val="00423FDC"/>
    <w:rsid w:val="004243F5"/>
    <w:rsid w:val="0042487C"/>
    <w:rsid w:val="00425106"/>
    <w:rsid w:val="004251BE"/>
    <w:rsid w:val="00425272"/>
    <w:rsid w:val="00425581"/>
    <w:rsid w:val="00425599"/>
    <w:rsid w:val="00425955"/>
    <w:rsid w:val="00425B4C"/>
    <w:rsid w:val="00425CE4"/>
    <w:rsid w:val="00425E96"/>
    <w:rsid w:val="00425E9D"/>
    <w:rsid w:val="00426343"/>
    <w:rsid w:val="0042673E"/>
    <w:rsid w:val="00426838"/>
    <w:rsid w:val="004268F2"/>
    <w:rsid w:val="00426ABE"/>
    <w:rsid w:val="00426B47"/>
    <w:rsid w:val="0042773C"/>
    <w:rsid w:val="00427D13"/>
    <w:rsid w:val="0043000B"/>
    <w:rsid w:val="0043031B"/>
    <w:rsid w:val="004309DB"/>
    <w:rsid w:val="00430AE1"/>
    <w:rsid w:val="00430B38"/>
    <w:rsid w:val="00430D3D"/>
    <w:rsid w:val="00430FDB"/>
    <w:rsid w:val="00431225"/>
    <w:rsid w:val="00431392"/>
    <w:rsid w:val="004313D9"/>
    <w:rsid w:val="00431A10"/>
    <w:rsid w:val="00432012"/>
    <w:rsid w:val="00432534"/>
    <w:rsid w:val="0043284B"/>
    <w:rsid w:val="00432DF4"/>
    <w:rsid w:val="00432E24"/>
    <w:rsid w:val="00433A2E"/>
    <w:rsid w:val="00433B06"/>
    <w:rsid w:val="00433BFC"/>
    <w:rsid w:val="00433E7A"/>
    <w:rsid w:val="00433EB9"/>
    <w:rsid w:val="00434BE0"/>
    <w:rsid w:val="00434D0B"/>
    <w:rsid w:val="00434FFC"/>
    <w:rsid w:val="00435291"/>
    <w:rsid w:val="00435950"/>
    <w:rsid w:val="00435A10"/>
    <w:rsid w:val="00435A66"/>
    <w:rsid w:val="00435D04"/>
    <w:rsid w:val="0043624E"/>
    <w:rsid w:val="00436292"/>
    <w:rsid w:val="0043632F"/>
    <w:rsid w:val="00436678"/>
    <w:rsid w:val="00436B04"/>
    <w:rsid w:val="00436B25"/>
    <w:rsid w:val="00436B4D"/>
    <w:rsid w:val="00436B5E"/>
    <w:rsid w:val="0043730D"/>
    <w:rsid w:val="00437379"/>
    <w:rsid w:val="0043758C"/>
    <w:rsid w:val="00437E8B"/>
    <w:rsid w:val="00437EDA"/>
    <w:rsid w:val="0044022F"/>
    <w:rsid w:val="00440253"/>
    <w:rsid w:val="00440274"/>
    <w:rsid w:val="00440AE9"/>
    <w:rsid w:val="00440B1E"/>
    <w:rsid w:val="00440CAA"/>
    <w:rsid w:val="004412C5"/>
    <w:rsid w:val="0044181F"/>
    <w:rsid w:val="00441B1F"/>
    <w:rsid w:val="00441B90"/>
    <w:rsid w:val="00441C10"/>
    <w:rsid w:val="00441FA7"/>
    <w:rsid w:val="004420F1"/>
    <w:rsid w:val="004428C1"/>
    <w:rsid w:val="00442BD8"/>
    <w:rsid w:val="00442E73"/>
    <w:rsid w:val="00442F76"/>
    <w:rsid w:val="0044318F"/>
    <w:rsid w:val="00443252"/>
    <w:rsid w:val="00443384"/>
    <w:rsid w:val="004439DF"/>
    <w:rsid w:val="00443ED2"/>
    <w:rsid w:val="0044459F"/>
    <w:rsid w:val="0044469B"/>
    <w:rsid w:val="00444C12"/>
    <w:rsid w:val="00444F1F"/>
    <w:rsid w:val="00445466"/>
    <w:rsid w:val="004459DC"/>
    <w:rsid w:val="00446652"/>
    <w:rsid w:val="004468A6"/>
    <w:rsid w:val="00446B17"/>
    <w:rsid w:val="00446D0E"/>
    <w:rsid w:val="0044715C"/>
    <w:rsid w:val="0044749C"/>
    <w:rsid w:val="004474DC"/>
    <w:rsid w:val="00447567"/>
    <w:rsid w:val="004475DA"/>
    <w:rsid w:val="00447B46"/>
    <w:rsid w:val="00447C26"/>
    <w:rsid w:val="00450003"/>
    <w:rsid w:val="0045005A"/>
    <w:rsid w:val="004503E4"/>
    <w:rsid w:val="00450409"/>
    <w:rsid w:val="00450A9C"/>
    <w:rsid w:val="00451266"/>
    <w:rsid w:val="00451534"/>
    <w:rsid w:val="004517B4"/>
    <w:rsid w:val="0045199F"/>
    <w:rsid w:val="00451C23"/>
    <w:rsid w:val="00451CAF"/>
    <w:rsid w:val="00451CF5"/>
    <w:rsid w:val="00451F6E"/>
    <w:rsid w:val="00452048"/>
    <w:rsid w:val="00452050"/>
    <w:rsid w:val="0045285C"/>
    <w:rsid w:val="004529C3"/>
    <w:rsid w:val="00452EDD"/>
    <w:rsid w:val="00453487"/>
    <w:rsid w:val="00453B09"/>
    <w:rsid w:val="00453E38"/>
    <w:rsid w:val="00454030"/>
    <w:rsid w:val="00454476"/>
    <w:rsid w:val="0045453D"/>
    <w:rsid w:val="004547F9"/>
    <w:rsid w:val="00454AB1"/>
    <w:rsid w:val="00454B74"/>
    <w:rsid w:val="00454E4C"/>
    <w:rsid w:val="00454F68"/>
    <w:rsid w:val="004550AE"/>
    <w:rsid w:val="00455CCF"/>
    <w:rsid w:val="00455F11"/>
    <w:rsid w:val="00455F7C"/>
    <w:rsid w:val="00456D24"/>
    <w:rsid w:val="00456F7E"/>
    <w:rsid w:val="004570A4"/>
    <w:rsid w:val="004571D1"/>
    <w:rsid w:val="0045722E"/>
    <w:rsid w:val="0045729D"/>
    <w:rsid w:val="004573F1"/>
    <w:rsid w:val="0045741D"/>
    <w:rsid w:val="0046031C"/>
    <w:rsid w:val="00460A58"/>
    <w:rsid w:val="00460CA7"/>
    <w:rsid w:val="0046109A"/>
    <w:rsid w:val="00461863"/>
    <w:rsid w:val="00461D5D"/>
    <w:rsid w:val="00461EE4"/>
    <w:rsid w:val="004624FF"/>
    <w:rsid w:val="004627C3"/>
    <w:rsid w:val="00462B8A"/>
    <w:rsid w:val="00462BC7"/>
    <w:rsid w:val="00463759"/>
    <w:rsid w:val="004637E0"/>
    <w:rsid w:val="00463A6E"/>
    <w:rsid w:val="00463CED"/>
    <w:rsid w:val="00463FF1"/>
    <w:rsid w:val="004649F3"/>
    <w:rsid w:val="00464E71"/>
    <w:rsid w:val="00464F43"/>
    <w:rsid w:val="00465167"/>
    <w:rsid w:val="00465793"/>
    <w:rsid w:val="00465BC9"/>
    <w:rsid w:val="004665E2"/>
    <w:rsid w:val="0046708C"/>
    <w:rsid w:val="00467309"/>
    <w:rsid w:val="00467C6E"/>
    <w:rsid w:val="00470791"/>
    <w:rsid w:val="004708AD"/>
    <w:rsid w:val="004708C2"/>
    <w:rsid w:val="00470B39"/>
    <w:rsid w:val="00470E93"/>
    <w:rsid w:val="004710D3"/>
    <w:rsid w:val="00471314"/>
    <w:rsid w:val="00471349"/>
    <w:rsid w:val="004723AC"/>
    <w:rsid w:val="004723B5"/>
    <w:rsid w:val="0047313D"/>
    <w:rsid w:val="00473966"/>
    <w:rsid w:val="004739CF"/>
    <w:rsid w:val="00473ECA"/>
    <w:rsid w:val="00474055"/>
    <w:rsid w:val="0047468F"/>
    <w:rsid w:val="00474A7C"/>
    <w:rsid w:val="00474BD9"/>
    <w:rsid w:val="0047570E"/>
    <w:rsid w:val="00475E7C"/>
    <w:rsid w:val="004764F5"/>
    <w:rsid w:val="00476524"/>
    <w:rsid w:val="00476C5C"/>
    <w:rsid w:val="00477111"/>
    <w:rsid w:val="0047759C"/>
    <w:rsid w:val="00477743"/>
    <w:rsid w:val="004777A7"/>
    <w:rsid w:val="00477D91"/>
    <w:rsid w:val="00477DDC"/>
    <w:rsid w:val="00480561"/>
    <w:rsid w:val="004806D0"/>
    <w:rsid w:val="00480862"/>
    <w:rsid w:val="00480CBB"/>
    <w:rsid w:val="00481571"/>
    <w:rsid w:val="004817AC"/>
    <w:rsid w:val="0048189A"/>
    <w:rsid w:val="004818A9"/>
    <w:rsid w:val="004819B2"/>
    <w:rsid w:val="00481AA4"/>
    <w:rsid w:val="0048241F"/>
    <w:rsid w:val="00483659"/>
    <w:rsid w:val="00483CA8"/>
    <w:rsid w:val="00483EEC"/>
    <w:rsid w:val="004840AB"/>
    <w:rsid w:val="00484101"/>
    <w:rsid w:val="004846F7"/>
    <w:rsid w:val="00485996"/>
    <w:rsid w:val="004859E9"/>
    <w:rsid w:val="00485B35"/>
    <w:rsid w:val="00486591"/>
    <w:rsid w:val="0048697B"/>
    <w:rsid w:val="00486F29"/>
    <w:rsid w:val="00486FB4"/>
    <w:rsid w:val="0048752C"/>
    <w:rsid w:val="00487683"/>
    <w:rsid w:val="004876BF"/>
    <w:rsid w:val="0048789D"/>
    <w:rsid w:val="004879A5"/>
    <w:rsid w:val="00490144"/>
    <w:rsid w:val="004903E2"/>
    <w:rsid w:val="00490D0A"/>
    <w:rsid w:val="00490D71"/>
    <w:rsid w:val="0049156A"/>
    <w:rsid w:val="0049177C"/>
    <w:rsid w:val="00491787"/>
    <w:rsid w:val="00491BD8"/>
    <w:rsid w:val="00491D89"/>
    <w:rsid w:val="004926D9"/>
    <w:rsid w:val="004928C4"/>
    <w:rsid w:val="00492BD6"/>
    <w:rsid w:val="00492C49"/>
    <w:rsid w:val="00492D60"/>
    <w:rsid w:val="00492D64"/>
    <w:rsid w:val="00493745"/>
    <w:rsid w:val="00493792"/>
    <w:rsid w:val="004938C4"/>
    <w:rsid w:val="00493B8E"/>
    <w:rsid w:val="0049435E"/>
    <w:rsid w:val="00494EC6"/>
    <w:rsid w:val="00495021"/>
    <w:rsid w:val="00495331"/>
    <w:rsid w:val="004954E4"/>
    <w:rsid w:val="004957B5"/>
    <w:rsid w:val="004957CB"/>
    <w:rsid w:val="0049583B"/>
    <w:rsid w:val="00495985"/>
    <w:rsid w:val="00495F28"/>
    <w:rsid w:val="00495FA3"/>
    <w:rsid w:val="004963D0"/>
    <w:rsid w:val="00496806"/>
    <w:rsid w:val="004968CE"/>
    <w:rsid w:val="00496DBF"/>
    <w:rsid w:val="00496E7A"/>
    <w:rsid w:val="00497007"/>
    <w:rsid w:val="0049720B"/>
    <w:rsid w:val="0049726C"/>
    <w:rsid w:val="0049738B"/>
    <w:rsid w:val="004973D6"/>
    <w:rsid w:val="004974BA"/>
    <w:rsid w:val="004975A1"/>
    <w:rsid w:val="0049787E"/>
    <w:rsid w:val="00497883"/>
    <w:rsid w:val="004979FD"/>
    <w:rsid w:val="00497CCD"/>
    <w:rsid w:val="00497F18"/>
    <w:rsid w:val="004A00CB"/>
    <w:rsid w:val="004A01EB"/>
    <w:rsid w:val="004A0D4C"/>
    <w:rsid w:val="004A1762"/>
    <w:rsid w:val="004A1F24"/>
    <w:rsid w:val="004A1F3E"/>
    <w:rsid w:val="004A1FC3"/>
    <w:rsid w:val="004A1FF5"/>
    <w:rsid w:val="004A219D"/>
    <w:rsid w:val="004A242D"/>
    <w:rsid w:val="004A26AD"/>
    <w:rsid w:val="004A28C1"/>
    <w:rsid w:val="004A2DCA"/>
    <w:rsid w:val="004A35B3"/>
    <w:rsid w:val="004A3805"/>
    <w:rsid w:val="004A38A2"/>
    <w:rsid w:val="004A38B0"/>
    <w:rsid w:val="004A38C2"/>
    <w:rsid w:val="004A3BD4"/>
    <w:rsid w:val="004A3CF3"/>
    <w:rsid w:val="004A3F6B"/>
    <w:rsid w:val="004A3F85"/>
    <w:rsid w:val="004A4740"/>
    <w:rsid w:val="004A4752"/>
    <w:rsid w:val="004A4A95"/>
    <w:rsid w:val="004A4AFC"/>
    <w:rsid w:val="004A4F7D"/>
    <w:rsid w:val="004A508C"/>
    <w:rsid w:val="004A54EC"/>
    <w:rsid w:val="004A5DF8"/>
    <w:rsid w:val="004A6D58"/>
    <w:rsid w:val="004A6E5F"/>
    <w:rsid w:val="004A700E"/>
    <w:rsid w:val="004A72BF"/>
    <w:rsid w:val="004A72FD"/>
    <w:rsid w:val="004A7319"/>
    <w:rsid w:val="004A74C1"/>
    <w:rsid w:val="004A7930"/>
    <w:rsid w:val="004A7D27"/>
    <w:rsid w:val="004B0012"/>
    <w:rsid w:val="004B02B6"/>
    <w:rsid w:val="004B0B7A"/>
    <w:rsid w:val="004B10E9"/>
    <w:rsid w:val="004B1105"/>
    <w:rsid w:val="004B176F"/>
    <w:rsid w:val="004B18F9"/>
    <w:rsid w:val="004B1FF5"/>
    <w:rsid w:val="004B2111"/>
    <w:rsid w:val="004B30AC"/>
    <w:rsid w:val="004B3473"/>
    <w:rsid w:val="004B3679"/>
    <w:rsid w:val="004B39CE"/>
    <w:rsid w:val="004B41D0"/>
    <w:rsid w:val="004B4653"/>
    <w:rsid w:val="004B485F"/>
    <w:rsid w:val="004B4899"/>
    <w:rsid w:val="004B4C69"/>
    <w:rsid w:val="004B537C"/>
    <w:rsid w:val="004B5633"/>
    <w:rsid w:val="004B5919"/>
    <w:rsid w:val="004B5E0F"/>
    <w:rsid w:val="004B6228"/>
    <w:rsid w:val="004B6503"/>
    <w:rsid w:val="004B686D"/>
    <w:rsid w:val="004B6AD9"/>
    <w:rsid w:val="004B6BEA"/>
    <w:rsid w:val="004B6E52"/>
    <w:rsid w:val="004B7139"/>
    <w:rsid w:val="004B7178"/>
    <w:rsid w:val="004B77B8"/>
    <w:rsid w:val="004B77E8"/>
    <w:rsid w:val="004B7CA1"/>
    <w:rsid w:val="004B7ECA"/>
    <w:rsid w:val="004C0154"/>
    <w:rsid w:val="004C0F21"/>
    <w:rsid w:val="004C1114"/>
    <w:rsid w:val="004C17E0"/>
    <w:rsid w:val="004C1D9E"/>
    <w:rsid w:val="004C1DA5"/>
    <w:rsid w:val="004C2101"/>
    <w:rsid w:val="004C21CC"/>
    <w:rsid w:val="004C233F"/>
    <w:rsid w:val="004C28CD"/>
    <w:rsid w:val="004C2CCD"/>
    <w:rsid w:val="004C303D"/>
    <w:rsid w:val="004C3C4D"/>
    <w:rsid w:val="004C42D2"/>
    <w:rsid w:val="004C438D"/>
    <w:rsid w:val="004C44E1"/>
    <w:rsid w:val="004C46A6"/>
    <w:rsid w:val="004C48BD"/>
    <w:rsid w:val="004C493C"/>
    <w:rsid w:val="004C5199"/>
    <w:rsid w:val="004C59DE"/>
    <w:rsid w:val="004C5A37"/>
    <w:rsid w:val="004C5CE3"/>
    <w:rsid w:val="004C5D8A"/>
    <w:rsid w:val="004C63C8"/>
    <w:rsid w:val="004C6520"/>
    <w:rsid w:val="004C6718"/>
    <w:rsid w:val="004C6A3C"/>
    <w:rsid w:val="004C6BAF"/>
    <w:rsid w:val="004C6C57"/>
    <w:rsid w:val="004C6C70"/>
    <w:rsid w:val="004C6F1D"/>
    <w:rsid w:val="004C7023"/>
    <w:rsid w:val="004C77A1"/>
    <w:rsid w:val="004C7863"/>
    <w:rsid w:val="004C78F6"/>
    <w:rsid w:val="004C792D"/>
    <w:rsid w:val="004C7F07"/>
    <w:rsid w:val="004C7FB1"/>
    <w:rsid w:val="004D0218"/>
    <w:rsid w:val="004D03F2"/>
    <w:rsid w:val="004D08E6"/>
    <w:rsid w:val="004D0F78"/>
    <w:rsid w:val="004D16DD"/>
    <w:rsid w:val="004D175C"/>
    <w:rsid w:val="004D2272"/>
    <w:rsid w:val="004D238A"/>
    <w:rsid w:val="004D2682"/>
    <w:rsid w:val="004D2863"/>
    <w:rsid w:val="004D29D1"/>
    <w:rsid w:val="004D2BA0"/>
    <w:rsid w:val="004D2E9B"/>
    <w:rsid w:val="004D2F2D"/>
    <w:rsid w:val="004D3F21"/>
    <w:rsid w:val="004D3F68"/>
    <w:rsid w:val="004D45DD"/>
    <w:rsid w:val="004D506B"/>
    <w:rsid w:val="004D5257"/>
    <w:rsid w:val="004D5369"/>
    <w:rsid w:val="004D5A35"/>
    <w:rsid w:val="004D604D"/>
    <w:rsid w:val="004D62FE"/>
    <w:rsid w:val="004D723D"/>
    <w:rsid w:val="004D7A78"/>
    <w:rsid w:val="004D7E13"/>
    <w:rsid w:val="004E0378"/>
    <w:rsid w:val="004E04A6"/>
    <w:rsid w:val="004E0B0E"/>
    <w:rsid w:val="004E0FBA"/>
    <w:rsid w:val="004E1540"/>
    <w:rsid w:val="004E195C"/>
    <w:rsid w:val="004E19BA"/>
    <w:rsid w:val="004E1A25"/>
    <w:rsid w:val="004E1E9C"/>
    <w:rsid w:val="004E1F96"/>
    <w:rsid w:val="004E2DA4"/>
    <w:rsid w:val="004E38E8"/>
    <w:rsid w:val="004E3B63"/>
    <w:rsid w:val="004E3FBF"/>
    <w:rsid w:val="004E4038"/>
    <w:rsid w:val="004E41A7"/>
    <w:rsid w:val="004E49B7"/>
    <w:rsid w:val="004E4AD6"/>
    <w:rsid w:val="004E4E14"/>
    <w:rsid w:val="004E5103"/>
    <w:rsid w:val="004E53A1"/>
    <w:rsid w:val="004E566F"/>
    <w:rsid w:val="004E5698"/>
    <w:rsid w:val="004E5B84"/>
    <w:rsid w:val="004E5C83"/>
    <w:rsid w:val="004E5D30"/>
    <w:rsid w:val="004E648B"/>
    <w:rsid w:val="004E78CF"/>
    <w:rsid w:val="004F0019"/>
    <w:rsid w:val="004F02D1"/>
    <w:rsid w:val="004F051B"/>
    <w:rsid w:val="004F055F"/>
    <w:rsid w:val="004F0608"/>
    <w:rsid w:val="004F0693"/>
    <w:rsid w:val="004F0A42"/>
    <w:rsid w:val="004F0CFC"/>
    <w:rsid w:val="004F11C0"/>
    <w:rsid w:val="004F1440"/>
    <w:rsid w:val="004F174C"/>
    <w:rsid w:val="004F1D19"/>
    <w:rsid w:val="004F21BC"/>
    <w:rsid w:val="004F2218"/>
    <w:rsid w:val="004F2244"/>
    <w:rsid w:val="004F28F0"/>
    <w:rsid w:val="004F2AD8"/>
    <w:rsid w:val="004F2EE3"/>
    <w:rsid w:val="004F36DF"/>
    <w:rsid w:val="004F3757"/>
    <w:rsid w:val="004F38BE"/>
    <w:rsid w:val="004F394E"/>
    <w:rsid w:val="004F445B"/>
    <w:rsid w:val="004F48E4"/>
    <w:rsid w:val="004F4954"/>
    <w:rsid w:val="004F4DBF"/>
    <w:rsid w:val="004F4DFC"/>
    <w:rsid w:val="004F5131"/>
    <w:rsid w:val="004F51F0"/>
    <w:rsid w:val="004F5236"/>
    <w:rsid w:val="004F53C2"/>
    <w:rsid w:val="004F55EA"/>
    <w:rsid w:val="004F60BF"/>
    <w:rsid w:val="004F6CED"/>
    <w:rsid w:val="004F6D98"/>
    <w:rsid w:val="004F6DE7"/>
    <w:rsid w:val="004F6FC5"/>
    <w:rsid w:val="004F74C3"/>
    <w:rsid w:val="004F7515"/>
    <w:rsid w:val="004F7927"/>
    <w:rsid w:val="004F79B5"/>
    <w:rsid w:val="004F7AD4"/>
    <w:rsid w:val="004F7B5C"/>
    <w:rsid w:val="004F7F70"/>
    <w:rsid w:val="0050012E"/>
    <w:rsid w:val="0050041D"/>
    <w:rsid w:val="00500BCB"/>
    <w:rsid w:val="00500DC0"/>
    <w:rsid w:val="00500E0B"/>
    <w:rsid w:val="00501473"/>
    <w:rsid w:val="005014CA"/>
    <w:rsid w:val="005023E1"/>
    <w:rsid w:val="00502733"/>
    <w:rsid w:val="00502740"/>
    <w:rsid w:val="005027D1"/>
    <w:rsid w:val="005032B5"/>
    <w:rsid w:val="00503A1B"/>
    <w:rsid w:val="00504364"/>
    <w:rsid w:val="005047C9"/>
    <w:rsid w:val="00504A0F"/>
    <w:rsid w:val="00504C30"/>
    <w:rsid w:val="00504F92"/>
    <w:rsid w:val="00505210"/>
    <w:rsid w:val="005052A2"/>
    <w:rsid w:val="00505658"/>
    <w:rsid w:val="00505B2A"/>
    <w:rsid w:val="005060C1"/>
    <w:rsid w:val="00506363"/>
    <w:rsid w:val="00506523"/>
    <w:rsid w:val="00506525"/>
    <w:rsid w:val="00506A5A"/>
    <w:rsid w:val="00506B5C"/>
    <w:rsid w:val="00506DD4"/>
    <w:rsid w:val="0050722D"/>
    <w:rsid w:val="005073DE"/>
    <w:rsid w:val="005073FA"/>
    <w:rsid w:val="005077CD"/>
    <w:rsid w:val="00507973"/>
    <w:rsid w:val="00507CEC"/>
    <w:rsid w:val="00507ED8"/>
    <w:rsid w:val="005102B4"/>
    <w:rsid w:val="005107A8"/>
    <w:rsid w:val="00510F0A"/>
    <w:rsid w:val="005114A3"/>
    <w:rsid w:val="005118EB"/>
    <w:rsid w:val="005119DD"/>
    <w:rsid w:val="00511AC8"/>
    <w:rsid w:val="00511E0E"/>
    <w:rsid w:val="00511E57"/>
    <w:rsid w:val="00511EE2"/>
    <w:rsid w:val="00512370"/>
    <w:rsid w:val="005125B4"/>
    <w:rsid w:val="005126D6"/>
    <w:rsid w:val="0051287D"/>
    <w:rsid w:val="00512A69"/>
    <w:rsid w:val="00512D76"/>
    <w:rsid w:val="00513276"/>
    <w:rsid w:val="00513350"/>
    <w:rsid w:val="005137A2"/>
    <w:rsid w:val="00513AB7"/>
    <w:rsid w:val="00513B23"/>
    <w:rsid w:val="005148DA"/>
    <w:rsid w:val="00515204"/>
    <w:rsid w:val="005152D2"/>
    <w:rsid w:val="00515A9F"/>
    <w:rsid w:val="00515C23"/>
    <w:rsid w:val="00515E28"/>
    <w:rsid w:val="0051609A"/>
    <w:rsid w:val="005161F1"/>
    <w:rsid w:val="0051637E"/>
    <w:rsid w:val="00516768"/>
    <w:rsid w:val="00516B43"/>
    <w:rsid w:val="005173E0"/>
    <w:rsid w:val="005174FE"/>
    <w:rsid w:val="00517FCD"/>
    <w:rsid w:val="00520366"/>
    <w:rsid w:val="00520B6B"/>
    <w:rsid w:val="00520E72"/>
    <w:rsid w:val="00520E96"/>
    <w:rsid w:val="00521456"/>
    <w:rsid w:val="005226CB"/>
    <w:rsid w:val="0052276A"/>
    <w:rsid w:val="00522C3C"/>
    <w:rsid w:val="0052312B"/>
    <w:rsid w:val="005231A2"/>
    <w:rsid w:val="00524146"/>
    <w:rsid w:val="00524B49"/>
    <w:rsid w:val="00524CF5"/>
    <w:rsid w:val="00524EF0"/>
    <w:rsid w:val="00525076"/>
    <w:rsid w:val="00525240"/>
    <w:rsid w:val="005253E3"/>
    <w:rsid w:val="00525E4F"/>
    <w:rsid w:val="00525F56"/>
    <w:rsid w:val="005264C5"/>
    <w:rsid w:val="00526737"/>
    <w:rsid w:val="0052682D"/>
    <w:rsid w:val="00526C3C"/>
    <w:rsid w:val="00527059"/>
    <w:rsid w:val="00527782"/>
    <w:rsid w:val="005278B3"/>
    <w:rsid w:val="00527983"/>
    <w:rsid w:val="00527D06"/>
    <w:rsid w:val="0053020D"/>
    <w:rsid w:val="0053063E"/>
    <w:rsid w:val="00530816"/>
    <w:rsid w:val="00530CF6"/>
    <w:rsid w:val="00531092"/>
    <w:rsid w:val="0053158D"/>
    <w:rsid w:val="00531A6A"/>
    <w:rsid w:val="00531E88"/>
    <w:rsid w:val="005323FE"/>
    <w:rsid w:val="00532733"/>
    <w:rsid w:val="00532EA1"/>
    <w:rsid w:val="005342C5"/>
    <w:rsid w:val="005344DB"/>
    <w:rsid w:val="00534615"/>
    <w:rsid w:val="00534C78"/>
    <w:rsid w:val="00534CE1"/>
    <w:rsid w:val="0053520F"/>
    <w:rsid w:val="0053537B"/>
    <w:rsid w:val="00535594"/>
    <w:rsid w:val="005356B7"/>
    <w:rsid w:val="005361B1"/>
    <w:rsid w:val="00536243"/>
    <w:rsid w:val="00536326"/>
    <w:rsid w:val="00536613"/>
    <w:rsid w:val="00536B63"/>
    <w:rsid w:val="0053722C"/>
    <w:rsid w:val="00537715"/>
    <w:rsid w:val="00537BE5"/>
    <w:rsid w:val="0054020D"/>
    <w:rsid w:val="0054030B"/>
    <w:rsid w:val="00540430"/>
    <w:rsid w:val="00540622"/>
    <w:rsid w:val="0054087B"/>
    <w:rsid w:val="00540E0A"/>
    <w:rsid w:val="005414DC"/>
    <w:rsid w:val="0054176B"/>
    <w:rsid w:val="005418E6"/>
    <w:rsid w:val="00541EC5"/>
    <w:rsid w:val="005424D6"/>
    <w:rsid w:val="00542698"/>
    <w:rsid w:val="00542B67"/>
    <w:rsid w:val="00542CBD"/>
    <w:rsid w:val="00543107"/>
    <w:rsid w:val="00543274"/>
    <w:rsid w:val="005433CC"/>
    <w:rsid w:val="00543534"/>
    <w:rsid w:val="0054396C"/>
    <w:rsid w:val="00543FBC"/>
    <w:rsid w:val="00544110"/>
    <w:rsid w:val="005442FB"/>
    <w:rsid w:val="0054441C"/>
    <w:rsid w:val="00544468"/>
    <w:rsid w:val="00544B99"/>
    <w:rsid w:val="00544EBB"/>
    <w:rsid w:val="00545277"/>
    <w:rsid w:val="0054551B"/>
    <w:rsid w:val="0054582D"/>
    <w:rsid w:val="00545BCA"/>
    <w:rsid w:val="00546017"/>
    <w:rsid w:val="00546911"/>
    <w:rsid w:val="005469A9"/>
    <w:rsid w:val="00546C52"/>
    <w:rsid w:val="0054718D"/>
    <w:rsid w:val="0054757E"/>
    <w:rsid w:val="00547C9E"/>
    <w:rsid w:val="00547D51"/>
    <w:rsid w:val="005505B1"/>
    <w:rsid w:val="00550940"/>
    <w:rsid w:val="005509BE"/>
    <w:rsid w:val="00550AF5"/>
    <w:rsid w:val="00550C64"/>
    <w:rsid w:val="00550CA9"/>
    <w:rsid w:val="00551459"/>
    <w:rsid w:val="005519A4"/>
    <w:rsid w:val="00551A84"/>
    <w:rsid w:val="0055255C"/>
    <w:rsid w:val="00552A4D"/>
    <w:rsid w:val="00553E62"/>
    <w:rsid w:val="0055411D"/>
    <w:rsid w:val="005543FE"/>
    <w:rsid w:val="00554414"/>
    <w:rsid w:val="0055487A"/>
    <w:rsid w:val="00554ABF"/>
    <w:rsid w:val="00554C2C"/>
    <w:rsid w:val="005550F9"/>
    <w:rsid w:val="00555396"/>
    <w:rsid w:val="0055551E"/>
    <w:rsid w:val="005556D3"/>
    <w:rsid w:val="00555A8E"/>
    <w:rsid w:val="00555F1F"/>
    <w:rsid w:val="005565C3"/>
    <w:rsid w:val="005566C5"/>
    <w:rsid w:val="0055672F"/>
    <w:rsid w:val="00556DFC"/>
    <w:rsid w:val="0055705C"/>
    <w:rsid w:val="00557E1F"/>
    <w:rsid w:val="00560162"/>
    <w:rsid w:val="005603F9"/>
    <w:rsid w:val="005609FC"/>
    <w:rsid w:val="00560C3D"/>
    <w:rsid w:val="00560DD3"/>
    <w:rsid w:val="00560E78"/>
    <w:rsid w:val="00561171"/>
    <w:rsid w:val="005619F4"/>
    <w:rsid w:val="00561A71"/>
    <w:rsid w:val="00561BB7"/>
    <w:rsid w:val="00562602"/>
    <w:rsid w:val="0056267F"/>
    <w:rsid w:val="00562778"/>
    <w:rsid w:val="00562DF7"/>
    <w:rsid w:val="00562F41"/>
    <w:rsid w:val="0056313E"/>
    <w:rsid w:val="00563217"/>
    <w:rsid w:val="005632B4"/>
    <w:rsid w:val="00563EFE"/>
    <w:rsid w:val="00564427"/>
    <w:rsid w:val="00564891"/>
    <w:rsid w:val="00564A03"/>
    <w:rsid w:val="00564C0A"/>
    <w:rsid w:val="00564CE0"/>
    <w:rsid w:val="00565047"/>
    <w:rsid w:val="005653F0"/>
    <w:rsid w:val="005659C0"/>
    <w:rsid w:val="00565ABE"/>
    <w:rsid w:val="00565BFA"/>
    <w:rsid w:val="0056600F"/>
    <w:rsid w:val="0056633E"/>
    <w:rsid w:val="00566437"/>
    <w:rsid w:val="00566736"/>
    <w:rsid w:val="00566CD8"/>
    <w:rsid w:val="0056702A"/>
    <w:rsid w:val="005670D4"/>
    <w:rsid w:val="00567323"/>
    <w:rsid w:val="0056754B"/>
    <w:rsid w:val="00567FF2"/>
    <w:rsid w:val="005701AF"/>
    <w:rsid w:val="00570416"/>
    <w:rsid w:val="0057072E"/>
    <w:rsid w:val="00570993"/>
    <w:rsid w:val="00570A2B"/>
    <w:rsid w:val="00570B7A"/>
    <w:rsid w:val="00570C13"/>
    <w:rsid w:val="00570FDA"/>
    <w:rsid w:val="00571391"/>
    <w:rsid w:val="00571999"/>
    <w:rsid w:val="00571A0D"/>
    <w:rsid w:val="00571A3B"/>
    <w:rsid w:val="00571BEC"/>
    <w:rsid w:val="00571D9B"/>
    <w:rsid w:val="00572A2B"/>
    <w:rsid w:val="00572CF2"/>
    <w:rsid w:val="00573125"/>
    <w:rsid w:val="0057360E"/>
    <w:rsid w:val="00573755"/>
    <w:rsid w:val="0057380B"/>
    <w:rsid w:val="00573A5B"/>
    <w:rsid w:val="00573FD1"/>
    <w:rsid w:val="00574178"/>
    <w:rsid w:val="00574CA5"/>
    <w:rsid w:val="00574CE8"/>
    <w:rsid w:val="00574D70"/>
    <w:rsid w:val="0057555B"/>
    <w:rsid w:val="00575D7B"/>
    <w:rsid w:val="00576017"/>
    <w:rsid w:val="00576A17"/>
    <w:rsid w:val="00576CA2"/>
    <w:rsid w:val="00577053"/>
    <w:rsid w:val="00577183"/>
    <w:rsid w:val="00577400"/>
    <w:rsid w:val="0057786D"/>
    <w:rsid w:val="00577F69"/>
    <w:rsid w:val="00580F32"/>
    <w:rsid w:val="00581F58"/>
    <w:rsid w:val="0058257A"/>
    <w:rsid w:val="00582639"/>
    <w:rsid w:val="005828A9"/>
    <w:rsid w:val="00582A87"/>
    <w:rsid w:val="00582FBF"/>
    <w:rsid w:val="00583680"/>
    <w:rsid w:val="00583784"/>
    <w:rsid w:val="00583FBE"/>
    <w:rsid w:val="00584293"/>
    <w:rsid w:val="005843F7"/>
    <w:rsid w:val="005846AC"/>
    <w:rsid w:val="00584AA5"/>
    <w:rsid w:val="00584C7D"/>
    <w:rsid w:val="0058508E"/>
    <w:rsid w:val="00585352"/>
    <w:rsid w:val="0058565F"/>
    <w:rsid w:val="00585929"/>
    <w:rsid w:val="00585D0A"/>
    <w:rsid w:val="00585DEB"/>
    <w:rsid w:val="005868D8"/>
    <w:rsid w:val="00586C90"/>
    <w:rsid w:val="00587235"/>
    <w:rsid w:val="00587722"/>
    <w:rsid w:val="00590227"/>
    <w:rsid w:val="005904BA"/>
    <w:rsid w:val="0059055E"/>
    <w:rsid w:val="005905E8"/>
    <w:rsid w:val="0059063A"/>
    <w:rsid w:val="005907C1"/>
    <w:rsid w:val="00590A05"/>
    <w:rsid w:val="00590A68"/>
    <w:rsid w:val="00591568"/>
    <w:rsid w:val="00591BAC"/>
    <w:rsid w:val="00591FA0"/>
    <w:rsid w:val="00592955"/>
    <w:rsid w:val="00593067"/>
    <w:rsid w:val="00593968"/>
    <w:rsid w:val="00593D36"/>
    <w:rsid w:val="00594BE7"/>
    <w:rsid w:val="00594E58"/>
    <w:rsid w:val="00595366"/>
    <w:rsid w:val="00595B8E"/>
    <w:rsid w:val="00595C97"/>
    <w:rsid w:val="00595FBC"/>
    <w:rsid w:val="00596021"/>
    <w:rsid w:val="00596170"/>
    <w:rsid w:val="00596257"/>
    <w:rsid w:val="00596510"/>
    <w:rsid w:val="005966CA"/>
    <w:rsid w:val="00596D15"/>
    <w:rsid w:val="005970F9"/>
    <w:rsid w:val="005976C9"/>
    <w:rsid w:val="005977A4"/>
    <w:rsid w:val="0059790A"/>
    <w:rsid w:val="00597C5D"/>
    <w:rsid w:val="00597D8C"/>
    <w:rsid w:val="00597DFF"/>
    <w:rsid w:val="00597E9C"/>
    <w:rsid w:val="005A01CC"/>
    <w:rsid w:val="005A0222"/>
    <w:rsid w:val="005A0492"/>
    <w:rsid w:val="005A0629"/>
    <w:rsid w:val="005A0BFD"/>
    <w:rsid w:val="005A10A7"/>
    <w:rsid w:val="005A11EB"/>
    <w:rsid w:val="005A1297"/>
    <w:rsid w:val="005A12EE"/>
    <w:rsid w:val="005A1652"/>
    <w:rsid w:val="005A1726"/>
    <w:rsid w:val="005A1C89"/>
    <w:rsid w:val="005A20BC"/>
    <w:rsid w:val="005A285A"/>
    <w:rsid w:val="005A29DC"/>
    <w:rsid w:val="005A29EC"/>
    <w:rsid w:val="005A3307"/>
    <w:rsid w:val="005A385E"/>
    <w:rsid w:val="005A47A3"/>
    <w:rsid w:val="005A4ACB"/>
    <w:rsid w:val="005A5242"/>
    <w:rsid w:val="005A5283"/>
    <w:rsid w:val="005A54C7"/>
    <w:rsid w:val="005A55D9"/>
    <w:rsid w:val="005A5612"/>
    <w:rsid w:val="005A650D"/>
    <w:rsid w:val="005A663C"/>
    <w:rsid w:val="005A698B"/>
    <w:rsid w:val="005A6ABA"/>
    <w:rsid w:val="005A6B3E"/>
    <w:rsid w:val="005A7004"/>
    <w:rsid w:val="005A7207"/>
    <w:rsid w:val="005A72AE"/>
    <w:rsid w:val="005A7849"/>
    <w:rsid w:val="005A7DDA"/>
    <w:rsid w:val="005A7EC0"/>
    <w:rsid w:val="005A7FA3"/>
    <w:rsid w:val="005B01EB"/>
    <w:rsid w:val="005B05B0"/>
    <w:rsid w:val="005B06C8"/>
    <w:rsid w:val="005B0A11"/>
    <w:rsid w:val="005B0B2B"/>
    <w:rsid w:val="005B0C28"/>
    <w:rsid w:val="005B0E7F"/>
    <w:rsid w:val="005B17A1"/>
    <w:rsid w:val="005B1C93"/>
    <w:rsid w:val="005B1E23"/>
    <w:rsid w:val="005B1E4F"/>
    <w:rsid w:val="005B2648"/>
    <w:rsid w:val="005B3109"/>
    <w:rsid w:val="005B37DD"/>
    <w:rsid w:val="005B3B5F"/>
    <w:rsid w:val="005B3F5C"/>
    <w:rsid w:val="005B3FBA"/>
    <w:rsid w:val="005B4039"/>
    <w:rsid w:val="005B4204"/>
    <w:rsid w:val="005B42F0"/>
    <w:rsid w:val="005B4CFD"/>
    <w:rsid w:val="005B4F27"/>
    <w:rsid w:val="005B51E3"/>
    <w:rsid w:val="005B54F5"/>
    <w:rsid w:val="005B6014"/>
    <w:rsid w:val="005B62DF"/>
    <w:rsid w:val="005B6E5B"/>
    <w:rsid w:val="005B78F0"/>
    <w:rsid w:val="005C04AE"/>
    <w:rsid w:val="005C052A"/>
    <w:rsid w:val="005C069F"/>
    <w:rsid w:val="005C0727"/>
    <w:rsid w:val="005C07FE"/>
    <w:rsid w:val="005C138F"/>
    <w:rsid w:val="005C15FE"/>
    <w:rsid w:val="005C1C79"/>
    <w:rsid w:val="005C1CCE"/>
    <w:rsid w:val="005C1E1B"/>
    <w:rsid w:val="005C22A0"/>
    <w:rsid w:val="005C22BC"/>
    <w:rsid w:val="005C2394"/>
    <w:rsid w:val="005C2815"/>
    <w:rsid w:val="005C2AA3"/>
    <w:rsid w:val="005C2CC6"/>
    <w:rsid w:val="005C36AE"/>
    <w:rsid w:val="005C3B0C"/>
    <w:rsid w:val="005C3E39"/>
    <w:rsid w:val="005C4091"/>
    <w:rsid w:val="005C4174"/>
    <w:rsid w:val="005C41B8"/>
    <w:rsid w:val="005C4ADF"/>
    <w:rsid w:val="005C4D57"/>
    <w:rsid w:val="005C4E9A"/>
    <w:rsid w:val="005C529E"/>
    <w:rsid w:val="005C5BE1"/>
    <w:rsid w:val="005C5C0A"/>
    <w:rsid w:val="005C5D99"/>
    <w:rsid w:val="005C61B4"/>
    <w:rsid w:val="005C654C"/>
    <w:rsid w:val="005C66A8"/>
    <w:rsid w:val="005C66FC"/>
    <w:rsid w:val="005C681D"/>
    <w:rsid w:val="005C6B0C"/>
    <w:rsid w:val="005C752F"/>
    <w:rsid w:val="005C7C50"/>
    <w:rsid w:val="005D0027"/>
    <w:rsid w:val="005D0E23"/>
    <w:rsid w:val="005D0E58"/>
    <w:rsid w:val="005D10C9"/>
    <w:rsid w:val="005D11C0"/>
    <w:rsid w:val="005D1586"/>
    <w:rsid w:val="005D1BD0"/>
    <w:rsid w:val="005D2539"/>
    <w:rsid w:val="005D26FF"/>
    <w:rsid w:val="005D2820"/>
    <w:rsid w:val="005D2F33"/>
    <w:rsid w:val="005D34B9"/>
    <w:rsid w:val="005D397D"/>
    <w:rsid w:val="005D3A9E"/>
    <w:rsid w:val="005D3AF7"/>
    <w:rsid w:val="005D3CBE"/>
    <w:rsid w:val="005D4387"/>
    <w:rsid w:val="005D44AC"/>
    <w:rsid w:val="005D44E3"/>
    <w:rsid w:val="005D46E0"/>
    <w:rsid w:val="005D4804"/>
    <w:rsid w:val="005D53FD"/>
    <w:rsid w:val="005D542D"/>
    <w:rsid w:val="005D58A5"/>
    <w:rsid w:val="005D5F95"/>
    <w:rsid w:val="005D61E6"/>
    <w:rsid w:val="005D620B"/>
    <w:rsid w:val="005D66AC"/>
    <w:rsid w:val="005D6A5D"/>
    <w:rsid w:val="005D6C77"/>
    <w:rsid w:val="005D7257"/>
    <w:rsid w:val="005D73EF"/>
    <w:rsid w:val="005D75B4"/>
    <w:rsid w:val="005D798C"/>
    <w:rsid w:val="005D7B4A"/>
    <w:rsid w:val="005D7B60"/>
    <w:rsid w:val="005D7E2A"/>
    <w:rsid w:val="005E0969"/>
    <w:rsid w:val="005E1041"/>
    <w:rsid w:val="005E146F"/>
    <w:rsid w:val="005E18F9"/>
    <w:rsid w:val="005E1910"/>
    <w:rsid w:val="005E1BA3"/>
    <w:rsid w:val="005E2F28"/>
    <w:rsid w:val="005E32AD"/>
    <w:rsid w:val="005E3699"/>
    <w:rsid w:val="005E3A44"/>
    <w:rsid w:val="005E3AB6"/>
    <w:rsid w:val="005E3C90"/>
    <w:rsid w:val="005E3D3B"/>
    <w:rsid w:val="005E46D9"/>
    <w:rsid w:val="005E4832"/>
    <w:rsid w:val="005E4A0B"/>
    <w:rsid w:val="005E4AAF"/>
    <w:rsid w:val="005E4F4A"/>
    <w:rsid w:val="005E55FA"/>
    <w:rsid w:val="005E588F"/>
    <w:rsid w:val="005E5AB0"/>
    <w:rsid w:val="005E5EE9"/>
    <w:rsid w:val="005E600B"/>
    <w:rsid w:val="005E623E"/>
    <w:rsid w:val="005E628D"/>
    <w:rsid w:val="005E662E"/>
    <w:rsid w:val="005E6C9C"/>
    <w:rsid w:val="005E6ED5"/>
    <w:rsid w:val="005E7D3F"/>
    <w:rsid w:val="005E7D97"/>
    <w:rsid w:val="005F0DA9"/>
    <w:rsid w:val="005F12A7"/>
    <w:rsid w:val="005F1431"/>
    <w:rsid w:val="005F1EA3"/>
    <w:rsid w:val="005F1F4C"/>
    <w:rsid w:val="005F2421"/>
    <w:rsid w:val="005F277E"/>
    <w:rsid w:val="005F3189"/>
    <w:rsid w:val="005F343A"/>
    <w:rsid w:val="005F3477"/>
    <w:rsid w:val="005F34EB"/>
    <w:rsid w:val="005F3A91"/>
    <w:rsid w:val="005F3D14"/>
    <w:rsid w:val="005F44C8"/>
    <w:rsid w:val="005F4A7C"/>
    <w:rsid w:val="005F4C29"/>
    <w:rsid w:val="005F52A6"/>
    <w:rsid w:val="005F55CC"/>
    <w:rsid w:val="005F5AC0"/>
    <w:rsid w:val="005F5D43"/>
    <w:rsid w:val="005F5F22"/>
    <w:rsid w:val="005F62F7"/>
    <w:rsid w:val="005F69E8"/>
    <w:rsid w:val="005F741E"/>
    <w:rsid w:val="005F7979"/>
    <w:rsid w:val="005F799C"/>
    <w:rsid w:val="005F79DA"/>
    <w:rsid w:val="005F7CBE"/>
    <w:rsid w:val="005F7EA0"/>
    <w:rsid w:val="00600139"/>
    <w:rsid w:val="00600361"/>
    <w:rsid w:val="00600914"/>
    <w:rsid w:val="00600EDA"/>
    <w:rsid w:val="00600F8C"/>
    <w:rsid w:val="0060141C"/>
    <w:rsid w:val="00601454"/>
    <w:rsid w:val="006015AB"/>
    <w:rsid w:val="006017B6"/>
    <w:rsid w:val="00601E2C"/>
    <w:rsid w:val="006020C2"/>
    <w:rsid w:val="0060259B"/>
    <w:rsid w:val="006026E1"/>
    <w:rsid w:val="00602F50"/>
    <w:rsid w:val="00603014"/>
    <w:rsid w:val="00603236"/>
    <w:rsid w:val="006033C2"/>
    <w:rsid w:val="006034E6"/>
    <w:rsid w:val="0060354B"/>
    <w:rsid w:val="006035D1"/>
    <w:rsid w:val="0060362B"/>
    <w:rsid w:val="006036FF"/>
    <w:rsid w:val="00603774"/>
    <w:rsid w:val="00603B0A"/>
    <w:rsid w:val="00604B45"/>
    <w:rsid w:val="00604F57"/>
    <w:rsid w:val="00605277"/>
    <w:rsid w:val="00605401"/>
    <w:rsid w:val="0060560B"/>
    <w:rsid w:val="00605996"/>
    <w:rsid w:val="006059B3"/>
    <w:rsid w:val="00606028"/>
    <w:rsid w:val="00606371"/>
    <w:rsid w:val="006064B6"/>
    <w:rsid w:val="006068B2"/>
    <w:rsid w:val="00606F1E"/>
    <w:rsid w:val="0060709C"/>
    <w:rsid w:val="00607669"/>
    <w:rsid w:val="006076B7"/>
    <w:rsid w:val="00607B70"/>
    <w:rsid w:val="00607E71"/>
    <w:rsid w:val="0061035E"/>
    <w:rsid w:val="006106A1"/>
    <w:rsid w:val="006108A7"/>
    <w:rsid w:val="00610D2D"/>
    <w:rsid w:val="00610D32"/>
    <w:rsid w:val="00610FBD"/>
    <w:rsid w:val="0061102C"/>
    <w:rsid w:val="0061112D"/>
    <w:rsid w:val="00611197"/>
    <w:rsid w:val="006112DC"/>
    <w:rsid w:val="006114F9"/>
    <w:rsid w:val="006115E5"/>
    <w:rsid w:val="00611E5B"/>
    <w:rsid w:val="0061239A"/>
    <w:rsid w:val="00612509"/>
    <w:rsid w:val="0061259F"/>
    <w:rsid w:val="006125DA"/>
    <w:rsid w:val="00612DC8"/>
    <w:rsid w:val="006135F6"/>
    <w:rsid w:val="00613796"/>
    <w:rsid w:val="00613915"/>
    <w:rsid w:val="006140A7"/>
    <w:rsid w:val="00614278"/>
    <w:rsid w:val="0061448E"/>
    <w:rsid w:val="00614906"/>
    <w:rsid w:val="00614943"/>
    <w:rsid w:val="00614947"/>
    <w:rsid w:val="00614C7E"/>
    <w:rsid w:val="00614E61"/>
    <w:rsid w:val="00615216"/>
    <w:rsid w:val="00615616"/>
    <w:rsid w:val="006163C6"/>
    <w:rsid w:val="00616505"/>
    <w:rsid w:val="00616D32"/>
    <w:rsid w:val="00616D78"/>
    <w:rsid w:val="00616F1F"/>
    <w:rsid w:val="00616FB7"/>
    <w:rsid w:val="0061702A"/>
    <w:rsid w:val="00617320"/>
    <w:rsid w:val="0061747F"/>
    <w:rsid w:val="006176BA"/>
    <w:rsid w:val="006179FA"/>
    <w:rsid w:val="00617B7B"/>
    <w:rsid w:val="00620638"/>
    <w:rsid w:val="00620F1E"/>
    <w:rsid w:val="00621161"/>
    <w:rsid w:val="00621417"/>
    <w:rsid w:val="00621636"/>
    <w:rsid w:val="0062174E"/>
    <w:rsid w:val="00621792"/>
    <w:rsid w:val="00621CB5"/>
    <w:rsid w:val="00621D47"/>
    <w:rsid w:val="0062242B"/>
    <w:rsid w:val="00622566"/>
    <w:rsid w:val="00623530"/>
    <w:rsid w:val="00623821"/>
    <w:rsid w:val="006238A4"/>
    <w:rsid w:val="00623999"/>
    <w:rsid w:val="00623C6B"/>
    <w:rsid w:val="00623CD5"/>
    <w:rsid w:val="00623D36"/>
    <w:rsid w:val="00624045"/>
    <w:rsid w:val="0062408B"/>
    <w:rsid w:val="006244BD"/>
    <w:rsid w:val="0062483C"/>
    <w:rsid w:val="00624A67"/>
    <w:rsid w:val="00624B17"/>
    <w:rsid w:val="00624E2A"/>
    <w:rsid w:val="0062526E"/>
    <w:rsid w:val="00625D48"/>
    <w:rsid w:val="00625D4E"/>
    <w:rsid w:val="00625E81"/>
    <w:rsid w:val="00626A2B"/>
    <w:rsid w:val="0062706B"/>
    <w:rsid w:val="006271FC"/>
    <w:rsid w:val="0062768B"/>
    <w:rsid w:val="006301B1"/>
    <w:rsid w:val="00630A03"/>
    <w:rsid w:val="00630CB2"/>
    <w:rsid w:val="0063120E"/>
    <w:rsid w:val="006313DB"/>
    <w:rsid w:val="00631450"/>
    <w:rsid w:val="0063149F"/>
    <w:rsid w:val="00631768"/>
    <w:rsid w:val="00631A4C"/>
    <w:rsid w:val="00631AE9"/>
    <w:rsid w:val="00631E31"/>
    <w:rsid w:val="00632D46"/>
    <w:rsid w:val="006331E9"/>
    <w:rsid w:val="006336F9"/>
    <w:rsid w:val="00633873"/>
    <w:rsid w:val="00633984"/>
    <w:rsid w:val="00633A83"/>
    <w:rsid w:val="00633D85"/>
    <w:rsid w:val="00633F25"/>
    <w:rsid w:val="00633F26"/>
    <w:rsid w:val="00633F9F"/>
    <w:rsid w:val="00633FA6"/>
    <w:rsid w:val="00634370"/>
    <w:rsid w:val="00634440"/>
    <w:rsid w:val="00634784"/>
    <w:rsid w:val="006348F8"/>
    <w:rsid w:val="00634BE1"/>
    <w:rsid w:val="00634E2F"/>
    <w:rsid w:val="00634FCD"/>
    <w:rsid w:val="00635274"/>
    <w:rsid w:val="0063571C"/>
    <w:rsid w:val="006357D2"/>
    <w:rsid w:val="00636031"/>
    <w:rsid w:val="0063629F"/>
    <w:rsid w:val="0063641F"/>
    <w:rsid w:val="00636B8E"/>
    <w:rsid w:val="00637685"/>
    <w:rsid w:val="00637693"/>
    <w:rsid w:val="006378B5"/>
    <w:rsid w:val="00637972"/>
    <w:rsid w:val="00637D13"/>
    <w:rsid w:val="00641194"/>
    <w:rsid w:val="006417E8"/>
    <w:rsid w:val="00641D53"/>
    <w:rsid w:val="006427F7"/>
    <w:rsid w:val="006427F8"/>
    <w:rsid w:val="00642F5E"/>
    <w:rsid w:val="00643176"/>
    <w:rsid w:val="006431DA"/>
    <w:rsid w:val="006431EA"/>
    <w:rsid w:val="00643361"/>
    <w:rsid w:val="006435F6"/>
    <w:rsid w:val="0064410B"/>
    <w:rsid w:val="006443C2"/>
    <w:rsid w:val="006448AB"/>
    <w:rsid w:val="00644B91"/>
    <w:rsid w:val="00644F24"/>
    <w:rsid w:val="0064512C"/>
    <w:rsid w:val="00645329"/>
    <w:rsid w:val="0064534F"/>
    <w:rsid w:val="0064556D"/>
    <w:rsid w:val="006455C9"/>
    <w:rsid w:val="006459FC"/>
    <w:rsid w:val="00645C54"/>
    <w:rsid w:val="00645DC8"/>
    <w:rsid w:val="00645EBD"/>
    <w:rsid w:val="00646000"/>
    <w:rsid w:val="0064647C"/>
    <w:rsid w:val="006467EC"/>
    <w:rsid w:val="00646A44"/>
    <w:rsid w:val="006473C8"/>
    <w:rsid w:val="006478DC"/>
    <w:rsid w:val="00647FA8"/>
    <w:rsid w:val="00650E6A"/>
    <w:rsid w:val="00650F7A"/>
    <w:rsid w:val="00651367"/>
    <w:rsid w:val="00651487"/>
    <w:rsid w:val="006516FE"/>
    <w:rsid w:val="00651BEA"/>
    <w:rsid w:val="00651E2D"/>
    <w:rsid w:val="0065270C"/>
    <w:rsid w:val="00652D1E"/>
    <w:rsid w:val="00652E40"/>
    <w:rsid w:val="00653276"/>
    <w:rsid w:val="006536A8"/>
    <w:rsid w:val="00653AF3"/>
    <w:rsid w:val="00653CCD"/>
    <w:rsid w:val="0065419D"/>
    <w:rsid w:val="00655C09"/>
    <w:rsid w:val="00655C42"/>
    <w:rsid w:val="00655E66"/>
    <w:rsid w:val="006566F2"/>
    <w:rsid w:val="006573F6"/>
    <w:rsid w:val="00657532"/>
    <w:rsid w:val="00657666"/>
    <w:rsid w:val="0065790A"/>
    <w:rsid w:val="006604DF"/>
    <w:rsid w:val="0066072B"/>
    <w:rsid w:val="00660A55"/>
    <w:rsid w:val="00660A9E"/>
    <w:rsid w:val="00660B0F"/>
    <w:rsid w:val="00660D79"/>
    <w:rsid w:val="00661459"/>
    <w:rsid w:val="00661915"/>
    <w:rsid w:val="00661C07"/>
    <w:rsid w:val="00661CA6"/>
    <w:rsid w:val="00661D3F"/>
    <w:rsid w:val="00661F7D"/>
    <w:rsid w:val="00662E22"/>
    <w:rsid w:val="00663186"/>
    <w:rsid w:val="0066402A"/>
    <w:rsid w:val="006640EE"/>
    <w:rsid w:val="006642FB"/>
    <w:rsid w:val="00664351"/>
    <w:rsid w:val="00664406"/>
    <w:rsid w:val="00664765"/>
    <w:rsid w:val="006648DC"/>
    <w:rsid w:val="00664A7B"/>
    <w:rsid w:val="00664BC0"/>
    <w:rsid w:val="00665518"/>
    <w:rsid w:val="006659C8"/>
    <w:rsid w:val="006660BB"/>
    <w:rsid w:val="00666834"/>
    <w:rsid w:val="00666A19"/>
    <w:rsid w:val="00667259"/>
    <w:rsid w:val="00667424"/>
    <w:rsid w:val="00667697"/>
    <w:rsid w:val="00667732"/>
    <w:rsid w:val="00667AE6"/>
    <w:rsid w:val="00667B3E"/>
    <w:rsid w:val="00667C1C"/>
    <w:rsid w:val="00667CA6"/>
    <w:rsid w:val="006702C2"/>
    <w:rsid w:val="00670F15"/>
    <w:rsid w:val="00671169"/>
    <w:rsid w:val="00671173"/>
    <w:rsid w:val="00671913"/>
    <w:rsid w:val="00671ACA"/>
    <w:rsid w:val="00671CD8"/>
    <w:rsid w:val="00672C7E"/>
    <w:rsid w:val="00672CF8"/>
    <w:rsid w:val="00672E4B"/>
    <w:rsid w:val="00672EDF"/>
    <w:rsid w:val="006734E2"/>
    <w:rsid w:val="00673723"/>
    <w:rsid w:val="006738B9"/>
    <w:rsid w:val="00673BD6"/>
    <w:rsid w:val="00674236"/>
    <w:rsid w:val="00674E9A"/>
    <w:rsid w:val="006750C7"/>
    <w:rsid w:val="0067522E"/>
    <w:rsid w:val="006752C9"/>
    <w:rsid w:val="0067598D"/>
    <w:rsid w:val="00675A38"/>
    <w:rsid w:val="00675C94"/>
    <w:rsid w:val="00675FA3"/>
    <w:rsid w:val="00676134"/>
    <w:rsid w:val="006763EB"/>
    <w:rsid w:val="00676C6F"/>
    <w:rsid w:val="00676D26"/>
    <w:rsid w:val="00676E11"/>
    <w:rsid w:val="00676EB1"/>
    <w:rsid w:val="006772B7"/>
    <w:rsid w:val="006775BD"/>
    <w:rsid w:val="006775F2"/>
    <w:rsid w:val="00677850"/>
    <w:rsid w:val="00677859"/>
    <w:rsid w:val="00677B46"/>
    <w:rsid w:val="00677CA0"/>
    <w:rsid w:val="00677F31"/>
    <w:rsid w:val="0068015A"/>
    <w:rsid w:val="006803AC"/>
    <w:rsid w:val="006807CE"/>
    <w:rsid w:val="006809B4"/>
    <w:rsid w:val="00680D0A"/>
    <w:rsid w:val="00680E37"/>
    <w:rsid w:val="00681110"/>
    <w:rsid w:val="006815BF"/>
    <w:rsid w:val="00681860"/>
    <w:rsid w:val="006819A3"/>
    <w:rsid w:val="00681A28"/>
    <w:rsid w:val="00681A5A"/>
    <w:rsid w:val="00681C3D"/>
    <w:rsid w:val="006820B5"/>
    <w:rsid w:val="006824C6"/>
    <w:rsid w:val="00682C96"/>
    <w:rsid w:val="0068307C"/>
    <w:rsid w:val="00683175"/>
    <w:rsid w:val="006836A6"/>
    <w:rsid w:val="00683974"/>
    <w:rsid w:val="00683E05"/>
    <w:rsid w:val="006840AE"/>
    <w:rsid w:val="00684275"/>
    <w:rsid w:val="006847BD"/>
    <w:rsid w:val="00684BCC"/>
    <w:rsid w:val="00685182"/>
    <w:rsid w:val="00685945"/>
    <w:rsid w:val="00685A73"/>
    <w:rsid w:val="00685C18"/>
    <w:rsid w:val="00685C3D"/>
    <w:rsid w:val="00685CFC"/>
    <w:rsid w:val="00686150"/>
    <w:rsid w:val="00686D18"/>
    <w:rsid w:val="006876F3"/>
    <w:rsid w:val="00687989"/>
    <w:rsid w:val="0069046F"/>
    <w:rsid w:val="006904D3"/>
    <w:rsid w:val="006907EB"/>
    <w:rsid w:val="00690A2E"/>
    <w:rsid w:val="00690D04"/>
    <w:rsid w:val="006911E4"/>
    <w:rsid w:val="00691822"/>
    <w:rsid w:val="00691C3E"/>
    <w:rsid w:val="006920D1"/>
    <w:rsid w:val="006923D0"/>
    <w:rsid w:val="0069253D"/>
    <w:rsid w:val="00692581"/>
    <w:rsid w:val="006929A2"/>
    <w:rsid w:val="00692AB1"/>
    <w:rsid w:val="00692BCA"/>
    <w:rsid w:val="00692DDF"/>
    <w:rsid w:val="00693796"/>
    <w:rsid w:val="006939D8"/>
    <w:rsid w:val="00693A3E"/>
    <w:rsid w:val="00693AC3"/>
    <w:rsid w:val="00693B2F"/>
    <w:rsid w:val="006940B8"/>
    <w:rsid w:val="00694662"/>
    <w:rsid w:val="006946AE"/>
    <w:rsid w:val="00694730"/>
    <w:rsid w:val="00694A27"/>
    <w:rsid w:val="00695095"/>
    <w:rsid w:val="0069588F"/>
    <w:rsid w:val="0069596C"/>
    <w:rsid w:val="00696201"/>
    <w:rsid w:val="006967E1"/>
    <w:rsid w:val="00696CE0"/>
    <w:rsid w:val="00697814"/>
    <w:rsid w:val="00697C6F"/>
    <w:rsid w:val="00697EDA"/>
    <w:rsid w:val="006A091E"/>
    <w:rsid w:val="006A12AC"/>
    <w:rsid w:val="006A1357"/>
    <w:rsid w:val="006A19DA"/>
    <w:rsid w:val="006A1BFF"/>
    <w:rsid w:val="006A1D95"/>
    <w:rsid w:val="006A23A0"/>
    <w:rsid w:val="006A29A0"/>
    <w:rsid w:val="006A2A93"/>
    <w:rsid w:val="006A317E"/>
    <w:rsid w:val="006A36D0"/>
    <w:rsid w:val="006A4455"/>
    <w:rsid w:val="006A4521"/>
    <w:rsid w:val="006A4B1B"/>
    <w:rsid w:val="006A4EC5"/>
    <w:rsid w:val="006A53D1"/>
    <w:rsid w:val="006A5613"/>
    <w:rsid w:val="006A62E3"/>
    <w:rsid w:val="006A6661"/>
    <w:rsid w:val="006A6947"/>
    <w:rsid w:val="006A704C"/>
    <w:rsid w:val="006A7453"/>
    <w:rsid w:val="006A74E0"/>
    <w:rsid w:val="006B00E9"/>
    <w:rsid w:val="006B02BE"/>
    <w:rsid w:val="006B0575"/>
    <w:rsid w:val="006B07ED"/>
    <w:rsid w:val="006B0877"/>
    <w:rsid w:val="006B161C"/>
    <w:rsid w:val="006B187E"/>
    <w:rsid w:val="006B18F3"/>
    <w:rsid w:val="006B1AD3"/>
    <w:rsid w:val="006B2292"/>
    <w:rsid w:val="006B303B"/>
    <w:rsid w:val="006B366E"/>
    <w:rsid w:val="006B3971"/>
    <w:rsid w:val="006B3A00"/>
    <w:rsid w:val="006B4303"/>
    <w:rsid w:val="006B46C1"/>
    <w:rsid w:val="006B46D1"/>
    <w:rsid w:val="006B4747"/>
    <w:rsid w:val="006B4932"/>
    <w:rsid w:val="006B4C1B"/>
    <w:rsid w:val="006B5115"/>
    <w:rsid w:val="006B540F"/>
    <w:rsid w:val="006B6788"/>
    <w:rsid w:val="006B6B12"/>
    <w:rsid w:val="006B6C69"/>
    <w:rsid w:val="006B6E79"/>
    <w:rsid w:val="006B7198"/>
    <w:rsid w:val="006B719E"/>
    <w:rsid w:val="006B7405"/>
    <w:rsid w:val="006B7644"/>
    <w:rsid w:val="006B7B28"/>
    <w:rsid w:val="006C006D"/>
    <w:rsid w:val="006C045F"/>
    <w:rsid w:val="006C0496"/>
    <w:rsid w:val="006C0B02"/>
    <w:rsid w:val="006C11E7"/>
    <w:rsid w:val="006C14F1"/>
    <w:rsid w:val="006C196D"/>
    <w:rsid w:val="006C1BF0"/>
    <w:rsid w:val="006C2EDA"/>
    <w:rsid w:val="006C30E0"/>
    <w:rsid w:val="006C3610"/>
    <w:rsid w:val="006C3891"/>
    <w:rsid w:val="006C3A19"/>
    <w:rsid w:val="006C3DC5"/>
    <w:rsid w:val="006C3DDF"/>
    <w:rsid w:val="006C4068"/>
    <w:rsid w:val="006C44E2"/>
    <w:rsid w:val="006C467C"/>
    <w:rsid w:val="006C46E0"/>
    <w:rsid w:val="006C4A90"/>
    <w:rsid w:val="006C4B2E"/>
    <w:rsid w:val="006C4DCE"/>
    <w:rsid w:val="006C51E3"/>
    <w:rsid w:val="006C5471"/>
    <w:rsid w:val="006C54FD"/>
    <w:rsid w:val="006C551E"/>
    <w:rsid w:val="006C57AC"/>
    <w:rsid w:val="006C57CE"/>
    <w:rsid w:val="006C5871"/>
    <w:rsid w:val="006C5A70"/>
    <w:rsid w:val="006C600B"/>
    <w:rsid w:val="006C64C2"/>
    <w:rsid w:val="006C65F0"/>
    <w:rsid w:val="006C67DD"/>
    <w:rsid w:val="006C6CF8"/>
    <w:rsid w:val="006C710D"/>
    <w:rsid w:val="006C726C"/>
    <w:rsid w:val="006C7309"/>
    <w:rsid w:val="006C745B"/>
    <w:rsid w:val="006C74A2"/>
    <w:rsid w:val="006C783A"/>
    <w:rsid w:val="006C78C0"/>
    <w:rsid w:val="006C7C59"/>
    <w:rsid w:val="006C7D61"/>
    <w:rsid w:val="006C7E7F"/>
    <w:rsid w:val="006C7F76"/>
    <w:rsid w:val="006D01F9"/>
    <w:rsid w:val="006D068A"/>
    <w:rsid w:val="006D0A19"/>
    <w:rsid w:val="006D102B"/>
    <w:rsid w:val="006D10B0"/>
    <w:rsid w:val="006D1B1F"/>
    <w:rsid w:val="006D1B48"/>
    <w:rsid w:val="006D1BCC"/>
    <w:rsid w:val="006D1E2D"/>
    <w:rsid w:val="006D2CD5"/>
    <w:rsid w:val="006D2F2A"/>
    <w:rsid w:val="006D31EE"/>
    <w:rsid w:val="006D374F"/>
    <w:rsid w:val="006D37A8"/>
    <w:rsid w:val="006D3934"/>
    <w:rsid w:val="006D3B38"/>
    <w:rsid w:val="006D4176"/>
    <w:rsid w:val="006D496B"/>
    <w:rsid w:val="006D4A80"/>
    <w:rsid w:val="006D4C69"/>
    <w:rsid w:val="006D4D71"/>
    <w:rsid w:val="006D56EB"/>
    <w:rsid w:val="006D589C"/>
    <w:rsid w:val="006D5BBC"/>
    <w:rsid w:val="006D6F09"/>
    <w:rsid w:val="006D70D2"/>
    <w:rsid w:val="006D7303"/>
    <w:rsid w:val="006D7584"/>
    <w:rsid w:val="006D763A"/>
    <w:rsid w:val="006D79FA"/>
    <w:rsid w:val="006E00CE"/>
    <w:rsid w:val="006E10B9"/>
    <w:rsid w:val="006E1376"/>
    <w:rsid w:val="006E1952"/>
    <w:rsid w:val="006E1DF4"/>
    <w:rsid w:val="006E1EB3"/>
    <w:rsid w:val="006E2237"/>
    <w:rsid w:val="006E2655"/>
    <w:rsid w:val="006E2A1D"/>
    <w:rsid w:val="006E33E6"/>
    <w:rsid w:val="006E35D1"/>
    <w:rsid w:val="006E380E"/>
    <w:rsid w:val="006E3937"/>
    <w:rsid w:val="006E3C6E"/>
    <w:rsid w:val="006E45AB"/>
    <w:rsid w:val="006E471B"/>
    <w:rsid w:val="006E52F5"/>
    <w:rsid w:val="006E5462"/>
    <w:rsid w:val="006E566C"/>
    <w:rsid w:val="006E5A1A"/>
    <w:rsid w:val="006E65DF"/>
    <w:rsid w:val="006E7000"/>
    <w:rsid w:val="006E7042"/>
    <w:rsid w:val="006E725A"/>
    <w:rsid w:val="006E741E"/>
    <w:rsid w:val="006E782D"/>
    <w:rsid w:val="006E7B80"/>
    <w:rsid w:val="006F04AE"/>
    <w:rsid w:val="006F04D5"/>
    <w:rsid w:val="006F0B4A"/>
    <w:rsid w:val="006F1101"/>
    <w:rsid w:val="006F12B4"/>
    <w:rsid w:val="006F192F"/>
    <w:rsid w:val="006F20A0"/>
    <w:rsid w:val="006F20E2"/>
    <w:rsid w:val="006F2494"/>
    <w:rsid w:val="006F2637"/>
    <w:rsid w:val="006F26D5"/>
    <w:rsid w:val="006F2AB7"/>
    <w:rsid w:val="006F329C"/>
    <w:rsid w:val="006F33B7"/>
    <w:rsid w:val="006F3A21"/>
    <w:rsid w:val="006F3D73"/>
    <w:rsid w:val="006F3DBE"/>
    <w:rsid w:val="006F3F65"/>
    <w:rsid w:val="006F431E"/>
    <w:rsid w:val="006F432C"/>
    <w:rsid w:val="006F43D1"/>
    <w:rsid w:val="006F4791"/>
    <w:rsid w:val="006F4B80"/>
    <w:rsid w:val="006F4DAE"/>
    <w:rsid w:val="006F5052"/>
    <w:rsid w:val="006F5114"/>
    <w:rsid w:val="006F534B"/>
    <w:rsid w:val="006F545D"/>
    <w:rsid w:val="006F5697"/>
    <w:rsid w:val="006F5820"/>
    <w:rsid w:val="006F69FA"/>
    <w:rsid w:val="006F6B85"/>
    <w:rsid w:val="006F6D77"/>
    <w:rsid w:val="006F6F35"/>
    <w:rsid w:val="006F79A8"/>
    <w:rsid w:val="00700549"/>
    <w:rsid w:val="00700A2F"/>
    <w:rsid w:val="00701A7F"/>
    <w:rsid w:val="0070203B"/>
    <w:rsid w:val="00702600"/>
    <w:rsid w:val="0070299A"/>
    <w:rsid w:val="00703136"/>
    <w:rsid w:val="007032B9"/>
    <w:rsid w:val="00703717"/>
    <w:rsid w:val="00703838"/>
    <w:rsid w:val="007041EF"/>
    <w:rsid w:val="007042F0"/>
    <w:rsid w:val="007044A9"/>
    <w:rsid w:val="00704A59"/>
    <w:rsid w:val="00704EA5"/>
    <w:rsid w:val="00705295"/>
    <w:rsid w:val="00705386"/>
    <w:rsid w:val="007058E0"/>
    <w:rsid w:val="00705AF6"/>
    <w:rsid w:val="00705E43"/>
    <w:rsid w:val="00705FA4"/>
    <w:rsid w:val="00706005"/>
    <w:rsid w:val="00706BEF"/>
    <w:rsid w:val="00706C6A"/>
    <w:rsid w:val="00707138"/>
    <w:rsid w:val="0070714E"/>
    <w:rsid w:val="007078B0"/>
    <w:rsid w:val="007078DA"/>
    <w:rsid w:val="00710217"/>
    <w:rsid w:val="00710539"/>
    <w:rsid w:val="007105FC"/>
    <w:rsid w:val="00710707"/>
    <w:rsid w:val="00710723"/>
    <w:rsid w:val="0071172F"/>
    <w:rsid w:val="00711940"/>
    <w:rsid w:val="007119A2"/>
    <w:rsid w:val="00711F2C"/>
    <w:rsid w:val="007120C0"/>
    <w:rsid w:val="007123EC"/>
    <w:rsid w:val="00712E60"/>
    <w:rsid w:val="00712F4C"/>
    <w:rsid w:val="00713482"/>
    <w:rsid w:val="00713BA7"/>
    <w:rsid w:val="00713BBE"/>
    <w:rsid w:val="00713D5E"/>
    <w:rsid w:val="00713F0D"/>
    <w:rsid w:val="00713F54"/>
    <w:rsid w:val="0071474D"/>
    <w:rsid w:val="007147C4"/>
    <w:rsid w:val="00714B00"/>
    <w:rsid w:val="00714B4E"/>
    <w:rsid w:val="00714E10"/>
    <w:rsid w:val="0071556D"/>
    <w:rsid w:val="00715CD1"/>
    <w:rsid w:val="00715F42"/>
    <w:rsid w:val="00715F45"/>
    <w:rsid w:val="00715F86"/>
    <w:rsid w:val="00716193"/>
    <w:rsid w:val="00716779"/>
    <w:rsid w:val="00716C6C"/>
    <w:rsid w:val="00717347"/>
    <w:rsid w:val="007173F4"/>
    <w:rsid w:val="0071798F"/>
    <w:rsid w:val="00717AF7"/>
    <w:rsid w:val="00717B1C"/>
    <w:rsid w:val="00717BC6"/>
    <w:rsid w:val="00717F05"/>
    <w:rsid w:val="00717F4B"/>
    <w:rsid w:val="00720417"/>
    <w:rsid w:val="00720B9E"/>
    <w:rsid w:val="007212FD"/>
    <w:rsid w:val="007213ED"/>
    <w:rsid w:val="00721A25"/>
    <w:rsid w:val="00721AAD"/>
    <w:rsid w:val="007220B0"/>
    <w:rsid w:val="0072220B"/>
    <w:rsid w:val="00722230"/>
    <w:rsid w:val="00722356"/>
    <w:rsid w:val="0072237B"/>
    <w:rsid w:val="007226E2"/>
    <w:rsid w:val="00722795"/>
    <w:rsid w:val="007228C8"/>
    <w:rsid w:val="0072323C"/>
    <w:rsid w:val="00723BB7"/>
    <w:rsid w:val="00723DAF"/>
    <w:rsid w:val="00723FAF"/>
    <w:rsid w:val="007240B1"/>
    <w:rsid w:val="00724372"/>
    <w:rsid w:val="00724553"/>
    <w:rsid w:val="00724646"/>
    <w:rsid w:val="00724653"/>
    <w:rsid w:val="00724B99"/>
    <w:rsid w:val="0072508F"/>
    <w:rsid w:val="00725770"/>
    <w:rsid w:val="00725A65"/>
    <w:rsid w:val="00725BA6"/>
    <w:rsid w:val="00725BC3"/>
    <w:rsid w:val="00725F70"/>
    <w:rsid w:val="0072619E"/>
    <w:rsid w:val="007262D9"/>
    <w:rsid w:val="007265F0"/>
    <w:rsid w:val="007267CB"/>
    <w:rsid w:val="007269CD"/>
    <w:rsid w:val="00726BF3"/>
    <w:rsid w:val="00726D67"/>
    <w:rsid w:val="00727155"/>
    <w:rsid w:val="00727363"/>
    <w:rsid w:val="00727AF3"/>
    <w:rsid w:val="00727E3F"/>
    <w:rsid w:val="007300CF"/>
    <w:rsid w:val="00730373"/>
    <w:rsid w:val="00730937"/>
    <w:rsid w:val="007309AA"/>
    <w:rsid w:val="00730A70"/>
    <w:rsid w:val="00730B5A"/>
    <w:rsid w:val="00730CDB"/>
    <w:rsid w:val="00730EF4"/>
    <w:rsid w:val="00731372"/>
    <w:rsid w:val="007314FA"/>
    <w:rsid w:val="007315C7"/>
    <w:rsid w:val="00731D23"/>
    <w:rsid w:val="00731F7B"/>
    <w:rsid w:val="0073208D"/>
    <w:rsid w:val="007324C0"/>
    <w:rsid w:val="0073279E"/>
    <w:rsid w:val="00732FC7"/>
    <w:rsid w:val="00733213"/>
    <w:rsid w:val="007333AE"/>
    <w:rsid w:val="007337C4"/>
    <w:rsid w:val="00733A9F"/>
    <w:rsid w:val="00733AF5"/>
    <w:rsid w:val="00733DC6"/>
    <w:rsid w:val="00733E9A"/>
    <w:rsid w:val="00733EE8"/>
    <w:rsid w:val="0073424B"/>
    <w:rsid w:val="00734AE5"/>
    <w:rsid w:val="00734B19"/>
    <w:rsid w:val="00734C11"/>
    <w:rsid w:val="00734C74"/>
    <w:rsid w:val="00734ED8"/>
    <w:rsid w:val="00734F93"/>
    <w:rsid w:val="00735183"/>
    <w:rsid w:val="007353F4"/>
    <w:rsid w:val="0073554B"/>
    <w:rsid w:val="00735574"/>
    <w:rsid w:val="007365F1"/>
    <w:rsid w:val="00736AAC"/>
    <w:rsid w:val="00736FBD"/>
    <w:rsid w:val="00737062"/>
    <w:rsid w:val="007372DB"/>
    <w:rsid w:val="007377F5"/>
    <w:rsid w:val="00737CD8"/>
    <w:rsid w:val="00737F1C"/>
    <w:rsid w:val="00740077"/>
    <w:rsid w:val="00740FDB"/>
    <w:rsid w:val="00741753"/>
    <w:rsid w:val="00741CA4"/>
    <w:rsid w:val="007423E4"/>
    <w:rsid w:val="007425E1"/>
    <w:rsid w:val="007428C2"/>
    <w:rsid w:val="00742D2F"/>
    <w:rsid w:val="00743EA6"/>
    <w:rsid w:val="0074415F"/>
    <w:rsid w:val="007447B7"/>
    <w:rsid w:val="00744BC6"/>
    <w:rsid w:val="0074546D"/>
    <w:rsid w:val="007454DF"/>
    <w:rsid w:val="00746628"/>
    <w:rsid w:val="00746880"/>
    <w:rsid w:val="0074690B"/>
    <w:rsid w:val="00746ABE"/>
    <w:rsid w:val="00746B7C"/>
    <w:rsid w:val="00746FC3"/>
    <w:rsid w:val="00747BBB"/>
    <w:rsid w:val="00750E83"/>
    <w:rsid w:val="00751133"/>
    <w:rsid w:val="00751CE0"/>
    <w:rsid w:val="00751E37"/>
    <w:rsid w:val="0075221D"/>
    <w:rsid w:val="0075227E"/>
    <w:rsid w:val="0075237A"/>
    <w:rsid w:val="007524F3"/>
    <w:rsid w:val="0075271C"/>
    <w:rsid w:val="007527FE"/>
    <w:rsid w:val="0075287F"/>
    <w:rsid w:val="00752A46"/>
    <w:rsid w:val="00752B4E"/>
    <w:rsid w:val="00752F7E"/>
    <w:rsid w:val="00752FBB"/>
    <w:rsid w:val="00753436"/>
    <w:rsid w:val="00753488"/>
    <w:rsid w:val="00754AB3"/>
    <w:rsid w:val="00754F30"/>
    <w:rsid w:val="0075531C"/>
    <w:rsid w:val="00755419"/>
    <w:rsid w:val="0075553D"/>
    <w:rsid w:val="007559A3"/>
    <w:rsid w:val="007559FC"/>
    <w:rsid w:val="00756C06"/>
    <w:rsid w:val="0075710B"/>
    <w:rsid w:val="0075715F"/>
    <w:rsid w:val="00757163"/>
    <w:rsid w:val="0075772B"/>
    <w:rsid w:val="007601C0"/>
    <w:rsid w:val="00760B03"/>
    <w:rsid w:val="007610D8"/>
    <w:rsid w:val="0076133D"/>
    <w:rsid w:val="0076161F"/>
    <w:rsid w:val="0076192C"/>
    <w:rsid w:val="00761D21"/>
    <w:rsid w:val="0076233C"/>
    <w:rsid w:val="007626FC"/>
    <w:rsid w:val="0076276E"/>
    <w:rsid w:val="007628F9"/>
    <w:rsid w:val="00762F88"/>
    <w:rsid w:val="007631CD"/>
    <w:rsid w:val="00763281"/>
    <w:rsid w:val="0076360F"/>
    <w:rsid w:val="007641F7"/>
    <w:rsid w:val="00764A14"/>
    <w:rsid w:val="00764C52"/>
    <w:rsid w:val="00765668"/>
    <w:rsid w:val="00765BFA"/>
    <w:rsid w:val="007665B1"/>
    <w:rsid w:val="00766607"/>
    <w:rsid w:val="00766673"/>
    <w:rsid w:val="00766D03"/>
    <w:rsid w:val="00770014"/>
    <w:rsid w:val="00770CA3"/>
    <w:rsid w:val="00770FA2"/>
    <w:rsid w:val="007716B9"/>
    <w:rsid w:val="007716E8"/>
    <w:rsid w:val="00771C63"/>
    <w:rsid w:val="00772226"/>
    <w:rsid w:val="00772613"/>
    <w:rsid w:val="00772B8B"/>
    <w:rsid w:val="00772D77"/>
    <w:rsid w:val="007730AF"/>
    <w:rsid w:val="00773265"/>
    <w:rsid w:val="00773B55"/>
    <w:rsid w:val="00773F09"/>
    <w:rsid w:val="007745BC"/>
    <w:rsid w:val="00774E02"/>
    <w:rsid w:val="00774FE7"/>
    <w:rsid w:val="007752FA"/>
    <w:rsid w:val="007755DB"/>
    <w:rsid w:val="00775812"/>
    <w:rsid w:val="00775845"/>
    <w:rsid w:val="007759A0"/>
    <w:rsid w:val="00775B38"/>
    <w:rsid w:val="00775B5A"/>
    <w:rsid w:val="00775F19"/>
    <w:rsid w:val="00775F56"/>
    <w:rsid w:val="0077617B"/>
    <w:rsid w:val="007764FB"/>
    <w:rsid w:val="007770E6"/>
    <w:rsid w:val="00777341"/>
    <w:rsid w:val="007777C8"/>
    <w:rsid w:val="00777C05"/>
    <w:rsid w:val="007800A5"/>
    <w:rsid w:val="00780232"/>
    <w:rsid w:val="00780474"/>
    <w:rsid w:val="0078095C"/>
    <w:rsid w:val="00780B01"/>
    <w:rsid w:val="00780C76"/>
    <w:rsid w:val="00780FD3"/>
    <w:rsid w:val="007810C2"/>
    <w:rsid w:val="00782459"/>
    <w:rsid w:val="00782815"/>
    <w:rsid w:val="00782CBC"/>
    <w:rsid w:val="00782D01"/>
    <w:rsid w:val="00782D15"/>
    <w:rsid w:val="007837DC"/>
    <w:rsid w:val="0078388E"/>
    <w:rsid w:val="007838F8"/>
    <w:rsid w:val="007841C0"/>
    <w:rsid w:val="007842F7"/>
    <w:rsid w:val="0078466D"/>
    <w:rsid w:val="0078471E"/>
    <w:rsid w:val="00784851"/>
    <w:rsid w:val="00784D27"/>
    <w:rsid w:val="00785722"/>
    <w:rsid w:val="007861F5"/>
    <w:rsid w:val="00786346"/>
    <w:rsid w:val="00786D0B"/>
    <w:rsid w:val="0078727A"/>
    <w:rsid w:val="007874A2"/>
    <w:rsid w:val="00787C16"/>
    <w:rsid w:val="00790420"/>
    <w:rsid w:val="0079060B"/>
    <w:rsid w:val="00790791"/>
    <w:rsid w:val="00790A2E"/>
    <w:rsid w:val="00790AF0"/>
    <w:rsid w:val="00790D6C"/>
    <w:rsid w:val="00790EB9"/>
    <w:rsid w:val="00790FEB"/>
    <w:rsid w:val="007912C9"/>
    <w:rsid w:val="007913B0"/>
    <w:rsid w:val="00791545"/>
    <w:rsid w:val="0079159F"/>
    <w:rsid w:val="007916BE"/>
    <w:rsid w:val="00791EA4"/>
    <w:rsid w:val="007922D6"/>
    <w:rsid w:val="007923FF"/>
    <w:rsid w:val="0079247A"/>
    <w:rsid w:val="007927D6"/>
    <w:rsid w:val="007928A3"/>
    <w:rsid w:val="00792E77"/>
    <w:rsid w:val="00793938"/>
    <w:rsid w:val="00793CF1"/>
    <w:rsid w:val="00793D7B"/>
    <w:rsid w:val="00794127"/>
    <w:rsid w:val="00794419"/>
    <w:rsid w:val="00794AD0"/>
    <w:rsid w:val="00794BC0"/>
    <w:rsid w:val="00794BF2"/>
    <w:rsid w:val="00794C2A"/>
    <w:rsid w:val="00794F23"/>
    <w:rsid w:val="0079506D"/>
    <w:rsid w:val="00795265"/>
    <w:rsid w:val="007954F0"/>
    <w:rsid w:val="0079576F"/>
    <w:rsid w:val="00795807"/>
    <w:rsid w:val="0079594B"/>
    <w:rsid w:val="00796002"/>
    <w:rsid w:val="00796557"/>
    <w:rsid w:val="00796A0B"/>
    <w:rsid w:val="00796A50"/>
    <w:rsid w:val="00796AF9"/>
    <w:rsid w:val="00796CC3"/>
    <w:rsid w:val="00796DCB"/>
    <w:rsid w:val="007971B5"/>
    <w:rsid w:val="007974E2"/>
    <w:rsid w:val="00797C89"/>
    <w:rsid w:val="00797CB0"/>
    <w:rsid w:val="007A0137"/>
    <w:rsid w:val="007A017B"/>
    <w:rsid w:val="007A08D6"/>
    <w:rsid w:val="007A094A"/>
    <w:rsid w:val="007A0FFD"/>
    <w:rsid w:val="007A111C"/>
    <w:rsid w:val="007A1532"/>
    <w:rsid w:val="007A1767"/>
    <w:rsid w:val="007A223C"/>
    <w:rsid w:val="007A31A9"/>
    <w:rsid w:val="007A32BE"/>
    <w:rsid w:val="007A340E"/>
    <w:rsid w:val="007A43DA"/>
    <w:rsid w:val="007A49EF"/>
    <w:rsid w:val="007A529A"/>
    <w:rsid w:val="007A55E4"/>
    <w:rsid w:val="007A55E7"/>
    <w:rsid w:val="007A57C4"/>
    <w:rsid w:val="007A5A7D"/>
    <w:rsid w:val="007A61C5"/>
    <w:rsid w:val="007A6272"/>
    <w:rsid w:val="007A6623"/>
    <w:rsid w:val="007A680D"/>
    <w:rsid w:val="007A6F8C"/>
    <w:rsid w:val="007A7172"/>
    <w:rsid w:val="007B03DB"/>
    <w:rsid w:val="007B0576"/>
    <w:rsid w:val="007B0912"/>
    <w:rsid w:val="007B0D6A"/>
    <w:rsid w:val="007B0D9F"/>
    <w:rsid w:val="007B1247"/>
    <w:rsid w:val="007B1733"/>
    <w:rsid w:val="007B176B"/>
    <w:rsid w:val="007B1CBD"/>
    <w:rsid w:val="007B1DAB"/>
    <w:rsid w:val="007B203A"/>
    <w:rsid w:val="007B203F"/>
    <w:rsid w:val="007B2529"/>
    <w:rsid w:val="007B28E5"/>
    <w:rsid w:val="007B2C48"/>
    <w:rsid w:val="007B35B7"/>
    <w:rsid w:val="007B3D9A"/>
    <w:rsid w:val="007B3EB8"/>
    <w:rsid w:val="007B50D6"/>
    <w:rsid w:val="007B54CB"/>
    <w:rsid w:val="007B55A0"/>
    <w:rsid w:val="007B5665"/>
    <w:rsid w:val="007B5B31"/>
    <w:rsid w:val="007B5D4C"/>
    <w:rsid w:val="007B5D7D"/>
    <w:rsid w:val="007B65E4"/>
    <w:rsid w:val="007B6751"/>
    <w:rsid w:val="007B692A"/>
    <w:rsid w:val="007B6BF9"/>
    <w:rsid w:val="007B6C1D"/>
    <w:rsid w:val="007B6C4A"/>
    <w:rsid w:val="007B7196"/>
    <w:rsid w:val="007B755C"/>
    <w:rsid w:val="007B7DB4"/>
    <w:rsid w:val="007C014D"/>
    <w:rsid w:val="007C044B"/>
    <w:rsid w:val="007C0C0A"/>
    <w:rsid w:val="007C0C71"/>
    <w:rsid w:val="007C0FCC"/>
    <w:rsid w:val="007C16BB"/>
    <w:rsid w:val="007C2C5C"/>
    <w:rsid w:val="007C2EEC"/>
    <w:rsid w:val="007C317A"/>
    <w:rsid w:val="007C33A1"/>
    <w:rsid w:val="007C3458"/>
    <w:rsid w:val="007C35F7"/>
    <w:rsid w:val="007C36FF"/>
    <w:rsid w:val="007C3716"/>
    <w:rsid w:val="007C3819"/>
    <w:rsid w:val="007C3973"/>
    <w:rsid w:val="007C5006"/>
    <w:rsid w:val="007C5257"/>
    <w:rsid w:val="007C528D"/>
    <w:rsid w:val="007C5560"/>
    <w:rsid w:val="007C5707"/>
    <w:rsid w:val="007C58B1"/>
    <w:rsid w:val="007C58CF"/>
    <w:rsid w:val="007C5A99"/>
    <w:rsid w:val="007C5E2C"/>
    <w:rsid w:val="007C63E7"/>
    <w:rsid w:val="007C647C"/>
    <w:rsid w:val="007C7607"/>
    <w:rsid w:val="007C763F"/>
    <w:rsid w:val="007C79A9"/>
    <w:rsid w:val="007C7A63"/>
    <w:rsid w:val="007C7D63"/>
    <w:rsid w:val="007C7D85"/>
    <w:rsid w:val="007D00C6"/>
    <w:rsid w:val="007D0223"/>
    <w:rsid w:val="007D023C"/>
    <w:rsid w:val="007D041C"/>
    <w:rsid w:val="007D0628"/>
    <w:rsid w:val="007D0AA4"/>
    <w:rsid w:val="007D0F4B"/>
    <w:rsid w:val="007D10C9"/>
    <w:rsid w:val="007D13FD"/>
    <w:rsid w:val="007D144B"/>
    <w:rsid w:val="007D173E"/>
    <w:rsid w:val="007D1CA1"/>
    <w:rsid w:val="007D1EE8"/>
    <w:rsid w:val="007D2071"/>
    <w:rsid w:val="007D21B0"/>
    <w:rsid w:val="007D230A"/>
    <w:rsid w:val="007D2573"/>
    <w:rsid w:val="007D2EEC"/>
    <w:rsid w:val="007D328D"/>
    <w:rsid w:val="007D3580"/>
    <w:rsid w:val="007D3C7D"/>
    <w:rsid w:val="007D4404"/>
    <w:rsid w:val="007D4712"/>
    <w:rsid w:val="007D476D"/>
    <w:rsid w:val="007D4B9E"/>
    <w:rsid w:val="007D4CF5"/>
    <w:rsid w:val="007D4D0E"/>
    <w:rsid w:val="007D4EAB"/>
    <w:rsid w:val="007D547A"/>
    <w:rsid w:val="007D5982"/>
    <w:rsid w:val="007D5C86"/>
    <w:rsid w:val="007D5CA2"/>
    <w:rsid w:val="007D66CE"/>
    <w:rsid w:val="007D66E4"/>
    <w:rsid w:val="007D6B8B"/>
    <w:rsid w:val="007D6DD6"/>
    <w:rsid w:val="007D6E1D"/>
    <w:rsid w:val="007D7781"/>
    <w:rsid w:val="007D7EA8"/>
    <w:rsid w:val="007E05E9"/>
    <w:rsid w:val="007E086D"/>
    <w:rsid w:val="007E08E0"/>
    <w:rsid w:val="007E0D62"/>
    <w:rsid w:val="007E11EA"/>
    <w:rsid w:val="007E188E"/>
    <w:rsid w:val="007E18C6"/>
    <w:rsid w:val="007E1953"/>
    <w:rsid w:val="007E1D86"/>
    <w:rsid w:val="007E200C"/>
    <w:rsid w:val="007E228B"/>
    <w:rsid w:val="007E24B0"/>
    <w:rsid w:val="007E250A"/>
    <w:rsid w:val="007E2533"/>
    <w:rsid w:val="007E265C"/>
    <w:rsid w:val="007E284E"/>
    <w:rsid w:val="007E2E61"/>
    <w:rsid w:val="007E2F82"/>
    <w:rsid w:val="007E3058"/>
    <w:rsid w:val="007E3133"/>
    <w:rsid w:val="007E36AF"/>
    <w:rsid w:val="007E398B"/>
    <w:rsid w:val="007E3996"/>
    <w:rsid w:val="007E3C35"/>
    <w:rsid w:val="007E4279"/>
    <w:rsid w:val="007E4830"/>
    <w:rsid w:val="007E484C"/>
    <w:rsid w:val="007E4861"/>
    <w:rsid w:val="007E48F0"/>
    <w:rsid w:val="007E4BFC"/>
    <w:rsid w:val="007E4D4C"/>
    <w:rsid w:val="007E5934"/>
    <w:rsid w:val="007E69D3"/>
    <w:rsid w:val="007E7331"/>
    <w:rsid w:val="007E7829"/>
    <w:rsid w:val="007F0448"/>
    <w:rsid w:val="007F050D"/>
    <w:rsid w:val="007F0734"/>
    <w:rsid w:val="007F07E5"/>
    <w:rsid w:val="007F0E82"/>
    <w:rsid w:val="007F0EED"/>
    <w:rsid w:val="007F1796"/>
    <w:rsid w:val="007F1D38"/>
    <w:rsid w:val="007F1D5D"/>
    <w:rsid w:val="007F246C"/>
    <w:rsid w:val="007F28F3"/>
    <w:rsid w:val="007F2AC2"/>
    <w:rsid w:val="007F2C2F"/>
    <w:rsid w:val="007F2E21"/>
    <w:rsid w:val="007F2F4D"/>
    <w:rsid w:val="007F308B"/>
    <w:rsid w:val="007F31AB"/>
    <w:rsid w:val="007F34BF"/>
    <w:rsid w:val="007F37E3"/>
    <w:rsid w:val="007F3A4A"/>
    <w:rsid w:val="007F3B6C"/>
    <w:rsid w:val="007F454E"/>
    <w:rsid w:val="007F46E0"/>
    <w:rsid w:val="007F4844"/>
    <w:rsid w:val="007F4C1F"/>
    <w:rsid w:val="007F4CD4"/>
    <w:rsid w:val="007F4D4A"/>
    <w:rsid w:val="007F5003"/>
    <w:rsid w:val="007F5164"/>
    <w:rsid w:val="007F5E5A"/>
    <w:rsid w:val="007F5E92"/>
    <w:rsid w:val="007F5F46"/>
    <w:rsid w:val="007F611B"/>
    <w:rsid w:val="007F67AB"/>
    <w:rsid w:val="007F6DF4"/>
    <w:rsid w:val="007F7CBF"/>
    <w:rsid w:val="008001AB"/>
    <w:rsid w:val="00800433"/>
    <w:rsid w:val="0080092C"/>
    <w:rsid w:val="00800EC2"/>
    <w:rsid w:val="008017C1"/>
    <w:rsid w:val="0080181E"/>
    <w:rsid w:val="00801DAD"/>
    <w:rsid w:val="00801EB2"/>
    <w:rsid w:val="00802B28"/>
    <w:rsid w:val="00802B84"/>
    <w:rsid w:val="00803942"/>
    <w:rsid w:val="00803C9B"/>
    <w:rsid w:val="00804118"/>
    <w:rsid w:val="00804D66"/>
    <w:rsid w:val="00805076"/>
    <w:rsid w:val="00805415"/>
    <w:rsid w:val="00805530"/>
    <w:rsid w:val="00806834"/>
    <w:rsid w:val="00806AA3"/>
    <w:rsid w:val="00806AF3"/>
    <w:rsid w:val="00806CCF"/>
    <w:rsid w:val="00806F54"/>
    <w:rsid w:val="00806FC0"/>
    <w:rsid w:val="008074AF"/>
    <w:rsid w:val="0080757E"/>
    <w:rsid w:val="00807CFF"/>
    <w:rsid w:val="00807F9E"/>
    <w:rsid w:val="008102D7"/>
    <w:rsid w:val="00810A1E"/>
    <w:rsid w:val="00810AEE"/>
    <w:rsid w:val="00811286"/>
    <w:rsid w:val="008112C0"/>
    <w:rsid w:val="00811813"/>
    <w:rsid w:val="00811FC0"/>
    <w:rsid w:val="00812766"/>
    <w:rsid w:val="00812F97"/>
    <w:rsid w:val="00812FB4"/>
    <w:rsid w:val="008130BF"/>
    <w:rsid w:val="008136DD"/>
    <w:rsid w:val="00813A04"/>
    <w:rsid w:val="00813C3D"/>
    <w:rsid w:val="00813C9A"/>
    <w:rsid w:val="00813D10"/>
    <w:rsid w:val="00814189"/>
    <w:rsid w:val="00814D3E"/>
    <w:rsid w:val="0081519C"/>
    <w:rsid w:val="008151DB"/>
    <w:rsid w:val="00815983"/>
    <w:rsid w:val="00815A33"/>
    <w:rsid w:val="008160B1"/>
    <w:rsid w:val="00816779"/>
    <w:rsid w:val="00816A49"/>
    <w:rsid w:val="00816F24"/>
    <w:rsid w:val="008171D6"/>
    <w:rsid w:val="008173E1"/>
    <w:rsid w:val="00817AFB"/>
    <w:rsid w:val="00817D7E"/>
    <w:rsid w:val="008204B9"/>
    <w:rsid w:val="008205DC"/>
    <w:rsid w:val="00820653"/>
    <w:rsid w:val="00820AB0"/>
    <w:rsid w:val="00820CA4"/>
    <w:rsid w:val="008210CC"/>
    <w:rsid w:val="008211D9"/>
    <w:rsid w:val="00821679"/>
    <w:rsid w:val="008217B7"/>
    <w:rsid w:val="008217E0"/>
    <w:rsid w:val="00821DA4"/>
    <w:rsid w:val="008227BD"/>
    <w:rsid w:val="00822AA4"/>
    <w:rsid w:val="00822C58"/>
    <w:rsid w:val="008237CF"/>
    <w:rsid w:val="00823EB8"/>
    <w:rsid w:val="0082445C"/>
    <w:rsid w:val="00824837"/>
    <w:rsid w:val="00824938"/>
    <w:rsid w:val="00825271"/>
    <w:rsid w:val="00825B0D"/>
    <w:rsid w:val="00825FEA"/>
    <w:rsid w:val="00826336"/>
    <w:rsid w:val="00826409"/>
    <w:rsid w:val="008266C7"/>
    <w:rsid w:val="00826796"/>
    <w:rsid w:val="00826B82"/>
    <w:rsid w:val="008270C7"/>
    <w:rsid w:val="008272BA"/>
    <w:rsid w:val="008272C3"/>
    <w:rsid w:val="00827DDE"/>
    <w:rsid w:val="00827ECE"/>
    <w:rsid w:val="00830164"/>
    <w:rsid w:val="008302F1"/>
    <w:rsid w:val="00830DBA"/>
    <w:rsid w:val="00830DD5"/>
    <w:rsid w:val="00830F01"/>
    <w:rsid w:val="00831002"/>
    <w:rsid w:val="00831174"/>
    <w:rsid w:val="008316CA"/>
    <w:rsid w:val="008319E7"/>
    <w:rsid w:val="00831A1A"/>
    <w:rsid w:val="00831A22"/>
    <w:rsid w:val="00831DA6"/>
    <w:rsid w:val="008326F0"/>
    <w:rsid w:val="0083289A"/>
    <w:rsid w:val="008330FE"/>
    <w:rsid w:val="008336A9"/>
    <w:rsid w:val="0083410E"/>
    <w:rsid w:val="0083482E"/>
    <w:rsid w:val="00834D25"/>
    <w:rsid w:val="00835153"/>
    <w:rsid w:val="00835A89"/>
    <w:rsid w:val="00835C5A"/>
    <w:rsid w:val="00836E5D"/>
    <w:rsid w:val="00837DFA"/>
    <w:rsid w:val="00837E4F"/>
    <w:rsid w:val="008409FF"/>
    <w:rsid w:val="00840ACA"/>
    <w:rsid w:val="00840C2F"/>
    <w:rsid w:val="00840ED6"/>
    <w:rsid w:val="008410DF"/>
    <w:rsid w:val="008415A7"/>
    <w:rsid w:val="008419C9"/>
    <w:rsid w:val="00841D60"/>
    <w:rsid w:val="008425BB"/>
    <w:rsid w:val="00842C33"/>
    <w:rsid w:val="00842EE8"/>
    <w:rsid w:val="00842EF7"/>
    <w:rsid w:val="0084300E"/>
    <w:rsid w:val="00843024"/>
    <w:rsid w:val="00843514"/>
    <w:rsid w:val="008436E3"/>
    <w:rsid w:val="00843730"/>
    <w:rsid w:val="008437BA"/>
    <w:rsid w:val="00844B13"/>
    <w:rsid w:val="00844F86"/>
    <w:rsid w:val="00845181"/>
    <w:rsid w:val="008451B2"/>
    <w:rsid w:val="00845278"/>
    <w:rsid w:val="00845356"/>
    <w:rsid w:val="00845BB6"/>
    <w:rsid w:val="00845D11"/>
    <w:rsid w:val="008461F2"/>
    <w:rsid w:val="0084626D"/>
    <w:rsid w:val="0084684B"/>
    <w:rsid w:val="00846CB2"/>
    <w:rsid w:val="00846D8D"/>
    <w:rsid w:val="00847295"/>
    <w:rsid w:val="00847838"/>
    <w:rsid w:val="00847EE8"/>
    <w:rsid w:val="008500C6"/>
    <w:rsid w:val="00850166"/>
    <w:rsid w:val="00850639"/>
    <w:rsid w:val="008510D6"/>
    <w:rsid w:val="008513B9"/>
    <w:rsid w:val="00851728"/>
    <w:rsid w:val="008518C4"/>
    <w:rsid w:val="0085243F"/>
    <w:rsid w:val="0085290B"/>
    <w:rsid w:val="008531C1"/>
    <w:rsid w:val="00853708"/>
    <w:rsid w:val="00853ABD"/>
    <w:rsid w:val="008548EE"/>
    <w:rsid w:val="00854A25"/>
    <w:rsid w:val="00854AE2"/>
    <w:rsid w:val="00854C3B"/>
    <w:rsid w:val="008553E6"/>
    <w:rsid w:val="00855A1A"/>
    <w:rsid w:val="00856098"/>
    <w:rsid w:val="0085652F"/>
    <w:rsid w:val="008566B8"/>
    <w:rsid w:val="008567FB"/>
    <w:rsid w:val="00856B9D"/>
    <w:rsid w:val="00856C23"/>
    <w:rsid w:val="00856D5D"/>
    <w:rsid w:val="0085736E"/>
    <w:rsid w:val="008574C2"/>
    <w:rsid w:val="008578E7"/>
    <w:rsid w:val="00857CDA"/>
    <w:rsid w:val="00860153"/>
    <w:rsid w:val="00860CDA"/>
    <w:rsid w:val="00860F2D"/>
    <w:rsid w:val="0086119F"/>
    <w:rsid w:val="00861349"/>
    <w:rsid w:val="008617AB"/>
    <w:rsid w:val="008619CB"/>
    <w:rsid w:val="008620BD"/>
    <w:rsid w:val="00862743"/>
    <w:rsid w:val="00862F57"/>
    <w:rsid w:val="008630DB"/>
    <w:rsid w:val="00863C41"/>
    <w:rsid w:val="00863E19"/>
    <w:rsid w:val="00863E20"/>
    <w:rsid w:val="00863EC9"/>
    <w:rsid w:val="00864519"/>
    <w:rsid w:val="00864EB7"/>
    <w:rsid w:val="00864F4D"/>
    <w:rsid w:val="00865480"/>
    <w:rsid w:val="00865AB1"/>
    <w:rsid w:val="00865C1E"/>
    <w:rsid w:val="00865EDD"/>
    <w:rsid w:val="00866164"/>
    <w:rsid w:val="0086650F"/>
    <w:rsid w:val="0086684A"/>
    <w:rsid w:val="008668B9"/>
    <w:rsid w:val="00866D36"/>
    <w:rsid w:val="00867064"/>
    <w:rsid w:val="0086743B"/>
    <w:rsid w:val="0086784D"/>
    <w:rsid w:val="00867BCF"/>
    <w:rsid w:val="00867E8B"/>
    <w:rsid w:val="0087025D"/>
    <w:rsid w:val="0087063C"/>
    <w:rsid w:val="00870E00"/>
    <w:rsid w:val="00871A75"/>
    <w:rsid w:val="00871B94"/>
    <w:rsid w:val="00872852"/>
    <w:rsid w:val="00872978"/>
    <w:rsid w:val="00872E50"/>
    <w:rsid w:val="0087329E"/>
    <w:rsid w:val="00873492"/>
    <w:rsid w:val="00873905"/>
    <w:rsid w:val="00873948"/>
    <w:rsid w:val="00873DB9"/>
    <w:rsid w:val="008740CF"/>
    <w:rsid w:val="00874785"/>
    <w:rsid w:val="00874972"/>
    <w:rsid w:val="00874F9C"/>
    <w:rsid w:val="008751B6"/>
    <w:rsid w:val="008755F7"/>
    <w:rsid w:val="00875626"/>
    <w:rsid w:val="0087563F"/>
    <w:rsid w:val="008759F5"/>
    <w:rsid w:val="008761F8"/>
    <w:rsid w:val="00876866"/>
    <w:rsid w:val="0087718C"/>
    <w:rsid w:val="008777D2"/>
    <w:rsid w:val="0087792A"/>
    <w:rsid w:val="00877D28"/>
    <w:rsid w:val="008805DB"/>
    <w:rsid w:val="00880B78"/>
    <w:rsid w:val="00880EC9"/>
    <w:rsid w:val="00880FC1"/>
    <w:rsid w:val="008815C5"/>
    <w:rsid w:val="00881808"/>
    <w:rsid w:val="008819C1"/>
    <w:rsid w:val="00881FAD"/>
    <w:rsid w:val="0088244E"/>
    <w:rsid w:val="008824A8"/>
    <w:rsid w:val="0088261E"/>
    <w:rsid w:val="008826D6"/>
    <w:rsid w:val="00882AD1"/>
    <w:rsid w:val="00882BF3"/>
    <w:rsid w:val="00883D85"/>
    <w:rsid w:val="00883F33"/>
    <w:rsid w:val="00883F6E"/>
    <w:rsid w:val="0088421A"/>
    <w:rsid w:val="0088422A"/>
    <w:rsid w:val="008842A4"/>
    <w:rsid w:val="008845DF"/>
    <w:rsid w:val="008846ED"/>
    <w:rsid w:val="00884792"/>
    <w:rsid w:val="00884895"/>
    <w:rsid w:val="0088494D"/>
    <w:rsid w:val="008850E3"/>
    <w:rsid w:val="0088566B"/>
    <w:rsid w:val="00885937"/>
    <w:rsid w:val="00886069"/>
    <w:rsid w:val="008866B3"/>
    <w:rsid w:val="0088676F"/>
    <w:rsid w:val="00886888"/>
    <w:rsid w:val="00886919"/>
    <w:rsid w:val="00886AE2"/>
    <w:rsid w:val="00886BB3"/>
    <w:rsid w:val="00886D2E"/>
    <w:rsid w:val="00886DD2"/>
    <w:rsid w:val="00886F75"/>
    <w:rsid w:val="00887621"/>
    <w:rsid w:val="008877D3"/>
    <w:rsid w:val="00887AF4"/>
    <w:rsid w:val="00887B2B"/>
    <w:rsid w:val="00887C83"/>
    <w:rsid w:val="008902C5"/>
    <w:rsid w:val="0089038F"/>
    <w:rsid w:val="008904EF"/>
    <w:rsid w:val="008905DB"/>
    <w:rsid w:val="00890664"/>
    <w:rsid w:val="008907EF"/>
    <w:rsid w:val="00890A8C"/>
    <w:rsid w:val="00890D8D"/>
    <w:rsid w:val="00890E76"/>
    <w:rsid w:val="008915CF"/>
    <w:rsid w:val="008916DE"/>
    <w:rsid w:val="00891783"/>
    <w:rsid w:val="00891D4F"/>
    <w:rsid w:val="008926C3"/>
    <w:rsid w:val="00892957"/>
    <w:rsid w:val="00892CCD"/>
    <w:rsid w:val="00893420"/>
    <w:rsid w:val="00894119"/>
    <w:rsid w:val="0089463C"/>
    <w:rsid w:val="00894935"/>
    <w:rsid w:val="00894CBF"/>
    <w:rsid w:val="0089530F"/>
    <w:rsid w:val="008955F4"/>
    <w:rsid w:val="00895D87"/>
    <w:rsid w:val="00895D92"/>
    <w:rsid w:val="008961B5"/>
    <w:rsid w:val="00896328"/>
    <w:rsid w:val="00896975"/>
    <w:rsid w:val="00896FEF"/>
    <w:rsid w:val="008972BC"/>
    <w:rsid w:val="00897728"/>
    <w:rsid w:val="00897C8C"/>
    <w:rsid w:val="00897E16"/>
    <w:rsid w:val="008A0208"/>
    <w:rsid w:val="008A05BE"/>
    <w:rsid w:val="008A073A"/>
    <w:rsid w:val="008A0890"/>
    <w:rsid w:val="008A089F"/>
    <w:rsid w:val="008A093B"/>
    <w:rsid w:val="008A0BBF"/>
    <w:rsid w:val="008A0FF8"/>
    <w:rsid w:val="008A2514"/>
    <w:rsid w:val="008A252E"/>
    <w:rsid w:val="008A2706"/>
    <w:rsid w:val="008A272F"/>
    <w:rsid w:val="008A29DA"/>
    <w:rsid w:val="008A2A3D"/>
    <w:rsid w:val="008A321B"/>
    <w:rsid w:val="008A3250"/>
    <w:rsid w:val="008A396D"/>
    <w:rsid w:val="008A3B5D"/>
    <w:rsid w:val="008A3B63"/>
    <w:rsid w:val="008A3DA0"/>
    <w:rsid w:val="008A4040"/>
    <w:rsid w:val="008A409C"/>
    <w:rsid w:val="008A40E7"/>
    <w:rsid w:val="008A41B4"/>
    <w:rsid w:val="008A44ED"/>
    <w:rsid w:val="008A4591"/>
    <w:rsid w:val="008A4685"/>
    <w:rsid w:val="008A468C"/>
    <w:rsid w:val="008A4BC0"/>
    <w:rsid w:val="008A4C08"/>
    <w:rsid w:val="008A51EE"/>
    <w:rsid w:val="008A5580"/>
    <w:rsid w:val="008A559A"/>
    <w:rsid w:val="008A5727"/>
    <w:rsid w:val="008A5799"/>
    <w:rsid w:val="008A57B6"/>
    <w:rsid w:val="008A57FE"/>
    <w:rsid w:val="008A5963"/>
    <w:rsid w:val="008A5B12"/>
    <w:rsid w:val="008A5D50"/>
    <w:rsid w:val="008A5D83"/>
    <w:rsid w:val="008A61AE"/>
    <w:rsid w:val="008A6440"/>
    <w:rsid w:val="008A6B9D"/>
    <w:rsid w:val="008A7E87"/>
    <w:rsid w:val="008A7EBE"/>
    <w:rsid w:val="008B03B0"/>
    <w:rsid w:val="008B04D4"/>
    <w:rsid w:val="008B0FEA"/>
    <w:rsid w:val="008B1536"/>
    <w:rsid w:val="008B17B5"/>
    <w:rsid w:val="008B18AD"/>
    <w:rsid w:val="008B1C49"/>
    <w:rsid w:val="008B1F41"/>
    <w:rsid w:val="008B1F86"/>
    <w:rsid w:val="008B2217"/>
    <w:rsid w:val="008B22EE"/>
    <w:rsid w:val="008B2825"/>
    <w:rsid w:val="008B2A44"/>
    <w:rsid w:val="008B2D0E"/>
    <w:rsid w:val="008B3059"/>
    <w:rsid w:val="008B30EE"/>
    <w:rsid w:val="008B3146"/>
    <w:rsid w:val="008B3547"/>
    <w:rsid w:val="008B39D1"/>
    <w:rsid w:val="008B3BA1"/>
    <w:rsid w:val="008B3C74"/>
    <w:rsid w:val="008B471F"/>
    <w:rsid w:val="008B47A9"/>
    <w:rsid w:val="008B4C3F"/>
    <w:rsid w:val="008B544C"/>
    <w:rsid w:val="008B55CF"/>
    <w:rsid w:val="008B5911"/>
    <w:rsid w:val="008B5BB6"/>
    <w:rsid w:val="008B5C7A"/>
    <w:rsid w:val="008B613E"/>
    <w:rsid w:val="008B629D"/>
    <w:rsid w:val="008B63FF"/>
    <w:rsid w:val="008B655B"/>
    <w:rsid w:val="008B6BE9"/>
    <w:rsid w:val="008B71ED"/>
    <w:rsid w:val="008B77BD"/>
    <w:rsid w:val="008B79C6"/>
    <w:rsid w:val="008B7B41"/>
    <w:rsid w:val="008B7CE2"/>
    <w:rsid w:val="008B7DA5"/>
    <w:rsid w:val="008B7F74"/>
    <w:rsid w:val="008C046C"/>
    <w:rsid w:val="008C0709"/>
    <w:rsid w:val="008C0869"/>
    <w:rsid w:val="008C18F2"/>
    <w:rsid w:val="008C2428"/>
    <w:rsid w:val="008C25BA"/>
    <w:rsid w:val="008C2781"/>
    <w:rsid w:val="008C2A1E"/>
    <w:rsid w:val="008C2B2C"/>
    <w:rsid w:val="008C3450"/>
    <w:rsid w:val="008C36E8"/>
    <w:rsid w:val="008C37F6"/>
    <w:rsid w:val="008C3976"/>
    <w:rsid w:val="008C41BC"/>
    <w:rsid w:val="008C5B21"/>
    <w:rsid w:val="008C5E13"/>
    <w:rsid w:val="008C5E80"/>
    <w:rsid w:val="008C6A2A"/>
    <w:rsid w:val="008C6DC4"/>
    <w:rsid w:val="008C6F6E"/>
    <w:rsid w:val="008C7111"/>
    <w:rsid w:val="008C7693"/>
    <w:rsid w:val="008C7A79"/>
    <w:rsid w:val="008C7F9A"/>
    <w:rsid w:val="008D002B"/>
    <w:rsid w:val="008D0341"/>
    <w:rsid w:val="008D04B9"/>
    <w:rsid w:val="008D0E9D"/>
    <w:rsid w:val="008D1856"/>
    <w:rsid w:val="008D1A3B"/>
    <w:rsid w:val="008D2145"/>
    <w:rsid w:val="008D2342"/>
    <w:rsid w:val="008D2398"/>
    <w:rsid w:val="008D2478"/>
    <w:rsid w:val="008D281D"/>
    <w:rsid w:val="008D2A9D"/>
    <w:rsid w:val="008D3551"/>
    <w:rsid w:val="008D39D6"/>
    <w:rsid w:val="008D3CC5"/>
    <w:rsid w:val="008D4185"/>
    <w:rsid w:val="008D4345"/>
    <w:rsid w:val="008D456F"/>
    <w:rsid w:val="008D4A02"/>
    <w:rsid w:val="008D55CF"/>
    <w:rsid w:val="008D574E"/>
    <w:rsid w:val="008D583C"/>
    <w:rsid w:val="008D6439"/>
    <w:rsid w:val="008D6542"/>
    <w:rsid w:val="008D6A6C"/>
    <w:rsid w:val="008D6DE1"/>
    <w:rsid w:val="008D719F"/>
    <w:rsid w:val="008D71E5"/>
    <w:rsid w:val="008D751E"/>
    <w:rsid w:val="008D7833"/>
    <w:rsid w:val="008D7A22"/>
    <w:rsid w:val="008D7FCC"/>
    <w:rsid w:val="008E038C"/>
    <w:rsid w:val="008E04A4"/>
    <w:rsid w:val="008E0F3C"/>
    <w:rsid w:val="008E0FC6"/>
    <w:rsid w:val="008E1163"/>
    <w:rsid w:val="008E1285"/>
    <w:rsid w:val="008E1511"/>
    <w:rsid w:val="008E157F"/>
    <w:rsid w:val="008E1BA8"/>
    <w:rsid w:val="008E20BB"/>
    <w:rsid w:val="008E26E5"/>
    <w:rsid w:val="008E2BD2"/>
    <w:rsid w:val="008E2CFA"/>
    <w:rsid w:val="008E327F"/>
    <w:rsid w:val="008E33EB"/>
    <w:rsid w:val="008E3400"/>
    <w:rsid w:val="008E3745"/>
    <w:rsid w:val="008E4267"/>
    <w:rsid w:val="008E4617"/>
    <w:rsid w:val="008E477F"/>
    <w:rsid w:val="008E47B7"/>
    <w:rsid w:val="008E4ABD"/>
    <w:rsid w:val="008E4C41"/>
    <w:rsid w:val="008E54FA"/>
    <w:rsid w:val="008E5A5F"/>
    <w:rsid w:val="008E6269"/>
    <w:rsid w:val="008E6418"/>
    <w:rsid w:val="008E646C"/>
    <w:rsid w:val="008E69E5"/>
    <w:rsid w:val="008E6F52"/>
    <w:rsid w:val="008E72C7"/>
    <w:rsid w:val="008E7AEF"/>
    <w:rsid w:val="008E7BD5"/>
    <w:rsid w:val="008E7CC4"/>
    <w:rsid w:val="008E7DC1"/>
    <w:rsid w:val="008F0587"/>
    <w:rsid w:val="008F08BE"/>
    <w:rsid w:val="008F0B94"/>
    <w:rsid w:val="008F0DF8"/>
    <w:rsid w:val="008F0E2E"/>
    <w:rsid w:val="008F135D"/>
    <w:rsid w:val="008F1817"/>
    <w:rsid w:val="008F1866"/>
    <w:rsid w:val="008F19B5"/>
    <w:rsid w:val="008F1B14"/>
    <w:rsid w:val="008F34B3"/>
    <w:rsid w:val="008F35CE"/>
    <w:rsid w:val="008F35D0"/>
    <w:rsid w:val="008F3E2F"/>
    <w:rsid w:val="008F3F3F"/>
    <w:rsid w:val="008F4149"/>
    <w:rsid w:val="008F42EC"/>
    <w:rsid w:val="008F4367"/>
    <w:rsid w:val="008F446D"/>
    <w:rsid w:val="008F4507"/>
    <w:rsid w:val="008F453E"/>
    <w:rsid w:val="008F4EE9"/>
    <w:rsid w:val="008F4F6A"/>
    <w:rsid w:val="008F5EEB"/>
    <w:rsid w:val="008F68F0"/>
    <w:rsid w:val="008F706F"/>
    <w:rsid w:val="008F7354"/>
    <w:rsid w:val="008F7866"/>
    <w:rsid w:val="008F7EC8"/>
    <w:rsid w:val="009001F9"/>
    <w:rsid w:val="009005A8"/>
    <w:rsid w:val="009007E4"/>
    <w:rsid w:val="00900A6B"/>
    <w:rsid w:val="0090126F"/>
    <w:rsid w:val="00901B5E"/>
    <w:rsid w:val="0090258B"/>
    <w:rsid w:val="009026F1"/>
    <w:rsid w:val="00902B9C"/>
    <w:rsid w:val="00902DF5"/>
    <w:rsid w:val="00902F59"/>
    <w:rsid w:val="0090327D"/>
    <w:rsid w:val="009035CB"/>
    <w:rsid w:val="009036F9"/>
    <w:rsid w:val="00903C45"/>
    <w:rsid w:val="0090400C"/>
    <w:rsid w:val="00904115"/>
    <w:rsid w:val="009044EE"/>
    <w:rsid w:val="00904A0A"/>
    <w:rsid w:val="00904CBF"/>
    <w:rsid w:val="00905886"/>
    <w:rsid w:val="00905B1B"/>
    <w:rsid w:val="00905BB3"/>
    <w:rsid w:val="00905D69"/>
    <w:rsid w:val="00905E0E"/>
    <w:rsid w:val="00905E69"/>
    <w:rsid w:val="00905E9C"/>
    <w:rsid w:val="00905F03"/>
    <w:rsid w:val="00906131"/>
    <w:rsid w:val="00906FF3"/>
    <w:rsid w:val="00907390"/>
    <w:rsid w:val="009075CD"/>
    <w:rsid w:val="00907CBA"/>
    <w:rsid w:val="00907D11"/>
    <w:rsid w:val="00907D54"/>
    <w:rsid w:val="00907D94"/>
    <w:rsid w:val="00907FBF"/>
    <w:rsid w:val="0091018D"/>
    <w:rsid w:val="0091049C"/>
    <w:rsid w:val="009106B4"/>
    <w:rsid w:val="00910C1F"/>
    <w:rsid w:val="00910E0C"/>
    <w:rsid w:val="0091185B"/>
    <w:rsid w:val="0091186A"/>
    <w:rsid w:val="009118A8"/>
    <w:rsid w:val="00911CA2"/>
    <w:rsid w:val="009121FB"/>
    <w:rsid w:val="0091232D"/>
    <w:rsid w:val="00912786"/>
    <w:rsid w:val="00912E42"/>
    <w:rsid w:val="00912F67"/>
    <w:rsid w:val="00913007"/>
    <w:rsid w:val="009131B8"/>
    <w:rsid w:val="00913467"/>
    <w:rsid w:val="00913615"/>
    <w:rsid w:val="00913728"/>
    <w:rsid w:val="009139E9"/>
    <w:rsid w:val="009139EA"/>
    <w:rsid w:val="009141E0"/>
    <w:rsid w:val="009141F5"/>
    <w:rsid w:val="00914391"/>
    <w:rsid w:val="00914555"/>
    <w:rsid w:val="00914821"/>
    <w:rsid w:val="00914BB4"/>
    <w:rsid w:val="00914CDF"/>
    <w:rsid w:val="0091551B"/>
    <w:rsid w:val="009156F0"/>
    <w:rsid w:val="00915909"/>
    <w:rsid w:val="00915D65"/>
    <w:rsid w:val="00915DAB"/>
    <w:rsid w:val="0091682C"/>
    <w:rsid w:val="0091695E"/>
    <w:rsid w:val="00916AA5"/>
    <w:rsid w:val="00916C83"/>
    <w:rsid w:val="00916FB0"/>
    <w:rsid w:val="00917CCE"/>
    <w:rsid w:val="00920E6C"/>
    <w:rsid w:val="00921210"/>
    <w:rsid w:val="0092132F"/>
    <w:rsid w:val="0092142E"/>
    <w:rsid w:val="00921658"/>
    <w:rsid w:val="0092176E"/>
    <w:rsid w:val="00922388"/>
    <w:rsid w:val="00922A01"/>
    <w:rsid w:val="00922C9B"/>
    <w:rsid w:val="00922CB5"/>
    <w:rsid w:val="009234DE"/>
    <w:rsid w:val="00923527"/>
    <w:rsid w:val="00923748"/>
    <w:rsid w:val="00923973"/>
    <w:rsid w:val="00923C7E"/>
    <w:rsid w:val="00923EDC"/>
    <w:rsid w:val="00924898"/>
    <w:rsid w:val="009258A1"/>
    <w:rsid w:val="00925C57"/>
    <w:rsid w:val="009266A8"/>
    <w:rsid w:val="009266C1"/>
    <w:rsid w:val="00926BC1"/>
    <w:rsid w:val="00926CD8"/>
    <w:rsid w:val="00926F01"/>
    <w:rsid w:val="00927084"/>
    <w:rsid w:val="00927BB7"/>
    <w:rsid w:val="00927C5B"/>
    <w:rsid w:val="009300E9"/>
    <w:rsid w:val="00930C58"/>
    <w:rsid w:val="0093171A"/>
    <w:rsid w:val="009318DE"/>
    <w:rsid w:val="00931B74"/>
    <w:rsid w:val="00931E1B"/>
    <w:rsid w:val="00931EB5"/>
    <w:rsid w:val="009321B9"/>
    <w:rsid w:val="009324C1"/>
    <w:rsid w:val="00932787"/>
    <w:rsid w:val="00933085"/>
    <w:rsid w:val="009330A1"/>
    <w:rsid w:val="0093333C"/>
    <w:rsid w:val="00933B43"/>
    <w:rsid w:val="00933B7F"/>
    <w:rsid w:val="00934A4C"/>
    <w:rsid w:val="00934CC8"/>
    <w:rsid w:val="00934E42"/>
    <w:rsid w:val="00934FB1"/>
    <w:rsid w:val="00935037"/>
    <w:rsid w:val="0093512B"/>
    <w:rsid w:val="00936085"/>
    <w:rsid w:val="0093622E"/>
    <w:rsid w:val="009363D0"/>
    <w:rsid w:val="009364B5"/>
    <w:rsid w:val="00936540"/>
    <w:rsid w:val="00936CFA"/>
    <w:rsid w:val="00936D22"/>
    <w:rsid w:val="00936F66"/>
    <w:rsid w:val="00936F6C"/>
    <w:rsid w:val="00937788"/>
    <w:rsid w:val="009377A7"/>
    <w:rsid w:val="00937890"/>
    <w:rsid w:val="00937F24"/>
    <w:rsid w:val="009403CC"/>
    <w:rsid w:val="00940691"/>
    <w:rsid w:val="009406C6"/>
    <w:rsid w:val="00940811"/>
    <w:rsid w:val="00940948"/>
    <w:rsid w:val="00940ACC"/>
    <w:rsid w:val="00940CC4"/>
    <w:rsid w:val="00940E73"/>
    <w:rsid w:val="00940EB8"/>
    <w:rsid w:val="00941758"/>
    <w:rsid w:val="0094196F"/>
    <w:rsid w:val="00941A5E"/>
    <w:rsid w:val="00941D26"/>
    <w:rsid w:val="00942076"/>
    <w:rsid w:val="0094213B"/>
    <w:rsid w:val="009427A6"/>
    <w:rsid w:val="00942865"/>
    <w:rsid w:val="00942A2C"/>
    <w:rsid w:val="00942B73"/>
    <w:rsid w:val="009432A8"/>
    <w:rsid w:val="009432C3"/>
    <w:rsid w:val="009437D3"/>
    <w:rsid w:val="00943D7A"/>
    <w:rsid w:val="0094416C"/>
    <w:rsid w:val="0094428B"/>
    <w:rsid w:val="00944366"/>
    <w:rsid w:val="009445F1"/>
    <w:rsid w:val="00944718"/>
    <w:rsid w:val="009447C6"/>
    <w:rsid w:val="009449F8"/>
    <w:rsid w:val="00944B59"/>
    <w:rsid w:val="00944BE2"/>
    <w:rsid w:val="00944CAC"/>
    <w:rsid w:val="00944CB0"/>
    <w:rsid w:val="00944ED6"/>
    <w:rsid w:val="0094516D"/>
    <w:rsid w:val="00945477"/>
    <w:rsid w:val="009455E6"/>
    <w:rsid w:val="00945F78"/>
    <w:rsid w:val="009466F5"/>
    <w:rsid w:val="00946718"/>
    <w:rsid w:val="00946881"/>
    <w:rsid w:val="00946E09"/>
    <w:rsid w:val="0094738E"/>
    <w:rsid w:val="009475F7"/>
    <w:rsid w:val="009476A4"/>
    <w:rsid w:val="009477C7"/>
    <w:rsid w:val="00947B97"/>
    <w:rsid w:val="00947D8B"/>
    <w:rsid w:val="00950016"/>
    <w:rsid w:val="00950088"/>
    <w:rsid w:val="00950116"/>
    <w:rsid w:val="00950189"/>
    <w:rsid w:val="0095026C"/>
    <w:rsid w:val="00950A49"/>
    <w:rsid w:val="00950F7A"/>
    <w:rsid w:val="00951579"/>
    <w:rsid w:val="00951F41"/>
    <w:rsid w:val="009521C0"/>
    <w:rsid w:val="009522C5"/>
    <w:rsid w:val="009524AF"/>
    <w:rsid w:val="009528C1"/>
    <w:rsid w:val="00952D0D"/>
    <w:rsid w:val="00952EC9"/>
    <w:rsid w:val="00953094"/>
    <w:rsid w:val="0095338E"/>
    <w:rsid w:val="009534A3"/>
    <w:rsid w:val="009538EC"/>
    <w:rsid w:val="00953998"/>
    <w:rsid w:val="00953A6A"/>
    <w:rsid w:val="00953F20"/>
    <w:rsid w:val="009544CC"/>
    <w:rsid w:val="009552CC"/>
    <w:rsid w:val="009556AC"/>
    <w:rsid w:val="009558B0"/>
    <w:rsid w:val="00955939"/>
    <w:rsid w:val="00955F9F"/>
    <w:rsid w:val="009560A4"/>
    <w:rsid w:val="00956201"/>
    <w:rsid w:val="009565B8"/>
    <w:rsid w:val="00956626"/>
    <w:rsid w:val="009566AE"/>
    <w:rsid w:val="00956E39"/>
    <w:rsid w:val="00956F14"/>
    <w:rsid w:val="0095717B"/>
    <w:rsid w:val="0095752B"/>
    <w:rsid w:val="00957EE7"/>
    <w:rsid w:val="00960507"/>
    <w:rsid w:val="00960835"/>
    <w:rsid w:val="00960C64"/>
    <w:rsid w:val="00960F50"/>
    <w:rsid w:val="009610D4"/>
    <w:rsid w:val="00961E3C"/>
    <w:rsid w:val="009621F5"/>
    <w:rsid w:val="00963058"/>
    <w:rsid w:val="0096329C"/>
    <w:rsid w:val="009633A3"/>
    <w:rsid w:val="009635FC"/>
    <w:rsid w:val="00963678"/>
    <w:rsid w:val="009637BB"/>
    <w:rsid w:val="009639E1"/>
    <w:rsid w:val="00963C47"/>
    <w:rsid w:val="00963E82"/>
    <w:rsid w:val="009643D1"/>
    <w:rsid w:val="00964430"/>
    <w:rsid w:val="0096465D"/>
    <w:rsid w:val="009649C8"/>
    <w:rsid w:val="00964F4E"/>
    <w:rsid w:val="009653C9"/>
    <w:rsid w:val="009654F5"/>
    <w:rsid w:val="00965BA3"/>
    <w:rsid w:val="0096613D"/>
    <w:rsid w:val="0096655A"/>
    <w:rsid w:val="00966CCD"/>
    <w:rsid w:val="00966E80"/>
    <w:rsid w:val="0096718F"/>
    <w:rsid w:val="00967312"/>
    <w:rsid w:val="0096735E"/>
    <w:rsid w:val="00967864"/>
    <w:rsid w:val="00967A82"/>
    <w:rsid w:val="00967DD3"/>
    <w:rsid w:val="00970F15"/>
    <w:rsid w:val="00970FEC"/>
    <w:rsid w:val="009710A8"/>
    <w:rsid w:val="00971825"/>
    <w:rsid w:val="00971A33"/>
    <w:rsid w:val="00971A4C"/>
    <w:rsid w:val="00971A50"/>
    <w:rsid w:val="00971ED8"/>
    <w:rsid w:val="0097222F"/>
    <w:rsid w:val="00972231"/>
    <w:rsid w:val="00972789"/>
    <w:rsid w:val="00972E70"/>
    <w:rsid w:val="00973068"/>
    <w:rsid w:val="009737D6"/>
    <w:rsid w:val="00973A58"/>
    <w:rsid w:val="009741CC"/>
    <w:rsid w:val="009746E1"/>
    <w:rsid w:val="009747B6"/>
    <w:rsid w:val="00974968"/>
    <w:rsid w:val="00974B13"/>
    <w:rsid w:val="00974BC6"/>
    <w:rsid w:val="00974E14"/>
    <w:rsid w:val="00974FE3"/>
    <w:rsid w:val="009757EC"/>
    <w:rsid w:val="009762F3"/>
    <w:rsid w:val="00976959"/>
    <w:rsid w:val="009769A7"/>
    <w:rsid w:val="00976A8B"/>
    <w:rsid w:val="009771A9"/>
    <w:rsid w:val="0097750C"/>
    <w:rsid w:val="00980000"/>
    <w:rsid w:val="00980037"/>
    <w:rsid w:val="009800B3"/>
    <w:rsid w:val="009800D4"/>
    <w:rsid w:val="00980627"/>
    <w:rsid w:val="0098087D"/>
    <w:rsid w:val="009814B9"/>
    <w:rsid w:val="00981BC8"/>
    <w:rsid w:val="00981C07"/>
    <w:rsid w:val="00981C41"/>
    <w:rsid w:val="00982312"/>
    <w:rsid w:val="0098239B"/>
    <w:rsid w:val="00982534"/>
    <w:rsid w:val="00982F05"/>
    <w:rsid w:val="009830DC"/>
    <w:rsid w:val="00983114"/>
    <w:rsid w:val="00983307"/>
    <w:rsid w:val="009834DC"/>
    <w:rsid w:val="00983677"/>
    <w:rsid w:val="00983C1D"/>
    <w:rsid w:val="0098402E"/>
    <w:rsid w:val="009846BE"/>
    <w:rsid w:val="00984D77"/>
    <w:rsid w:val="00985109"/>
    <w:rsid w:val="00985335"/>
    <w:rsid w:val="00985542"/>
    <w:rsid w:val="0098566E"/>
    <w:rsid w:val="009861A4"/>
    <w:rsid w:val="009862F6"/>
    <w:rsid w:val="009866B5"/>
    <w:rsid w:val="00986C33"/>
    <w:rsid w:val="009876AD"/>
    <w:rsid w:val="00987893"/>
    <w:rsid w:val="00987F44"/>
    <w:rsid w:val="00990121"/>
    <w:rsid w:val="0099021D"/>
    <w:rsid w:val="00990290"/>
    <w:rsid w:val="009902FF"/>
    <w:rsid w:val="0099095A"/>
    <w:rsid w:val="00990AC8"/>
    <w:rsid w:val="00990D8B"/>
    <w:rsid w:val="00990FA4"/>
    <w:rsid w:val="00991412"/>
    <w:rsid w:val="00991591"/>
    <w:rsid w:val="0099167B"/>
    <w:rsid w:val="009919CD"/>
    <w:rsid w:val="00991C5C"/>
    <w:rsid w:val="0099217C"/>
    <w:rsid w:val="0099237C"/>
    <w:rsid w:val="009924DF"/>
    <w:rsid w:val="009927A0"/>
    <w:rsid w:val="00992E85"/>
    <w:rsid w:val="009934AC"/>
    <w:rsid w:val="009935D2"/>
    <w:rsid w:val="009937F9"/>
    <w:rsid w:val="0099403A"/>
    <w:rsid w:val="00994087"/>
    <w:rsid w:val="00994802"/>
    <w:rsid w:val="009948FE"/>
    <w:rsid w:val="00994951"/>
    <w:rsid w:val="009949AF"/>
    <w:rsid w:val="00994A48"/>
    <w:rsid w:val="00994BCD"/>
    <w:rsid w:val="00995045"/>
    <w:rsid w:val="009952F9"/>
    <w:rsid w:val="0099573B"/>
    <w:rsid w:val="009957D2"/>
    <w:rsid w:val="00995E3B"/>
    <w:rsid w:val="00996314"/>
    <w:rsid w:val="00996373"/>
    <w:rsid w:val="009965A0"/>
    <w:rsid w:val="009967A1"/>
    <w:rsid w:val="0099684E"/>
    <w:rsid w:val="00996E1C"/>
    <w:rsid w:val="00997700"/>
    <w:rsid w:val="00997A48"/>
    <w:rsid w:val="00997D4E"/>
    <w:rsid w:val="00997E70"/>
    <w:rsid w:val="009A08A2"/>
    <w:rsid w:val="009A0B65"/>
    <w:rsid w:val="009A1315"/>
    <w:rsid w:val="009A1917"/>
    <w:rsid w:val="009A19EE"/>
    <w:rsid w:val="009A1C67"/>
    <w:rsid w:val="009A1C80"/>
    <w:rsid w:val="009A1DA9"/>
    <w:rsid w:val="009A1FAF"/>
    <w:rsid w:val="009A23E4"/>
    <w:rsid w:val="009A28DD"/>
    <w:rsid w:val="009A2C72"/>
    <w:rsid w:val="009A2F40"/>
    <w:rsid w:val="009A3032"/>
    <w:rsid w:val="009A32EC"/>
    <w:rsid w:val="009A3AFE"/>
    <w:rsid w:val="009A3D68"/>
    <w:rsid w:val="009A3E42"/>
    <w:rsid w:val="009A3EA6"/>
    <w:rsid w:val="009A3EC6"/>
    <w:rsid w:val="009A43DC"/>
    <w:rsid w:val="009A4581"/>
    <w:rsid w:val="009A45AE"/>
    <w:rsid w:val="009A54D0"/>
    <w:rsid w:val="009A595B"/>
    <w:rsid w:val="009A5A32"/>
    <w:rsid w:val="009A5CE6"/>
    <w:rsid w:val="009A5DDD"/>
    <w:rsid w:val="009A630C"/>
    <w:rsid w:val="009A65F6"/>
    <w:rsid w:val="009A6A03"/>
    <w:rsid w:val="009A6FE3"/>
    <w:rsid w:val="009A73A8"/>
    <w:rsid w:val="009A798D"/>
    <w:rsid w:val="009A7A58"/>
    <w:rsid w:val="009A7D60"/>
    <w:rsid w:val="009A7E9B"/>
    <w:rsid w:val="009A7F2F"/>
    <w:rsid w:val="009B0074"/>
    <w:rsid w:val="009B07BB"/>
    <w:rsid w:val="009B0AD9"/>
    <w:rsid w:val="009B14D9"/>
    <w:rsid w:val="009B19F9"/>
    <w:rsid w:val="009B1CA2"/>
    <w:rsid w:val="009B1E60"/>
    <w:rsid w:val="009B1F0E"/>
    <w:rsid w:val="009B1FC6"/>
    <w:rsid w:val="009B2709"/>
    <w:rsid w:val="009B2D21"/>
    <w:rsid w:val="009B2DEF"/>
    <w:rsid w:val="009B3164"/>
    <w:rsid w:val="009B34CC"/>
    <w:rsid w:val="009B35B7"/>
    <w:rsid w:val="009B3A47"/>
    <w:rsid w:val="009B3C0C"/>
    <w:rsid w:val="009B3C11"/>
    <w:rsid w:val="009B3F9D"/>
    <w:rsid w:val="009B418C"/>
    <w:rsid w:val="009B42A8"/>
    <w:rsid w:val="009B445A"/>
    <w:rsid w:val="009B4596"/>
    <w:rsid w:val="009B541E"/>
    <w:rsid w:val="009B59D2"/>
    <w:rsid w:val="009B5DDC"/>
    <w:rsid w:val="009B6037"/>
    <w:rsid w:val="009B6434"/>
    <w:rsid w:val="009B684D"/>
    <w:rsid w:val="009B7150"/>
    <w:rsid w:val="009B7BAE"/>
    <w:rsid w:val="009C0007"/>
    <w:rsid w:val="009C0058"/>
    <w:rsid w:val="009C0569"/>
    <w:rsid w:val="009C0C71"/>
    <w:rsid w:val="009C0E09"/>
    <w:rsid w:val="009C1418"/>
    <w:rsid w:val="009C142F"/>
    <w:rsid w:val="009C1A4B"/>
    <w:rsid w:val="009C2936"/>
    <w:rsid w:val="009C2EAA"/>
    <w:rsid w:val="009C385B"/>
    <w:rsid w:val="009C38CA"/>
    <w:rsid w:val="009C40BA"/>
    <w:rsid w:val="009C424F"/>
    <w:rsid w:val="009C42DA"/>
    <w:rsid w:val="009C4549"/>
    <w:rsid w:val="009C45A7"/>
    <w:rsid w:val="009C45F2"/>
    <w:rsid w:val="009C4BE9"/>
    <w:rsid w:val="009C5869"/>
    <w:rsid w:val="009C58BA"/>
    <w:rsid w:val="009C58D5"/>
    <w:rsid w:val="009C5C02"/>
    <w:rsid w:val="009C5E9C"/>
    <w:rsid w:val="009C5E9D"/>
    <w:rsid w:val="009C6059"/>
    <w:rsid w:val="009C63D4"/>
    <w:rsid w:val="009C6C00"/>
    <w:rsid w:val="009C727C"/>
    <w:rsid w:val="009C739C"/>
    <w:rsid w:val="009C73D5"/>
    <w:rsid w:val="009C7A51"/>
    <w:rsid w:val="009C7E75"/>
    <w:rsid w:val="009C7EF4"/>
    <w:rsid w:val="009C7F00"/>
    <w:rsid w:val="009D02DC"/>
    <w:rsid w:val="009D031E"/>
    <w:rsid w:val="009D074E"/>
    <w:rsid w:val="009D0B17"/>
    <w:rsid w:val="009D0BCC"/>
    <w:rsid w:val="009D0C2E"/>
    <w:rsid w:val="009D1929"/>
    <w:rsid w:val="009D1CA7"/>
    <w:rsid w:val="009D1F4B"/>
    <w:rsid w:val="009D2490"/>
    <w:rsid w:val="009D2A21"/>
    <w:rsid w:val="009D2E3B"/>
    <w:rsid w:val="009D30A9"/>
    <w:rsid w:val="009D31AA"/>
    <w:rsid w:val="009D3329"/>
    <w:rsid w:val="009D3520"/>
    <w:rsid w:val="009D364F"/>
    <w:rsid w:val="009D3721"/>
    <w:rsid w:val="009D3778"/>
    <w:rsid w:val="009D3AC5"/>
    <w:rsid w:val="009D3EB5"/>
    <w:rsid w:val="009D4A5A"/>
    <w:rsid w:val="009D57B7"/>
    <w:rsid w:val="009D6140"/>
    <w:rsid w:val="009D627B"/>
    <w:rsid w:val="009D646B"/>
    <w:rsid w:val="009D68C7"/>
    <w:rsid w:val="009D6B94"/>
    <w:rsid w:val="009D712D"/>
    <w:rsid w:val="009D73AB"/>
    <w:rsid w:val="009D78DB"/>
    <w:rsid w:val="009D7DEC"/>
    <w:rsid w:val="009D7DFD"/>
    <w:rsid w:val="009D7E27"/>
    <w:rsid w:val="009E003D"/>
    <w:rsid w:val="009E059E"/>
    <w:rsid w:val="009E0613"/>
    <w:rsid w:val="009E063F"/>
    <w:rsid w:val="009E07C1"/>
    <w:rsid w:val="009E094A"/>
    <w:rsid w:val="009E0E2E"/>
    <w:rsid w:val="009E0F2C"/>
    <w:rsid w:val="009E1DF6"/>
    <w:rsid w:val="009E2279"/>
    <w:rsid w:val="009E2858"/>
    <w:rsid w:val="009E2B57"/>
    <w:rsid w:val="009E3141"/>
    <w:rsid w:val="009E3199"/>
    <w:rsid w:val="009E32B4"/>
    <w:rsid w:val="009E375D"/>
    <w:rsid w:val="009E3978"/>
    <w:rsid w:val="009E3BD8"/>
    <w:rsid w:val="009E3CB7"/>
    <w:rsid w:val="009E4562"/>
    <w:rsid w:val="009E4BB0"/>
    <w:rsid w:val="009E4F1E"/>
    <w:rsid w:val="009E55CB"/>
    <w:rsid w:val="009E5780"/>
    <w:rsid w:val="009E5877"/>
    <w:rsid w:val="009E5896"/>
    <w:rsid w:val="009E58A5"/>
    <w:rsid w:val="009E5934"/>
    <w:rsid w:val="009E6491"/>
    <w:rsid w:val="009E6825"/>
    <w:rsid w:val="009E6BCE"/>
    <w:rsid w:val="009E6EAE"/>
    <w:rsid w:val="009E7086"/>
    <w:rsid w:val="009E76A4"/>
    <w:rsid w:val="009E77D7"/>
    <w:rsid w:val="009E7C95"/>
    <w:rsid w:val="009E7FF0"/>
    <w:rsid w:val="009F005B"/>
    <w:rsid w:val="009F0A75"/>
    <w:rsid w:val="009F0D16"/>
    <w:rsid w:val="009F186C"/>
    <w:rsid w:val="009F1CC0"/>
    <w:rsid w:val="009F2306"/>
    <w:rsid w:val="009F2FA3"/>
    <w:rsid w:val="009F2FAE"/>
    <w:rsid w:val="009F35DA"/>
    <w:rsid w:val="009F37E9"/>
    <w:rsid w:val="009F3AF1"/>
    <w:rsid w:val="009F3B50"/>
    <w:rsid w:val="009F3D65"/>
    <w:rsid w:val="009F3E86"/>
    <w:rsid w:val="009F3FA8"/>
    <w:rsid w:val="009F427F"/>
    <w:rsid w:val="009F45D0"/>
    <w:rsid w:val="009F4740"/>
    <w:rsid w:val="009F4776"/>
    <w:rsid w:val="009F4AF6"/>
    <w:rsid w:val="009F4B50"/>
    <w:rsid w:val="009F502A"/>
    <w:rsid w:val="009F536C"/>
    <w:rsid w:val="009F5620"/>
    <w:rsid w:val="009F5698"/>
    <w:rsid w:val="009F66C7"/>
    <w:rsid w:val="009F67A2"/>
    <w:rsid w:val="009F70E3"/>
    <w:rsid w:val="009F753A"/>
    <w:rsid w:val="009F75ED"/>
    <w:rsid w:val="009F7C7F"/>
    <w:rsid w:val="00A0040A"/>
    <w:rsid w:val="00A00D8A"/>
    <w:rsid w:val="00A00F8E"/>
    <w:rsid w:val="00A01150"/>
    <w:rsid w:val="00A0120B"/>
    <w:rsid w:val="00A0127F"/>
    <w:rsid w:val="00A01387"/>
    <w:rsid w:val="00A01467"/>
    <w:rsid w:val="00A01A61"/>
    <w:rsid w:val="00A02143"/>
    <w:rsid w:val="00A0226B"/>
    <w:rsid w:val="00A025BB"/>
    <w:rsid w:val="00A02B72"/>
    <w:rsid w:val="00A02F90"/>
    <w:rsid w:val="00A0350F"/>
    <w:rsid w:val="00A03709"/>
    <w:rsid w:val="00A0378E"/>
    <w:rsid w:val="00A03FEE"/>
    <w:rsid w:val="00A04D38"/>
    <w:rsid w:val="00A053D4"/>
    <w:rsid w:val="00A05435"/>
    <w:rsid w:val="00A05461"/>
    <w:rsid w:val="00A05577"/>
    <w:rsid w:val="00A055E8"/>
    <w:rsid w:val="00A055F5"/>
    <w:rsid w:val="00A06445"/>
    <w:rsid w:val="00A064C0"/>
    <w:rsid w:val="00A06891"/>
    <w:rsid w:val="00A06B26"/>
    <w:rsid w:val="00A06CBC"/>
    <w:rsid w:val="00A07033"/>
    <w:rsid w:val="00A072E1"/>
    <w:rsid w:val="00A073B7"/>
    <w:rsid w:val="00A0765F"/>
    <w:rsid w:val="00A07846"/>
    <w:rsid w:val="00A07AD0"/>
    <w:rsid w:val="00A07B93"/>
    <w:rsid w:val="00A1038A"/>
    <w:rsid w:val="00A105A8"/>
    <w:rsid w:val="00A10710"/>
    <w:rsid w:val="00A10C6F"/>
    <w:rsid w:val="00A110F2"/>
    <w:rsid w:val="00A113DA"/>
    <w:rsid w:val="00A11DA2"/>
    <w:rsid w:val="00A120A9"/>
    <w:rsid w:val="00A12646"/>
    <w:rsid w:val="00A12ADD"/>
    <w:rsid w:val="00A13015"/>
    <w:rsid w:val="00A13957"/>
    <w:rsid w:val="00A13A95"/>
    <w:rsid w:val="00A142DD"/>
    <w:rsid w:val="00A14838"/>
    <w:rsid w:val="00A14DF5"/>
    <w:rsid w:val="00A15771"/>
    <w:rsid w:val="00A15B58"/>
    <w:rsid w:val="00A15D92"/>
    <w:rsid w:val="00A161FE"/>
    <w:rsid w:val="00A1681F"/>
    <w:rsid w:val="00A16C96"/>
    <w:rsid w:val="00A16D1A"/>
    <w:rsid w:val="00A16EAD"/>
    <w:rsid w:val="00A1733B"/>
    <w:rsid w:val="00A17541"/>
    <w:rsid w:val="00A1775D"/>
    <w:rsid w:val="00A17FA1"/>
    <w:rsid w:val="00A205E7"/>
    <w:rsid w:val="00A20C4C"/>
    <w:rsid w:val="00A20DFC"/>
    <w:rsid w:val="00A20E84"/>
    <w:rsid w:val="00A211AB"/>
    <w:rsid w:val="00A214CC"/>
    <w:rsid w:val="00A2160D"/>
    <w:rsid w:val="00A21A62"/>
    <w:rsid w:val="00A21B9E"/>
    <w:rsid w:val="00A22899"/>
    <w:rsid w:val="00A22A1B"/>
    <w:rsid w:val="00A22B2D"/>
    <w:rsid w:val="00A22B9D"/>
    <w:rsid w:val="00A22CB1"/>
    <w:rsid w:val="00A22CDC"/>
    <w:rsid w:val="00A22D9C"/>
    <w:rsid w:val="00A23500"/>
    <w:rsid w:val="00A23AB2"/>
    <w:rsid w:val="00A23CEB"/>
    <w:rsid w:val="00A24252"/>
    <w:rsid w:val="00A2452F"/>
    <w:rsid w:val="00A24C38"/>
    <w:rsid w:val="00A251C5"/>
    <w:rsid w:val="00A2536C"/>
    <w:rsid w:val="00A256C8"/>
    <w:rsid w:val="00A25922"/>
    <w:rsid w:val="00A259BD"/>
    <w:rsid w:val="00A25ED2"/>
    <w:rsid w:val="00A26005"/>
    <w:rsid w:val="00A26299"/>
    <w:rsid w:val="00A262C9"/>
    <w:rsid w:val="00A262E4"/>
    <w:rsid w:val="00A26491"/>
    <w:rsid w:val="00A2661C"/>
    <w:rsid w:val="00A2672F"/>
    <w:rsid w:val="00A2681D"/>
    <w:rsid w:val="00A26A42"/>
    <w:rsid w:val="00A273E3"/>
    <w:rsid w:val="00A27915"/>
    <w:rsid w:val="00A27B02"/>
    <w:rsid w:val="00A30615"/>
    <w:rsid w:val="00A30728"/>
    <w:rsid w:val="00A3088B"/>
    <w:rsid w:val="00A308E9"/>
    <w:rsid w:val="00A30C09"/>
    <w:rsid w:val="00A30D62"/>
    <w:rsid w:val="00A31841"/>
    <w:rsid w:val="00A318F9"/>
    <w:rsid w:val="00A31DE2"/>
    <w:rsid w:val="00A320CC"/>
    <w:rsid w:val="00A32589"/>
    <w:rsid w:val="00A325B3"/>
    <w:rsid w:val="00A3288D"/>
    <w:rsid w:val="00A32A35"/>
    <w:rsid w:val="00A33044"/>
    <w:rsid w:val="00A3314B"/>
    <w:rsid w:val="00A331CB"/>
    <w:rsid w:val="00A331DA"/>
    <w:rsid w:val="00A33B28"/>
    <w:rsid w:val="00A33C94"/>
    <w:rsid w:val="00A3423E"/>
    <w:rsid w:val="00A343E3"/>
    <w:rsid w:val="00A3471F"/>
    <w:rsid w:val="00A347B3"/>
    <w:rsid w:val="00A34844"/>
    <w:rsid w:val="00A3494B"/>
    <w:rsid w:val="00A349AF"/>
    <w:rsid w:val="00A34CD8"/>
    <w:rsid w:val="00A3549B"/>
    <w:rsid w:val="00A35598"/>
    <w:rsid w:val="00A35707"/>
    <w:rsid w:val="00A35763"/>
    <w:rsid w:val="00A359A0"/>
    <w:rsid w:val="00A35D0B"/>
    <w:rsid w:val="00A35DD7"/>
    <w:rsid w:val="00A35F52"/>
    <w:rsid w:val="00A36A79"/>
    <w:rsid w:val="00A36CBA"/>
    <w:rsid w:val="00A36E97"/>
    <w:rsid w:val="00A370E0"/>
    <w:rsid w:val="00A373B2"/>
    <w:rsid w:val="00A373F8"/>
    <w:rsid w:val="00A37435"/>
    <w:rsid w:val="00A37851"/>
    <w:rsid w:val="00A400C7"/>
    <w:rsid w:val="00A40270"/>
    <w:rsid w:val="00A407CA"/>
    <w:rsid w:val="00A40B93"/>
    <w:rsid w:val="00A40C14"/>
    <w:rsid w:val="00A414A0"/>
    <w:rsid w:val="00A41681"/>
    <w:rsid w:val="00A41A0C"/>
    <w:rsid w:val="00A41FAA"/>
    <w:rsid w:val="00A420A2"/>
    <w:rsid w:val="00A42106"/>
    <w:rsid w:val="00A42442"/>
    <w:rsid w:val="00A43164"/>
    <w:rsid w:val="00A43315"/>
    <w:rsid w:val="00A4365A"/>
    <w:rsid w:val="00A43951"/>
    <w:rsid w:val="00A43B3D"/>
    <w:rsid w:val="00A43B5F"/>
    <w:rsid w:val="00A43D4C"/>
    <w:rsid w:val="00A441AC"/>
    <w:rsid w:val="00A44314"/>
    <w:rsid w:val="00A44A9F"/>
    <w:rsid w:val="00A44C3B"/>
    <w:rsid w:val="00A44DDE"/>
    <w:rsid w:val="00A450C9"/>
    <w:rsid w:val="00A45143"/>
    <w:rsid w:val="00A455AD"/>
    <w:rsid w:val="00A46168"/>
    <w:rsid w:val="00A464A5"/>
    <w:rsid w:val="00A4658A"/>
    <w:rsid w:val="00A4693F"/>
    <w:rsid w:val="00A46C59"/>
    <w:rsid w:val="00A46F98"/>
    <w:rsid w:val="00A4724B"/>
    <w:rsid w:val="00A4781B"/>
    <w:rsid w:val="00A478D4"/>
    <w:rsid w:val="00A479EA"/>
    <w:rsid w:val="00A47AEE"/>
    <w:rsid w:val="00A47B37"/>
    <w:rsid w:val="00A47E8E"/>
    <w:rsid w:val="00A47FB8"/>
    <w:rsid w:val="00A5072C"/>
    <w:rsid w:val="00A50AAB"/>
    <w:rsid w:val="00A50E64"/>
    <w:rsid w:val="00A512F6"/>
    <w:rsid w:val="00A51F27"/>
    <w:rsid w:val="00A521A3"/>
    <w:rsid w:val="00A523ED"/>
    <w:rsid w:val="00A53146"/>
    <w:rsid w:val="00A5352F"/>
    <w:rsid w:val="00A535F6"/>
    <w:rsid w:val="00A537A6"/>
    <w:rsid w:val="00A5384F"/>
    <w:rsid w:val="00A53902"/>
    <w:rsid w:val="00A53A28"/>
    <w:rsid w:val="00A53E1F"/>
    <w:rsid w:val="00A53FBD"/>
    <w:rsid w:val="00A540A1"/>
    <w:rsid w:val="00A5427E"/>
    <w:rsid w:val="00A5446E"/>
    <w:rsid w:val="00A54959"/>
    <w:rsid w:val="00A54B3E"/>
    <w:rsid w:val="00A54B67"/>
    <w:rsid w:val="00A54E12"/>
    <w:rsid w:val="00A55064"/>
    <w:rsid w:val="00A55424"/>
    <w:rsid w:val="00A5552E"/>
    <w:rsid w:val="00A558E0"/>
    <w:rsid w:val="00A55BBA"/>
    <w:rsid w:val="00A55E89"/>
    <w:rsid w:val="00A55EC1"/>
    <w:rsid w:val="00A56242"/>
    <w:rsid w:val="00A5636F"/>
    <w:rsid w:val="00A56500"/>
    <w:rsid w:val="00A56690"/>
    <w:rsid w:val="00A56698"/>
    <w:rsid w:val="00A56A48"/>
    <w:rsid w:val="00A56B4C"/>
    <w:rsid w:val="00A56F56"/>
    <w:rsid w:val="00A57A2C"/>
    <w:rsid w:val="00A57CB5"/>
    <w:rsid w:val="00A57EAE"/>
    <w:rsid w:val="00A602D6"/>
    <w:rsid w:val="00A612E4"/>
    <w:rsid w:val="00A6137A"/>
    <w:rsid w:val="00A6137C"/>
    <w:rsid w:val="00A614F8"/>
    <w:rsid w:val="00A61682"/>
    <w:rsid w:val="00A618DA"/>
    <w:rsid w:val="00A61BCD"/>
    <w:rsid w:val="00A61EE0"/>
    <w:rsid w:val="00A61F67"/>
    <w:rsid w:val="00A62056"/>
    <w:rsid w:val="00A620C4"/>
    <w:rsid w:val="00A622AD"/>
    <w:rsid w:val="00A62397"/>
    <w:rsid w:val="00A62479"/>
    <w:rsid w:val="00A624D1"/>
    <w:rsid w:val="00A628F1"/>
    <w:rsid w:val="00A62EF3"/>
    <w:rsid w:val="00A630A2"/>
    <w:rsid w:val="00A6319A"/>
    <w:rsid w:val="00A635C5"/>
    <w:rsid w:val="00A649E1"/>
    <w:rsid w:val="00A64D21"/>
    <w:rsid w:val="00A64E2A"/>
    <w:rsid w:val="00A65820"/>
    <w:rsid w:val="00A65964"/>
    <w:rsid w:val="00A65BA2"/>
    <w:rsid w:val="00A65EF7"/>
    <w:rsid w:val="00A65F0A"/>
    <w:rsid w:val="00A6618D"/>
    <w:rsid w:val="00A66372"/>
    <w:rsid w:val="00A66376"/>
    <w:rsid w:val="00A6647C"/>
    <w:rsid w:val="00A66803"/>
    <w:rsid w:val="00A66D9B"/>
    <w:rsid w:val="00A66E93"/>
    <w:rsid w:val="00A67215"/>
    <w:rsid w:val="00A67395"/>
    <w:rsid w:val="00A678A3"/>
    <w:rsid w:val="00A67DA4"/>
    <w:rsid w:val="00A704E4"/>
    <w:rsid w:val="00A705D3"/>
    <w:rsid w:val="00A7088C"/>
    <w:rsid w:val="00A708E4"/>
    <w:rsid w:val="00A70B55"/>
    <w:rsid w:val="00A71032"/>
    <w:rsid w:val="00A710E1"/>
    <w:rsid w:val="00A714BF"/>
    <w:rsid w:val="00A71E3A"/>
    <w:rsid w:val="00A721D1"/>
    <w:rsid w:val="00A722A0"/>
    <w:rsid w:val="00A72767"/>
    <w:rsid w:val="00A72A08"/>
    <w:rsid w:val="00A72AE5"/>
    <w:rsid w:val="00A72DFF"/>
    <w:rsid w:val="00A72E87"/>
    <w:rsid w:val="00A734FF"/>
    <w:rsid w:val="00A73565"/>
    <w:rsid w:val="00A73981"/>
    <w:rsid w:val="00A7428F"/>
    <w:rsid w:val="00A74BA2"/>
    <w:rsid w:val="00A74E13"/>
    <w:rsid w:val="00A75191"/>
    <w:rsid w:val="00A752B2"/>
    <w:rsid w:val="00A75503"/>
    <w:rsid w:val="00A75616"/>
    <w:rsid w:val="00A7578E"/>
    <w:rsid w:val="00A75A6C"/>
    <w:rsid w:val="00A760E9"/>
    <w:rsid w:val="00A76A59"/>
    <w:rsid w:val="00A76B94"/>
    <w:rsid w:val="00A7767F"/>
    <w:rsid w:val="00A7781F"/>
    <w:rsid w:val="00A77A9B"/>
    <w:rsid w:val="00A8071A"/>
    <w:rsid w:val="00A807A6"/>
    <w:rsid w:val="00A80BD3"/>
    <w:rsid w:val="00A80BFF"/>
    <w:rsid w:val="00A81149"/>
    <w:rsid w:val="00A8137A"/>
    <w:rsid w:val="00A81574"/>
    <w:rsid w:val="00A817F3"/>
    <w:rsid w:val="00A81C40"/>
    <w:rsid w:val="00A82136"/>
    <w:rsid w:val="00A82304"/>
    <w:rsid w:val="00A82785"/>
    <w:rsid w:val="00A82C7A"/>
    <w:rsid w:val="00A83128"/>
    <w:rsid w:val="00A83383"/>
    <w:rsid w:val="00A837E2"/>
    <w:rsid w:val="00A83D60"/>
    <w:rsid w:val="00A84591"/>
    <w:rsid w:val="00A84616"/>
    <w:rsid w:val="00A8486E"/>
    <w:rsid w:val="00A84883"/>
    <w:rsid w:val="00A84D82"/>
    <w:rsid w:val="00A84E96"/>
    <w:rsid w:val="00A857F8"/>
    <w:rsid w:val="00A858FD"/>
    <w:rsid w:val="00A86688"/>
    <w:rsid w:val="00A86974"/>
    <w:rsid w:val="00A86EE7"/>
    <w:rsid w:val="00A87311"/>
    <w:rsid w:val="00A907A4"/>
    <w:rsid w:val="00A91337"/>
    <w:rsid w:val="00A9157E"/>
    <w:rsid w:val="00A91773"/>
    <w:rsid w:val="00A91DB1"/>
    <w:rsid w:val="00A91E59"/>
    <w:rsid w:val="00A92D51"/>
    <w:rsid w:val="00A93727"/>
    <w:rsid w:val="00A93C68"/>
    <w:rsid w:val="00A93C8E"/>
    <w:rsid w:val="00A93D3E"/>
    <w:rsid w:val="00A93E13"/>
    <w:rsid w:val="00A93F28"/>
    <w:rsid w:val="00A94098"/>
    <w:rsid w:val="00A94D6A"/>
    <w:rsid w:val="00A94F8C"/>
    <w:rsid w:val="00A94FD5"/>
    <w:rsid w:val="00A959BD"/>
    <w:rsid w:val="00A95A73"/>
    <w:rsid w:val="00A95F28"/>
    <w:rsid w:val="00A96B9F"/>
    <w:rsid w:val="00A96EFC"/>
    <w:rsid w:val="00A97829"/>
    <w:rsid w:val="00A97A1C"/>
    <w:rsid w:val="00A97DE6"/>
    <w:rsid w:val="00A97ED7"/>
    <w:rsid w:val="00A97F21"/>
    <w:rsid w:val="00AA0195"/>
    <w:rsid w:val="00AA01EF"/>
    <w:rsid w:val="00AA03A0"/>
    <w:rsid w:val="00AA0DCF"/>
    <w:rsid w:val="00AA18CA"/>
    <w:rsid w:val="00AA194D"/>
    <w:rsid w:val="00AA1D51"/>
    <w:rsid w:val="00AA2083"/>
    <w:rsid w:val="00AA3484"/>
    <w:rsid w:val="00AA3A0C"/>
    <w:rsid w:val="00AA3A48"/>
    <w:rsid w:val="00AA3C05"/>
    <w:rsid w:val="00AA3C3A"/>
    <w:rsid w:val="00AA4267"/>
    <w:rsid w:val="00AA462A"/>
    <w:rsid w:val="00AA486F"/>
    <w:rsid w:val="00AA539C"/>
    <w:rsid w:val="00AA55BA"/>
    <w:rsid w:val="00AA5DE9"/>
    <w:rsid w:val="00AA60E5"/>
    <w:rsid w:val="00AA625A"/>
    <w:rsid w:val="00AA69CB"/>
    <w:rsid w:val="00AA6DBA"/>
    <w:rsid w:val="00AA7307"/>
    <w:rsid w:val="00AA734B"/>
    <w:rsid w:val="00AA73DF"/>
    <w:rsid w:val="00AA73F1"/>
    <w:rsid w:val="00AA7860"/>
    <w:rsid w:val="00AA7C01"/>
    <w:rsid w:val="00AA7D55"/>
    <w:rsid w:val="00AB1149"/>
    <w:rsid w:val="00AB1710"/>
    <w:rsid w:val="00AB1A19"/>
    <w:rsid w:val="00AB1D61"/>
    <w:rsid w:val="00AB1E11"/>
    <w:rsid w:val="00AB1E15"/>
    <w:rsid w:val="00AB1FC9"/>
    <w:rsid w:val="00AB2311"/>
    <w:rsid w:val="00AB23E0"/>
    <w:rsid w:val="00AB2B78"/>
    <w:rsid w:val="00AB2DE4"/>
    <w:rsid w:val="00AB2F15"/>
    <w:rsid w:val="00AB3764"/>
    <w:rsid w:val="00AB378C"/>
    <w:rsid w:val="00AB3EAC"/>
    <w:rsid w:val="00AB425F"/>
    <w:rsid w:val="00AB4416"/>
    <w:rsid w:val="00AB45D3"/>
    <w:rsid w:val="00AB45F3"/>
    <w:rsid w:val="00AB47EE"/>
    <w:rsid w:val="00AB48D0"/>
    <w:rsid w:val="00AB4AA7"/>
    <w:rsid w:val="00AB4C89"/>
    <w:rsid w:val="00AB4FE1"/>
    <w:rsid w:val="00AB5516"/>
    <w:rsid w:val="00AB5608"/>
    <w:rsid w:val="00AB5868"/>
    <w:rsid w:val="00AB604B"/>
    <w:rsid w:val="00AB62ED"/>
    <w:rsid w:val="00AB67BF"/>
    <w:rsid w:val="00AB6FDA"/>
    <w:rsid w:val="00AB71D6"/>
    <w:rsid w:val="00AB7538"/>
    <w:rsid w:val="00AB7675"/>
    <w:rsid w:val="00AB7AB1"/>
    <w:rsid w:val="00AB7EE7"/>
    <w:rsid w:val="00AB7F17"/>
    <w:rsid w:val="00AC0148"/>
    <w:rsid w:val="00AC01B4"/>
    <w:rsid w:val="00AC0239"/>
    <w:rsid w:val="00AC0826"/>
    <w:rsid w:val="00AC0923"/>
    <w:rsid w:val="00AC093D"/>
    <w:rsid w:val="00AC09C7"/>
    <w:rsid w:val="00AC0EA6"/>
    <w:rsid w:val="00AC1005"/>
    <w:rsid w:val="00AC123B"/>
    <w:rsid w:val="00AC1413"/>
    <w:rsid w:val="00AC165A"/>
    <w:rsid w:val="00AC1F0E"/>
    <w:rsid w:val="00AC222F"/>
    <w:rsid w:val="00AC2765"/>
    <w:rsid w:val="00AC2C19"/>
    <w:rsid w:val="00AC3205"/>
    <w:rsid w:val="00AC3206"/>
    <w:rsid w:val="00AC344C"/>
    <w:rsid w:val="00AC374F"/>
    <w:rsid w:val="00AC3978"/>
    <w:rsid w:val="00AC3A5A"/>
    <w:rsid w:val="00AC3D88"/>
    <w:rsid w:val="00AC3FE7"/>
    <w:rsid w:val="00AC450C"/>
    <w:rsid w:val="00AC4855"/>
    <w:rsid w:val="00AC4CFD"/>
    <w:rsid w:val="00AC57BE"/>
    <w:rsid w:val="00AC5893"/>
    <w:rsid w:val="00AC5A90"/>
    <w:rsid w:val="00AC5AEB"/>
    <w:rsid w:val="00AC5B06"/>
    <w:rsid w:val="00AC5DD1"/>
    <w:rsid w:val="00AC6810"/>
    <w:rsid w:val="00AC68E5"/>
    <w:rsid w:val="00AC6B44"/>
    <w:rsid w:val="00AC6D77"/>
    <w:rsid w:val="00AC7545"/>
    <w:rsid w:val="00AC7557"/>
    <w:rsid w:val="00AC7943"/>
    <w:rsid w:val="00AC7E37"/>
    <w:rsid w:val="00AC7FE5"/>
    <w:rsid w:val="00AD07C9"/>
    <w:rsid w:val="00AD0904"/>
    <w:rsid w:val="00AD0BBD"/>
    <w:rsid w:val="00AD11ED"/>
    <w:rsid w:val="00AD19A0"/>
    <w:rsid w:val="00AD1CA3"/>
    <w:rsid w:val="00AD1DE7"/>
    <w:rsid w:val="00AD23B9"/>
    <w:rsid w:val="00AD2594"/>
    <w:rsid w:val="00AD2965"/>
    <w:rsid w:val="00AD2B23"/>
    <w:rsid w:val="00AD2B27"/>
    <w:rsid w:val="00AD34A8"/>
    <w:rsid w:val="00AD3861"/>
    <w:rsid w:val="00AD38C4"/>
    <w:rsid w:val="00AD3A4B"/>
    <w:rsid w:val="00AD3C01"/>
    <w:rsid w:val="00AD3C0B"/>
    <w:rsid w:val="00AD3FF8"/>
    <w:rsid w:val="00AD41D5"/>
    <w:rsid w:val="00AD48B3"/>
    <w:rsid w:val="00AD4983"/>
    <w:rsid w:val="00AD4B6D"/>
    <w:rsid w:val="00AD4B9C"/>
    <w:rsid w:val="00AD4EFE"/>
    <w:rsid w:val="00AD536A"/>
    <w:rsid w:val="00AD578B"/>
    <w:rsid w:val="00AD5E1F"/>
    <w:rsid w:val="00AD615F"/>
    <w:rsid w:val="00AD6414"/>
    <w:rsid w:val="00AD694D"/>
    <w:rsid w:val="00AD6E9E"/>
    <w:rsid w:val="00AD6FD0"/>
    <w:rsid w:val="00AD7289"/>
    <w:rsid w:val="00AD7516"/>
    <w:rsid w:val="00AD7F84"/>
    <w:rsid w:val="00AE05FE"/>
    <w:rsid w:val="00AE08BA"/>
    <w:rsid w:val="00AE0B53"/>
    <w:rsid w:val="00AE0E25"/>
    <w:rsid w:val="00AE10F2"/>
    <w:rsid w:val="00AE112B"/>
    <w:rsid w:val="00AE13B0"/>
    <w:rsid w:val="00AE142F"/>
    <w:rsid w:val="00AE15B8"/>
    <w:rsid w:val="00AE1738"/>
    <w:rsid w:val="00AE1D9B"/>
    <w:rsid w:val="00AE2021"/>
    <w:rsid w:val="00AE20DC"/>
    <w:rsid w:val="00AE2145"/>
    <w:rsid w:val="00AE23F1"/>
    <w:rsid w:val="00AE2999"/>
    <w:rsid w:val="00AE29D0"/>
    <w:rsid w:val="00AE2A35"/>
    <w:rsid w:val="00AE2A49"/>
    <w:rsid w:val="00AE2D4F"/>
    <w:rsid w:val="00AE2DE6"/>
    <w:rsid w:val="00AE2E38"/>
    <w:rsid w:val="00AE3143"/>
    <w:rsid w:val="00AE3260"/>
    <w:rsid w:val="00AE330C"/>
    <w:rsid w:val="00AE34F2"/>
    <w:rsid w:val="00AE368C"/>
    <w:rsid w:val="00AE3991"/>
    <w:rsid w:val="00AE3CD0"/>
    <w:rsid w:val="00AE3F27"/>
    <w:rsid w:val="00AE4457"/>
    <w:rsid w:val="00AE4509"/>
    <w:rsid w:val="00AE47B0"/>
    <w:rsid w:val="00AE4A63"/>
    <w:rsid w:val="00AE4C1C"/>
    <w:rsid w:val="00AE5014"/>
    <w:rsid w:val="00AE5133"/>
    <w:rsid w:val="00AE5241"/>
    <w:rsid w:val="00AE52A5"/>
    <w:rsid w:val="00AE598E"/>
    <w:rsid w:val="00AE6429"/>
    <w:rsid w:val="00AE67FD"/>
    <w:rsid w:val="00AE68EF"/>
    <w:rsid w:val="00AE6A13"/>
    <w:rsid w:val="00AE72B3"/>
    <w:rsid w:val="00AE751C"/>
    <w:rsid w:val="00AE7629"/>
    <w:rsid w:val="00AE79EA"/>
    <w:rsid w:val="00AF0017"/>
    <w:rsid w:val="00AF0277"/>
    <w:rsid w:val="00AF112B"/>
    <w:rsid w:val="00AF16C3"/>
    <w:rsid w:val="00AF1C52"/>
    <w:rsid w:val="00AF1D3F"/>
    <w:rsid w:val="00AF234C"/>
    <w:rsid w:val="00AF2561"/>
    <w:rsid w:val="00AF25BB"/>
    <w:rsid w:val="00AF2622"/>
    <w:rsid w:val="00AF287F"/>
    <w:rsid w:val="00AF3241"/>
    <w:rsid w:val="00AF34EF"/>
    <w:rsid w:val="00AF35F6"/>
    <w:rsid w:val="00AF369D"/>
    <w:rsid w:val="00AF36C1"/>
    <w:rsid w:val="00AF3BEF"/>
    <w:rsid w:val="00AF4090"/>
    <w:rsid w:val="00AF4119"/>
    <w:rsid w:val="00AF45E2"/>
    <w:rsid w:val="00AF4656"/>
    <w:rsid w:val="00AF4DF4"/>
    <w:rsid w:val="00AF59FA"/>
    <w:rsid w:val="00AF5F26"/>
    <w:rsid w:val="00AF6277"/>
    <w:rsid w:val="00AF6565"/>
    <w:rsid w:val="00AF67D6"/>
    <w:rsid w:val="00AF695C"/>
    <w:rsid w:val="00AF6B9B"/>
    <w:rsid w:val="00AF75D4"/>
    <w:rsid w:val="00AF7AF8"/>
    <w:rsid w:val="00AF7F8F"/>
    <w:rsid w:val="00B00356"/>
    <w:rsid w:val="00B004DA"/>
    <w:rsid w:val="00B00709"/>
    <w:rsid w:val="00B00969"/>
    <w:rsid w:val="00B00AEE"/>
    <w:rsid w:val="00B00C55"/>
    <w:rsid w:val="00B01693"/>
    <w:rsid w:val="00B01806"/>
    <w:rsid w:val="00B018DE"/>
    <w:rsid w:val="00B01911"/>
    <w:rsid w:val="00B01D8C"/>
    <w:rsid w:val="00B01E83"/>
    <w:rsid w:val="00B022B5"/>
    <w:rsid w:val="00B02963"/>
    <w:rsid w:val="00B02B20"/>
    <w:rsid w:val="00B02CF4"/>
    <w:rsid w:val="00B02D63"/>
    <w:rsid w:val="00B02D9F"/>
    <w:rsid w:val="00B035F9"/>
    <w:rsid w:val="00B046E9"/>
    <w:rsid w:val="00B04967"/>
    <w:rsid w:val="00B05027"/>
    <w:rsid w:val="00B051B0"/>
    <w:rsid w:val="00B05265"/>
    <w:rsid w:val="00B052EA"/>
    <w:rsid w:val="00B05DB3"/>
    <w:rsid w:val="00B0648E"/>
    <w:rsid w:val="00B0681E"/>
    <w:rsid w:val="00B06854"/>
    <w:rsid w:val="00B069C0"/>
    <w:rsid w:val="00B06F54"/>
    <w:rsid w:val="00B072D4"/>
    <w:rsid w:val="00B0747E"/>
    <w:rsid w:val="00B076C6"/>
    <w:rsid w:val="00B07AD0"/>
    <w:rsid w:val="00B1003E"/>
    <w:rsid w:val="00B104BA"/>
    <w:rsid w:val="00B10778"/>
    <w:rsid w:val="00B10E64"/>
    <w:rsid w:val="00B113DD"/>
    <w:rsid w:val="00B1159A"/>
    <w:rsid w:val="00B117B2"/>
    <w:rsid w:val="00B124F8"/>
    <w:rsid w:val="00B12E62"/>
    <w:rsid w:val="00B12E9F"/>
    <w:rsid w:val="00B13098"/>
    <w:rsid w:val="00B1353B"/>
    <w:rsid w:val="00B13F08"/>
    <w:rsid w:val="00B13F69"/>
    <w:rsid w:val="00B1414C"/>
    <w:rsid w:val="00B141DA"/>
    <w:rsid w:val="00B1424B"/>
    <w:rsid w:val="00B143C2"/>
    <w:rsid w:val="00B14794"/>
    <w:rsid w:val="00B14938"/>
    <w:rsid w:val="00B14E16"/>
    <w:rsid w:val="00B14FE5"/>
    <w:rsid w:val="00B159A9"/>
    <w:rsid w:val="00B15D42"/>
    <w:rsid w:val="00B15D8A"/>
    <w:rsid w:val="00B15F83"/>
    <w:rsid w:val="00B165F3"/>
    <w:rsid w:val="00B1697B"/>
    <w:rsid w:val="00B16E80"/>
    <w:rsid w:val="00B17759"/>
    <w:rsid w:val="00B17760"/>
    <w:rsid w:val="00B17990"/>
    <w:rsid w:val="00B17A3B"/>
    <w:rsid w:val="00B17B3D"/>
    <w:rsid w:val="00B17B64"/>
    <w:rsid w:val="00B17D3E"/>
    <w:rsid w:val="00B20696"/>
    <w:rsid w:val="00B2082C"/>
    <w:rsid w:val="00B20A8A"/>
    <w:rsid w:val="00B20F40"/>
    <w:rsid w:val="00B2121B"/>
    <w:rsid w:val="00B2191C"/>
    <w:rsid w:val="00B21A63"/>
    <w:rsid w:val="00B21D36"/>
    <w:rsid w:val="00B22076"/>
    <w:rsid w:val="00B22267"/>
    <w:rsid w:val="00B222EB"/>
    <w:rsid w:val="00B2250E"/>
    <w:rsid w:val="00B22748"/>
    <w:rsid w:val="00B22806"/>
    <w:rsid w:val="00B228B5"/>
    <w:rsid w:val="00B2298B"/>
    <w:rsid w:val="00B22BF7"/>
    <w:rsid w:val="00B22C27"/>
    <w:rsid w:val="00B22E9D"/>
    <w:rsid w:val="00B22EFB"/>
    <w:rsid w:val="00B23256"/>
    <w:rsid w:val="00B2334F"/>
    <w:rsid w:val="00B239B5"/>
    <w:rsid w:val="00B24271"/>
    <w:rsid w:val="00B24311"/>
    <w:rsid w:val="00B243CC"/>
    <w:rsid w:val="00B249B2"/>
    <w:rsid w:val="00B24A2B"/>
    <w:rsid w:val="00B24B23"/>
    <w:rsid w:val="00B24D30"/>
    <w:rsid w:val="00B2518F"/>
    <w:rsid w:val="00B254F9"/>
    <w:rsid w:val="00B25CC1"/>
    <w:rsid w:val="00B25F88"/>
    <w:rsid w:val="00B2613F"/>
    <w:rsid w:val="00B26FE7"/>
    <w:rsid w:val="00B275E9"/>
    <w:rsid w:val="00B27634"/>
    <w:rsid w:val="00B27B23"/>
    <w:rsid w:val="00B27E04"/>
    <w:rsid w:val="00B301A2"/>
    <w:rsid w:val="00B3054C"/>
    <w:rsid w:val="00B309B8"/>
    <w:rsid w:val="00B30DF4"/>
    <w:rsid w:val="00B30E02"/>
    <w:rsid w:val="00B30E42"/>
    <w:rsid w:val="00B31381"/>
    <w:rsid w:val="00B31457"/>
    <w:rsid w:val="00B3172B"/>
    <w:rsid w:val="00B31755"/>
    <w:rsid w:val="00B3185B"/>
    <w:rsid w:val="00B318CD"/>
    <w:rsid w:val="00B31939"/>
    <w:rsid w:val="00B31CF1"/>
    <w:rsid w:val="00B31F2D"/>
    <w:rsid w:val="00B325AF"/>
    <w:rsid w:val="00B329E7"/>
    <w:rsid w:val="00B32C65"/>
    <w:rsid w:val="00B3348D"/>
    <w:rsid w:val="00B3363F"/>
    <w:rsid w:val="00B33822"/>
    <w:rsid w:val="00B33887"/>
    <w:rsid w:val="00B34A01"/>
    <w:rsid w:val="00B34C22"/>
    <w:rsid w:val="00B34D3D"/>
    <w:rsid w:val="00B34F59"/>
    <w:rsid w:val="00B35179"/>
    <w:rsid w:val="00B35241"/>
    <w:rsid w:val="00B358E3"/>
    <w:rsid w:val="00B35CA8"/>
    <w:rsid w:val="00B35E6C"/>
    <w:rsid w:val="00B35EBE"/>
    <w:rsid w:val="00B369ED"/>
    <w:rsid w:val="00B36DE6"/>
    <w:rsid w:val="00B3744A"/>
    <w:rsid w:val="00B378B8"/>
    <w:rsid w:val="00B37950"/>
    <w:rsid w:val="00B37B3B"/>
    <w:rsid w:val="00B37FA5"/>
    <w:rsid w:val="00B4032D"/>
    <w:rsid w:val="00B404A0"/>
    <w:rsid w:val="00B40543"/>
    <w:rsid w:val="00B408DD"/>
    <w:rsid w:val="00B40992"/>
    <w:rsid w:val="00B40AAC"/>
    <w:rsid w:val="00B40B9E"/>
    <w:rsid w:val="00B40E00"/>
    <w:rsid w:val="00B40EC0"/>
    <w:rsid w:val="00B4131A"/>
    <w:rsid w:val="00B4151C"/>
    <w:rsid w:val="00B415C4"/>
    <w:rsid w:val="00B41A17"/>
    <w:rsid w:val="00B41EE8"/>
    <w:rsid w:val="00B426AA"/>
    <w:rsid w:val="00B4280F"/>
    <w:rsid w:val="00B42879"/>
    <w:rsid w:val="00B42BE3"/>
    <w:rsid w:val="00B43091"/>
    <w:rsid w:val="00B43648"/>
    <w:rsid w:val="00B439F3"/>
    <w:rsid w:val="00B44ADF"/>
    <w:rsid w:val="00B45237"/>
    <w:rsid w:val="00B45FC7"/>
    <w:rsid w:val="00B4602F"/>
    <w:rsid w:val="00B4621C"/>
    <w:rsid w:val="00B46815"/>
    <w:rsid w:val="00B46A3D"/>
    <w:rsid w:val="00B46C2E"/>
    <w:rsid w:val="00B46F1B"/>
    <w:rsid w:val="00B46FF7"/>
    <w:rsid w:val="00B470FF"/>
    <w:rsid w:val="00B472A2"/>
    <w:rsid w:val="00B4771B"/>
    <w:rsid w:val="00B47AC4"/>
    <w:rsid w:val="00B47D7A"/>
    <w:rsid w:val="00B47F3E"/>
    <w:rsid w:val="00B5072A"/>
    <w:rsid w:val="00B50CFE"/>
    <w:rsid w:val="00B50E79"/>
    <w:rsid w:val="00B51052"/>
    <w:rsid w:val="00B5173C"/>
    <w:rsid w:val="00B518CF"/>
    <w:rsid w:val="00B52146"/>
    <w:rsid w:val="00B52439"/>
    <w:rsid w:val="00B52E87"/>
    <w:rsid w:val="00B52F88"/>
    <w:rsid w:val="00B53452"/>
    <w:rsid w:val="00B53525"/>
    <w:rsid w:val="00B5352A"/>
    <w:rsid w:val="00B53A55"/>
    <w:rsid w:val="00B53CDC"/>
    <w:rsid w:val="00B53EB7"/>
    <w:rsid w:val="00B54232"/>
    <w:rsid w:val="00B54EC9"/>
    <w:rsid w:val="00B552FA"/>
    <w:rsid w:val="00B5536D"/>
    <w:rsid w:val="00B55616"/>
    <w:rsid w:val="00B5596F"/>
    <w:rsid w:val="00B55AAD"/>
    <w:rsid w:val="00B55E85"/>
    <w:rsid w:val="00B5611F"/>
    <w:rsid w:val="00B56E64"/>
    <w:rsid w:val="00B57671"/>
    <w:rsid w:val="00B57E7D"/>
    <w:rsid w:val="00B57FB6"/>
    <w:rsid w:val="00B611B8"/>
    <w:rsid w:val="00B614E3"/>
    <w:rsid w:val="00B61C09"/>
    <w:rsid w:val="00B61C73"/>
    <w:rsid w:val="00B61D27"/>
    <w:rsid w:val="00B62150"/>
    <w:rsid w:val="00B62203"/>
    <w:rsid w:val="00B6258E"/>
    <w:rsid w:val="00B62A17"/>
    <w:rsid w:val="00B6380D"/>
    <w:rsid w:val="00B64090"/>
    <w:rsid w:val="00B642D7"/>
    <w:rsid w:val="00B644B0"/>
    <w:rsid w:val="00B64578"/>
    <w:rsid w:val="00B651DE"/>
    <w:rsid w:val="00B657C6"/>
    <w:rsid w:val="00B66030"/>
    <w:rsid w:val="00B66796"/>
    <w:rsid w:val="00B66AC2"/>
    <w:rsid w:val="00B6712F"/>
    <w:rsid w:val="00B676CE"/>
    <w:rsid w:val="00B67C1F"/>
    <w:rsid w:val="00B707DE"/>
    <w:rsid w:val="00B70928"/>
    <w:rsid w:val="00B70A3A"/>
    <w:rsid w:val="00B70CAE"/>
    <w:rsid w:val="00B714C0"/>
    <w:rsid w:val="00B71684"/>
    <w:rsid w:val="00B717E8"/>
    <w:rsid w:val="00B71F68"/>
    <w:rsid w:val="00B722B0"/>
    <w:rsid w:val="00B722DA"/>
    <w:rsid w:val="00B7265D"/>
    <w:rsid w:val="00B72A6E"/>
    <w:rsid w:val="00B72C56"/>
    <w:rsid w:val="00B73559"/>
    <w:rsid w:val="00B73799"/>
    <w:rsid w:val="00B739DE"/>
    <w:rsid w:val="00B73A33"/>
    <w:rsid w:val="00B7435E"/>
    <w:rsid w:val="00B7448D"/>
    <w:rsid w:val="00B747C7"/>
    <w:rsid w:val="00B74928"/>
    <w:rsid w:val="00B74DA1"/>
    <w:rsid w:val="00B7511E"/>
    <w:rsid w:val="00B751A3"/>
    <w:rsid w:val="00B75750"/>
    <w:rsid w:val="00B75A57"/>
    <w:rsid w:val="00B75B39"/>
    <w:rsid w:val="00B75C3D"/>
    <w:rsid w:val="00B7611D"/>
    <w:rsid w:val="00B7616B"/>
    <w:rsid w:val="00B76394"/>
    <w:rsid w:val="00B767A9"/>
    <w:rsid w:val="00B7689B"/>
    <w:rsid w:val="00B769E9"/>
    <w:rsid w:val="00B77D47"/>
    <w:rsid w:val="00B77FCE"/>
    <w:rsid w:val="00B804C9"/>
    <w:rsid w:val="00B805EA"/>
    <w:rsid w:val="00B80677"/>
    <w:rsid w:val="00B80A29"/>
    <w:rsid w:val="00B812C8"/>
    <w:rsid w:val="00B81302"/>
    <w:rsid w:val="00B813E0"/>
    <w:rsid w:val="00B81452"/>
    <w:rsid w:val="00B8191C"/>
    <w:rsid w:val="00B81F35"/>
    <w:rsid w:val="00B82161"/>
    <w:rsid w:val="00B8265E"/>
    <w:rsid w:val="00B83475"/>
    <w:rsid w:val="00B83D88"/>
    <w:rsid w:val="00B84304"/>
    <w:rsid w:val="00B8433C"/>
    <w:rsid w:val="00B844F6"/>
    <w:rsid w:val="00B846B4"/>
    <w:rsid w:val="00B84847"/>
    <w:rsid w:val="00B84BA0"/>
    <w:rsid w:val="00B84BA1"/>
    <w:rsid w:val="00B84CBC"/>
    <w:rsid w:val="00B84CD1"/>
    <w:rsid w:val="00B84D0D"/>
    <w:rsid w:val="00B850C9"/>
    <w:rsid w:val="00B852B4"/>
    <w:rsid w:val="00B85819"/>
    <w:rsid w:val="00B85956"/>
    <w:rsid w:val="00B85B1D"/>
    <w:rsid w:val="00B85FDF"/>
    <w:rsid w:val="00B868A3"/>
    <w:rsid w:val="00B86DDE"/>
    <w:rsid w:val="00B8700C"/>
    <w:rsid w:val="00B87213"/>
    <w:rsid w:val="00B87244"/>
    <w:rsid w:val="00B87A98"/>
    <w:rsid w:val="00B87B0E"/>
    <w:rsid w:val="00B9030A"/>
    <w:rsid w:val="00B90610"/>
    <w:rsid w:val="00B90AC9"/>
    <w:rsid w:val="00B90D04"/>
    <w:rsid w:val="00B9122E"/>
    <w:rsid w:val="00B91BFA"/>
    <w:rsid w:val="00B926F9"/>
    <w:rsid w:val="00B92D03"/>
    <w:rsid w:val="00B93278"/>
    <w:rsid w:val="00B9335C"/>
    <w:rsid w:val="00B941CA"/>
    <w:rsid w:val="00B94292"/>
    <w:rsid w:val="00B94293"/>
    <w:rsid w:val="00B94555"/>
    <w:rsid w:val="00B94739"/>
    <w:rsid w:val="00B9509A"/>
    <w:rsid w:val="00B953DF"/>
    <w:rsid w:val="00B95471"/>
    <w:rsid w:val="00B9554D"/>
    <w:rsid w:val="00B957CF"/>
    <w:rsid w:val="00B9587C"/>
    <w:rsid w:val="00B9604B"/>
    <w:rsid w:val="00B960B8"/>
    <w:rsid w:val="00B9632C"/>
    <w:rsid w:val="00B966F5"/>
    <w:rsid w:val="00B96B2B"/>
    <w:rsid w:val="00B96C3F"/>
    <w:rsid w:val="00B9709E"/>
    <w:rsid w:val="00B97559"/>
    <w:rsid w:val="00B97B97"/>
    <w:rsid w:val="00BA01AE"/>
    <w:rsid w:val="00BA01EB"/>
    <w:rsid w:val="00BA08C5"/>
    <w:rsid w:val="00BA0A6E"/>
    <w:rsid w:val="00BA0BCE"/>
    <w:rsid w:val="00BA1199"/>
    <w:rsid w:val="00BA1427"/>
    <w:rsid w:val="00BA1610"/>
    <w:rsid w:val="00BA1667"/>
    <w:rsid w:val="00BA17EA"/>
    <w:rsid w:val="00BA1A12"/>
    <w:rsid w:val="00BA1BF2"/>
    <w:rsid w:val="00BA2019"/>
    <w:rsid w:val="00BA2278"/>
    <w:rsid w:val="00BA291E"/>
    <w:rsid w:val="00BA2943"/>
    <w:rsid w:val="00BA2AF1"/>
    <w:rsid w:val="00BA2F69"/>
    <w:rsid w:val="00BA3011"/>
    <w:rsid w:val="00BA31BF"/>
    <w:rsid w:val="00BA3A25"/>
    <w:rsid w:val="00BA4585"/>
    <w:rsid w:val="00BA484F"/>
    <w:rsid w:val="00BA4DF5"/>
    <w:rsid w:val="00BA50B2"/>
    <w:rsid w:val="00BA524B"/>
    <w:rsid w:val="00BA5773"/>
    <w:rsid w:val="00BA59A1"/>
    <w:rsid w:val="00BA6213"/>
    <w:rsid w:val="00BA65DB"/>
    <w:rsid w:val="00BA6C02"/>
    <w:rsid w:val="00BA6C0F"/>
    <w:rsid w:val="00BA7378"/>
    <w:rsid w:val="00BA793E"/>
    <w:rsid w:val="00BB005A"/>
    <w:rsid w:val="00BB00E4"/>
    <w:rsid w:val="00BB063A"/>
    <w:rsid w:val="00BB0913"/>
    <w:rsid w:val="00BB099D"/>
    <w:rsid w:val="00BB099E"/>
    <w:rsid w:val="00BB1522"/>
    <w:rsid w:val="00BB197F"/>
    <w:rsid w:val="00BB1BB5"/>
    <w:rsid w:val="00BB1BB8"/>
    <w:rsid w:val="00BB1BC5"/>
    <w:rsid w:val="00BB1D9F"/>
    <w:rsid w:val="00BB200C"/>
    <w:rsid w:val="00BB2325"/>
    <w:rsid w:val="00BB296D"/>
    <w:rsid w:val="00BB39B3"/>
    <w:rsid w:val="00BB40B4"/>
    <w:rsid w:val="00BB43D4"/>
    <w:rsid w:val="00BB4797"/>
    <w:rsid w:val="00BB4848"/>
    <w:rsid w:val="00BB531B"/>
    <w:rsid w:val="00BB550B"/>
    <w:rsid w:val="00BB589C"/>
    <w:rsid w:val="00BB608F"/>
    <w:rsid w:val="00BB62B2"/>
    <w:rsid w:val="00BB6479"/>
    <w:rsid w:val="00BB6626"/>
    <w:rsid w:val="00BB6C65"/>
    <w:rsid w:val="00BB6C87"/>
    <w:rsid w:val="00BB6CD5"/>
    <w:rsid w:val="00BB6DF0"/>
    <w:rsid w:val="00BB6FCD"/>
    <w:rsid w:val="00BB76DC"/>
    <w:rsid w:val="00BB7B4F"/>
    <w:rsid w:val="00BC01D9"/>
    <w:rsid w:val="00BC03D6"/>
    <w:rsid w:val="00BC08D7"/>
    <w:rsid w:val="00BC146A"/>
    <w:rsid w:val="00BC180C"/>
    <w:rsid w:val="00BC19C4"/>
    <w:rsid w:val="00BC1C0C"/>
    <w:rsid w:val="00BC1D65"/>
    <w:rsid w:val="00BC24B1"/>
    <w:rsid w:val="00BC27B1"/>
    <w:rsid w:val="00BC2809"/>
    <w:rsid w:val="00BC3255"/>
    <w:rsid w:val="00BC32CF"/>
    <w:rsid w:val="00BC3347"/>
    <w:rsid w:val="00BC349B"/>
    <w:rsid w:val="00BC3CB5"/>
    <w:rsid w:val="00BC48C4"/>
    <w:rsid w:val="00BC4B49"/>
    <w:rsid w:val="00BC5244"/>
    <w:rsid w:val="00BC5A3B"/>
    <w:rsid w:val="00BC5A4B"/>
    <w:rsid w:val="00BC5A99"/>
    <w:rsid w:val="00BC5CBC"/>
    <w:rsid w:val="00BC6034"/>
    <w:rsid w:val="00BC617D"/>
    <w:rsid w:val="00BC7803"/>
    <w:rsid w:val="00BC7AFF"/>
    <w:rsid w:val="00BD021B"/>
    <w:rsid w:val="00BD02AE"/>
    <w:rsid w:val="00BD04BD"/>
    <w:rsid w:val="00BD076C"/>
    <w:rsid w:val="00BD09EF"/>
    <w:rsid w:val="00BD0B52"/>
    <w:rsid w:val="00BD12C2"/>
    <w:rsid w:val="00BD1E84"/>
    <w:rsid w:val="00BD1E99"/>
    <w:rsid w:val="00BD1F75"/>
    <w:rsid w:val="00BD270A"/>
    <w:rsid w:val="00BD2C99"/>
    <w:rsid w:val="00BD30DB"/>
    <w:rsid w:val="00BD3178"/>
    <w:rsid w:val="00BD337D"/>
    <w:rsid w:val="00BD3435"/>
    <w:rsid w:val="00BD3478"/>
    <w:rsid w:val="00BD35FF"/>
    <w:rsid w:val="00BD4F62"/>
    <w:rsid w:val="00BD5DA3"/>
    <w:rsid w:val="00BD5DEC"/>
    <w:rsid w:val="00BD5F6D"/>
    <w:rsid w:val="00BD659A"/>
    <w:rsid w:val="00BD65DA"/>
    <w:rsid w:val="00BD65FD"/>
    <w:rsid w:val="00BD68C8"/>
    <w:rsid w:val="00BD6DDA"/>
    <w:rsid w:val="00BD6E42"/>
    <w:rsid w:val="00BD6E9C"/>
    <w:rsid w:val="00BD6ECF"/>
    <w:rsid w:val="00BD7117"/>
    <w:rsid w:val="00BD7252"/>
    <w:rsid w:val="00BD7A92"/>
    <w:rsid w:val="00BD7E29"/>
    <w:rsid w:val="00BE02FC"/>
    <w:rsid w:val="00BE0747"/>
    <w:rsid w:val="00BE0876"/>
    <w:rsid w:val="00BE161C"/>
    <w:rsid w:val="00BE188C"/>
    <w:rsid w:val="00BE1C48"/>
    <w:rsid w:val="00BE233A"/>
    <w:rsid w:val="00BE2BBB"/>
    <w:rsid w:val="00BE30A2"/>
    <w:rsid w:val="00BE3230"/>
    <w:rsid w:val="00BE3C51"/>
    <w:rsid w:val="00BE3DA1"/>
    <w:rsid w:val="00BE41F4"/>
    <w:rsid w:val="00BE45F0"/>
    <w:rsid w:val="00BE47A2"/>
    <w:rsid w:val="00BE487E"/>
    <w:rsid w:val="00BE49E4"/>
    <w:rsid w:val="00BE4B76"/>
    <w:rsid w:val="00BE4DAD"/>
    <w:rsid w:val="00BE4E05"/>
    <w:rsid w:val="00BE525C"/>
    <w:rsid w:val="00BE529C"/>
    <w:rsid w:val="00BE5A13"/>
    <w:rsid w:val="00BE6462"/>
    <w:rsid w:val="00BE6667"/>
    <w:rsid w:val="00BE6B3B"/>
    <w:rsid w:val="00BE6D91"/>
    <w:rsid w:val="00BE70D0"/>
    <w:rsid w:val="00BE75DA"/>
    <w:rsid w:val="00BF020D"/>
    <w:rsid w:val="00BF0695"/>
    <w:rsid w:val="00BF0F71"/>
    <w:rsid w:val="00BF1115"/>
    <w:rsid w:val="00BF14C6"/>
    <w:rsid w:val="00BF1640"/>
    <w:rsid w:val="00BF183B"/>
    <w:rsid w:val="00BF19EB"/>
    <w:rsid w:val="00BF1D08"/>
    <w:rsid w:val="00BF22B1"/>
    <w:rsid w:val="00BF22BD"/>
    <w:rsid w:val="00BF24D4"/>
    <w:rsid w:val="00BF27AA"/>
    <w:rsid w:val="00BF2A9D"/>
    <w:rsid w:val="00BF2B94"/>
    <w:rsid w:val="00BF2EC5"/>
    <w:rsid w:val="00BF3030"/>
    <w:rsid w:val="00BF4057"/>
    <w:rsid w:val="00BF4AAB"/>
    <w:rsid w:val="00BF4ED8"/>
    <w:rsid w:val="00BF509E"/>
    <w:rsid w:val="00BF50EC"/>
    <w:rsid w:val="00BF560E"/>
    <w:rsid w:val="00BF5A9C"/>
    <w:rsid w:val="00BF5C6E"/>
    <w:rsid w:val="00BF5CC2"/>
    <w:rsid w:val="00BF5D34"/>
    <w:rsid w:val="00BF634C"/>
    <w:rsid w:val="00BF6714"/>
    <w:rsid w:val="00BF6C09"/>
    <w:rsid w:val="00BF7237"/>
    <w:rsid w:val="00BF777D"/>
    <w:rsid w:val="00BF789F"/>
    <w:rsid w:val="00C00ED2"/>
    <w:rsid w:val="00C00F5C"/>
    <w:rsid w:val="00C013F1"/>
    <w:rsid w:val="00C01453"/>
    <w:rsid w:val="00C017BD"/>
    <w:rsid w:val="00C0196B"/>
    <w:rsid w:val="00C01EE5"/>
    <w:rsid w:val="00C021E3"/>
    <w:rsid w:val="00C022BD"/>
    <w:rsid w:val="00C02796"/>
    <w:rsid w:val="00C02FE8"/>
    <w:rsid w:val="00C0313B"/>
    <w:rsid w:val="00C0325B"/>
    <w:rsid w:val="00C03598"/>
    <w:rsid w:val="00C035B3"/>
    <w:rsid w:val="00C03DED"/>
    <w:rsid w:val="00C04222"/>
    <w:rsid w:val="00C0448C"/>
    <w:rsid w:val="00C046D0"/>
    <w:rsid w:val="00C048BB"/>
    <w:rsid w:val="00C04A96"/>
    <w:rsid w:val="00C0508E"/>
    <w:rsid w:val="00C050FD"/>
    <w:rsid w:val="00C05378"/>
    <w:rsid w:val="00C057B0"/>
    <w:rsid w:val="00C057E0"/>
    <w:rsid w:val="00C05AA2"/>
    <w:rsid w:val="00C05D2F"/>
    <w:rsid w:val="00C05E81"/>
    <w:rsid w:val="00C05F62"/>
    <w:rsid w:val="00C06365"/>
    <w:rsid w:val="00C063AA"/>
    <w:rsid w:val="00C06450"/>
    <w:rsid w:val="00C06970"/>
    <w:rsid w:val="00C06ABB"/>
    <w:rsid w:val="00C06B72"/>
    <w:rsid w:val="00C06F05"/>
    <w:rsid w:val="00C07124"/>
    <w:rsid w:val="00C077DF"/>
    <w:rsid w:val="00C07A97"/>
    <w:rsid w:val="00C07CF4"/>
    <w:rsid w:val="00C07D81"/>
    <w:rsid w:val="00C100D8"/>
    <w:rsid w:val="00C1039D"/>
    <w:rsid w:val="00C10C94"/>
    <w:rsid w:val="00C11017"/>
    <w:rsid w:val="00C11175"/>
    <w:rsid w:val="00C1174E"/>
    <w:rsid w:val="00C119B7"/>
    <w:rsid w:val="00C11C30"/>
    <w:rsid w:val="00C11FE3"/>
    <w:rsid w:val="00C120B4"/>
    <w:rsid w:val="00C120CE"/>
    <w:rsid w:val="00C1210E"/>
    <w:rsid w:val="00C12BA0"/>
    <w:rsid w:val="00C12BBA"/>
    <w:rsid w:val="00C12C91"/>
    <w:rsid w:val="00C12CCC"/>
    <w:rsid w:val="00C13381"/>
    <w:rsid w:val="00C13728"/>
    <w:rsid w:val="00C13DD1"/>
    <w:rsid w:val="00C1418E"/>
    <w:rsid w:val="00C1433A"/>
    <w:rsid w:val="00C14BBC"/>
    <w:rsid w:val="00C14C99"/>
    <w:rsid w:val="00C14E6E"/>
    <w:rsid w:val="00C15030"/>
    <w:rsid w:val="00C15391"/>
    <w:rsid w:val="00C156CE"/>
    <w:rsid w:val="00C15752"/>
    <w:rsid w:val="00C15873"/>
    <w:rsid w:val="00C15CED"/>
    <w:rsid w:val="00C15F87"/>
    <w:rsid w:val="00C1632A"/>
    <w:rsid w:val="00C16597"/>
    <w:rsid w:val="00C16C83"/>
    <w:rsid w:val="00C17192"/>
    <w:rsid w:val="00C17258"/>
    <w:rsid w:val="00C17320"/>
    <w:rsid w:val="00C173D5"/>
    <w:rsid w:val="00C17446"/>
    <w:rsid w:val="00C17581"/>
    <w:rsid w:val="00C17729"/>
    <w:rsid w:val="00C17C3C"/>
    <w:rsid w:val="00C17CA4"/>
    <w:rsid w:val="00C2085B"/>
    <w:rsid w:val="00C2093C"/>
    <w:rsid w:val="00C21151"/>
    <w:rsid w:val="00C21311"/>
    <w:rsid w:val="00C2150F"/>
    <w:rsid w:val="00C21741"/>
    <w:rsid w:val="00C21E9C"/>
    <w:rsid w:val="00C2229F"/>
    <w:rsid w:val="00C22A7C"/>
    <w:rsid w:val="00C22B86"/>
    <w:rsid w:val="00C22BB7"/>
    <w:rsid w:val="00C22D01"/>
    <w:rsid w:val="00C22DA2"/>
    <w:rsid w:val="00C22FF7"/>
    <w:rsid w:val="00C2343F"/>
    <w:rsid w:val="00C239E4"/>
    <w:rsid w:val="00C23A18"/>
    <w:rsid w:val="00C23A1A"/>
    <w:rsid w:val="00C24178"/>
    <w:rsid w:val="00C24DDD"/>
    <w:rsid w:val="00C24F11"/>
    <w:rsid w:val="00C251E9"/>
    <w:rsid w:val="00C25453"/>
    <w:rsid w:val="00C2548F"/>
    <w:rsid w:val="00C255D6"/>
    <w:rsid w:val="00C25636"/>
    <w:rsid w:val="00C26052"/>
    <w:rsid w:val="00C262F8"/>
    <w:rsid w:val="00C26555"/>
    <w:rsid w:val="00C2655E"/>
    <w:rsid w:val="00C26864"/>
    <w:rsid w:val="00C269DD"/>
    <w:rsid w:val="00C26E94"/>
    <w:rsid w:val="00C2717E"/>
    <w:rsid w:val="00C2761A"/>
    <w:rsid w:val="00C278E7"/>
    <w:rsid w:val="00C27A71"/>
    <w:rsid w:val="00C27A87"/>
    <w:rsid w:val="00C27C61"/>
    <w:rsid w:val="00C303B8"/>
    <w:rsid w:val="00C30584"/>
    <w:rsid w:val="00C30CE9"/>
    <w:rsid w:val="00C30F6B"/>
    <w:rsid w:val="00C312BF"/>
    <w:rsid w:val="00C315F1"/>
    <w:rsid w:val="00C3173A"/>
    <w:rsid w:val="00C318E2"/>
    <w:rsid w:val="00C31E8E"/>
    <w:rsid w:val="00C31F61"/>
    <w:rsid w:val="00C322D7"/>
    <w:rsid w:val="00C32C1C"/>
    <w:rsid w:val="00C32D32"/>
    <w:rsid w:val="00C33172"/>
    <w:rsid w:val="00C333F2"/>
    <w:rsid w:val="00C33487"/>
    <w:rsid w:val="00C3352C"/>
    <w:rsid w:val="00C33694"/>
    <w:rsid w:val="00C339AE"/>
    <w:rsid w:val="00C33BCD"/>
    <w:rsid w:val="00C33BD2"/>
    <w:rsid w:val="00C33DF0"/>
    <w:rsid w:val="00C33F47"/>
    <w:rsid w:val="00C344AA"/>
    <w:rsid w:val="00C348FB"/>
    <w:rsid w:val="00C34B54"/>
    <w:rsid w:val="00C350CD"/>
    <w:rsid w:val="00C354D9"/>
    <w:rsid w:val="00C355F6"/>
    <w:rsid w:val="00C35726"/>
    <w:rsid w:val="00C366AC"/>
    <w:rsid w:val="00C36704"/>
    <w:rsid w:val="00C36747"/>
    <w:rsid w:val="00C367AC"/>
    <w:rsid w:val="00C36971"/>
    <w:rsid w:val="00C369F7"/>
    <w:rsid w:val="00C36AD6"/>
    <w:rsid w:val="00C3728D"/>
    <w:rsid w:val="00C372EF"/>
    <w:rsid w:val="00C374C2"/>
    <w:rsid w:val="00C37918"/>
    <w:rsid w:val="00C37FC6"/>
    <w:rsid w:val="00C401AB"/>
    <w:rsid w:val="00C4045B"/>
    <w:rsid w:val="00C40991"/>
    <w:rsid w:val="00C40B07"/>
    <w:rsid w:val="00C40BF3"/>
    <w:rsid w:val="00C413E1"/>
    <w:rsid w:val="00C41D18"/>
    <w:rsid w:val="00C41E8B"/>
    <w:rsid w:val="00C423F6"/>
    <w:rsid w:val="00C4266B"/>
    <w:rsid w:val="00C42A87"/>
    <w:rsid w:val="00C432A0"/>
    <w:rsid w:val="00C43448"/>
    <w:rsid w:val="00C435AF"/>
    <w:rsid w:val="00C43647"/>
    <w:rsid w:val="00C43ACB"/>
    <w:rsid w:val="00C4400C"/>
    <w:rsid w:val="00C44070"/>
    <w:rsid w:val="00C44404"/>
    <w:rsid w:val="00C4479F"/>
    <w:rsid w:val="00C448F4"/>
    <w:rsid w:val="00C45437"/>
    <w:rsid w:val="00C45602"/>
    <w:rsid w:val="00C45642"/>
    <w:rsid w:val="00C45DB2"/>
    <w:rsid w:val="00C46AC0"/>
    <w:rsid w:val="00C46EBF"/>
    <w:rsid w:val="00C47138"/>
    <w:rsid w:val="00C475BF"/>
    <w:rsid w:val="00C4760D"/>
    <w:rsid w:val="00C4772A"/>
    <w:rsid w:val="00C477CD"/>
    <w:rsid w:val="00C47AA9"/>
    <w:rsid w:val="00C47F01"/>
    <w:rsid w:val="00C47F2B"/>
    <w:rsid w:val="00C50016"/>
    <w:rsid w:val="00C5065E"/>
    <w:rsid w:val="00C50675"/>
    <w:rsid w:val="00C50865"/>
    <w:rsid w:val="00C514FE"/>
    <w:rsid w:val="00C5158B"/>
    <w:rsid w:val="00C51C7F"/>
    <w:rsid w:val="00C5241A"/>
    <w:rsid w:val="00C52A5E"/>
    <w:rsid w:val="00C52AC9"/>
    <w:rsid w:val="00C52CA7"/>
    <w:rsid w:val="00C5331A"/>
    <w:rsid w:val="00C533D4"/>
    <w:rsid w:val="00C5369D"/>
    <w:rsid w:val="00C538F5"/>
    <w:rsid w:val="00C53D9C"/>
    <w:rsid w:val="00C53FE4"/>
    <w:rsid w:val="00C550DF"/>
    <w:rsid w:val="00C56E2F"/>
    <w:rsid w:val="00C56E9A"/>
    <w:rsid w:val="00C5702E"/>
    <w:rsid w:val="00C57069"/>
    <w:rsid w:val="00C5710E"/>
    <w:rsid w:val="00C5728D"/>
    <w:rsid w:val="00C574AD"/>
    <w:rsid w:val="00C57885"/>
    <w:rsid w:val="00C57A32"/>
    <w:rsid w:val="00C57C61"/>
    <w:rsid w:val="00C57D2F"/>
    <w:rsid w:val="00C57FB6"/>
    <w:rsid w:val="00C60757"/>
    <w:rsid w:val="00C60854"/>
    <w:rsid w:val="00C6093B"/>
    <w:rsid w:val="00C60C40"/>
    <w:rsid w:val="00C60E8F"/>
    <w:rsid w:val="00C61B10"/>
    <w:rsid w:val="00C61B80"/>
    <w:rsid w:val="00C61E0A"/>
    <w:rsid w:val="00C61EAD"/>
    <w:rsid w:val="00C62134"/>
    <w:rsid w:val="00C62CE1"/>
    <w:rsid w:val="00C63395"/>
    <w:rsid w:val="00C639ED"/>
    <w:rsid w:val="00C63F24"/>
    <w:rsid w:val="00C640B7"/>
    <w:rsid w:val="00C6469C"/>
    <w:rsid w:val="00C64784"/>
    <w:rsid w:val="00C647E6"/>
    <w:rsid w:val="00C64A59"/>
    <w:rsid w:val="00C64BA0"/>
    <w:rsid w:val="00C64DEA"/>
    <w:rsid w:val="00C65077"/>
    <w:rsid w:val="00C6519C"/>
    <w:rsid w:val="00C6523E"/>
    <w:rsid w:val="00C653B2"/>
    <w:rsid w:val="00C65AED"/>
    <w:rsid w:val="00C65BFB"/>
    <w:rsid w:val="00C65C47"/>
    <w:rsid w:val="00C65EFA"/>
    <w:rsid w:val="00C65F22"/>
    <w:rsid w:val="00C6699F"/>
    <w:rsid w:val="00C66A18"/>
    <w:rsid w:val="00C66FB1"/>
    <w:rsid w:val="00C67958"/>
    <w:rsid w:val="00C679CE"/>
    <w:rsid w:val="00C67A75"/>
    <w:rsid w:val="00C702A6"/>
    <w:rsid w:val="00C706C6"/>
    <w:rsid w:val="00C7130F"/>
    <w:rsid w:val="00C716DE"/>
    <w:rsid w:val="00C717CE"/>
    <w:rsid w:val="00C71E97"/>
    <w:rsid w:val="00C722B3"/>
    <w:rsid w:val="00C7269A"/>
    <w:rsid w:val="00C73094"/>
    <w:rsid w:val="00C73A88"/>
    <w:rsid w:val="00C74560"/>
    <w:rsid w:val="00C748A3"/>
    <w:rsid w:val="00C75109"/>
    <w:rsid w:val="00C753C6"/>
    <w:rsid w:val="00C755A8"/>
    <w:rsid w:val="00C75E00"/>
    <w:rsid w:val="00C76379"/>
    <w:rsid w:val="00C76800"/>
    <w:rsid w:val="00C7695D"/>
    <w:rsid w:val="00C76A58"/>
    <w:rsid w:val="00C76C82"/>
    <w:rsid w:val="00C76D38"/>
    <w:rsid w:val="00C7719C"/>
    <w:rsid w:val="00C77E3E"/>
    <w:rsid w:val="00C800EF"/>
    <w:rsid w:val="00C8019A"/>
    <w:rsid w:val="00C80347"/>
    <w:rsid w:val="00C805B0"/>
    <w:rsid w:val="00C807B9"/>
    <w:rsid w:val="00C80F99"/>
    <w:rsid w:val="00C81237"/>
    <w:rsid w:val="00C81CD3"/>
    <w:rsid w:val="00C81ED9"/>
    <w:rsid w:val="00C82098"/>
    <w:rsid w:val="00C8214E"/>
    <w:rsid w:val="00C823CA"/>
    <w:rsid w:val="00C825B7"/>
    <w:rsid w:val="00C82774"/>
    <w:rsid w:val="00C82A17"/>
    <w:rsid w:val="00C82CAE"/>
    <w:rsid w:val="00C82D1A"/>
    <w:rsid w:val="00C82ED6"/>
    <w:rsid w:val="00C83073"/>
    <w:rsid w:val="00C83401"/>
    <w:rsid w:val="00C83587"/>
    <w:rsid w:val="00C83F51"/>
    <w:rsid w:val="00C84579"/>
    <w:rsid w:val="00C845F7"/>
    <w:rsid w:val="00C848FF"/>
    <w:rsid w:val="00C8491A"/>
    <w:rsid w:val="00C849F4"/>
    <w:rsid w:val="00C85086"/>
    <w:rsid w:val="00C85422"/>
    <w:rsid w:val="00C857BA"/>
    <w:rsid w:val="00C857EB"/>
    <w:rsid w:val="00C859AE"/>
    <w:rsid w:val="00C86373"/>
    <w:rsid w:val="00C86394"/>
    <w:rsid w:val="00C8664A"/>
    <w:rsid w:val="00C866E9"/>
    <w:rsid w:val="00C86DA7"/>
    <w:rsid w:val="00C875F8"/>
    <w:rsid w:val="00C875FB"/>
    <w:rsid w:val="00C87791"/>
    <w:rsid w:val="00C90091"/>
    <w:rsid w:val="00C90117"/>
    <w:rsid w:val="00C90263"/>
    <w:rsid w:val="00C90BB0"/>
    <w:rsid w:val="00C911E6"/>
    <w:rsid w:val="00C91F21"/>
    <w:rsid w:val="00C92058"/>
    <w:rsid w:val="00C923E7"/>
    <w:rsid w:val="00C92496"/>
    <w:rsid w:val="00C9264F"/>
    <w:rsid w:val="00C9284D"/>
    <w:rsid w:val="00C92A8A"/>
    <w:rsid w:val="00C92D0A"/>
    <w:rsid w:val="00C92EEA"/>
    <w:rsid w:val="00C92F41"/>
    <w:rsid w:val="00C93C1D"/>
    <w:rsid w:val="00C93D00"/>
    <w:rsid w:val="00C94188"/>
    <w:rsid w:val="00C944C3"/>
    <w:rsid w:val="00C947E2"/>
    <w:rsid w:val="00C94840"/>
    <w:rsid w:val="00C94A2B"/>
    <w:rsid w:val="00C94EEA"/>
    <w:rsid w:val="00C952AF"/>
    <w:rsid w:val="00C95625"/>
    <w:rsid w:val="00C95787"/>
    <w:rsid w:val="00C957FC"/>
    <w:rsid w:val="00C95C64"/>
    <w:rsid w:val="00C96DBE"/>
    <w:rsid w:val="00C96FA3"/>
    <w:rsid w:val="00C97254"/>
    <w:rsid w:val="00C97791"/>
    <w:rsid w:val="00C9799E"/>
    <w:rsid w:val="00C97F62"/>
    <w:rsid w:val="00C97F7F"/>
    <w:rsid w:val="00CA084E"/>
    <w:rsid w:val="00CA08AF"/>
    <w:rsid w:val="00CA0E8E"/>
    <w:rsid w:val="00CA137F"/>
    <w:rsid w:val="00CA1824"/>
    <w:rsid w:val="00CA19B1"/>
    <w:rsid w:val="00CA23C3"/>
    <w:rsid w:val="00CA23D0"/>
    <w:rsid w:val="00CA25E5"/>
    <w:rsid w:val="00CA29A5"/>
    <w:rsid w:val="00CA2AA0"/>
    <w:rsid w:val="00CA2D59"/>
    <w:rsid w:val="00CA3008"/>
    <w:rsid w:val="00CA308F"/>
    <w:rsid w:val="00CA3417"/>
    <w:rsid w:val="00CA351D"/>
    <w:rsid w:val="00CA35EA"/>
    <w:rsid w:val="00CA3630"/>
    <w:rsid w:val="00CA40D3"/>
    <w:rsid w:val="00CA4FE8"/>
    <w:rsid w:val="00CA50FE"/>
    <w:rsid w:val="00CA5138"/>
    <w:rsid w:val="00CA558C"/>
    <w:rsid w:val="00CA572F"/>
    <w:rsid w:val="00CA58C6"/>
    <w:rsid w:val="00CA613C"/>
    <w:rsid w:val="00CA67CE"/>
    <w:rsid w:val="00CA6873"/>
    <w:rsid w:val="00CA68C5"/>
    <w:rsid w:val="00CA6932"/>
    <w:rsid w:val="00CA6B1B"/>
    <w:rsid w:val="00CA6BA8"/>
    <w:rsid w:val="00CA6C23"/>
    <w:rsid w:val="00CA6FAE"/>
    <w:rsid w:val="00CA7155"/>
    <w:rsid w:val="00CA722A"/>
    <w:rsid w:val="00CA755D"/>
    <w:rsid w:val="00CA7685"/>
    <w:rsid w:val="00CA77E7"/>
    <w:rsid w:val="00CA7B29"/>
    <w:rsid w:val="00CA7C75"/>
    <w:rsid w:val="00CA7E9E"/>
    <w:rsid w:val="00CB0871"/>
    <w:rsid w:val="00CB0BE9"/>
    <w:rsid w:val="00CB1A30"/>
    <w:rsid w:val="00CB2AEF"/>
    <w:rsid w:val="00CB2F2E"/>
    <w:rsid w:val="00CB35CC"/>
    <w:rsid w:val="00CB3B84"/>
    <w:rsid w:val="00CB4B55"/>
    <w:rsid w:val="00CB4C54"/>
    <w:rsid w:val="00CB5A5A"/>
    <w:rsid w:val="00CB635F"/>
    <w:rsid w:val="00CB639C"/>
    <w:rsid w:val="00CB679B"/>
    <w:rsid w:val="00CB7019"/>
    <w:rsid w:val="00CB766B"/>
    <w:rsid w:val="00CB7957"/>
    <w:rsid w:val="00CB7A74"/>
    <w:rsid w:val="00CB7C75"/>
    <w:rsid w:val="00CB7D58"/>
    <w:rsid w:val="00CB7DDF"/>
    <w:rsid w:val="00CC0466"/>
    <w:rsid w:val="00CC15D8"/>
    <w:rsid w:val="00CC1F5C"/>
    <w:rsid w:val="00CC1F75"/>
    <w:rsid w:val="00CC20B0"/>
    <w:rsid w:val="00CC25BC"/>
    <w:rsid w:val="00CC2B3A"/>
    <w:rsid w:val="00CC2B59"/>
    <w:rsid w:val="00CC2C06"/>
    <w:rsid w:val="00CC2C4D"/>
    <w:rsid w:val="00CC2D63"/>
    <w:rsid w:val="00CC2F55"/>
    <w:rsid w:val="00CC3149"/>
    <w:rsid w:val="00CC3935"/>
    <w:rsid w:val="00CC3AEC"/>
    <w:rsid w:val="00CC3B1D"/>
    <w:rsid w:val="00CC3BFC"/>
    <w:rsid w:val="00CC3D16"/>
    <w:rsid w:val="00CC3E4B"/>
    <w:rsid w:val="00CC4576"/>
    <w:rsid w:val="00CC4B2B"/>
    <w:rsid w:val="00CC511D"/>
    <w:rsid w:val="00CC545B"/>
    <w:rsid w:val="00CC5A9D"/>
    <w:rsid w:val="00CC5AA9"/>
    <w:rsid w:val="00CC6428"/>
    <w:rsid w:val="00CC6A46"/>
    <w:rsid w:val="00CC6B8E"/>
    <w:rsid w:val="00CC6BB7"/>
    <w:rsid w:val="00CC7105"/>
    <w:rsid w:val="00CC720A"/>
    <w:rsid w:val="00CC751D"/>
    <w:rsid w:val="00CC79C6"/>
    <w:rsid w:val="00CC7B93"/>
    <w:rsid w:val="00CD067D"/>
    <w:rsid w:val="00CD0882"/>
    <w:rsid w:val="00CD0F6C"/>
    <w:rsid w:val="00CD168F"/>
    <w:rsid w:val="00CD16F0"/>
    <w:rsid w:val="00CD196D"/>
    <w:rsid w:val="00CD2867"/>
    <w:rsid w:val="00CD2B33"/>
    <w:rsid w:val="00CD2F4C"/>
    <w:rsid w:val="00CD310A"/>
    <w:rsid w:val="00CD3D6F"/>
    <w:rsid w:val="00CD3F8F"/>
    <w:rsid w:val="00CD4D06"/>
    <w:rsid w:val="00CD4DDF"/>
    <w:rsid w:val="00CD4ECD"/>
    <w:rsid w:val="00CD4F92"/>
    <w:rsid w:val="00CD5961"/>
    <w:rsid w:val="00CD5B76"/>
    <w:rsid w:val="00CD6156"/>
    <w:rsid w:val="00CD6549"/>
    <w:rsid w:val="00CD68FD"/>
    <w:rsid w:val="00CD6E3F"/>
    <w:rsid w:val="00CD6EEC"/>
    <w:rsid w:val="00CD6FF6"/>
    <w:rsid w:val="00CD70C2"/>
    <w:rsid w:val="00CD74D6"/>
    <w:rsid w:val="00CD7672"/>
    <w:rsid w:val="00CD77D4"/>
    <w:rsid w:val="00CD79E6"/>
    <w:rsid w:val="00CE0D29"/>
    <w:rsid w:val="00CE0E60"/>
    <w:rsid w:val="00CE0F23"/>
    <w:rsid w:val="00CE1C74"/>
    <w:rsid w:val="00CE1F91"/>
    <w:rsid w:val="00CE26A3"/>
    <w:rsid w:val="00CE282C"/>
    <w:rsid w:val="00CE2BA0"/>
    <w:rsid w:val="00CE2C19"/>
    <w:rsid w:val="00CE306B"/>
    <w:rsid w:val="00CE30D5"/>
    <w:rsid w:val="00CE33E2"/>
    <w:rsid w:val="00CE395D"/>
    <w:rsid w:val="00CE3A32"/>
    <w:rsid w:val="00CE3B7C"/>
    <w:rsid w:val="00CE4434"/>
    <w:rsid w:val="00CE4644"/>
    <w:rsid w:val="00CE495D"/>
    <w:rsid w:val="00CE4C5F"/>
    <w:rsid w:val="00CE50E1"/>
    <w:rsid w:val="00CE53DF"/>
    <w:rsid w:val="00CE5404"/>
    <w:rsid w:val="00CE546B"/>
    <w:rsid w:val="00CE5706"/>
    <w:rsid w:val="00CE58AB"/>
    <w:rsid w:val="00CE5ECE"/>
    <w:rsid w:val="00CE5EE1"/>
    <w:rsid w:val="00CE6072"/>
    <w:rsid w:val="00CE62A0"/>
    <w:rsid w:val="00CE63BE"/>
    <w:rsid w:val="00CE67C5"/>
    <w:rsid w:val="00CE683F"/>
    <w:rsid w:val="00CE68B5"/>
    <w:rsid w:val="00CE6B93"/>
    <w:rsid w:val="00CE7023"/>
    <w:rsid w:val="00CE78DB"/>
    <w:rsid w:val="00CF0424"/>
    <w:rsid w:val="00CF06B3"/>
    <w:rsid w:val="00CF0D6D"/>
    <w:rsid w:val="00CF0F28"/>
    <w:rsid w:val="00CF0F2B"/>
    <w:rsid w:val="00CF1962"/>
    <w:rsid w:val="00CF19EC"/>
    <w:rsid w:val="00CF1D1F"/>
    <w:rsid w:val="00CF2395"/>
    <w:rsid w:val="00CF26FE"/>
    <w:rsid w:val="00CF2792"/>
    <w:rsid w:val="00CF283E"/>
    <w:rsid w:val="00CF314B"/>
    <w:rsid w:val="00CF3157"/>
    <w:rsid w:val="00CF338F"/>
    <w:rsid w:val="00CF36FC"/>
    <w:rsid w:val="00CF3C53"/>
    <w:rsid w:val="00CF3DBD"/>
    <w:rsid w:val="00CF46ED"/>
    <w:rsid w:val="00CF4A54"/>
    <w:rsid w:val="00CF5031"/>
    <w:rsid w:val="00CF5270"/>
    <w:rsid w:val="00CF5867"/>
    <w:rsid w:val="00CF5AE5"/>
    <w:rsid w:val="00CF5BEE"/>
    <w:rsid w:val="00CF5F77"/>
    <w:rsid w:val="00CF658A"/>
    <w:rsid w:val="00CF6A65"/>
    <w:rsid w:val="00CF6E88"/>
    <w:rsid w:val="00CF71C4"/>
    <w:rsid w:val="00CF76B1"/>
    <w:rsid w:val="00CF7FE9"/>
    <w:rsid w:val="00D00131"/>
    <w:rsid w:val="00D0029F"/>
    <w:rsid w:val="00D009F9"/>
    <w:rsid w:val="00D01019"/>
    <w:rsid w:val="00D02B76"/>
    <w:rsid w:val="00D02B8E"/>
    <w:rsid w:val="00D031C8"/>
    <w:rsid w:val="00D036E9"/>
    <w:rsid w:val="00D03B9C"/>
    <w:rsid w:val="00D03C1F"/>
    <w:rsid w:val="00D03D47"/>
    <w:rsid w:val="00D047C2"/>
    <w:rsid w:val="00D0509E"/>
    <w:rsid w:val="00D0539D"/>
    <w:rsid w:val="00D055DF"/>
    <w:rsid w:val="00D056D5"/>
    <w:rsid w:val="00D05C48"/>
    <w:rsid w:val="00D05DCA"/>
    <w:rsid w:val="00D05E01"/>
    <w:rsid w:val="00D05FC5"/>
    <w:rsid w:val="00D0609F"/>
    <w:rsid w:val="00D0686B"/>
    <w:rsid w:val="00D06B60"/>
    <w:rsid w:val="00D06D61"/>
    <w:rsid w:val="00D06D9C"/>
    <w:rsid w:val="00D07308"/>
    <w:rsid w:val="00D0799E"/>
    <w:rsid w:val="00D10982"/>
    <w:rsid w:val="00D109B8"/>
    <w:rsid w:val="00D10C0B"/>
    <w:rsid w:val="00D10C9F"/>
    <w:rsid w:val="00D1100B"/>
    <w:rsid w:val="00D113E6"/>
    <w:rsid w:val="00D11BD3"/>
    <w:rsid w:val="00D12158"/>
    <w:rsid w:val="00D12F66"/>
    <w:rsid w:val="00D13359"/>
    <w:rsid w:val="00D135C3"/>
    <w:rsid w:val="00D13804"/>
    <w:rsid w:val="00D13D0D"/>
    <w:rsid w:val="00D1476A"/>
    <w:rsid w:val="00D149B0"/>
    <w:rsid w:val="00D155F6"/>
    <w:rsid w:val="00D15781"/>
    <w:rsid w:val="00D15D83"/>
    <w:rsid w:val="00D15E1D"/>
    <w:rsid w:val="00D163F3"/>
    <w:rsid w:val="00D16517"/>
    <w:rsid w:val="00D16565"/>
    <w:rsid w:val="00D16674"/>
    <w:rsid w:val="00D167D1"/>
    <w:rsid w:val="00D16CBF"/>
    <w:rsid w:val="00D16DC7"/>
    <w:rsid w:val="00D1703E"/>
    <w:rsid w:val="00D172AB"/>
    <w:rsid w:val="00D173C2"/>
    <w:rsid w:val="00D17EA8"/>
    <w:rsid w:val="00D20082"/>
    <w:rsid w:val="00D2044F"/>
    <w:rsid w:val="00D204CD"/>
    <w:rsid w:val="00D205F2"/>
    <w:rsid w:val="00D20CFE"/>
    <w:rsid w:val="00D20EF6"/>
    <w:rsid w:val="00D21691"/>
    <w:rsid w:val="00D21901"/>
    <w:rsid w:val="00D2199B"/>
    <w:rsid w:val="00D21AB4"/>
    <w:rsid w:val="00D220FE"/>
    <w:rsid w:val="00D223BF"/>
    <w:rsid w:val="00D229D9"/>
    <w:rsid w:val="00D23506"/>
    <w:rsid w:val="00D23546"/>
    <w:rsid w:val="00D2386A"/>
    <w:rsid w:val="00D2467B"/>
    <w:rsid w:val="00D24971"/>
    <w:rsid w:val="00D24BA2"/>
    <w:rsid w:val="00D2571A"/>
    <w:rsid w:val="00D25A39"/>
    <w:rsid w:val="00D25C5A"/>
    <w:rsid w:val="00D25D1F"/>
    <w:rsid w:val="00D266E6"/>
    <w:rsid w:val="00D267AA"/>
    <w:rsid w:val="00D26CB3"/>
    <w:rsid w:val="00D26CF8"/>
    <w:rsid w:val="00D26D12"/>
    <w:rsid w:val="00D26FDA"/>
    <w:rsid w:val="00D272F8"/>
    <w:rsid w:val="00D27767"/>
    <w:rsid w:val="00D30055"/>
    <w:rsid w:val="00D30A18"/>
    <w:rsid w:val="00D30C40"/>
    <w:rsid w:val="00D319DB"/>
    <w:rsid w:val="00D31A37"/>
    <w:rsid w:val="00D31F4E"/>
    <w:rsid w:val="00D32453"/>
    <w:rsid w:val="00D329F3"/>
    <w:rsid w:val="00D32E69"/>
    <w:rsid w:val="00D336CB"/>
    <w:rsid w:val="00D338D1"/>
    <w:rsid w:val="00D33F57"/>
    <w:rsid w:val="00D340A5"/>
    <w:rsid w:val="00D346E3"/>
    <w:rsid w:val="00D3474E"/>
    <w:rsid w:val="00D3476B"/>
    <w:rsid w:val="00D3503F"/>
    <w:rsid w:val="00D35255"/>
    <w:rsid w:val="00D3531C"/>
    <w:rsid w:val="00D35839"/>
    <w:rsid w:val="00D35C62"/>
    <w:rsid w:val="00D35DF7"/>
    <w:rsid w:val="00D35FC5"/>
    <w:rsid w:val="00D368CE"/>
    <w:rsid w:val="00D3695B"/>
    <w:rsid w:val="00D37555"/>
    <w:rsid w:val="00D37674"/>
    <w:rsid w:val="00D37B32"/>
    <w:rsid w:val="00D37E44"/>
    <w:rsid w:val="00D40305"/>
    <w:rsid w:val="00D405AE"/>
    <w:rsid w:val="00D41213"/>
    <w:rsid w:val="00D42092"/>
    <w:rsid w:val="00D42839"/>
    <w:rsid w:val="00D42CBC"/>
    <w:rsid w:val="00D42EC4"/>
    <w:rsid w:val="00D4373D"/>
    <w:rsid w:val="00D43755"/>
    <w:rsid w:val="00D448F8"/>
    <w:rsid w:val="00D44C9F"/>
    <w:rsid w:val="00D450F2"/>
    <w:rsid w:val="00D457EF"/>
    <w:rsid w:val="00D4589C"/>
    <w:rsid w:val="00D45A7C"/>
    <w:rsid w:val="00D45C95"/>
    <w:rsid w:val="00D45E8A"/>
    <w:rsid w:val="00D46510"/>
    <w:rsid w:val="00D46AFF"/>
    <w:rsid w:val="00D46E0F"/>
    <w:rsid w:val="00D46E6F"/>
    <w:rsid w:val="00D46F21"/>
    <w:rsid w:val="00D47002"/>
    <w:rsid w:val="00D474DB"/>
    <w:rsid w:val="00D47700"/>
    <w:rsid w:val="00D50514"/>
    <w:rsid w:val="00D50697"/>
    <w:rsid w:val="00D50893"/>
    <w:rsid w:val="00D50A4A"/>
    <w:rsid w:val="00D50D5C"/>
    <w:rsid w:val="00D51129"/>
    <w:rsid w:val="00D51AD1"/>
    <w:rsid w:val="00D51CC5"/>
    <w:rsid w:val="00D51EDE"/>
    <w:rsid w:val="00D523F2"/>
    <w:rsid w:val="00D52480"/>
    <w:rsid w:val="00D525D4"/>
    <w:rsid w:val="00D52C4B"/>
    <w:rsid w:val="00D5305D"/>
    <w:rsid w:val="00D53603"/>
    <w:rsid w:val="00D53A96"/>
    <w:rsid w:val="00D53BE5"/>
    <w:rsid w:val="00D53C59"/>
    <w:rsid w:val="00D53F22"/>
    <w:rsid w:val="00D540F4"/>
    <w:rsid w:val="00D54169"/>
    <w:rsid w:val="00D54849"/>
    <w:rsid w:val="00D54A5F"/>
    <w:rsid w:val="00D54B4A"/>
    <w:rsid w:val="00D55A5B"/>
    <w:rsid w:val="00D55D17"/>
    <w:rsid w:val="00D55D5D"/>
    <w:rsid w:val="00D5623A"/>
    <w:rsid w:val="00D5632F"/>
    <w:rsid w:val="00D56AE5"/>
    <w:rsid w:val="00D56C98"/>
    <w:rsid w:val="00D57434"/>
    <w:rsid w:val="00D57800"/>
    <w:rsid w:val="00D579B3"/>
    <w:rsid w:val="00D57E2A"/>
    <w:rsid w:val="00D57E80"/>
    <w:rsid w:val="00D57EE2"/>
    <w:rsid w:val="00D60BFA"/>
    <w:rsid w:val="00D6112F"/>
    <w:rsid w:val="00D61397"/>
    <w:rsid w:val="00D61A8F"/>
    <w:rsid w:val="00D61F38"/>
    <w:rsid w:val="00D62037"/>
    <w:rsid w:val="00D620CC"/>
    <w:rsid w:val="00D622AF"/>
    <w:rsid w:val="00D6263F"/>
    <w:rsid w:val="00D62CD1"/>
    <w:rsid w:val="00D62D3A"/>
    <w:rsid w:val="00D63031"/>
    <w:rsid w:val="00D635DC"/>
    <w:rsid w:val="00D63AD0"/>
    <w:rsid w:val="00D63B02"/>
    <w:rsid w:val="00D63B10"/>
    <w:rsid w:val="00D63BA4"/>
    <w:rsid w:val="00D63D3E"/>
    <w:rsid w:val="00D63E4A"/>
    <w:rsid w:val="00D63F79"/>
    <w:rsid w:val="00D6409B"/>
    <w:rsid w:val="00D64238"/>
    <w:rsid w:val="00D643E8"/>
    <w:rsid w:val="00D64E8B"/>
    <w:rsid w:val="00D64F3E"/>
    <w:rsid w:val="00D6559F"/>
    <w:rsid w:val="00D659BA"/>
    <w:rsid w:val="00D65BE0"/>
    <w:rsid w:val="00D65F6B"/>
    <w:rsid w:val="00D661B6"/>
    <w:rsid w:val="00D665AF"/>
    <w:rsid w:val="00D66C4A"/>
    <w:rsid w:val="00D66F4F"/>
    <w:rsid w:val="00D674A3"/>
    <w:rsid w:val="00D6780E"/>
    <w:rsid w:val="00D6794D"/>
    <w:rsid w:val="00D679EB"/>
    <w:rsid w:val="00D67EC9"/>
    <w:rsid w:val="00D70364"/>
    <w:rsid w:val="00D708B1"/>
    <w:rsid w:val="00D70A60"/>
    <w:rsid w:val="00D70AB8"/>
    <w:rsid w:val="00D70CB4"/>
    <w:rsid w:val="00D70F98"/>
    <w:rsid w:val="00D71504"/>
    <w:rsid w:val="00D715B6"/>
    <w:rsid w:val="00D721C1"/>
    <w:rsid w:val="00D72890"/>
    <w:rsid w:val="00D7296A"/>
    <w:rsid w:val="00D72DA3"/>
    <w:rsid w:val="00D731F0"/>
    <w:rsid w:val="00D73CDA"/>
    <w:rsid w:val="00D74C41"/>
    <w:rsid w:val="00D75A79"/>
    <w:rsid w:val="00D75CA4"/>
    <w:rsid w:val="00D75D18"/>
    <w:rsid w:val="00D75D3E"/>
    <w:rsid w:val="00D761A3"/>
    <w:rsid w:val="00D7634E"/>
    <w:rsid w:val="00D763EF"/>
    <w:rsid w:val="00D76DF8"/>
    <w:rsid w:val="00D8030B"/>
    <w:rsid w:val="00D80448"/>
    <w:rsid w:val="00D806CD"/>
    <w:rsid w:val="00D807E1"/>
    <w:rsid w:val="00D80ADB"/>
    <w:rsid w:val="00D80C4F"/>
    <w:rsid w:val="00D80DA6"/>
    <w:rsid w:val="00D81323"/>
    <w:rsid w:val="00D81B2D"/>
    <w:rsid w:val="00D81BB3"/>
    <w:rsid w:val="00D82066"/>
    <w:rsid w:val="00D82246"/>
    <w:rsid w:val="00D82309"/>
    <w:rsid w:val="00D82B55"/>
    <w:rsid w:val="00D83040"/>
    <w:rsid w:val="00D83869"/>
    <w:rsid w:val="00D83A3E"/>
    <w:rsid w:val="00D840FC"/>
    <w:rsid w:val="00D84182"/>
    <w:rsid w:val="00D84767"/>
    <w:rsid w:val="00D84FCD"/>
    <w:rsid w:val="00D852B7"/>
    <w:rsid w:val="00D85FF4"/>
    <w:rsid w:val="00D862E5"/>
    <w:rsid w:val="00D865B3"/>
    <w:rsid w:val="00D86B88"/>
    <w:rsid w:val="00D86F2C"/>
    <w:rsid w:val="00D87016"/>
    <w:rsid w:val="00D87044"/>
    <w:rsid w:val="00D872D4"/>
    <w:rsid w:val="00D873C4"/>
    <w:rsid w:val="00D87673"/>
    <w:rsid w:val="00D87F0D"/>
    <w:rsid w:val="00D90345"/>
    <w:rsid w:val="00D90348"/>
    <w:rsid w:val="00D906A4"/>
    <w:rsid w:val="00D907BE"/>
    <w:rsid w:val="00D90AB3"/>
    <w:rsid w:val="00D90C9B"/>
    <w:rsid w:val="00D915D5"/>
    <w:rsid w:val="00D91696"/>
    <w:rsid w:val="00D91863"/>
    <w:rsid w:val="00D91AB2"/>
    <w:rsid w:val="00D9260D"/>
    <w:rsid w:val="00D9298D"/>
    <w:rsid w:val="00D92A70"/>
    <w:rsid w:val="00D92B7C"/>
    <w:rsid w:val="00D92BB7"/>
    <w:rsid w:val="00D93208"/>
    <w:rsid w:val="00D9338C"/>
    <w:rsid w:val="00D935B7"/>
    <w:rsid w:val="00D93964"/>
    <w:rsid w:val="00D9398E"/>
    <w:rsid w:val="00D93D35"/>
    <w:rsid w:val="00D942EF"/>
    <w:rsid w:val="00D94434"/>
    <w:rsid w:val="00D94A82"/>
    <w:rsid w:val="00D94D14"/>
    <w:rsid w:val="00D94E7B"/>
    <w:rsid w:val="00D94F60"/>
    <w:rsid w:val="00D955CB"/>
    <w:rsid w:val="00D96241"/>
    <w:rsid w:val="00D9699F"/>
    <w:rsid w:val="00D97030"/>
    <w:rsid w:val="00D97757"/>
    <w:rsid w:val="00D97A3E"/>
    <w:rsid w:val="00D97CB4"/>
    <w:rsid w:val="00D97D88"/>
    <w:rsid w:val="00D97FB5"/>
    <w:rsid w:val="00DA0061"/>
    <w:rsid w:val="00DA0F12"/>
    <w:rsid w:val="00DA115C"/>
    <w:rsid w:val="00DA15D2"/>
    <w:rsid w:val="00DA1ABA"/>
    <w:rsid w:val="00DA1CE3"/>
    <w:rsid w:val="00DA1D37"/>
    <w:rsid w:val="00DA2133"/>
    <w:rsid w:val="00DA3373"/>
    <w:rsid w:val="00DA3500"/>
    <w:rsid w:val="00DA3874"/>
    <w:rsid w:val="00DA391C"/>
    <w:rsid w:val="00DA3934"/>
    <w:rsid w:val="00DA42A7"/>
    <w:rsid w:val="00DA4464"/>
    <w:rsid w:val="00DA4A3F"/>
    <w:rsid w:val="00DA557A"/>
    <w:rsid w:val="00DA5D22"/>
    <w:rsid w:val="00DA5DC5"/>
    <w:rsid w:val="00DA617B"/>
    <w:rsid w:val="00DA61D0"/>
    <w:rsid w:val="00DA6424"/>
    <w:rsid w:val="00DA65BE"/>
    <w:rsid w:val="00DA6E13"/>
    <w:rsid w:val="00DB00D0"/>
    <w:rsid w:val="00DB01FA"/>
    <w:rsid w:val="00DB0273"/>
    <w:rsid w:val="00DB0729"/>
    <w:rsid w:val="00DB10F8"/>
    <w:rsid w:val="00DB1147"/>
    <w:rsid w:val="00DB1877"/>
    <w:rsid w:val="00DB1983"/>
    <w:rsid w:val="00DB1A31"/>
    <w:rsid w:val="00DB1C1B"/>
    <w:rsid w:val="00DB21E9"/>
    <w:rsid w:val="00DB255D"/>
    <w:rsid w:val="00DB2615"/>
    <w:rsid w:val="00DB279E"/>
    <w:rsid w:val="00DB2C6D"/>
    <w:rsid w:val="00DB393B"/>
    <w:rsid w:val="00DB42F6"/>
    <w:rsid w:val="00DB457F"/>
    <w:rsid w:val="00DB4979"/>
    <w:rsid w:val="00DB4D58"/>
    <w:rsid w:val="00DB5134"/>
    <w:rsid w:val="00DB5339"/>
    <w:rsid w:val="00DB5358"/>
    <w:rsid w:val="00DB5771"/>
    <w:rsid w:val="00DB580B"/>
    <w:rsid w:val="00DB5F98"/>
    <w:rsid w:val="00DB6119"/>
    <w:rsid w:val="00DB6275"/>
    <w:rsid w:val="00DB62C0"/>
    <w:rsid w:val="00DB6402"/>
    <w:rsid w:val="00DB64D9"/>
    <w:rsid w:val="00DB6687"/>
    <w:rsid w:val="00DB6A43"/>
    <w:rsid w:val="00DB6C0C"/>
    <w:rsid w:val="00DB6D62"/>
    <w:rsid w:val="00DB7081"/>
    <w:rsid w:val="00DB773D"/>
    <w:rsid w:val="00DB7861"/>
    <w:rsid w:val="00DB7B0E"/>
    <w:rsid w:val="00DB7D54"/>
    <w:rsid w:val="00DB7EFA"/>
    <w:rsid w:val="00DC00B3"/>
    <w:rsid w:val="00DC0184"/>
    <w:rsid w:val="00DC03B4"/>
    <w:rsid w:val="00DC0517"/>
    <w:rsid w:val="00DC0910"/>
    <w:rsid w:val="00DC0E1C"/>
    <w:rsid w:val="00DC1108"/>
    <w:rsid w:val="00DC1405"/>
    <w:rsid w:val="00DC144E"/>
    <w:rsid w:val="00DC1C15"/>
    <w:rsid w:val="00DC24CE"/>
    <w:rsid w:val="00DC2793"/>
    <w:rsid w:val="00DC29A6"/>
    <w:rsid w:val="00DC2B5B"/>
    <w:rsid w:val="00DC2C4A"/>
    <w:rsid w:val="00DC2E57"/>
    <w:rsid w:val="00DC2E88"/>
    <w:rsid w:val="00DC331F"/>
    <w:rsid w:val="00DC36E8"/>
    <w:rsid w:val="00DC37CA"/>
    <w:rsid w:val="00DC38DB"/>
    <w:rsid w:val="00DC3F37"/>
    <w:rsid w:val="00DC43E4"/>
    <w:rsid w:val="00DC4453"/>
    <w:rsid w:val="00DC4890"/>
    <w:rsid w:val="00DC4BCF"/>
    <w:rsid w:val="00DC4FDA"/>
    <w:rsid w:val="00DC5567"/>
    <w:rsid w:val="00DC561A"/>
    <w:rsid w:val="00DC5970"/>
    <w:rsid w:val="00DC5CFE"/>
    <w:rsid w:val="00DC5DDA"/>
    <w:rsid w:val="00DC5F17"/>
    <w:rsid w:val="00DC638C"/>
    <w:rsid w:val="00DC6836"/>
    <w:rsid w:val="00DC6E34"/>
    <w:rsid w:val="00DC7501"/>
    <w:rsid w:val="00DC7569"/>
    <w:rsid w:val="00DC781E"/>
    <w:rsid w:val="00DD009A"/>
    <w:rsid w:val="00DD0A0D"/>
    <w:rsid w:val="00DD0C68"/>
    <w:rsid w:val="00DD0EEC"/>
    <w:rsid w:val="00DD0FF0"/>
    <w:rsid w:val="00DD14AD"/>
    <w:rsid w:val="00DD14EE"/>
    <w:rsid w:val="00DD1A10"/>
    <w:rsid w:val="00DD329F"/>
    <w:rsid w:val="00DD34F0"/>
    <w:rsid w:val="00DD3B41"/>
    <w:rsid w:val="00DD3CB8"/>
    <w:rsid w:val="00DD4092"/>
    <w:rsid w:val="00DD41E8"/>
    <w:rsid w:val="00DD4658"/>
    <w:rsid w:val="00DD481F"/>
    <w:rsid w:val="00DD493D"/>
    <w:rsid w:val="00DD4AE2"/>
    <w:rsid w:val="00DD4C68"/>
    <w:rsid w:val="00DD58E7"/>
    <w:rsid w:val="00DD6320"/>
    <w:rsid w:val="00DD66FB"/>
    <w:rsid w:val="00DD7254"/>
    <w:rsid w:val="00DD74BB"/>
    <w:rsid w:val="00DD7A2A"/>
    <w:rsid w:val="00DD7D05"/>
    <w:rsid w:val="00DE02AE"/>
    <w:rsid w:val="00DE0726"/>
    <w:rsid w:val="00DE0916"/>
    <w:rsid w:val="00DE110F"/>
    <w:rsid w:val="00DE13D7"/>
    <w:rsid w:val="00DE1542"/>
    <w:rsid w:val="00DE1775"/>
    <w:rsid w:val="00DE19DE"/>
    <w:rsid w:val="00DE1D3E"/>
    <w:rsid w:val="00DE20D3"/>
    <w:rsid w:val="00DE20EE"/>
    <w:rsid w:val="00DE2D46"/>
    <w:rsid w:val="00DE2DA7"/>
    <w:rsid w:val="00DE2E97"/>
    <w:rsid w:val="00DE3350"/>
    <w:rsid w:val="00DE36E5"/>
    <w:rsid w:val="00DE3834"/>
    <w:rsid w:val="00DE39F9"/>
    <w:rsid w:val="00DE3B24"/>
    <w:rsid w:val="00DE3F08"/>
    <w:rsid w:val="00DE3F69"/>
    <w:rsid w:val="00DE48E9"/>
    <w:rsid w:val="00DE4CD3"/>
    <w:rsid w:val="00DE5295"/>
    <w:rsid w:val="00DE546F"/>
    <w:rsid w:val="00DE54B1"/>
    <w:rsid w:val="00DE5898"/>
    <w:rsid w:val="00DE5909"/>
    <w:rsid w:val="00DE59BE"/>
    <w:rsid w:val="00DE60EC"/>
    <w:rsid w:val="00DE6C00"/>
    <w:rsid w:val="00DE75C1"/>
    <w:rsid w:val="00DE78DA"/>
    <w:rsid w:val="00DE7D59"/>
    <w:rsid w:val="00DE7E42"/>
    <w:rsid w:val="00DF02F1"/>
    <w:rsid w:val="00DF0946"/>
    <w:rsid w:val="00DF10F1"/>
    <w:rsid w:val="00DF158F"/>
    <w:rsid w:val="00DF1648"/>
    <w:rsid w:val="00DF1866"/>
    <w:rsid w:val="00DF1A34"/>
    <w:rsid w:val="00DF1AAF"/>
    <w:rsid w:val="00DF1E85"/>
    <w:rsid w:val="00DF2217"/>
    <w:rsid w:val="00DF2259"/>
    <w:rsid w:val="00DF2418"/>
    <w:rsid w:val="00DF263C"/>
    <w:rsid w:val="00DF26FE"/>
    <w:rsid w:val="00DF29B5"/>
    <w:rsid w:val="00DF33DA"/>
    <w:rsid w:val="00DF387D"/>
    <w:rsid w:val="00DF3AB1"/>
    <w:rsid w:val="00DF3DE1"/>
    <w:rsid w:val="00DF4208"/>
    <w:rsid w:val="00DF446B"/>
    <w:rsid w:val="00DF4586"/>
    <w:rsid w:val="00DF4A84"/>
    <w:rsid w:val="00DF4F27"/>
    <w:rsid w:val="00DF520A"/>
    <w:rsid w:val="00DF52C9"/>
    <w:rsid w:val="00DF576B"/>
    <w:rsid w:val="00DF5D78"/>
    <w:rsid w:val="00DF5DF2"/>
    <w:rsid w:val="00DF5FCE"/>
    <w:rsid w:val="00DF60AC"/>
    <w:rsid w:val="00DF653C"/>
    <w:rsid w:val="00DF6B69"/>
    <w:rsid w:val="00DF6BD7"/>
    <w:rsid w:val="00DF6CE4"/>
    <w:rsid w:val="00DF6F79"/>
    <w:rsid w:val="00DF761B"/>
    <w:rsid w:val="00DF7C65"/>
    <w:rsid w:val="00DF7EFC"/>
    <w:rsid w:val="00DF7F6B"/>
    <w:rsid w:val="00E00387"/>
    <w:rsid w:val="00E01235"/>
    <w:rsid w:val="00E0129D"/>
    <w:rsid w:val="00E01542"/>
    <w:rsid w:val="00E0177A"/>
    <w:rsid w:val="00E01EFB"/>
    <w:rsid w:val="00E0251E"/>
    <w:rsid w:val="00E0253F"/>
    <w:rsid w:val="00E025BC"/>
    <w:rsid w:val="00E025CC"/>
    <w:rsid w:val="00E027DB"/>
    <w:rsid w:val="00E0295B"/>
    <w:rsid w:val="00E02B22"/>
    <w:rsid w:val="00E02CCB"/>
    <w:rsid w:val="00E03724"/>
    <w:rsid w:val="00E04ABE"/>
    <w:rsid w:val="00E0522E"/>
    <w:rsid w:val="00E053D0"/>
    <w:rsid w:val="00E054CD"/>
    <w:rsid w:val="00E05761"/>
    <w:rsid w:val="00E05A87"/>
    <w:rsid w:val="00E05D7D"/>
    <w:rsid w:val="00E06160"/>
    <w:rsid w:val="00E062AA"/>
    <w:rsid w:val="00E066B7"/>
    <w:rsid w:val="00E06A10"/>
    <w:rsid w:val="00E06B03"/>
    <w:rsid w:val="00E06BC8"/>
    <w:rsid w:val="00E07383"/>
    <w:rsid w:val="00E074BA"/>
    <w:rsid w:val="00E078DE"/>
    <w:rsid w:val="00E07FD4"/>
    <w:rsid w:val="00E10247"/>
    <w:rsid w:val="00E10397"/>
    <w:rsid w:val="00E1041B"/>
    <w:rsid w:val="00E107DD"/>
    <w:rsid w:val="00E11026"/>
    <w:rsid w:val="00E111E6"/>
    <w:rsid w:val="00E11377"/>
    <w:rsid w:val="00E11380"/>
    <w:rsid w:val="00E113C5"/>
    <w:rsid w:val="00E1173F"/>
    <w:rsid w:val="00E11F4C"/>
    <w:rsid w:val="00E122FA"/>
    <w:rsid w:val="00E12F3C"/>
    <w:rsid w:val="00E136F3"/>
    <w:rsid w:val="00E1385F"/>
    <w:rsid w:val="00E139A2"/>
    <w:rsid w:val="00E13A1B"/>
    <w:rsid w:val="00E13E47"/>
    <w:rsid w:val="00E1407A"/>
    <w:rsid w:val="00E140E2"/>
    <w:rsid w:val="00E141FA"/>
    <w:rsid w:val="00E1423B"/>
    <w:rsid w:val="00E14494"/>
    <w:rsid w:val="00E1468E"/>
    <w:rsid w:val="00E14784"/>
    <w:rsid w:val="00E14FA9"/>
    <w:rsid w:val="00E15236"/>
    <w:rsid w:val="00E15796"/>
    <w:rsid w:val="00E15C20"/>
    <w:rsid w:val="00E15CA4"/>
    <w:rsid w:val="00E15FA0"/>
    <w:rsid w:val="00E15FBC"/>
    <w:rsid w:val="00E160C4"/>
    <w:rsid w:val="00E1622F"/>
    <w:rsid w:val="00E163CD"/>
    <w:rsid w:val="00E1663A"/>
    <w:rsid w:val="00E17052"/>
    <w:rsid w:val="00E1720A"/>
    <w:rsid w:val="00E17273"/>
    <w:rsid w:val="00E20200"/>
    <w:rsid w:val="00E2061A"/>
    <w:rsid w:val="00E211FA"/>
    <w:rsid w:val="00E212F6"/>
    <w:rsid w:val="00E2145E"/>
    <w:rsid w:val="00E2180C"/>
    <w:rsid w:val="00E21A19"/>
    <w:rsid w:val="00E21B17"/>
    <w:rsid w:val="00E21D1E"/>
    <w:rsid w:val="00E223DF"/>
    <w:rsid w:val="00E223E2"/>
    <w:rsid w:val="00E22614"/>
    <w:rsid w:val="00E226A9"/>
    <w:rsid w:val="00E22D15"/>
    <w:rsid w:val="00E22DA3"/>
    <w:rsid w:val="00E23014"/>
    <w:rsid w:val="00E2312D"/>
    <w:rsid w:val="00E234E3"/>
    <w:rsid w:val="00E23F2B"/>
    <w:rsid w:val="00E240C3"/>
    <w:rsid w:val="00E2422D"/>
    <w:rsid w:val="00E245F8"/>
    <w:rsid w:val="00E24BD5"/>
    <w:rsid w:val="00E25056"/>
    <w:rsid w:val="00E25394"/>
    <w:rsid w:val="00E25402"/>
    <w:rsid w:val="00E25437"/>
    <w:rsid w:val="00E255D1"/>
    <w:rsid w:val="00E25D20"/>
    <w:rsid w:val="00E26183"/>
    <w:rsid w:val="00E26247"/>
    <w:rsid w:val="00E26821"/>
    <w:rsid w:val="00E26B75"/>
    <w:rsid w:val="00E26E6E"/>
    <w:rsid w:val="00E27119"/>
    <w:rsid w:val="00E278DD"/>
    <w:rsid w:val="00E27A1B"/>
    <w:rsid w:val="00E30235"/>
    <w:rsid w:val="00E30460"/>
    <w:rsid w:val="00E304EA"/>
    <w:rsid w:val="00E30866"/>
    <w:rsid w:val="00E30967"/>
    <w:rsid w:val="00E3141B"/>
    <w:rsid w:val="00E31510"/>
    <w:rsid w:val="00E316CA"/>
    <w:rsid w:val="00E317C4"/>
    <w:rsid w:val="00E319A9"/>
    <w:rsid w:val="00E31A07"/>
    <w:rsid w:val="00E31BC3"/>
    <w:rsid w:val="00E32393"/>
    <w:rsid w:val="00E33001"/>
    <w:rsid w:val="00E3318C"/>
    <w:rsid w:val="00E332A2"/>
    <w:rsid w:val="00E33A3E"/>
    <w:rsid w:val="00E33FC7"/>
    <w:rsid w:val="00E341A0"/>
    <w:rsid w:val="00E343A2"/>
    <w:rsid w:val="00E347B4"/>
    <w:rsid w:val="00E348BC"/>
    <w:rsid w:val="00E34BFA"/>
    <w:rsid w:val="00E34E7E"/>
    <w:rsid w:val="00E35E8D"/>
    <w:rsid w:val="00E362A3"/>
    <w:rsid w:val="00E36495"/>
    <w:rsid w:val="00E36554"/>
    <w:rsid w:val="00E36886"/>
    <w:rsid w:val="00E368B6"/>
    <w:rsid w:val="00E368E5"/>
    <w:rsid w:val="00E36B48"/>
    <w:rsid w:val="00E36CC3"/>
    <w:rsid w:val="00E36D54"/>
    <w:rsid w:val="00E37BC5"/>
    <w:rsid w:val="00E37EA9"/>
    <w:rsid w:val="00E37F50"/>
    <w:rsid w:val="00E37FB2"/>
    <w:rsid w:val="00E40480"/>
    <w:rsid w:val="00E4090B"/>
    <w:rsid w:val="00E40A4B"/>
    <w:rsid w:val="00E40C5B"/>
    <w:rsid w:val="00E40FAA"/>
    <w:rsid w:val="00E41350"/>
    <w:rsid w:val="00E4146C"/>
    <w:rsid w:val="00E41755"/>
    <w:rsid w:val="00E41AE9"/>
    <w:rsid w:val="00E41BE2"/>
    <w:rsid w:val="00E4213C"/>
    <w:rsid w:val="00E423E7"/>
    <w:rsid w:val="00E42510"/>
    <w:rsid w:val="00E42792"/>
    <w:rsid w:val="00E42C9D"/>
    <w:rsid w:val="00E43100"/>
    <w:rsid w:val="00E43B57"/>
    <w:rsid w:val="00E43CE7"/>
    <w:rsid w:val="00E446B3"/>
    <w:rsid w:val="00E44B6F"/>
    <w:rsid w:val="00E44D3E"/>
    <w:rsid w:val="00E44EA6"/>
    <w:rsid w:val="00E44EBB"/>
    <w:rsid w:val="00E44FC8"/>
    <w:rsid w:val="00E45CC9"/>
    <w:rsid w:val="00E461D4"/>
    <w:rsid w:val="00E46694"/>
    <w:rsid w:val="00E47015"/>
    <w:rsid w:val="00E470B2"/>
    <w:rsid w:val="00E470F5"/>
    <w:rsid w:val="00E47810"/>
    <w:rsid w:val="00E479D2"/>
    <w:rsid w:val="00E47B41"/>
    <w:rsid w:val="00E47D6C"/>
    <w:rsid w:val="00E50252"/>
    <w:rsid w:val="00E502FB"/>
    <w:rsid w:val="00E508D0"/>
    <w:rsid w:val="00E50FCE"/>
    <w:rsid w:val="00E51843"/>
    <w:rsid w:val="00E523BE"/>
    <w:rsid w:val="00E5273E"/>
    <w:rsid w:val="00E52864"/>
    <w:rsid w:val="00E52B78"/>
    <w:rsid w:val="00E52D27"/>
    <w:rsid w:val="00E52F3A"/>
    <w:rsid w:val="00E53135"/>
    <w:rsid w:val="00E5333A"/>
    <w:rsid w:val="00E537E4"/>
    <w:rsid w:val="00E5384F"/>
    <w:rsid w:val="00E53E98"/>
    <w:rsid w:val="00E548D9"/>
    <w:rsid w:val="00E548EE"/>
    <w:rsid w:val="00E54A1D"/>
    <w:rsid w:val="00E54B91"/>
    <w:rsid w:val="00E54F63"/>
    <w:rsid w:val="00E551CB"/>
    <w:rsid w:val="00E552C6"/>
    <w:rsid w:val="00E55A1B"/>
    <w:rsid w:val="00E564CC"/>
    <w:rsid w:val="00E56558"/>
    <w:rsid w:val="00E56699"/>
    <w:rsid w:val="00E56922"/>
    <w:rsid w:val="00E56931"/>
    <w:rsid w:val="00E56B4C"/>
    <w:rsid w:val="00E56C12"/>
    <w:rsid w:val="00E56DA9"/>
    <w:rsid w:val="00E56F72"/>
    <w:rsid w:val="00E5730E"/>
    <w:rsid w:val="00E5731F"/>
    <w:rsid w:val="00E575E6"/>
    <w:rsid w:val="00E60245"/>
    <w:rsid w:val="00E60495"/>
    <w:rsid w:val="00E608E3"/>
    <w:rsid w:val="00E6096E"/>
    <w:rsid w:val="00E60D67"/>
    <w:rsid w:val="00E610AC"/>
    <w:rsid w:val="00E61267"/>
    <w:rsid w:val="00E6162B"/>
    <w:rsid w:val="00E617A5"/>
    <w:rsid w:val="00E617E6"/>
    <w:rsid w:val="00E61D9C"/>
    <w:rsid w:val="00E62122"/>
    <w:rsid w:val="00E62B8D"/>
    <w:rsid w:val="00E6314B"/>
    <w:rsid w:val="00E631DA"/>
    <w:rsid w:val="00E63354"/>
    <w:rsid w:val="00E63483"/>
    <w:rsid w:val="00E63A79"/>
    <w:rsid w:val="00E63BC7"/>
    <w:rsid w:val="00E63DC8"/>
    <w:rsid w:val="00E642D9"/>
    <w:rsid w:val="00E6441C"/>
    <w:rsid w:val="00E647EC"/>
    <w:rsid w:val="00E649D6"/>
    <w:rsid w:val="00E64A75"/>
    <w:rsid w:val="00E64FAC"/>
    <w:rsid w:val="00E650C6"/>
    <w:rsid w:val="00E6520F"/>
    <w:rsid w:val="00E65310"/>
    <w:rsid w:val="00E65630"/>
    <w:rsid w:val="00E65CAE"/>
    <w:rsid w:val="00E66063"/>
    <w:rsid w:val="00E6651E"/>
    <w:rsid w:val="00E66C1C"/>
    <w:rsid w:val="00E66C77"/>
    <w:rsid w:val="00E66F17"/>
    <w:rsid w:val="00E66FE6"/>
    <w:rsid w:val="00E670FA"/>
    <w:rsid w:val="00E67388"/>
    <w:rsid w:val="00E67427"/>
    <w:rsid w:val="00E67617"/>
    <w:rsid w:val="00E67934"/>
    <w:rsid w:val="00E67E7C"/>
    <w:rsid w:val="00E70440"/>
    <w:rsid w:val="00E705CC"/>
    <w:rsid w:val="00E70638"/>
    <w:rsid w:val="00E70AD5"/>
    <w:rsid w:val="00E70B77"/>
    <w:rsid w:val="00E713F9"/>
    <w:rsid w:val="00E714F3"/>
    <w:rsid w:val="00E71813"/>
    <w:rsid w:val="00E71AA8"/>
    <w:rsid w:val="00E71DE2"/>
    <w:rsid w:val="00E71EE6"/>
    <w:rsid w:val="00E720F4"/>
    <w:rsid w:val="00E726A0"/>
    <w:rsid w:val="00E728A9"/>
    <w:rsid w:val="00E7343D"/>
    <w:rsid w:val="00E737A0"/>
    <w:rsid w:val="00E73FC8"/>
    <w:rsid w:val="00E743C0"/>
    <w:rsid w:val="00E74891"/>
    <w:rsid w:val="00E74896"/>
    <w:rsid w:val="00E749D9"/>
    <w:rsid w:val="00E75A0D"/>
    <w:rsid w:val="00E75C45"/>
    <w:rsid w:val="00E75D44"/>
    <w:rsid w:val="00E75DC6"/>
    <w:rsid w:val="00E760F5"/>
    <w:rsid w:val="00E761AD"/>
    <w:rsid w:val="00E76E07"/>
    <w:rsid w:val="00E76E6A"/>
    <w:rsid w:val="00E76FE4"/>
    <w:rsid w:val="00E776EB"/>
    <w:rsid w:val="00E77A30"/>
    <w:rsid w:val="00E8002F"/>
    <w:rsid w:val="00E8045D"/>
    <w:rsid w:val="00E8063B"/>
    <w:rsid w:val="00E8076C"/>
    <w:rsid w:val="00E80B37"/>
    <w:rsid w:val="00E80E98"/>
    <w:rsid w:val="00E815F6"/>
    <w:rsid w:val="00E816E0"/>
    <w:rsid w:val="00E81D1A"/>
    <w:rsid w:val="00E81DB2"/>
    <w:rsid w:val="00E8235F"/>
    <w:rsid w:val="00E828D2"/>
    <w:rsid w:val="00E828F2"/>
    <w:rsid w:val="00E828F3"/>
    <w:rsid w:val="00E82BCA"/>
    <w:rsid w:val="00E830F6"/>
    <w:rsid w:val="00E8348B"/>
    <w:rsid w:val="00E835E4"/>
    <w:rsid w:val="00E83642"/>
    <w:rsid w:val="00E836FD"/>
    <w:rsid w:val="00E8375F"/>
    <w:rsid w:val="00E83818"/>
    <w:rsid w:val="00E8389D"/>
    <w:rsid w:val="00E839A9"/>
    <w:rsid w:val="00E839D2"/>
    <w:rsid w:val="00E83B60"/>
    <w:rsid w:val="00E83F51"/>
    <w:rsid w:val="00E84078"/>
    <w:rsid w:val="00E8414C"/>
    <w:rsid w:val="00E84618"/>
    <w:rsid w:val="00E846A4"/>
    <w:rsid w:val="00E846A5"/>
    <w:rsid w:val="00E84A19"/>
    <w:rsid w:val="00E84BCF"/>
    <w:rsid w:val="00E84F08"/>
    <w:rsid w:val="00E84FD8"/>
    <w:rsid w:val="00E851C5"/>
    <w:rsid w:val="00E8532F"/>
    <w:rsid w:val="00E864C1"/>
    <w:rsid w:val="00E867FB"/>
    <w:rsid w:val="00E86861"/>
    <w:rsid w:val="00E86BDA"/>
    <w:rsid w:val="00E86D0A"/>
    <w:rsid w:val="00E86D6C"/>
    <w:rsid w:val="00E87C44"/>
    <w:rsid w:val="00E87FB7"/>
    <w:rsid w:val="00E90163"/>
    <w:rsid w:val="00E90880"/>
    <w:rsid w:val="00E909F5"/>
    <w:rsid w:val="00E90C88"/>
    <w:rsid w:val="00E910D0"/>
    <w:rsid w:val="00E91363"/>
    <w:rsid w:val="00E913B3"/>
    <w:rsid w:val="00E9172C"/>
    <w:rsid w:val="00E9182B"/>
    <w:rsid w:val="00E91BC9"/>
    <w:rsid w:val="00E91C22"/>
    <w:rsid w:val="00E921CF"/>
    <w:rsid w:val="00E92277"/>
    <w:rsid w:val="00E923D8"/>
    <w:rsid w:val="00E92504"/>
    <w:rsid w:val="00E927B0"/>
    <w:rsid w:val="00E927B8"/>
    <w:rsid w:val="00E929E0"/>
    <w:rsid w:val="00E935A9"/>
    <w:rsid w:val="00E935DD"/>
    <w:rsid w:val="00E935E5"/>
    <w:rsid w:val="00E93866"/>
    <w:rsid w:val="00E93B37"/>
    <w:rsid w:val="00E943F0"/>
    <w:rsid w:val="00E9480E"/>
    <w:rsid w:val="00E948E4"/>
    <w:rsid w:val="00E94D06"/>
    <w:rsid w:val="00E94E6D"/>
    <w:rsid w:val="00E95087"/>
    <w:rsid w:val="00E95E25"/>
    <w:rsid w:val="00E95E34"/>
    <w:rsid w:val="00E960A5"/>
    <w:rsid w:val="00E96275"/>
    <w:rsid w:val="00E96346"/>
    <w:rsid w:val="00E96737"/>
    <w:rsid w:val="00E9678D"/>
    <w:rsid w:val="00E96927"/>
    <w:rsid w:val="00E96E4E"/>
    <w:rsid w:val="00E975C2"/>
    <w:rsid w:val="00EA041A"/>
    <w:rsid w:val="00EA0C6A"/>
    <w:rsid w:val="00EA1197"/>
    <w:rsid w:val="00EA166E"/>
    <w:rsid w:val="00EA1BE9"/>
    <w:rsid w:val="00EA22C9"/>
    <w:rsid w:val="00EA2562"/>
    <w:rsid w:val="00EA2D04"/>
    <w:rsid w:val="00EA2FC2"/>
    <w:rsid w:val="00EA30F4"/>
    <w:rsid w:val="00EA3623"/>
    <w:rsid w:val="00EA3670"/>
    <w:rsid w:val="00EA3D41"/>
    <w:rsid w:val="00EA3FF4"/>
    <w:rsid w:val="00EA429F"/>
    <w:rsid w:val="00EA4741"/>
    <w:rsid w:val="00EA516F"/>
    <w:rsid w:val="00EA523F"/>
    <w:rsid w:val="00EA5443"/>
    <w:rsid w:val="00EA56AD"/>
    <w:rsid w:val="00EA5894"/>
    <w:rsid w:val="00EA5E45"/>
    <w:rsid w:val="00EA6122"/>
    <w:rsid w:val="00EA6ABE"/>
    <w:rsid w:val="00EA6C8A"/>
    <w:rsid w:val="00EA6D43"/>
    <w:rsid w:val="00EA6F52"/>
    <w:rsid w:val="00EA7364"/>
    <w:rsid w:val="00EA78B9"/>
    <w:rsid w:val="00EA7AF6"/>
    <w:rsid w:val="00EB0206"/>
    <w:rsid w:val="00EB020A"/>
    <w:rsid w:val="00EB04C7"/>
    <w:rsid w:val="00EB0BA7"/>
    <w:rsid w:val="00EB0C34"/>
    <w:rsid w:val="00EB0D18"/>
    <w:rsid w:val="00EB1113"/>
    <w:rsid w:val="00EB16AF"/>
    <w:rsid w:val="00EB1875"/>
    <w:rsid w:val="00EB1BC5"/>
    <w:rsid w:val="00EB1C1F"/>
    <w:rsid w:val="00EB1F01"/>
    <w:rsid w:val="00EB29BF"/>
    <w:rsid w:val="00EB2B1F"/>
    <w:rsid w:val="00EB2BA0"/>
    <w:rsid w:val="00EB2BB6"/>
    <w:rsid w:val="00EB2BD5"/>
    <w:rsid w:val="00EB2D2F"/>
    <w:rsid w:val="00EB32A5"/>
    <w:rsid w:val="00EB345D"/>
    <w:rsid w:val="00EB34B4"/>
    <w:rsid w:val="00EB3885"/>
    <w:rsid w:val="00EB3AB3"/>
    <w:rsid w:val="00EB3E34"/>
    <w:rsid w:val="00EB3FB7"/>
    <w:rsid w:val="00EB4558"/>
    <w:rsid w:val="00EB456E"/>
    <w:rsid w:val="00EB4680"/>
    <w:rsid w:val="00EB46C1"/>
    <w:rsid w:val="00EB4856"/>
    <w:rsid w:val="00EB4895"/>
    <w:rsid w:val="00EB4DD3"/>
    <w:rsid w:val="00EB4E93"/>
    <w:rsid w:val="00EB560F"/>
    <w:rsid w:val="00EB565D"/>
    <w:rsid w:val="00EB56F7"/>
    <w:rsid w:val="00EB6E26"/>
    <w:rsid w:val="00EB7A69"/>
    <w:rsid w:val="00EB7C35"/>
    <w:rsid w:val="00EC0207"/>
    <w:rsid w:val="00EC0278"/>
    <w:rsid w:val="00EC0572"/>
    <w:rsid w:val="00EC0D30"/>
    <w:rsid w:val="00EC1276"/>
    <w:rsid w:val="00EC152F"/>
    <w:rsid w:val="00EC2E82"/>
    <w:rsid w:val="00EC2F90"/>
    <w:rsid w:val="00EC30A5"/>
    <w:rsid w:val="00EC3389"/>
    <w:rsid w:val="00EC3491"/>
    <w:rsid w:val="00EC372F"/>
    <w:rsid w:val="00EC3C79"/>
    <w:rsid w:val="00EC3D98"/>
    <w:rsid w:val="00EC3E60"/>
    <w:rsid w:val="00EC4188"/>
    <w:rsid w:val="00EC41B1"/>
    <w:rsid w:val="00EC4496"/>
    <w:rsid w:val="00EC44BF"/>
    <w:rsid w:val="00EC5588"/>
    <w:rsid w:val="00EC5B95"/>
    <w:rsid w:val="00EC5D29"/>
    <w:rsid w:val="00EC6883"/>
    <w:rsid w:val="00EC6A3E"/>
    <w:rsid w:val="00EC72C4"/>
    <w:rsid w:val="00EC7595"/>
    <w:rsid w:val="00EC75F2"/>
    <w:rsid w:val="00EC764C"/>
    <w:rsid w:val="00EC7B3C"/>
    <w:rsid w:val="00ED08D7"/>
    <w:rsid w:val="00ED0AA1"/>
    <w:rsid w:val="00ED0D2E"/>
    <w:rsid w:val="00ED1133"/>
    <w:rsid w:val="00ED115A"/>
    <w:rsid w:val="00ED13D4"/>
    <w:rsid w:val="00ED1576"/>
    <w:rsid w:val="00ED17CF"/>
    <w:rsid w:val="00ED1BC9"/>
    <w:rsid w:val="00ED1F26"/>
    <w:rsid w:val="00ED2516"/>
    <w:rsid w:val="00ED266A"/>
    <w:rsid w:val="00ED26A8"/>
    <w:rsid w:val="00ED2880"/>
    <w:rsid w:val="00ED2AC0"/>
    <w:rsid w:val="00ED330D"/>
    <w:rsid w:val="00ED3B62"/>
    <w:rsid w:val="00ED3BB5"/>
    <w:rsid w:val="00ED3E55"/>
    <w:rsid w:val="00ED4444"/>
    <w:rsid w:val="00ED4A03"/>
    <w:rsid w:val="00ED4D4A"/>
    <w:rsid w:val="00ED52A4"/>
    <w:rsid w:val="00ED543D"/>
    <w:rsid w:val="00ED5879"/>
    <w:rsid w:val="00ED5AF3"/>
    <w:rsid w:val="00ED6A5F"/>
    <w:rsid w:val="00ED7595"/>
    <w:rsid w:val="00ED75A8"/>
    <w:rsid w:val="00ED783F"/>
    <w:rsid w:val="00ED7A44"/>
    <w:rsid w:val="00ED7CC3"/>
    <w:rsid w:val="00ED7E0C"/>
    <w:rsid w:val="00EE037A"/>
    <w:rsid w:val="00EE075B"/>
    <w:rsid w:val="00EE10E5"/>
    <w:rsid w:val="00EE13BC"/>
    <w:rsid w:val="00EE1CDC"/>
    <w:rsid w:val="00EE219C"/>
    <w:rsid w:val="00EE2C04"/>
    <w:rsid w:val="00EE31D7"/>
    <w:rsid w:val="00EE366B"/>
    <w:rsid w:val="00EE3E88"/>
    <w:rsid w:val="00EE4352"/>
    <w:rsid w:val="00EE4540"/>
    <w:rsid w:val="00EE46E5"/>
    <w:rsid w:val="00EE4A07"/>
    <w:rsid w:val="00EE529D"/>
    <w:rsid w:val="00EE5B2D"/>
    <w:rsid w:val="00EE5CC1"/>
    <w:rsid w:val="00EE6510"/>
    <w:rsid w:val="00EE6BB6"/>
    <w:rsid w:val="00EE7195"/>
    <w:rsid w:val="00EE7416"/>
    <w:rsid w:val="00EE748A"/>
    <w:rsid w:val="00EE770C"/>
    <w:rsid w:val="00EE77A3"/>
    <w:rsid w:val="00EE7DB2"/>
    <w:rsid w:val="00EF02AF"/>
    <w:rsid w:val="00EF02E3"/>
    <w:rsid w:val="00EF0619"/>
    <w:rsid w:val="00EF0A05"/>
    <w:rsid w:val="00EF0A59"/>
    <w:rsid w:val="00EF0C13"/>
    <w:rsid w:val="00EF0CDD"/>
    <w:rsid w:val="00EF177B"/>
    <w:rsid w:val="00EF1E34"/>
    <w:rsid w:val="00EF221A"/>
    <w:rsid w:val="00EF2C2E"/>
    <w:rsid w:val="00EF2D8F"/>
    <w:rsid w:val="00EF2DBE"/>
    <w:rsid w:val="00EF2F0C"/>
    <w:rsid w:val="00EF309E"/>
    <w:rsid w:val="00EF32EE"/>
    <w:rsid w:val="00EF3932"/>
    <w:rsid w:val="00EF3BCB"/>
    <w:rsid w:val="00EF3D6F"/>
    <w:rsid w:val="00EF3E7E"/>
    <w:rsid w:val="00EF3FAA"/>
    <w:rsid w:val="00EF3FB4"/>
    <w:rsid w:val="00EF41E1"/>
    <w:rsid w:val="00EF4626"/>
    <w:rsid w:val="00EF46D0"/>
    <w:rsid w:val="00EF476D"/>
    <w:rsid w:val="00EF513A"/>
    <w:rsid w:val="00EF554B"/>
    <w:rsid w:val="00EF5666"/>
    <w:rsid w:val="00EF5A22"/>
    <w:rsid w:val="00EF5B93"/>
    <w:rsid w:val="00EF5E52"/>
    <w:rsid w:val="00EF5FF2"/>
    <w:rsid w:val="00EF6168"/>
    <w:rsid w:val="00EF671A"/>
    <w:rsid w:val="00EF677D"/>
    <w:rsid w:val="00EF6B29"/>
    <w:rsid w:val="00EF6E86"/>
    <w:rsid w:val="00EF7262"/>
    <w:rsid w:val="00EF74D8"/>
    <w:rsid w:val="00F00360"/>
    <w:rsid w:val="00F00634"/>
    <w:rsid w:val="00F00653"/>
    <w:rsid w:val="00F009DC"/>
    <w:rsid w:val="00F00B4F"/>
    <w:rsid w:val="00F00EF4"/>
    <w:rsid w:val="00F00F13"/>
    <w:rsid w:val="00F016F0"/>
    <w:rsid w:val="00F01A3A"/>
    <w:rsid w:val="00F01B62"/>
    <w:rsid w:val="00F01CF9"/>
    <w:rsid w:val="00F02004"/>
    <w:rsid w:val="00F038BE"/>
    <w:rsid w:val="00F03B30"/>
    <w:rsid w:val="00F04CC7"/>
    <w:rsid w:val="00F04E94"/>
    <w:rsid w:val="00F05335"/>
    <w:rsid w:val="00F05782"/>
    <w:rsid w:val="00F05D76"/>
    <w:rsid w:val="00F05F52"/>
    <w:rsid w:val="00F06330"/>
    <w:rsid w:val="00F06F14"/>
    <w:rsid w:val="00F075A1"/>
    <w:rsid w:val="00F07736"/>
    <w:rsid w:val="00F078C7"/>
    <w:rsid w:val="00F07BC7"/>
    <w:rsid w:val="00F10101"/>
    <w:rsid w:val="00F109EA"/>
    <w:rsid w:val="00F10E5B"/>
    <w:rsid w:val="00F113F1"/>
    <w:rsid w:val="00F116C2"/>
    <w:rsid w:val="00F12867"/>
    <w:rsid w:val="00F1295C"/>
    <w:rsid w:val="00F13197"/>
    <w:rsid w:val="00F1370A"/>
    <w:rsid w:val="00F137CB"/>
    <w:rsid w:val="00F1392A"/>
    <w:rsid w:val="00F13A9F"/>
    <w:rsid w:val="00F1419E"/>
    <w:rsid w:val="00F143D4"/>
    <w:rsid w:val="00F147A0"/>
    <w:rsid w:val="00F14883"/>
    <w:rsid w:val="00F14916"/>
    <w:rsid w:val="00F14924"/>
    <w:rsid w:val="00F14AA3"/>
    <w:rsid w:val="00F14B2D"/>
    <w:rsid w:val="00F14DCB"/>
    <w:rsid w:val="00F15104"/>
    <w:rsid w:val="00F152FD"/>
    <w:rsid w:val="00F15B7E"/>
    <w:rsid w:val="00F16190"/>
    <w:rsid w:val="00F1634B"/>
    <w:rsid w:val="00F16475"/>
    <w:rsid w:val="00F164C6"/>
    <w:rsid w:val="00F168DB"/>
    <w:rsid w:val="00F16F39"/>
    <w:rsid w:val="00F16FE5"/>
    <w:rsid w:val="00F1745E"/>
    <w:rsid w:val="00F17E5D"/>
    <w:rsid w:val="00F17F61"/>
    <w:rsid w:val="00F20956"/>
    <w:rsid w:val="00F20ADC"/>
    <w:rsid w:val="00F210DD"/>
    <w:rsid w:val="00F2159C"/>
    <w:rsid w:val="00F2181E"/>
    <w:rsid w:val="00F21A2A"/>
    <w:rsid w:val="00F21A97"/>
    <w:rsid w:val="00F222B7"/>
    <w:rsid w:val="00F22809"/>
    <w:rsid w:val="00F22B6F"/>
    <w:rsid w:val="00F22FF7"/>
    <w:rsid w:val="00F23459"/>
    <w:rsid w:val="00F2345D"/>
    <w:rsid w:val="00F234E0"/>
    <w:rsid w:val="00F237CE"/>
    <w:rsid w:val="00F23A7F"/>
    <w:rsid w:val="00F23ED9"/>
    <w:rsid w:val="00F2401F"/>
    <w:rsid w:val="00F24045"/>
    <w:rsid w:val="00F245E2"/>
    <w:rsid w:val="00F24739"/>
    <w:rsid w:val="00F2518C"/>
    <w:rsid w:val="00F25775"/>
    <w:rsid w:val="00F25968"/>
    <w:rsid w:val="00F25EBC"/>
    <w:rsid w:val="00F2602F"/>
    <w:rsid w:val="00F273CB"/>
    <w:rsid w:val="00F27A53"/>
    <w:rsid w:val="00F27B84"/>
    <w:rsid w:val="00F304C8"/>
    <w:rsid w:val="00F305D3"/>
    <w:rsid w:val="00F30902"/>
    <w:rsid w:val="00F30B06"/>
    <w:rsid w:val="00F313A2"/>
    <w:rsid w:val="00F31A3A"/>
    <w:rsid w:val="00F31AE7"/>
    <w:rsid w:val="00F3200E"/>
    <w:rsid w:val="00F32309"/>
    <w:rsid w:val="00F32483"/>
    <w:rsid w:val="00F3265E"/>
    <w:rsid w:val="00F32B6D"/>
    <w:rsid w:val="00F336DE"/>
    <w:rsid w:val="00F33765"/>
    <w:rsid w:val="00F3398A"/>
    <w:rsid w:val="00F339C4"/>
    <w:rsid w:val="00F33AF8"/>
    <w:rsid w:val="00F33DDE"/>
    <w:rsid w:val="00F33EE6"/>
    <w:rsid w:val="00F344A8"/>
    <w:rsid w:val="00F34881"/>
    <w:rsid w:val="00F34CA2"/>
    <w:rsid w:val="00F34E9C"/>
    <w:rsid w:val="00F34EA3"/>
    <w:rsid w:val="00F34F43"/>
    <w:rsid w:val="00F352EC"/>
    <w:rsid w:val="00F35B26"/>
    <w:rsid w:val="00F35CF1"/>
    <w:rsid w:val="00F3624C"/>
    <w:rsid w:val="00F365BD"/>
    <w:rsid w:val="00F36646"/>
    <w:rsid w:val="00F367CE"/>
    <w:rsid w:val="00F36E2C"/>
    <w:rsid w:val="00F374BA"/>
    <w:rsid w:val="00F379CB"/>
    <w:rsid w:val="00F37B4D"/>
    <w:rsid w:val="00F37B77"/>
    <w:rsid w:val="00F37D89"/>
    <w:rsid w:val="00F37E24"/>
    <w:rsid w:val="00F37E2F"/>
    <w:rsid w:val="00F37E6D"/>
    <w:rsid w:val="00F4030C"/>
    <w:rsid w:val="00F40ECF"/>
    <w:rsid w:val="00F41110"/>
    <w:rsid w:val="00F41403"/>
    <w:rsid w:val="00F41472"/>
    <w:rsid w:val="00F41740"/>
    <w:rsid w:val="00F418EC"/>
    <w:rsid w:val="00F418FF"/>
    <w:rsid w:val="00F41ADC"/>
    <w:rsid w:val="00F41B17"/>
    <w:rsid w:val="00F42267"/>
    <w:rsid w:val="00F422E1"/>
    <w:rsid w:val="00F422E4"/>
    <w:rsid w:val="00F422E9"/>
    <w:rsid w:val="00F423FC"/>
    <w:rsid w:val="00F42737"/>
    <w:rsid w:val="00F42772"/>
    <w:rsid w:val="00F431E9"/>
    <w:rsid w:val="00F436AA"/>
    <w:rsid w:val="00F436D6"/>
    <w:rsid w:val="00F43BE0"/>
    <w:rsid w:val="00F43C37"/>
    <w:rsid w:val="00F43CE4"/>
    <w:rsid w:val="00F44056"/>
    <w:rsid w:val="00F4488B"/>
    <w:rsid w:val="00F44C53"/>
    <w:rsid w:val="00F44ED2"/>
    <w:rsid w:val="00F4512B"/>
    <w:rsid w:val="00F4542B"/>
    <w:rsid w:val="00F45554"/>
    <w:rsid w:val="00F460D6"/>
    <w:rsid w:val="00F46DE3"/>
    <w:rsid w:val="00F47158"/>
    <w:rsid w:val="00F471EA"/>
    <w:rsid w:val="00F47250"/>
    <w:rsid w:val="00F474FD"/>
    <w:rsid w:val="00F476FC"/>
    <w:rsid w:val="00F478A8"/>
    <w:rsid w:val="00F47ACF"/>
    <w:rsid w:val="00F47AFF"/>
    <w:rsid w:val="00F47D3F"/>
    <w:rsid w:val="00F47D5F"/>
    <w:rsid w:val="00F5005F"/>
    <w:rsid w:val="00F501C2"/>
    <w:rsid w:val="00F50529"/>
    <w:rsid w:val="00F505CA"/>
    <w:rsid w:val="00F50635"/>
    <w:rsid w:val="00F506C8"/>
    <w:rsid w:val="00F50D90"/>
    <w:rsid w:val="00F50E45"/>
    <w:rsid w:val="00F51443"/>
    <w:rsid w:val="00F51831"/>
    <w:rsid w:val="00F5197E"/>
    <w:rsid w:val="00F51B49"/>
    <w:rsid w:val="00F51C19"/>
    <w:rsid w:val="00F51F69"/>
    <w:rsid w:val="00F520BF"/>
    <w:rsid w:val="00F525E5"/>
    <w:rsid w:val="00F5321A"/>
    <w:rsid w:val="00F5391E"/>
    <w:rsid w:val="00F539EC"/>
    <w:rsid w:val="00F53D59"/>
    <w:rsid w:val="00F53EE9"/>
    <w:rsid w:val="00F54441"/>
    <w:rsid w:val="00F54725"/>
    <w:rsid w:val="00F552AA"/>
    <w:rsid w:val="00F558A3"/>
    <w:rsid w:val="00F5615F"/>
    <w:rsid w:val="00F56465"/>
    <w:rsid w:val="00F56638"/>
    <w:rsid w:val="00F56938"/>
    <w:rsid w:val="00F56973"/>
    <w:rsid w:val="00F56A44"/>
    <w:rsid w:val="00F57003"/>
    <w:rsid w:val="00F5710C"/>
    <w:rsid w:val="00F57F2E"/>
    <w:rsid w:val="00F57F7E"/>
    <w:rsid w:val="00F60035"/>
    <w:rsid w:val="00F601C0"/>
    <w:rsid w:val="00F6098A"/>
    <w:rsid w:val="00F6143E"/>
    <w:rsid w:val="00F61ACF"/>
    <w:rsid w:val="00F61BC0"/>
    <w:rsid w:val="00F621A4"/>
    <w:rsid w:val="00F625B8"/>
    <w:rsid w:val="00F6317F"/>
    <w:rsid w:val="00F63C28"/>
    <w:rsid w:val="00F64382"/>
    <w:rsid w:val="00F645DE"/>
    <w:rsid w:val="00F64647"/>
    <w:rsid w:val="00F64A7C"/>
    <w:rsid w:val="00F64AC9"/>
    <w:rsid w:val="00F64E5B"/>
    <w:rsid w:val="00F651B3"/>
    <w:rsid w:val="00F65406"/>
    <w:rsid w:val="00F65858"/>
    <w:rsid w:val="00F65C77"/>
    <w:rsid w:val="00F65CFA"/>
    <w:rsid w:val="00F662B4"/>
    <w:rsid w:val="00F666C3"/>
    <w:rsid w:val="00F66C69"/>
    <w:rsid w:val="00F66E84"/>
    <w:rsid w:val="00F66EC3"/>
    <w:rsid w:val="00F66F97"/>
    <w:rsid w:val="00F67106"/>
    <w:rsid w:val="00F6730D"/>
    <w:rsid w:val="00F701F4"/>
    <w:rsid w:val="00F70533"/>
    <w:rsid w:val="00F7070D"/>
    <w:rsid w:val="00F70AD0"/>
    <w:rsid w:val="00F70DFE"/>
    <w:rsid w:val="00F70F96"/>
    <w:rsid w:val="00F7110F"/>
    <w:rsid w:val="00F712B4"/>
    <w:rsid w:val="00F71524"/>
    <w:rsid w:val="00F717B2"/>
    <w:rsid w:val="00F71B84"/>
    <w:rsid w:val="00F71C5D"/>
    <w:rsid w:val="00F72186"/>
    <w:rsid w:val="00F725A8"/>
    <w:rsid w:val="00F7266F"/>
    <w:rsid w:val="00F726CD"/>
    <w:rsid w:val="00F729FA"/>
    <w:rsid w:val="00F73660"/>
    <w:rsid w:val="00F736C5"/>
    <w:rsid w:val="00F73838"/>
    <w:rsid w:val="00F740A9"/>
    <w:rsid w:val="00F7412C"/>
    <w:rsid w:val="00F74391"/>
    <w:rsid w:val="00F747DC"/>
    <w:rsid w:val="00F7495E"/>
    <w:rsid w:val="00F74A95"/>
    <w:rsid w:val="00F74CBB"/>
    <w:rsid w:val="00F74E3E"/>
    <w:rsid w:val="00F754C8"/>
    <w:rsid w:val="00F75540"/>
    <w:rsid w:val="00F75690"/>
    <w:rsid w:val="00F75C50"/>
    <w:rsid w:val="00F75F41"/>
    <w:rsid w:val="00F76296"/>
    <w:rsid w:val="00F76474"/>
    <w:rsid w:val="00F76F98"/>
    <w:rsid w:val="00F77819"/>
    <w:rsid w:val="00F8004A"/>
    <w:rsid w:val="00F804FF"/>
    <w:rsid w:val="00F805F8"/>
    <w:rsid w:val="00F81477"/>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5CD6"/>
    <w:rsid w:val="00F8602E"/>
    <w:rsid w:val="00F86067"/>
    <w:rsid w:val="00F86291"/>
    <w:rsid w:val="00F8643D"/>
    <w:rsid w:val="00F86686"/>
    <w:rsid w:val="00F86A46"/>
    <w:rsid w:val="00F8709D"/>
    <w:rsid w:val="00F87600"/>
    <w:rsid w:val="00F87686"/>
    <w:rsid w:val="00F8797E"/>
    <w:rsid w:val="00F87B85"/>
    <w:rsid w:val="00F87E5A"/>
    <w:rsid w:val="00F9009F"/>
    <w:rsid w:val="00F90426"/>
    <w:rsid w:val="00F904D0"/>
    <w:rsid w:val="00F907BB"/>
    <w:rsid w:val="00F908F3"/>
    <w:rsid w:val="00F90C35"/>
    <w:rsid w:val="00F90D79"/>
    <w:rsid w:val="00F9108E"/>
    <w:rsid w:val="00F91A93"/>
    <w:rsid w:val="00F92278"/>
    <w:rsid w:val="00F923DF"/>
    <w:rsid w:val="00F926AF"/>
    <w:rsid w:val="00F926D0"/>
    <w:rsid w:val="00F929F4"/>
    <w:rsid w:val="00F92D64"/>
    <w:rsid w:val="00F92D83"/>
    <w:rsid w:val="00F92DDC"/>
    <w:rsid w:val="00F93569"/>
    <w:rsid w:val="00F936F0"/>
    <w:rsid w:val="00F937FC"/>
    <w:rsid w:val="00F93F99"/>
    <w:rsid w:val="00F9400F"/>
    <w:rsid w:val="00F9411C"/>
    <w:rsid w:val="00F9430B"/>
    <w:rsid w:val="00F94CFD"/>
    <w:rsid w:val="00F94E4D"/>
    <w:rsid w:val="00F95445"/>
    <w:rsid w:val="00F9588F"/>
    <w:rsid w:val="00F95EBD"/>
    <w:rsid w:val="00F961A7"/>
    <w:rsid w:val="00F96898"/>
    <w:rsid w:val="00F96D77"/>
    <w:rsid w:val="00F96FB5"/>
    <w:rsid w:val="00F972AA"/>
    <w:rsid w:val="00F97884"/>
    <w:rsid w:val="00F978C5"/>
    <w:rsid w:val="00F9BD4F"/>
    <w:rsid w:val="00FA01E3"/>
    <w:rsid w:val="00FA0218"/>
    <w:rsid w:val="00FA0346"/>
    <w:rsid w:val="00FA0D79"/>
    <w:rsid w:val="00FA1470"/>
    <w:rsid w:val="00FA16D9"/>
    <w:rsid w:val="00FA233A"/>
    <w:rsid w:val="00FA2620"/>
    <w:rsid w:val="00FA2DF9"/>
    <w:rsid w:val="00FA2FAE"/>
    <w:rsid w:val="00FA311F"/>
    <w:rsid w:val="00FA4462"/>
    <w:rsid w:val="00FA4BB8"/>
    <w:rsid w:val="00FA4DBA"/>
    <w:rsid w:val="00FA4E90"/>
    <w:rsid w:val="00FA4ED4"/>
    <w:rsid w:val="00FA599C"/>
    <w:rsid w:val="00FA5CED"/>
    <w:rsid w:val="00FA5F06"/>
    <w:rsid w:val="00FA6085"/>
    <w:rsid w:val="00FA64A7"/>
    <w:rsid w:val="00FA65EB"/>
    <w:rsid w:val="00FA664A"/>
    <w:rsid w:val="00FA6811"/>
    <w:rsid w:val="00FA6D66"/>
    <w:rsid w:val="00FA7AC7"/>
    <w:rsid w:val="00FB0718"/>
    <w:rsid w:val="00FB0CB2"/>
    <w:rsid w:val="00FB0EF3"/>
    <w:rsid w:val="00FB12D6"/>
    <w:rsid w:val="00FB16FD"/>
    <w:rsid w:val="00FB1D31"/>
    <w:rsid w:val="00FB2298"/>
    <w:rsid w:val="00FB230C"/>
    <w:rsid w:val="00FB2781"/>
    <w:rsid w:val="00FB2837"/>
    <w:rsid w:val="00FB2D77"/>
    <w:rsid w:val="00FB2EEE"/>
    <w:rsid w:val="00FB3246"/>
    <w:rsid w:val="00FB393E"/>
    <w:rsid w:val="00FB4044"/>
    <w:rsid w:val="00FB42B0"/>
    <w:rsid w:val="00FB4714"/>
    <w:rsid w:val="00FB47EC"/>
    <w:rsid w:val="00FB49B6"/>
    <w:rsid w:val="00FB4AFE"/>
    <w:rsid w:val="00FB4B76"/>
    <w:rsid w:val="00FB4E54"/>
    <w:rsid w:val="00FB504F"/>
    <w:rsid w:val="00FB517D"/>
    <w:rsid w:val="00FB5930"/>
    <w:rsid w:val="00FB5977"/>
    <w:rsid w:val="00FB62B7"/>
    <w:rsid w:val="00FB63C7"/>
    <w:rsid w:val="00FB689C"/>
    <w:rsid w:val="00FB6A10"/>
    <w:rsid w:val="00FB6FA2"/>
    <w:rsid w:val="00FB71DA"/>
    <w:rsid w:val="00FB71FD"/>
    <w:rsid w:val="00FB7469"/>
    <w:rsid w:val="00FB75B3"/>
    <w:rsid w:val="00FB7650"/>
    <w:rsid w:val="00FB7804"/>
    <w:rsid w:val="00FB7C5E"/>
    <w:rsid w:val="00FB7D8D"/>
    <w:rsid w:val="00FC0010"/>
    <w:rsid w:val="00FC06C9"/>
    <w:rsid w:val="00FC07E2"/>
    <w:rsid w:val="00FC0A02"/>
    <w:rsid w:val="00FC101B"/>
    <w:rsid w:val="00FC1740"/>
    <w:rsid w:val="00FC179E"/>
    <w:rsid w:val="00FC17EE"/>
    <w:rsid w:val="00FC18CB"/>
    <w:rsid w:val="00FC1970"/>
    <w:rsid w:val="00FC2208"/>
    <w:rsid w:val="00FC26AB"/>
    <w:rsid w:val="00FC27A0"/>
    <w:rsid w:val="00FC2EDD"/>
    <w:rsid w:val="00FC3483"/>
    <w:rsid w:val="00FC36F4"/>
    <w:rsid w:val="00FC4B82"/>
    <w:rsid w:val="00FC4BF9"/>
    <w:rsid w:val="00FC4DB4"/>
    <w:rsid w:val="00FC55A5"/>
    <w:rsid w:val="00FC60FB"/>
    <w:rsid w:val="00FC6116"/>
    <w:rsid w:val="00FC68C0"/>
    <w:rsid w:val="00FC70B4"/>
    <w:rsid w:val="00FC70C9"/>
    <w:rsid w:val="00FC72F5"/>
    <w:rsid w:val="00FC76D2"/>
    <w:rsid w:val="00FC788E"/>
    <w:rsid w:val="00FC7D34"/>
    <w:rsid w:val="00FC7F1B"/>
    <w:rsid w:val="00FD0249"/>
    <w:rsid w:val="00FD0594"/>
    <w:rsid w:val="00FD0A93"/>
    <w:rsid w:val="00FD0D4F"/>
    <w:rsid w:val="00FD1323"/>
    <w:rsid w:val="00FD1352"/>
    <w:rsid w:val="00FD155F"/>
    <w:rsid w:val="00FD1B18"/>
    <w:rsid w:val="00FD1DA7"/>
    <w:rsid w:val="00FD2DCE"/>
    <w:rsid w:val="00FD333D"/>
    <w:rsid w:val="00FD37F7"/>
    <w:rsid w:val="00FD3A91"/>
    <w:rsid w:val="00FD3F10"/>
    <w:rsid w:val="00FD40A5"/>
    <w:rsid w:val="00FD4684"/>
    <w:rsid w:val="00FD49D2"/>
    <w:rsid w:val="00FD4B9B"/>
    <w:rsid w:val="00FD4E04"/>
    <w:rsid w:val="00FD624E"/>
    <w:rsid w:val="00FD62FC"/>
    <w:rsid w:val="00FD667B"/>
    <w:rsid w:val="00FD675F"/>
    <w:rsid w:val="00FD6A06"/>
    <w:rsid w:val="00FD6D00"/>
    <w:rsid w:val="00FD7276"/>
    <w:rsid w:val="00FD7337"/>
    <w:rsid w:val="00FD763D"/>
    <w:rsid w:val="00FD7702"/>
    <w:rsid w:val="00FD77DE"/>
    <w:rsid w:val="00FD7AB3"/>
    <w:rsid w:val="00FD7AD5"/>
    <w:rsid w:val="00FD7B71"/>
    <w:rsid w:val="00FE01BF"/>
    <w:rsid w:val="00FE02A0"/>
    <w:rsid w:val="00FE03D6"/>
    <w:rsid w:val="00FE0757"/>
    <w:rsid w:val="00FE07BC"/>
    <w:rsid w:val="00FE0AD0"/>
    <w:rsid w:val="00FE0E6D"/>
    <w:rsid w:val="00FE11D5"/>
    <w:rsid w:val="00FE138C"/>
    <w:rsid w:val="00FE143B"/>
    <w:rsid w:val="00FE19FA"/>
    <w:rsid w:val="00FE1DDA"/>
    <w:rsid w:val="00FE200B"/>
    <w:rsid w:val="00FE21D9"/>
    <w:rsid w:val="00FE25DA"/>
    <w:rsid w:val="00FE2B15"/>
    <w:rsid w:val="00FE2B1C"/>
    <w:rsid w:val="00FE2C35"/>
    <w:rsid w:val="00FE2F12"/>
    <w:rsid w:val="00FE3B63"/>
    <w:rsid w:val="00FE3C81"/>
    <w:rsid w:val="00FE3C9C"/>
    <w:rsid w:val="00FE3EF7"/>
    <w:rsid w:val="00FE45FC"/>
    <w:rsid w:val="00FE4B88"/>
    <w:rsid w:val="00FE4D7E"/>
    <w:rsid w:val="00FE523E"/>
    <w:rsid w:val="00FE555D"/>
    <w:rsid w:val="00FE57E8"/>
    <w:rsid w:val="00FE5A37"/>
    <w:rsid w:val="00FE71EC"/>
    <w:rsid w:val="00FE722E"/>
    <w:rsid w:val="00FE7AB4"/>
    <w:rsid w:val="00FE7E48"/>
    <w:rsid w:val="00FF0599"/>
    <w:rsid w:val="00FF0D9B"/>
    <w:rsid w:val="00FF0E15"/>
    <w:rsid w:val="00FF0E71"/>
    <w:rsid w:val="00FF0F91"/>
    <w:rsid w:val="00FF0FA7"/>
    <w:rsid w:val="00FF1662"/>
    <w:rsid w:val="00FF1C56"/>
    <w:rsid w:val="00FF1D2E"/>
    <w:rsid w:val="00FF2773"/>
    <w:rsid w:val="00FF2855"/>
    <w:rsid w:val="00FF2A2F"/>
    <w:rsid w:val="00FF3353"/>
    <w:rsid w:val="00FF399F"/>
    <w:rsid w:val="00FF3AA1"/>
    <w:rsid w:val="00FF4133"/>
    <w:rsid w:val="00FF41E1"/>
    <w:rsid w:val="00FF4DE3"/>
    <w:rsid w:val="00FF52C0"/>
    <w:rsid w:val="00FF5464"/>
    <w:rsid w:val="00FF5627"/>
    <w:rsid w:val="00FF627D"/>
    <w:rsid w:val="00FF6499"/>
    <w:rsid w:val="00FF6787"/>
    <w:rsid w:val="00FF6809"/>
    <w:rsid w:val="00FF6B1E"/>
    <w:rsid w:val="00FF6B90"/>
    <w:rsid w:val="00FF6C31"/>
    <w:rsid w:val="00FF6E5F"/>
    <w:rsid w:val="00FF7025"/>
    <w:rsid w:val="00FF7344"/>
    <w:rsid w:val="00FF7864"/>
    <w:rsid w:val="00FF7CB1"/>
    <w:rsid w:val="00FF7EED"/>
    <w:rsid w:val="020D8B9F"/>
    <w:rsid w:val="02112809"/>
    <w:rsid w:val="0228D1E5"/>
    <w:rsid w:val="02442D7D"/>
    <w:rsid w:val="024E2F76"/>
    <w:rsid w:val="02B7F3F0"/>
    <w:rsid w:val="02CD3151"/>
    <w:rsid w:val="02F09D9E"/>
    <w:rsid w:val="03B1C4A3"/>
    <w:rsid w:val="0403FE3C"/>
    <w:rsid w:val="04A49B23"/>
    <w:rsid w:val="04AF1DC4"/>
    <w:rsid w:val="04C28B19"/>
    <w:rsid w:val="04E20A52"/>
    <w:rsid w:val="052325F2"/>
    <w:rsid w:val="0523F517"/>
    <w:rsid w:val="052955A6"/>
    <w:rsid w:val="055DB74F"/>
    <w:rsid w:val="0566C66E"/>
    <w:rsid w:val="05A4FD0A"/>
    <w:rsid w:val="05E25243"/>
    <w:rsid w:val="05E32B89"/>
    <w:rsid w:val="05E66824"/>
    <w:rsid w:val="05F47121"/>
    <w:rsid w:val="062AEA5D"/>
    <w:rsid w:val="064BC658"/>
    <w:rsid w:val="066A2DC6"/>
    <w:rsid w:val="06A17EEA"/>
    <w:rsid w:val="072200BE"/>
    <w:rsid w:val="072A1965"/>
    <w:rsid w:val="0731FA3C"/>
    <w:rsid w:val="07900169"/>
    <w:rsid w:val="08283812"/>
    <w:rsid w:val="089ECA1A"/>
    <w:rsid w:val="09311054"/>
    <w:rsid w:val="094EFD69"/>
    <w:rsid w:val="099416E6"/>
    <w:rsid w:val="09B7179F"/>
    <w:rsid w:val="09EA79A8"/>
    <w:rsid w:val="0A041BDC"/>
    <w:rsid w:val="0A210F34"/>
    <w:rsid w:val="0A40C5EE"/>
    <w:rsid w:val="0A68C6ED"/>
    <w:rsid w:val="0A7D60E9"/>
    <w:rsid w:val="0A8E593B"/>
    <w:rsid w:val="0AA72FF9"/>
    <w:rsid w:val="0ACCF92E"/>
    <w:rsid w:val="0ADF0DF7"/>
    <w:rsid w:val="0AE00208"/>
    <w:rsid w:val="0AE244FF"/>
    <w:rsid w:val="0AEA41DB"/>
    <w:rsid w:val="0B0FB779"/>
    <w:rsid w:val="0B338772"/>
    <w:rsid w:val="0B69D4FD"/>
    <w:rsid w:val="0BA7C59A"/>
    <w:rsid w:val="0C24B4E0"/>
    <w:rsid w:val="0C34F967"/>
    <w:rsid w:val="0C4127DF"/>
    <w:rsid w:val="0C77130C"/>
    <w:rsid w:val="0C97910B"/>
    <w:rsid w:val="0CC1880E"/>
    <w:rsid w:val="0CD18E3B"/>
    <w:rsid w:val="0CDA4ADA"/>
    <w:rsid w:val="0D78778B"/>
    <w:rsid w:val="0DD2FF6F"/>
    <w:rsid w:val="0DF2DACF"/>
    <w:rsid w:val="0E0601DE"/>
    <w:rsid w:val="0E2E093C"/>
    <w:rsid w:val="0E55073D"/>
    <w:rsid w:val="0F4AF0FA"/>
    <w:rsid w:val="0FDE8E9A"/>
    <w:rsid w:val="0FFE1220"/>
    <w:rsid w:val="1042ECDB"/>
    <w:rsid w:val="111FBA64"/>
    <w:rsid w:val="112C4EA4"/>
    <w:rsid w:val="1131AFE1"/>
    <w:rsid w:val="114D5FB9"/>
    <w:rsid w:val="1159FB78"/>
    <w:rsid w:val="116214F7"/>
    <w:rsid w:val="11674531"/>
    <w:rsid w:val="11939EFA"/>
    <w:rsid w:val="11A228E8"/>
    <w:rsid w:val="11BEBE72"/>
    <w:rsid w:val="11C372D0"/>
    <w:rsid w:val="11D44F67"/>
    <w:rsid w:val="11FA3444"/>
    <w:rsid w:val="12885BBD"/>
    <w:rsid w:val="1328527D"/>
    <w:rsid w:val="13556F71"/>
    <w:rsid w:val="135A0B6B"/>
    <w:rsid w:val="1371DC75"/>
    <w:rsid w:val="13755BDA"/>
    <w:rsid w:val="1377E865"/>
    <w:rsid w:val="137CAD2B"/>
    <w:rsid w:val="13CE9137"/>
    <w:rsid w:val="13D3FCBA"/>
    <w:rsid w:val="13D8404D"/>
    <w:rsid w:val="13E4C841"/>
    <w:rsid w:val="1477EC6E"/>
    <w:rsid w:val="14A4BF76"/>
    <w:rsid w:val="14B3C625"/>
    <w:rsid w:val="14EFDE2C"/>
    <w:rsid w:val="1500DB75"/>
    <w:rsid w:val="15451349"/>
    <w:rsid w:val="156FAEED"/>
    <w:rsid w:val="15B609F2"/>
    <w:rsid w:val="15CD308C"/>
    <w:rsid w:val="15E9B6FC"/>
    <w:rsid w:val="15ECA4DC"/>
    <w:rsid w:val="164167AE"/>
    <w:rsid w:val="16461569"/>
    <w:rsid w:val="166D60CE"/>
    <w:rsid w:val="16875B48"/>
    <w:rsid w:val="16C48EAA"/>
    <w:rsid w:val="17B321E0"/>
    <w:rsid w:val="17DC9A08"/>
    <w:rsid w:val="181C2934"/>
    <w:rsid w:val="182C806F"/>
    <w:rsid w:val="1830D259"/>
    <w:rsid w:val="1841B04F"/>
    <w:rsid w:val="18836370"/>
    <w:rsid w:val="18884301"/>
    <w:rsid w:val="18976FA6"/>
    <w:rsid w:val="18A05B5A"/>
    <w:rsid w:val="18ABFE9A"/>
    <w:rsid w:val="18EBC18E"/>
    <w:rsid w:val="194AD56F"/>
    <w:rsid w:val="194F0ADE"/>
    <w:rsid w:val="198BD7D9"/>
    <w:rsid w:val="199EAA50"/>
    <w:rsid w:val="1A5D0E44"/>
    <w:rsid w:val="1AB917AB"/>
    <w:rsid w:val="1AEC4189"/>
    <w:rsid w:val="1B078F61"/>
    <w:rsid w:val="1B6FA5DA"/>
    <w:rsid w:val="1BC2CE7D"/>
    <w:rsid w:val="1C218FD9"/>
    <w:rsid w:val="1CAD9DF5"/>
    <w:rsid w:val="1CAE1EED"/>
    <w:rsid w:val="1CE8FA4D"/>
    <w:rsid w:val="1D1D37B5"/>
    <w:rsid w:val="1D3995D0"/>
    <w:rsid w:val="1DD91752"/>
    <w:rsid w:val="1E0E2998"/>
    <w:rsid w:val="1E2B5125"/>
    <w:rsid w:val="1EF111E7"/>
    <w:rsid w:val="1F0458E4"/>
    <w:rsid w:val="1F0AA421"/>
    <w:rsid w:val="1F0CFC4C"/>
    <w:rsid w:val="1F9E8B36"/>
    <w:rsid w:val="1FE958AC"/>
    <w:rsid w:val="201B6347"/>
    <w:rsid w:val="201E5D5D"/>
    <w:rsid w:val="20A34B97"/>
    <w:rsid w:val="20F35EE3"/>
    <w:rsid w:val="21027011"/>
    <w:rsid w:val="21138280"/>
    <w:rsid w:val="211F67F8"/>
    <w:rsid w:val="21299BCB"/>
    <w:rsid w:val="216E1392"/>
    <w:rsid w:val="2182ED7F"/>
    <w:rsid w:val="219DC499"/>
    <w:rsid w:val="21D21404"/>
    <w:rsid w:val="21F33F35"/>
    <w:rsid w:val="2217E1AF"/>
    <w:rsid w:val="222CF912"/>
    <w:rsid w:val="2235186E"/>
    <w:rsid w:val="228A0734"/>
    <w:rsid w:val="22D211E5"/>
    <w:rsid w:val="23125461"/>
    <w:rsid w:val="23139228"/>
    <w:rsid w:val="2369BFB3"/>
    <w:rsid w:val="23B635F6"/>
    <w:rsid w:val="23BC0BD0"/>
    <w:rsid w:val="244EF1A5"/>
    <w:rsid w:val="248DA9D4"/>
    <w:rsid w:val="2491D76C"/>
    <w:rsid w:val="2493387F"/>
    <w:rsid w:val="24A45A1D"/>
    <w:rsid w:val="24C090E7"/>
    <w:rsid w:val="250E5A79"/>
    <w:rsid w:val="251C100A"/>
    <w:rsid w:val="253B5B35"/>
    <w:rsid w:val="25496BA4"/>
    <w:rsid w:val="2556F3DE"/>
    <w:rsid w:val="25A4011D"/>
    <w:rsid w:val="25D6C228"/>
    <w:rsid w:val="261F67FB"/>
    <w:rsid w:val="2689654E"/>
    <w:rsid w:val="27088619"/>
    <w:rsid w:val="274D4532"/>
    <w:rsid w:val="2785FEF8"/>
    <w:rsid w:val="27F0509C"/>
    <w:rsid w:val="27F7D7BE"/>
    <w:rsid w:val="27FAF656"/>
    <w:rsid w:val="28240AF7"/>
    <w:rsid w:val="282D68FC"/>
    <w:rsid w:val="2831816D"/>
    <w:rsid w:val="283753F5"/>
    <w:rsid w:val="28428406"/>
    <w:rsid w:val="2848299F"/>
    <w:rsid w:val="28B4AC61"/>
    <w:rsid w:val="28D3F0D0"/>
    <w:rsid w:val="28EB350F"/>
    <w:rsid w:val="2957E433"/>
    <w:rsid w:val="29A2D2C1"/>
    <w:rsid w:val="29EF0CC9"/>
    <w:rsid w:val="29F4DD4D"/>
    <w:rsid w:val="2A211863"/>
    <w:rsid w:val="2A6531C8"/>
    <w:rsid w:val="2A825A13"/>
    <w:rsid w:val="2A8A7B0A"/>
    <w:rsid w:val="2A913DE3"/>
    <w:rsid w:val="2AE420E6"/>
    <w:rsid w:val="2AE80E6F"/>
    <w:rsid w:val="2B0C8455"/>
    <w:rsid w:val="2B3239C6"/>
    <w:rsid w:val="2B3D2981"/>
    <w:rsid w:val="2B44AE9B"/>
    <w:rsid w:val="2BB1701A"/>
    <w:rsid w:val="2BD49096"/>
    <w:rsid w:val="2BE6D4F6"/>
    <w:rsid w:val="2BE9604C"/>
    <w:rsid w:val="2C166E5C"/>
    <w:rsid w:val="2C1AB6EB"/>
    <w:rsid w:val="2C33BD14"/>
    <w:rsid w:val="2C8E81E6"/>
    <w:rsid w:val="2C918236"/>
    <w:rsid w:val="2C97CA5C"/>
    <w:rsid w:val="2C9D2D82"/>
    <w:rsid w:val="2D728BF9"/>
    <w:rsid w:val="2DE6DC4B"/>
    <w:rsid w:val="2DFE011B"/>
    <w:rsid w:val="2E15A8E1"/>
    <w:rsid w:val="2E3D0787"/>
    <w:rsid w:val="2E54A7CD"/>
    <w:rsid w:val="2E5F9220"/>
    <w:rsid w:val="2E6C80AF"/>
    <w:rsid w:val="2E73910C"/>
    <w:rsid w:val="2E7B9C6B"/>
    <w:rsid w:val="2F4A6134"/>
    <w:rsid w:val="2F848369"/>
    <w:rsid w:val="2F99AE28"/>
    <w:rsid w:val="2FCB3DB7"/>
    <w:rsid w:val="30865F3A"/>
    <w:rsid w:val="30CA8975"/>
    <w:rsid w:val="30E07896"/>
    <w:rsid w:val="3105FD0D"/>
    <w:rsid w:val="3174A849"/>
    <w:rsid w:val="317C220C"/>
    <w:rsid w:val="3195A253"/>
    <w:rsid w:val="31C659B6"/>
    <w:rsid w:val="31DC5013"/>
    <w:rsid w:val="3203F2DF"/>
    <w:rsid w:val="323CFA99"/>
    <w:rsid w:val="32983C0B"/>
    <w:rsid w:val="32C895F4"/>
    <w:rsid w:val="32DAA8BD"/>
    <w:rsid w:val="33385F56"/>
    <w:rsid w:val="333AF0C9"/>
    <w:rsid w:val="34480C32"/>
    <w:rsid w:val="346A8C78"/>
    <w:rsid w:val="34B727CB"/>
    <w:rsid w:val="34C50BC6"/>
    <w:rsid w:val="34E49F95"/>
    <w:rsid w:val="352CF133"/>
    <w:rsid w:val="3555F91F"/>
    <w:rsid w:val="356AA026"/>
    <w:rsid w:val="357C3906"/>
    <w:rsid w:val="35833924"/>
    <w:rsid w:val="3631FBDD"/>
    <w:rsid w:val="3655DEAD"/>
    <w:rsid w:val="367645DE"/>
    <w:rsid w:val="37097378"/>
    <w:rsid w:val="37274F7F"/>
    <w:rsid w:val="3729CC64"/>
    <w:rsid w:val="373FA9E1"/>
    <w:rsid w:val="375FB2D3"/>
    <w:rsid w:val="37DD63E5"/>
    <w:rsid w:val="37E360C6"/>
    <w:rsid w:val="381EF975"/>
    <w:rsid w:val="3832ACA3"/>
    <w:rsid w:val="3852F17C"/>
    <w:rsid w:val="38858566"/>
    <w:rsid w:val="39172737"/>
    <w:rsid w:val="39248D3D"/>
    <w:rsid w:val="397115E7"/>
    <w:rsid w:val="39CCE96A"/>
    <w:rsid w:val="39D12BD2"/>
    <w:rsid w:val="39FF039F"/>
    <w:rsid w:val="3A80F952"/>
    <w:rsid w:val="3AB72F08"/>
    <w:rsid w:val="3AF7CD83"/>
    <w:rsid w:val="3B6EF648"/>
    <w:rsid w:val="3BA2891F"/>
    <w:rsid w:val="3BC5E85D"/>
    <w:rsid w:val="3BD97D95"/>
    <w:rsid w:val="3BDCD388"/>
    <w:rsid w:val="3BE96F1B"/>
    <w:rsid w:val="3C31E1F1"/>
    <w:rsid w:val="3CBF565B"/>
    <w:rsid w:val="3CC03902"/>
    <w:rsid w:val="3CC26D61"/>
    <w:rsid w:val="3CCCB914"/>
    <w:rsid w:val="3CCCBAD8"/>
    <w:rsid w:val="3CDFAE09"/>
    <w:rsid w:val="3D185D9A"/>
    <w:rsid w:val="3D331582"/>
    <w:rsid w:val="3D352474"/>
    <w:rsid w:val="3D6CD07F"/>
    <w:rsid w:val="3DB89A14"/>
    <w:rsid w:val="3DB8ACE8"/>
    <w:rsid w:val="3E2A98D8"/>
    <w:rsid w:val="3E602AAE"/>
    <w:rsid w:val="3E7EEC00"/>
    <w:rsid w:val="3E882841"/>
    <w:rsid w:val="3E959B20"/>
    <w:rsid w:val="3EACFC1A"/>
    <w:rsid w:val="3EDA273E"/>
    <w:rsid w:val="3F00C663"/>
    <w:rsid w:val="3F052C9F"/>
    <w:rsid w:val="3F0BA74B"/>
    <w:rsid w:val="3F5AF63A"/>
    <w:rsid w:val="3F7C57A5"/>
    <w:rsid w:val="3FAD40DC"/>
    <w:rsid w:val="3FDFC2CB"/>
    <w:rsid w:val="400B81CD"/>
    <w:rsid w:val="401C3507"/>
    <w:rsid w:val="402A2B9E"/>
    <w:rsid w:val="40B44B52"/>
    <w:rsid w:val="40D7E558"/>
    <w:rsid w:val="4116F90D"/>
    <w:rsid w:val="4156B713"/>
    <w:rsid w:val="41EBCEBD"/>
    <w:rsid w:val="4261F47D"/>
    <w:rsid w:val="4272E2DA"/>
    <w:rsid w:val="4284909C"/>
    <w:rsid w:val="42866E11"/>
    <w:rsid w:val="42AD007C"/>
    <w:rsid w:val="42D5AB4D"/>
    <w:rsid w:val="432C4880"/>
    <w:rsid w:val="433BA089"/>
    <w:rsid w:val="437BB221"/>
    <w:rsid w:val="43870B10"/>
    <w:rsid w:val="43C6BA5A"/>
    <w:rsid w:val="43D2BF9A"/>
    <w:rsid w:val="43FA4F34"/>
    <w:rsid w:val="44096DDB"/>
    <w:rsid w:val="444160E1"/>
    <w:rsid w:val="44A22907"/>
    <w:rsid w:val="44ADE2ED"/>
    <w:rsid w:val="44E3B191"/>
    <w:rsid w:val="44F8CF37"/>
    <w:rsid w:val="45034D5F"/>
    <w:rsid w:val="4532B582"/>
    <w:rsid w:val="45539F62"/>
    <w:rsid w:val="45576766"/>
    <w:rsid w:val="455C1C08"/>
    <w:rsid w:val="459D076B"/>
    <w:rsid w:val="45BF6CE0"/>
    <w:rsid w:val="463A19E8"/>
    <w:rsid w:val="46960F06"/>
    <w:rsid w:val="46C82126"/>
    <w:rsid w:val="46CD4640"/>
    <w:rsid w:val="47B982FC"/>
    <w:rsid w:val="47E1B819"/>
    <w:rsid w:val="48165C27"/>
    <w:rsid w:val="484460F2"/>
    <w:rsid w:val="4876E0EE"/>
    <w:rsid w:val="48C8DE54"/>
    <w:rsid w:val="48D4A82D"/>
    <w:rsid w:val="4A15E6AC"/>
    <w:rsid w:val="4A45711E"/>
    <w:rsid w:val="4A7BC7B9"/>
    <w:rsid w:val="4AD6001B"/>
    <w:rsid w:val="4B220013"/>
    <w:rsid w:val="4B43A7F1"/>
    <w:rsid w:val="4B506FB4"/>
    <w:rsid w:val="4B578577"/>
    <w:rsid w:val="4BBCF542"/>
    <w:rsid w:val="4BDACC0F"/>
    <w:rsid w:val="4C43E14E"/>
    <w:rsid w:val="4C4452A0"/>
    <w:rsid w:val="4C491481"/>
    <w:rsid w:val="4CC9A16C"/>
    <w:rsid w:val="4D2C4EBD"/>
    <w:rsid w:val="4D2D9E0A"/>
    <w:rsid w:val="4D692C38"/>
    <w:rsid w:val="4D727309"/>
    <w:rsid w:val="4D8BEAF8"/>
    <w:rsid w:val="4DCA0902"/>
    <w:rsid w:val="4E302338"/>
    <w:rsid w:val="4E61F70B"/>
    <w:rsid w:val="4E88D59A"/>
    <w:rsid w:val="4ED14FAC"/>
    <w:rsid w:val="4F26A69D"/>
    <w:rsid w:val="4F519356"/>
    <w:rsid w:val="4F77987D"/>
    <w:rsid w:val="4F943A58"/>
    <w:rsid w:val="4F959C19"/>
    <w:rsid w:val="4FB86BD6"/>
    <w:rsid w:val="4FC80FE5"/>
    <w:rsid w:val="502612DF"/>
    <w:rsid w:val="5032E08A"/>
    <w:rsid w:val="503344E8"/>
    <w:rsid w:val="5070A6E9"/>
    <w:rsid w:val="507FE887"/>
    <w:rsid w:val="50FFC8AA"/>
    <w:rsid w:val="51A2E81B"/>
    <w:rsid w:val="51FEEF86"/>
    <w:rsid w:val="5258733E"/>
    <w:rsid w:val="531B3DEB"/>
    <w:rsid w:val="532C6D76"/>
    <w:rsid w:val="533EB0C4"/>
    <w:rsid w:val="53EFA044"/>
    <w:rsid w:val="53F61D6E"/>
    <w:rsid w:val="5406022F"/>
    <w:rsid w:val="54155F8B"/>
    <w:rsid w:val="541BC420"/>
    <w:rsid w:val="5459A044"/>
    <w:rsid w:val="54E8D84A"/>
    <w:rsid w:val="550E5236"/>
    <w:rsid w:val="5532F0EA"/>
    <w:rsid w:val="553C312A"/>
    <w:rsid w:val="554CB6EB"/>
    <w:rsid w:val="55CF4E46"/>
    <w:rsid w:val="56A0F66D"/>
    <w:rsid w:val="56F5C7DE"/>
    <w:rsid w:val="5726DAAB"/>
    <w:rsid w:val="572971E8"/>
    <w:rsid w:val="576D8D14"/>
    <w:rsid w:val="57C3E28B"/>
    <w:rsid w:val="5810464C"/>
    <w:rsid w:val="59324AE1"/>
    <w:rsid w:val="59593D29"/>
    <w:rsid w:val="59F842AF"/>
    <w:rsid w:val="59F9D3C6"/>
    <w:rsid w:val="5A0F0431"/>
    <w:rsid w:val="5A401A68"/>
    <w:rsid w:val="5AC1E38C"/>
    <w:rsid w:val="5AD24BBC"/>
    <w:rsid w:val="5AD3E014"/>
    <w:rsid w:val="5B25761E"/>
    <w:rsid w:val="5BA277CD"/>
    <w:rsid w:val="5BBA8922"/>
    <w:rsid w:val="5BC702BD"/>
    <w:rsid w:val="5BF58265"/>
    <w:rsid w:val="5C0E88A8"/>
    <w:rsid w:val="5C44161C"/>
    <w:rsid w:val="5C4FFAAD"/>
    <w:rsid w:val="5CF6635D"/>
    <w:rsid w:val="5CFEAC28"/>
    <w:rsid w:val="5D57B46F"/>
    <w:rsid w:val="5D746226"/>
    <w:rsid w:val="5DC96FFE"/>
    <w:rsid w:val="5DDE157D"/>
    <w:rsid w:val="5DE263BD"/>
    <w:rsid w:val="5DE5FC88"/>
    <w:rsid w:val="5E36F8B7"/>
    <w:rsid w:val="5EAC7C50"/>
    <w:rsid w:val="5EE02982"/>
    <w:rsid w:val="5F10DBE3"/>
    <w:rsid w:val="5F27DD5E"/>
    <w:rsid w:val="5F2C45B0"/>
    <w:rsid w:val="5F6047E2"/>
    <w:rsid w:val="5FA71ECC"/>
    <w:rsid w:val="5FE0BBFE"/>
    <w:rsid w:val="603A2B32"/>
    <w:rsid w:val="60C99693"/>
    <w:rsid w:val="6105DE57"/>
    <w:rsid w:val="610F1B24"/>
    <w:rsid w:val="611DF759"/>
    <w:rsid w:val="61743A32"/>
    <w:rsid w:val="61B5735E"/>
    <w:rsid w:val="61B72892"/>
    <w:rsid w:val="61F7EFDF"/>
    <w:rsid w:val="62082C2A"/>
    <w:rsid w:val="62131044"/>
    <w:rsid w:val="62B1C973"/>
    <w:rsid w:val="62B8C121"/>
    <w:rsid w:val="62F6B680"/>
    <w:rsid w:val="62FBD38F"/>
    <w:rsid w:val="6380A8AC"/>
    <w:rsid w:val="63B9199C"/>
    <w:rsid w:val="63FC90AE"/>
    <w:rsid w:val="64652930"/>
    <w:rsid w:val="64B4C499"/>
    <w:rsid w:val="64F88C98"/>
    <w:rsid w:val="64FF7D04"/>
    <w:rsid w:val="651AC8FA"/>
    <w:rsid w:val="65513F11"/>
    <w:rsid w:val="655BAC20"/>
    <w:rsid w:val="655E6E12"/>
    <w:rsid w:val="65615380"/>
    <w:rsid w:val="65A8BBE4"/>
    <w:rsid w:val="65CE2C3B"/>
    <w:rsid w:val="65EF261D"/>
    <w:rsid w:val="66044E8C"/>
    <w:rsid w:val="6610F5CF"/>
    <w:rsid w:val="665C836E"/>
    <w:rsid w:val="668A1D26"/>
    <w:rsid w:val="66B48918"/>
    <w:rsid w:val="66E97FA6"/>
    <w:rsid w:val="6707D91A"/>
    <w:rsid w:val="6723648A"/>
    <w:rsid w:val="674FE552"/>
    <w:rsid w:val="675D3179"/>
    <w:rsid w:val="6775EAF8"/>
    <w:rsid w:val="67A37CDE"/>
    <w:rsid w:val="6835C798"/>
    <w:rsid w:val="689F5A44"/>
    <w:rsid w:val="68DDE1B9"/>
    <w:rsid w:val="69457B03"/>
    <w:rsid w:val="697FFD3D"/>
    <w:rsid w:val="69FCC632"/>
    <w:rsid w:val="6A63DA06"/>
    <w:rsid w:val="6AAE0FE4"/>
    <w:rsid w:val="6BD624AA"/>
    <w:rsid w:val="6C6308A2"/>
    <w:rsid w:val="6D20C1EE"/>
    <w:rsid w:val="6D24311D"/>
    <w:rsid w:val="6D359163"/>
    <w:rsid w:val="6D3FABC7"/>
    <w:rsid w:val="6D5F432D"/>
    <w:rsid w:val="6DC966D4"/>
    <w:rsid w:val="6DE52C7C"/>
    <w:rsid w:val="6E2CCDCC"/>
    <w:rsid w:val="6EC03651"/>
    <w:rsid w:val="6EC46531"/>
    <w:rsid w:val="6EE06343"/>
    <w:rsid w:val="6F28A89E"/>
    <w:rsid w:val="6F80FCDD"/>
    <w:rsid w:val="6FC7C9C6"/>
    <w:rsid w:val="6FD290FE"/>
    <w:rsid w:val="70442C06"/>
    <w:rsid w:val="7053A9ED"/>
    <w:rsid w:val="70647854"/>
    <w:rsid w:val="70ABCE85"/>
    <w:rsid w:val="716825B7"/>
    <w:rsid w:val="7169ADBB"/>
    <w:rsid w:val="7174F1D6"/>
    <w:rsid w:val="718256CD"/>
    <w:rsid w:val="71F706BF"/>
    <w:rsid w:val="72179BB5"/>
    <w:rsid w:val="7275D551"/>
    <w:rsid w:val="727B6D67"/>
    <w:rsid w:val="727BE976"/>
    <w:rsid w:val="729C3FDD"/>
    <w:rsid w:val="72C4C3A2"/>
    <w:rsid w:val="72DC7D41"/>
    <w:rsid w:val="732C4E6E"/>
    <w:rsid w:val="74609403"/>
    <w:rsid w:val="7533A6B5"/>
    <w:rsid w:val="755E66D5"/>
    <w:rsid w:val="75AEE972"/>
    <w:rsid w:val="75B5AFA3"/>
    <w:rsid w:val="75C1251C"/>
    <w:rsid w:val="75E0A1B9"/>
    <w:rsid w:val="75FECC44"/>
    <w:rsid w:val="7627FD48"/>
    <w:rsid w:val="762FFF81"/>
    <w:rsid w:val="7646CA97"/>
    <w:rsid w:val="76903045"/>
    <w:rsid w:val="774B6F11"/>
    <w:rsid w:val="775D50A7"/>
    <w:rsid w:val="77636420"/>
    <w:rsid w:val="777F6677"/>
    <w:rsid w:val="77BCB871"/>
    <w:rsid w:val="77D5CC61"/>
    <w:rsid w:val="77D6057A"/>
    <w:rsid w:val="77DCF14D"/>
    <w:rsid w:val="785FE5EC"/>
    <w:rsid w:val="7865FF88"/>
    <w:rsid w:val="78D69FFE"/>
    <w:rsid w:val="78E7D6EA"/>
    <w:rsid w:val="7923BF85"/>
    <w:rsid w:val="799F1C59"/>
    <w:rsid w:val="79BC4DCF"/>
    <w:rsid w:val="79F381D1"/>
    <w:rsid w:val="7A5DA8AF"/>
    <w:rsid w:val="7A692E00"/>
    <w:rsid w:val="7AA57E85"/>
    <w:rsid w:val="7B4834EC"/>
    <w:rsid w:val="7B4B2B72"/>
    <w:rsid w:val="7B751B11"/>
    <w:rsid w:val="7B80BB51"/>
    <w:rsid w:val="7BB7DFB4"/>
    <w:rsid w:val="7BBF2B81"/>
    <w:rsid w:val="7BECBF29"/>
    <w:rsid w:val="7C4B4F30"/>
    <w:rsid w:val="7C5F66A7"/>
    <w:rsid w:val="7C653CAE"/>
    <w:rsid w:val="7D1F1BAA"/>
    <w:rsid w:val="7D40A641"/>
    <w:rsid w:val="7D6F37B2"/>
    <w:rsid w:val="7DB7B81B"/>
    <w:rsid w:val="7DB982A0"/>
    <w:rsid w:val="7E01F9D1"/>
    <w:rsid w:val="7E25AA4B"/>
    <w:rsid w:val="7E2A0D56"/>
    <w:rsid w:val="7E676E30"/>
    <w:rsid w:val="7E7F5DD2"/>
    <w:rsid w:val="7EA384FE"/>
    <w:rsid w:val="7EA86575"/>
    <w:rsid w:val="7EC1DFE9"/>
    <w:rsid w:val="7ECBB2B3"/>
    <w:rsid w:val="7EE31841"/>
    <w:rsid w:val="7F46B05D"/>
    <w:rsid w:val="7F726BDA"/>
    <w:rsid w:val="7F84B98D"/>
    <w:rsid w:val="7F89DB00"/>
    <w:rsid w:val="7FB47F7F"/>
    <w:rsid w:val="7FC06CBC"/>
    <w:rsid w:val="7FDAE17D"/>
    <w:rsid w:val="7FE7E3E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9A8FC838-22B4-472D-BEF3-B193FE8C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FB"/>
    <w:pPr>
      <w:spacing w:after="0" w:line="240" w:lineRule="auto"/>
    </w:p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rPr>
  </w:style>
  <w:style w:type="paragraph" w:styleId="EndnoteText">
    <w:name w:val="endnote text"/>
    <w:basedOn w:val="Normal"/>
    <w:link w:val="EndnoteTextChar"/>
    <w:uiPriority w:val="99"/>
    <w:unhideWhenUsed/>
    <w:rsid w:val="003253C6"/>
    <w:rPr>
      <w:rFonts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C3DC5"/>
    <w:pPr>
      <w:tabs>
        <w:tab w:val="right" w:leader="dot" w:pos="9450"/>
      </w:tabs>
      <w:spacing w:after="100" w:line="276" w:lineRule="auto"/>
      <w:ind w:left="450"/>
    </w:pPr>
    <w:rPr>
      <w:rFonts w:ascii="Calibri" w:eastAsiaTheme="majorEastAsia" w:hAnsi="Calibri" w:cstheme="majorBidi"/>
      <w:noProof/>
      <w:szCs w:val="22"/>
    </w:rPr>
  </w:style>
  <w:style w:type="paragraph" w:styleId="TOC2">
    <w:name w:val="toc 2"/>
    <w:basedOn w:val="Normal"/>
    <w:next w:val="Normal"/>
    <w:autoRedefine/>
    <w:uiPriority w:val="39"/>
    <w:unhideWhenUsed/>
    <w:rsid w:val="001D23E0"/>
    <w:pPr>
      <w:tabs>
        <w:tab w:val="right" w:leader="dot" w:pos="9450"/>
      </w:tabs>
      <w:spacing w:after="100" w:line="276" w:lineRule="auto"/>
      <w:ind w:left="450"/>
    </w:pPr>
    <w:rPr>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customStyle="1" w:styleId="UnresolvedMention7">
    <w:name w:val="Unresolved Mention7"/>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RBNBasicNoSpace">
    <w:name w:val="RBN Basic No Space"/>
    <w:basedOn w:val="Normal"/>
    <w:rsid w:val="00B13F08"/>
    <w:rPr>
      <w:rFonts w:eastAsia="Calibri"/>
      <w:szCs w:val="20"/>
    </w:rPr>
  </w:style>
  <w:style w:type="paragraph" w:customStyle="1" w:styleId="RB2Bullets">
    <w:name w:val="RB2 Bullets"/>
    <w:basedOn w:val="Normal"/>
    <w:rsid w:val="00B13F08"/>
    <w:pPr>
      <w:numPr>
        <w:ilvl w:val="1"/>
        <w:numId w:val="1"/>
      </w:numPr>
      <w:spacing w:after="120"/>
    </w:pPr>
    <w:rPr>
      <w:rFonts w:eastAsia="Calibri"/>
      <w:szCs w:val="20"/>
    </w:rPr>
  </w:style>
  <w:style w:type="paragraph" w:customStyle="1" w:styleId="RB3Bullets">
    <w:name w:val="RB3 Bullets"/>
    <w:basedOn w:val="Normal"/>
    <w:rsid w:val="00B13F08"/>
    <w:pPr>
      <w:numPr>
        <w:ilvl w:val="2"/>
        <w:numId w:val="1"/>
      </w:numPr>
      <w:spacing w:after="120"/>
    </w:pPr>
    <w:rPr>
      <w:rFonts w:eastAsia="Calibri"/>
      <w:szCs w:val="20"/>
    </w:rPr>
  </w:style>
  <w:style w:type="paragraph" w:customStyle="1" w:styleId="RB4Bullets">
    <w:name w:val="RB4 Bullets"/>
    <w:basedOn w:val="Normal"/>
    <w:rsid w:val="00B13F08"/>
    <w:pPr>
      <w:numPr>
        <w:ilvl w:val="3"/>
        <w:numId w:val="1"/>
      </w:numPr>
      <w:spacing w:after="120"/>
    </w:pPr>
    <w:rPr>
      <w:rFonts w:eastAsia="Calibri"/>
      <w:szCs w:val="20"/>
    </w:rPr>
  </w:style>
  <w:style w:type="paragraph" w:customStyle="1" w:styleId="RB5Bullets">
    <w:name w:val="RB5 Bullets"/>
    <w:basedOn w:val="Normal"/>
    <w:rsid w:val="00B13F08"/>
    <w:pPr>
      <w:numPr>
        <w:ilvl w:val="4"/>
        <w:numId w:val="1"/>
      </w:numPr>
      <w:spacing w:after="120"/>
    </w:pPr>
    <w:rPr>
      <w:rFonts w:eastAsia="Calibri"/>
      <w:szCs w:val="20"/>
    </w:rPr>
  </w:style>
  <w:style w:type="paragraph" w:customStyle="1" w:styleId="RB6Bullets">
    <w:name w:val="RB6 Bullets"/>
    <w:basedOn w:val="Normal"/>
    <w:rsid w:val="00B13F08"/>
    <w:pPr>
      <w:numPr>
        <w:ilvl w:val="5"/>
        <w:numId w:val="1"/>
      </w:numPr>
      <w:spacing w:after="120"/>
    </w:pPr>
    <w:rPr>
      <w:rFonts w:eastAsia="Calibri"/>
      <w:szCs w:val="20"/>
    </w:rPr>
  </w:style>
  <w:style w:type="paragraph" w:customStyle="1" w:styleId="RB7Bullets">
    <w:name w:val="RB7 Bullets"/>
    <w:basedOn w:val="Normal"/>
    <w:rsid w:val="00B13F08"/>
    <w:pPr>
      <w:numPr>
        <w:ilvl w:val="6"/>
        <w:numId w:val="1"/>
      </w:numPr>
      <w:spacing w:after="120"/>
    </w:pPr>
    <w:rPr>
      <w:rFonts w:eastAsia="Calibri"/>
      <w:szCs w:val="20"/>
    </w:rPr>
  </w:style>
  <w:style w:type="paragraph" w:customStyle="1" w:styleId="RB8Bullets">
    <w:name w:val="RB8 Bullets"/>
    <w:basedOn w:val="Normal"/>
    <w:rsid w:val="00B13F08"/>
    <w:pPr>
      <w:numPr>
        <w:ilvl w:val="7"/>
        <w:numId w:val="1"/>
      </w:numPr>
      <w:spacing w:after="120"/>
    </w:pPr>
    <w:rPr>
      <w:rFonts w:eastAsia="Calibri"/>
      <w:szCs w:val="20"/>
    </w:rPr>
  </w:style>
  <w:style w:type="paragraph" w:customStyle="1" w:styleId="RB9Bullets">
    <w:name w:val="RB9 Bullets"/>
    <w:basedOn w:val="Normal"/>
    <w:rsid w:val="00B13F08"/>
    <w:pPr>
      <w:numPr>
        <w:ilvl w:val="8"/>
        <w:numId w:val="1"/>
      </w:numPr>
      <w:spacing w:after="120"/>
    </w:pPr>
    <w:rPr>
      <w:rFonts w:eastAsia="Calibri"/>
      <w:szCs w:val="20"/>
    </w:rPr>
  </w:style>
  <w:style w:type="paragraph" w:customStyle="1" w:styleId="RBUBullets">
    <w:name w:val="RBU Bullets"/>
    <w:basedOn w:val="Normal"/>
    <w:link w:val="RBUBulletsChar"/>
    <w:rsid w:val="00B13F08"/>
    <w:pPr>
      <w:numPr>
        <w:numId w:val="1"/>
      </w:numPr>
      <w:spacing w:after="120"/>
      <w:ind w:left="720"/>
      <w:jc w:val="both"/>
    </w:pPr>
    <w:rPr>
      <w:rFonts w:eastAsia="Calibri"/>
      <w:szCs w:val="20"/>
    </w:rPr>
  </w:style>
  <w:style w:type="character" w:customStyle="1" w:styleId="RBUBulletsChar">
    <w:name w:val="RBU Bullets Char"/>
    <w:basedOn w:val="DefaultParagraphFont"/>
    <w:link w:val="RBUBullets"/>
    <w:rsid w:val="00B13F08"/>
    <w:rPr>
      <w:rFonts w:eastAsia="Calibri"/>
      <w:szCs w:val="20"/>
    </w:rPr>
  </w:style>
  <w:style w:type="paragraph" w:customStyle="1" w:styleId="RNNum">
    <w:name w:val="RN Num"/>
    <w:basedOn w:val="Normal"/>
    <w:link w:val="RNNumChar"/>
    <w:rsid w:val="007B1DAB"/>
    <w:pPr>
      <w:numPr>
        <w:numId w:val="2"/>
      </w:numPr>
      <w:spacing w:after="240"/>
    </w:pPr>
    <w:rPr>
      <w:rFonts w:eastAsia="Calibri"/>
      <w:szCs w:val="20"/>
    </w:rPr>
  </w:style>
  <w:style w:type="character" w:customStyle="1" w:styleId="RNNumChar">
    <w:name w:val="RN Num Char"/>
    <w:link w:val="RNNum"/>
    <w:rsid w:val="007B1DAB"/>
    <w:rPr>
      <w:rFonts w:eastAsia="Calibri"/>
      <w:szCs w:val="20"/>
    </w:rPr>
  </w:style>
  <w:style w:type="paragraph" w:customStyle="1" w:styleId="RN2Num">
    <w:name w:val="RN2 Num"/>
    <w:basedOn w:val="Normal"/>
    <w:rsid w:val="007B1DAB"/>
    <w:pPr>
      <w:numPr>
        <w:ilvl w:val="1"/>
        <w:numId w:val="2"/>
      </w:numPr>
      <w:spacing w:after="240"/>
    </w:pPr>
    <w:rPr>
      <w:rFonts w:eastAsia="Calibri"/>
      <w:szCs w:val="20"/>
    </w:rPr>
  </w:style>
  <w:style w:type="paragraph" w:customStyle="1" w:styleId="RN3Num">
    <w:name w:val="RN3 Num"/>
    <w:basedOn w:val="Normal"/>
    <w:rsid w:val="007B1DAB"/>
    <w:pPr>
      <w:numPr>
        <w:ilvl w:val="2"/>
        <w:numId w:val="2"/>
      </w:numPr>
      <w:spacing w:after="240"/>
    </w:pPr>
    <w:rPr>
      <w:rFonts w:eastAsia="Calibri"/>
      <w:szCs w:val="20"/>
    </w:rPr>
  </w:style>
  <w:style w:type="paragraph" w:customStyle="1" w:styleId="RN4Num">
    <w:name w:val="RN4 Num"/>
    <w:basedOn w:val="Normal"/>
    <w:rsid w:val="007B1DAB"/>
    <w:pPr>
      <w:numPr>
        <w:ilvl w:val="3"/>
        <w:numId w:val="2"/>
      </w:numPr>
    </w:pPr>
    <w:rPr>
      <w:rFonts w:eastAsia="Calibri"/>
      <w:szCs w:val="20"/>
    </w:rPr>
  </w:style>
  <w:style w:type="paragraph" w:customStyle="1" w:styleId="RN5Num">
    <w:name w:val="RN5 Num"/>
    <w:basedOn w:val="Normal"/>
    <w:rsid w:val="007B1DAB"/>
    <w:pPr>
      <w:numPr>
        <w:ilvl w:val="4"/>
        <w:numId w:val="2"/>
      </w:numPr>
      <w:spacing w:after="240"/>
    </w:pPr>
    <w:rPr>
      <w:rFonts w:eastAsia="Calibri"/>
      <w:szCs w:val="20"/>
    </w:rPr>
  </w:style>
  <w:style w:type="paragraph" w:customStyle="1" w:styleId="RN6Num">
    <w:name w:val="RN6 Num"/>
    <w:basedOn w:val="Normal"/>
    <w:rsid w:val="007B1DAB"/>
    <w:pPr>
      <w:numPr>
        <w:ilvl w:val="5"/>
        <w:numId w:val="2"/>
      </w:numPr>
      <w:spacing w:after="240"/>
    </w:pPr>
    <w:rPr>
      <w:rFonts w:eastAsia="Calibri"/>
      <w:szCs w:val="20"/>
    </w:rPr>
  </w:style>
  <w:style w:type="paragraph" w:customStyle="1" w:styleId="RN7Num">
    <w:name w:val="RN7 Num"/>
    <w:basedOn w:val="Normal"/>
    <w:rsid w:val="007B1DAB"/>
    <w:pPr>
      <w:numPr>
        <w:ilvl w:val="6"/>
        <w:numId w:val="2"/>
      </w:numPr>
      <w:spacing w:after="240"/>
    </w:pPr>
    <w:rPr>
      <w:rFonts w:eastAsia="Calibri"/>
      <w:szCs w:val="20"/>
    </w:rPr>
  </w:style>
  <w:style w:type="paragraph" w:customStyle="1" w:styleId="RN8Num">
    <w:name w:val="RN8 Num"/>
    <w:basedOn w:val="Normal"/>
    <w:rsid w:val="007B1DAB"/>
    <w:pPr>
      <w:numPr>
        <w:ilvl w:val="7"/>
        <w:numId w:val="2"/>
      </w:numPr>
      <w:spacing w:after="240"/>
    </w:pPr>
    <w:rPr>
      <w:rFonts w:eastAsia="Calibri"/>
      <w:szCs w:val="20"/>
    </w:rPr>
  </w:style>
  <w:style w:type="paragraph" w:customStyle="1" w:styleId="RN9Num">
    <w:name w:val="RN9 Num"/>
    <w:basedOn w:val="Normal"/>
    <w:rsid w:val="007B1DAB"/>
    <w:pPr>
      <w:numPr>
        <w:ilvl w:val="8"/>
        <w:numId w:val="2"/>
      </w:numPr>
      <w:spacing w:after="240"/>
    </w:pPr>
    <w:rPr>
      <w:rFonts w:eastAsia="Calibri"/>
      <w:szCs w:val="20"/>
    </w:rPr>
  </w:style>
  <w:style w:type="character" w:styleId="UnresolvedMention">
    <w:name w:val="Unresolved Mention"/>
    <w:basedOn w:val="DefaultParagraphFont"/>
    <w:uiPriority w:val="99"/>
    <w:semiHidden/>
    <w:unhideWhenUsed/>
    <w:rsid w:val="008C0869"/>
    <w:rPr>
      <w:color w:val="605E5C"/>
      <w:shd w:val="clear" w:color="auto" w:fill="E1DFDD"/>
    </w:rPr>
  </w:style>
  <w:style w:type="character" w:styleId="Emphasis">
    <w:name w:val="Emphasis"/>
    <w:basedOn w:val="DefaultParagraphFont"/>
    <w:uiPriority w:val="20"/>
    <w:qFormat/>
    <w:rsid w:val="006B02BE"/>
    <w:rPr>
      <w:i/>
      <w:iCs/>
    </w:rPr>
  </w:style>
  <w:style w:type="paragraph" w:styleId="TOC3">
    <w:name w:val="toc 3"/>
    <w:basedOn w:val="Normal"/>
    <w:next w:val="Normal"/>
    <w:autoRedefine/>
    <w:uiPriority w:val="39"/>
    <w:unhideWhenUsed/>
    <w:rsid w:val="007D1CA1"/>
    <w:pPr>
      <w:spacing w:after="100" w:line="259" w:lineRule="auto"/>
      <w:ind w:left="440"/>
    </w:pPr>
    <w:rPr>
      <w:rFonts w:eastAsiaTheme="minorEastAsia"/>
      <w:sz w:val="22"/>
      <w:szCs w:val="22"/>
    </w:rPr>
  </w:style>
  <w:style w:type="paragraph" w:customStyle="1" w:styleId="FootnoteText1">
    <w:name w:val="Footnote Text1"/>
    <w:basedOn w:val="Normal"/>
    <w:next w:val="FootnoteText"/>
    <w:uiPriority w:val="99"/>
    <w:unhideWhenUsed/>
    <w:rsid w:val="00C22A7C"/>
    <w:rPr>
      <w:rFonts w:ascii="Calibri" w:eastAsia="Calibri" w:hAnsi="Calibri"/>
      <w:sz w:val="20"/>
      <w:szCs w:val="20"/>
    </w:rPr>
  </w:style>
  <w:style w:type="character" w:customStyle="1" w:styleId="Hyperlink1">
    <w:name w:val="Hyperlink1"/>
    <w:basedOn w:val="DefaultParagraphFont"/>
    <w:uiPriority w:val="99"/>
    <w:unhideWhenUsed/>
    <w:rsid w:val="00550940"/>
    <w:rPr>
      <w:color w:val="0563C1"/>
      <w:u w:val="single"/>
    </w:rPr>
  </w:style>
  <w:style w:type="paragraph" w:customStyle="1" w:styleId="paragraph">
    <w:name w:val="paragraph"/>
    <w:basedOn w:val="Normal"/>
    <w:rsid w:val="00FF3353"/>
    <w:pPr>
      <w:spacing w:before="100" w:beforeAutospacing="1" w:after="100" w:afterAutospacing="1"/>
    </w:pPr>
  </w:style>
  <w:style w:type="character" w:customStyle="1" w:styleId="normaltextrun">
    <w:name w:val="normaltextrun"/>
    <w:basedOn w:val="DefaultParagraphFont"/>
    <w:rsid w:val="00FF3353"/>
  </w:style>
  <w:style w:type="character" w:customStyle="1" w:styleId="eop">
    <w:name w:val="eop"/>
    <w:basedOn w:val="DefaultParagraphFont"/>
    <w:rsid w:val="00FF3353"/>
  </w:style>
  <w:style w:type="character" w:customStyle="1" w:styleId="contextualspellingandgrammarerror">
    <w:name w:val="contextualspellingandgrammarerror"/>
    <w:basedOn w:val="DefaultParagraphFont"/>
    <w:rsid w:val="00FF3353"/>
  </w:style>
  <w:style w:type="character" w:customStyle="1" w:styleId="FootnoteTextChar1">
    <w:name w:val="Footnote Text Char1"/>
    <w:basedOn w:val="DefaultParagraphFont"/>
    <w:uiPriority w:val="99"/>
    <w:semiHidden/>
    <w:rsid w:val="00D523F2"/>
    <w:rPr>
      <w:sz w:val="20"/>
      <w:szCs w:val="20"/>
    </w:rPr>
  </w:style>
  <w:style w:type="paragraph" w:customStyle="1" w:styleId="EndnoteText1">
    <w:name w:val="Endnote Text1"/>
    <w:basedOn w:val="Normal"/>
    <w:next w:val="EndnoteText"/>
    <w:uiPriority w:val="99"/>
    <w:unhideWhenUsed/>
    <w:rsid w:val="00D523F2"/>
    <w:rPr>
      <w:rFonts w:ascii="Calibri" w:eastAsia="Calibri" w:hAnsi="Calibri"/>
      <w:sz w:val="20"/>
      <w:szCs w:val="20"/>
    </w:rPr>
  </w:style>
  <w:style w:type="paragraph" w:customStyle="1" w:styleId="TableParagraph">
    <w:name w:val="Table Paragraph"/>
    <w:basedOn w:val="Normal"/>
    <w:uiPriority w:val="1"/>
    <w:qFormat/>
    <w:rsid w:val="00E720F4"/>
    <w:pPr>
      <w:widowControl w:val="0"/>
      <w:autoSpaceDE w:val="0"/>
      <w:autoSpaceDN w:val="0"/>
      <w:spacing w:line="205" w:lineRule="exact"/>
      <w:ind w:left="107"/>
    </w:pPr>
    <w:rPr>
      <w:rFonts w:ascii="Garamond" w:eastAsia="Garamond" w:hAnsi="Garamond" w:cs="Garamond"/>
      <w:sz w:val="22"/>
      <w:szCs w:val="22"/>
    </w:rPr>
  </w:style>
  <w:style w:type="character" w:customStyle="1" w:styleId="footnotedescriptionChar">
    <w:name w:val="footnote description Char"/>
    <w:link w:val="footnotedescription"/>
    <w:locked/>
    <w:rsid w:val="00940CC4"/>
    <w:rPr>
      <w:rFonts w:ascii="Calibri" w:eastAsia="Calibri" w:hAnsi="Calibri" w:cs="Calibri"/>
      <w:color w:val="000000"/>
      <w:sz w:val="20"/>
    </w:rPr>
  </w:style>
  <w:style w:type="paragraph" w:customStyle="1" w:styleId="footnotedescription">
    <w:name w:val="footnote description"/>
    <w:next w:val="Normal"/>
    <w:link w:val="footnotedescriptionChar"/>
    <w:rsid w:val="00940CC4"/>
    <w:pPr>
      <w:spacing w:after="0" w:line="256" w:lineRule="auto"/>
    </w:pPr>
    <w:rPr>
      <w:rFonts w:ascii="Calibri" w:eastAsia="Calibri" w:hAnsi="Calibri" w:cs="Calibri"/>
      <w:color w:val="000000"/>
      <w:sz w:val="20"/>
    </w:rPr>
  </w:style>
  <w:style w:type="character" w:customStyle="1" w:styleId="footnotemark">
    <w:name w:val="footnote mark"/>
    <w:rsid w:val="00940CC4"/>
    <w:rPr>
      <w:rFonts w:ascii="Calibri" w:eastAsia="Calibri" w:hAnsi="Calibri" w:cs="Calibri" w:hint="default"/>
      <w:color w:val="000000"/>
      <w:sz w:val="20"/>
      <w:vertAlign w:val="superscript"/>
    </w:rPr>
  </w:style>
  <w:style w:type="table" w:customStyle="1" w:styleId="TableGrid11">
    <w:name w:val="Table Grid11"/>
    <w:basedOn w:val="TableNormal"/>
    <w:next w:val="TableGrid"/>
    <w:uiPriority w:val="39"/>
    <w:rsid w:val="00C43448"/>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A31DE2"/>
    <w:pPr>
      <w:spacing w:after="0" w:line="240" w:lineRule="auto"/>
    </w:pPr>
    <w:rPr>
      <w:rFonts w:cs="Times New Roman"/>
      <w:kern w:val="2"/>
      <w:sz w:val="22"/>
      <w:szCs w:val="2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A31D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25371113">
      <w:bodyDiv w:val="1"/>
      <w:marLeft w:val="0"/>
      <w:marRight w:val="0"/>
      <w:marTop w:val="0"/>
      <w:marBottom w:val="0"/>
      <w:divBdr>
        <w:top w:val="none" w:sz="0" w:space="0" w:color="auto"/>
        <w:left w:val="none" w:sz="0" w:space="0" w:color="auto"/>
        <w:bottom w:val="none" w:sz="0" w:space="0" w:color="auto"/>
        <w:right w:val="none" w:sz="0" w:space="0" w:color="auto"/>
      </w:divBdr>
    </w:div>
    <w:div w:id="25714785">
      <w:bodyDiv w:val="1"/>
      <w:marLeft w:val="0"/>
      <w:marRight w:val="0"/>
      <w:marTop w:val="0"/>
      <w:marBottom w:val="0"/>
      <w:divBdr>
        <w:top w:val="none" w:sz="0" w:space="0" w:color="auto"/>
        <w:left w:val="none" w:sz="0" w:space="0" w:color="auto"/>
        <w:bottom w:val="none" w:sz="0" w:space="0" w:color="auto"/>
        <w:right w:val="none" w:sz="0" w:space="0" w:color="auto"/>
      </w:divBdr>
    </w:div>
    <w:div w:id="27338142">
      <w:bodyDiv w:val="1"/>
      <w:marLeft w:val="0"/>
      <w:marRight w:val="0"/>
      <w:marTop w:val="0"/>
      <w:marBottom w:val="0"/>
      <w:divBdr>
        <w:top w:val="none" w:sz="0" w:space="0" w:color="auto"/>
        <w:left w:val="none" w:sz="0" w:space="0" w:color="auto"/>
        <w:bottom w:val="none" w:sz="0" w:space="0" w:color="auto"/>
        <w:right w:val="none" w:sz="0" w:space="0" w:color="auto"/>
      </w:divBdr>
    </w:div>
    <w:div w:id="31225591">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59527059">
      <w:bodyDiv w:val="1"/>
      <w:marLeft w:val="0"/>
      <w:marRight w:val="0"/>
      <w:marTop w:val="0"/>
      <w:marBottom w:val="0"/>
      <w:divBdr>
        <w:top w:val="none" w:sz="0" w:space="0" w:color="auto"/>
        <w:left w:val="none" w:sz="0" w:space="0" w:color="auto"/>
        <w:bottom w:val="none" w:sz="0" w:space="0" w:color="auto"/>
        <w:right w:val="none" w:sz="0" w:space="0" w:color="auto"/>
      </w:divBdr>
    </w:div>
    <w:div w:id="78793499">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06392640">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19492088">
      <w:bodyDiv w:val="1"/>
      <w:marLeft w:val="0"/>
      <w:marRight w:val="0"/>
      <w:marTop w:val="0"/>
      <w:marBottom w:val="0"/>
      <w:divBdr>
        <w:top w:val="none" w:sz="0" w:space="0" w:color="auto"/>
        <w:left w:val="none" w:sz="0" w:space="0" w:color="auto"/>
        <w:bottom w:val="none" w:sz="0" w:space="0" w:color="auto"/>
        <w:right w:val="none" w:sz="0" w:space="0" w:color="auto"/>
      </w:divBdr>
    </w:div>
    <w:div w:id="126819132">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172186174">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3358698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58569050">
      <w:bodyDiv w:val="1"/>
      <w:marLeft w:val="0"/>
      <w:marRight w:val="0"/>
      <w:marTop w:val="0"/>
      <w:marBottom w:val="0"/>
      <w:divBdr>
        <w:top w:val="none" w:sz="0" w:space="0" w:color="auto"/>
        <w:left w:val="none" w:sz="0" w:space="0" w:color="auto"/>
        <w:bottom w:val="none" w:sz="0" w:space="0" w:color="auto"/>
        <w:right w:val="none" w:sz="0" w:space="0" w:color="auto"/>
      </w:divBdr>
    </w:div>
    <w:div w:id="258756156">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6470911">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36680667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12052856">
      <w:bodyDiv w:val="1"/>
      <w:marLeft w:val="0"/>
      <w:marRight w:val="0"/>
      <w:marTop w:val="0"/>
      <w:marBottom w:val="0"/>
      <w:divBdr>
        <w:top w:val="none" w:sz="0" w:space="0" w:color="auto"/>
        <w:left w:val="none" w:sz="0" w:space="0" w:color="auto"/>
        <w:bottom w:val="none" w:sz="0" w:space="0" w:color="auto"/>
        <w:right w:val="none" w:sz="0" w:space="0" w:color="auto"/>
      </w:divBdr>
    </w:div>
    <w:div w:id="439760526">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60079067">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4012355">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491993489">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0699099">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1455648">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0073446">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87157407">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18880093">
      <w:bodyDiv w:val="1"/>
      <w:marLeft w:val="0"/>
      <w:marRight w:val="0"/>
      <w:marTop w:val="0"/>
      <w:marBottom w:val="0"/>
      <w:divBdr>
        <w:top w:val="none" w:sz="0" w:space="0" w:color="auto"/>
        <w:left w:val="none" w:sz="0" w:space="0" w:color="auto"/>
        <w:bottom w:val="none" w:sz="0" w:space="0" w:color="auto"/>
        <w:right w:val="none" w:sz="0" w:space="0" w:color="auto"/>
      </w:divBdr>
    </w:div>
    <w:div w:id="623314480">
      <w:bodyDiv w:val="1"/>
      <w:marLeft w:val="0"/>
      <w:marRight w:val="0"/>
      <w:marTop w:val="0"/>
      <w:marBottom w:val="0"/>
      <w:divBdr>
        <w:top w:val="none" w:sz="0" w:space="0" w:color="auto"/>
        <w:left w:val="none" w:sz="0" w:space="0" w:color="auto"/>
        <w:bottom w:val="none" w:sz="0" w:space="0" w:color="auto"/>
        <w:right w:val="none" w:sz="0" w:space="0" w:color="auto"/>
      </w:divBdr>
    </w:div>
    <w:div w:id="626012050">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673646980">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37631912">
      <w:bodyDiv w:val="1"/>
      <w:marLeft w:val="0"/>
      <w:marRight w:val="0"/>
      <w:marTop w:val="0"/>
      <w:marBottom w:val="0"/>
      <w:divBdr>
        <w:top w:val="none" w:sz="0" w:space="0" w:color="auto"/>
        <w:left w:val="none" w:sz="0" w:space="0" w:color="auto"/>
        <w:bottom w:val="none" w:sz="0" w:space="0" w:color="auto"/>
        <w:right w:val="none" w:sz="0" w:space="0" w:color="auto"/>
      </w:divBdr>
    </w:div>
    <w:div w:id="744688625">
      <w:bodyDiv w:val="1"/>
      <w:marLeft w:val="0"/>
      <w:marRight w:val="0"/>
      <w:marTop w:val="0"/>
      <w:marBottom w:val="0"/>
      <w:divBdr>
        <w:top w:val="none" w:sz="0" w:space="0" w:color="auto"/>
        <w:left w:val="none" w:sz="0" w:space="0" w:color="auto"/>
        <w:bottom w:val="none" w:sz="0" w:space="0" w:color="auto"/>
        <w:right w:val="none" w:sz="0" w:space="0" w:color="auto"/>
      </w:divBdr>
    </w:div>
    <w:div w:id="756248785">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241367">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7062258">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13441744">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5115324">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994525206">
      <w:bodyDiv w:val="1"/>
      <w:marLeft w:val="0"/>
      <w:marRight w:val="0"/>
      <w:marTop w:val="0"/>
      <w:marBottom w:val="0"/>
      <w:divBdr>
        <w:top w:val="none" w:sz="0" w:space="0" w:color="auto"/>
        <w:left w:val="none" w:sz="0" w:space="0" w:color="auto"/>
        <w:bottom w:val="none" w:sz="0" w:space="0" w:color="auto"/>
        <w:right w:val="none" w:sz="0" w:space="0" w:color="auto"/>
      </w:divBdr>
    </w:div>
    <w:div w:id="1003162028">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5675">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51871954">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00625418">
      <w:bodyDiv w:val="1"/>
      <w:marLeft w:val="0"/>
      <w:marRight w:val="0"/>
      <w:marTop w:val="0"/>
      <w:marBottom w:val="0"/>
      <w:divBdr>
        <w:top w:val="none" w:sz="0" w:space="0" w:color="auto"/>
        <w:left w:val="none" w:sz="0" w:space="0" w:color="auto"/>
        <w:bottom w:val="none" w:sz="0" w:space="0" w:color="auto"/>
        <w:right w:val="none" w:sz="0" w:space="0" w:color="auto"/>
      </w:divBdr>
    </w:div>
    <w:div w:id="1224289611">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31769219">
      <w:bodyDiv w:val="1"/>
      <w:marLeft w:val="0"/>
      <w:marRight w:val="0"/>
      <w:marTop w:val="0"/>
      <w:marBottom w:val="0"/>
      <w:divBdr>
        <w:top w:val="none" w:sz="0" w:space="0" w:color="auto"/>
        <w:left w:val="none" w:sz="0" w:space="0" w:color="auto"/>
        <w:bottom w:val="none" w:sz="0" w:space="0" w:color="auto"/>
        <w:right w:val="none" w:sz="0" w:space="0" w:color="auto"/>
      </w:divBdr>
    </w:div>
    <w:div w:id="1250190305">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269655669">
      <w:bodyDiv w:val="1"/>
      <w:marLeft w:val="0"/>
      <w:marRight w:val="0"/>
      <w:marTop w:val="0"/>
      <w:marBottom w:val="0"/>
      <w:divBdr>
        <w:top w:val="none" w:sz="0" w:space="0" w:color="auto"/>
        <w:left w:val="none" w:sz="0" w:space="0" w:color="auto"/>
        <w:bottom w:val="none" w:sz="0" w:space="0" w:color="auto"/>
        <w:right w:val="none" w:sz="0" w:space="0" w:color="auto"/>
      </w:divBdr>
    </w:div>
    <w:div w:id="1310205576">
      <w:bodyDiv w:val="1"/>
      <w:marLeft w:val="0"/>
      <w:marRight w:val="0"/>
      <w:marTop w:val="0"/>
      <w:marBottom w:val="0"/>
      <w:divBdr>
        <w:top w:val="none" w:sz="0" w:space="0" w:color="auto"/>
        <w:left w:val="none" w:sz="0" w:space="0" w:color="auto"/>
        <w:bottom w:val="none" w:sz="0" w:space="0" w:color="auto"/>
        <w:right w:val="none" w:sz="0" w:space="0" w:color="auto"/>
      </w:divBdr>
    </w:div>
    <w:div w:id="1345476459">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77244697">
      <w:bodyDiv w:val="1"/>
      <w:marLeft w:val="0"/>
      <w:marRight w:val="0"/>
      <w:marTop w:val="0"/>
      <w:marBottom w:val="0"/>
      <w:divBdr>
        <w:top w:val="none" w:sz="0" w:space="0" w:color="auto"/>
        <w:left w:val="none" w:sz="0" w:space="0" w:color="auto"/>
        <w:bottom w:val="none" w:sz="0" w:space="0" w:color="auto"/>
        <w:right w:val="none" w:sz="0" w:space="0" w:color="auto"/>
      </w:divBdr>
    </w:div>
    <w:div w:id="1393314379">
      <w:bodyDiv w:val="1"/>
      <w:marLeft w:val="0"/>
      <w:marRight w:val="0"/>
      <w:marTop w:val="0"/>
      <w:marBottom w:val="0"/>
      <w:divBdr>
        <w:top w:val="none" w:sz="0" w:space="0" w:color="auto"/>
        <w:left w:val="none" w:sz="0" w:space="0" w:color="auto"/>
        <w:bottom w:val="none" w:sz="0" w:space="0" w:color="auto"/>
        <w:right w:val="none" w:sz="0" w:space="0" w:color="auto"/>
      </w:divBdr>
    </w:div>
    <w:div w:id="1397044517">
      <w:bodyDiv w:val="1"/>
      <w:marLeft w:val="0"/>
      <w:marRight w:val="0"/>
      <w:marTop w:val="0"/>
      <w:marBottom w:val="0"/>
      <w:divBdr>
        <w:top w:val="none" w:sz="0" w:space="0" w:color="auto"/>
        <w:left w:val="none" w:sz="0" w:space="0" w:color="auto"/>
        <w:bottom w:val="none" w:sz="0" w:space="0" w:color="auto"/>
        <w:right w:val="none" w:sz="0" w:space="0" w:color="auto"/>
      </w:divBdr>
    </w:div>
    <w:div w:id="1410425351">
      <w:bodyDiv w:val="1"/>
      <w:marLeft w:val="0"/>
      <w:marRight w:val="0"/>
      <w:marTop w:val="0"/>
      <w:marBottom w:val="0"/>
      <w:divBdr>
        <w:top w:val="none" w:sz="0" w:space="0" w:color="auto"/>
        <w:left w:val="none" w:sz="0" w:space="0" w:color="auto"/>
        <w:bottom w:val="none" w:sz="0" w:space="0" w:color="auto"/>
        <w:right w:val="none" w:sz="0" w:space="0" w:color="auto"/>
      </w:divBdr>
    </w:div>
    <w:div w:id="1421488996">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57717957">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56351844">
      <w:bodyDiv w:val="1"/>
      <w:marLeft w:val="0"/>
      <w:marRight w:val="0"/>
      <w:marTop w:val="0"/>
      <w:marBottom w:val="0"/>
      <w:divBdr>
        <w:top w:val="none" w:sz="0" w:space="0" w:color="auto"/>
        <w:left w:val="none" w:sz="0" w:space="0" w:color="auto"/>
        <w:bottom w:val="none" w:sz="0" w:space="0" w:color="auto"/>
        <w:right w:val="none" w:sz="0" w:space="0" w:color="auto"/>
      </w:divBdr>
    </w:div>
    <w:div w:id="1569804727">
      <w:bodyDiv w:val="1"/>
      <w:marLeft w:val="0"/>
      <w:marRight w:val="0"/>
      <w:marTop w:val="0"/>
      <w:marBottom w:val="0"/>
      <w:divBdr>
        <w:top w:val="none" w:sz="0" w:space="0" w:color="auto"/>
        <w:left w:val="none" w:sz="0" w:space="0" w:color="auto"/>
        <w:bottom w:val="none" w:sz="0" w:space="0" w:color="auto"/>
        <w:right w:val="none" w:sz="0" w:space="0" w:color="auto"/>
      </w:divBdr>
    </w:div>
    <w:div w:id="1584220055">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381393">
      <w:bodyDiv w:val="1"/>
      <w:marLeft w:val="0"/>
      <w:marRight w:val="0"/>
      <w:marTop w:val="0"/>
      <w:marBottom w:val="0"/>
      <w:divBdr>
        <w:top w:val="none" w:sz="0" w:space="0" w:color="auto"/>
        <w:left w:val="none" w:sz="0" w:space="0" w:color="auto"/>
        <w:bottom w:val="none" w:sz="0" w:space="0" w:color="auto"/>
        <w:right w:val="none" w:sz="0" w:space="0" w:color="auto"/>
      </w:divBdr>
    </w:div>
    <w:div w:id="1609459710">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4889301">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2831697">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697150157">
      <w:bodyDiv w:val="1"/>
      <w:marLeft w:val="0"/>
      <w:marRight w:val="0"/>
      <w:marTop w:val="0"/>
      <w:marBottom w:val="0"/>
      <w:divBdr>
        <w:top w:val="none" w:sz="0" w:space="0" w:color="auto"/>
        <w:left w:val="none" w:sz="0" w:space="0" w:color="auto"/>
        <w:bottom w:val="none" w:sz="0" w:space="0" w:color="auto"/>
        <w:right w:val="none" w:sz="0" w:space="0" w:color="auto"/>
      </w:divBdr>
    </w:div>
    <w:div w:id="1714646596">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68497229">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4790574">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57646863">
      <w:bodyDiv w:val="1"/>
      <w:marLeft w:val="0"/>
      <w:marRight w:val="0"/>
      <w:marTop w:val="0"/>
      <w:marBottom w:val="0"/>
      <w:divBdr>
        <w:top w:val="none" w:sz="0" w:space="0" w:color="auto"/>
        <w:left w:val="none" w:sz="0" w:space="0" w:color="auto"/>
        <w:bottom w:val="none" w:sz="0" w:space="0" w:color="auto"/>
        <w:right w:val="none" w:sz="0" w:space="0" w:color="auto"/>
      </w:divBdr>
    </w:div>
    <w:div w:id="1861773331">
      <w:bodyDiv w:val="1"/>
      <w:marLeft w:val="0"/>
      <w:marRight w:val="0"/>
      <w:marTop w:val="0"/>
      <w:marBottom w:val="0"/>
      <w:divBdr>
        <w:top w:val="none" w:sz="0" w:space="0" w:color="auto"/>
        <w:left w:val="none" w:sz="0" w:space="0" w:color="auto"/>
        <w:bottom w:val="none" w:sz="0" w:space="0" w:color="auto"/>
        <w:right w:val="none" w:sz="0" w:space="0" w:color="auto"/>
      </w:divBdr>
    </w:div>
    <w:div w:id="1913540170">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20089705">
      <w:bodyDiv w:val="1"/>
      <w:marLeft w:val="0"/>
      <w:marRight w:val="0"/>
      <w:marTop w:val="0"/>
      <w:marBottom w:val="0"/>
      <w:divBdr>
        <w:top w:val="none" w:sz="0" w:space="0" w:color="auto"/>
        <w:left w:val="none" w:sz="0" w:space="0" w:color="auto"/>
        <w:bottom w:val="none" w:sz="0" w:space="0" w:color="auto"/>
        <w:right w:val="none" w:sz="0" w:space="0" w:color="auto"/>
      </w:divBdr>
    </w:div>
    <w:div w:id="1944461116">
      <w:bodyDiv w:val="1"/>
      <w:marLeft w:val="0"/>
      <w:marRight w:val="0"/>
      <w:marTop w:val="0"/>
      <w:marBottom w:val="0"/>
      <w:divBdr>
        <w:top w:val="none" w:sz="0" w:space="0" w:color="auto"/>
        <w:left w:val="none" w:sz="0" w:space="0" w:color="auto"/>
        <w:bottom w:val="none" w:sz="0" w:space="0" w:color="auto"/>
        <w:right w:val="none" w:sz="0" w:space="0" w:color="auto"/>
      </w:divBdr>
    </w:div>
    <w:div w:id="1958945059">
      <w:bodyDiv w:val="1"/>
      <w:marLeft w:val="0"/>
      <w:marRight w:val="0"/>
      <w:marTop w:val="0"/>
      <w:marBottom w:val="0"/>
      <w:divBdr>
        <w:top w:val="none" w:sz="0" w:space="0" w:color="auto"/>
        <w:left w:val="none" w:sz="0" w:space="0" w:color="auto"/>
        <w:bottom w:val="none" w:sz="0" w:space="0" w:color="auto"/>
        <w:right w:val="none" w:sz="0" w:space="0" w:color="auto"/>
      </w:divBdr>
    </w:div>
    <w:div w:id="1958949889">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9436520">
      <w:bodyDiv w:val="1"/>
      <w:marLeft w:val="0"/>
      <w:marRight w:val="0"/>
      <w:marTop w:val="0"/>
      <w:marBottom w:val="0"/>
      <w:divBdr>
        <w:top w:val="none" w:sz="0" w:space="0" w:color="auto"/>
        <w:left w:val="none" w:sz="0" w:space="0" w:color="auto"/>
        <w:bottom w:val="none" w:sz="0" w:space="0" w:color="auto"/>
        <w:right w:val="none" w:sz="0" w:space="0" w:color="auto"/>
      </w:divBdr>
    </w:div>
    <w:div w:id="2022924378">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2607236">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08967231">
      <w:bodyDiv w:val="1"/>
      <w:marLeft w:val="0"/>
      <w:marRight w:val="0"/>
      <w:marTop w:val="0"/>
      <w:marBottom w:val="0"/>
      <w:divBdr>
        <w:top w:val="none" w:sz="0" w:space="0" w:color="auto"/>
        <w:left w:val="none" w:sz="0" w:space="0" w:color="auto"/>
        <w:bottom w:val="none" w:sz="0" w:space="0" w:color="auto"/>
        <w:right w:val="none" w:sz="0" w:space="0" w:color="auto"/>
      </w:divBdr>
    </w:div>
    <w:div w:id="213925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3" Type="http://schemas.openxmlformats.org/officeDocument/2006/relationships/hyperlink" Target="https://www.ncbi.nlm.nih.gov/pmc/articles/PMC4366827/." TargetMode="External"/><Relationship Id="rId18" Type="http://schemas.openxmlformats.org/officeDocument/2006/relationships/hyperlink" Target="https://www.merckmanuals.com/home/ear,-nose,-and-throat-disorders/biology-of-the-ears-nose-and-throat/effects-of-aging-on-the-ears-nose-and-throat" TargetMode="External"/><Relationship Id="rId26" Type="http://schemas.openxmlformats.org/officeDocument/2006/relationships/hyperlink" Target="https://www.sciencedirect.com/science/article/abs/pii/S0167629617310743" TargetMode="External"/><Relationship Id="rId39" Type="http://schemas.openxmlformats.org/officeDocument/2006/relationships/hyperlink" Target="https://www.mass.gov/doc/community-engagement-guidelines-for-community-health-planning-pdf/download" TargetMode="External"/><Relationship Id="rId21" Type="http://schemas.openxmlformats.org/officeDocument/2006/relationships/hyperlink" Target="https://www.ncbi.nlm.nih.gov/pmc/articles/PMC4703913/pdf/or-2015-4-6177.pdf" TargetMode="External"/><Relationship Id="rId34" Type="http://schemas.openxmlformats.org/officeDocument/2006/relationships/hyperlink" Target="https://www.medpac.gov/wp-content/uploads/2024/03/Mar24_Ch10_MedPAC_Report_To_Congress_SEC.pdf" TargetMode="External"/><Relationship Id="rId42" Type="http://schemas.openxmlformats.org/officeDocument/2006/relationships/hyperlink" Target="https://www.mass.gov/files/documents/2018/12/31/jud-lib-105cmr100.pdf" TargetMode="External"/><Relationship Id="rId47" Type="http://schemas.openxmlformats.org/officeDocument/2006/relationships/hyperlink" Target="https://www.ncbi.nlm.nih.gov/pmc/articles/PMC6790812/" TargetMode="External"/><Relationship Id="rId50" Type="http://schemas.openxmlformats.org/officeDocument/2006/relationships/hyperlink" Target="https://www.odtmag.com/issues/2017-03-01/view_columns/the-abcs-of-asc-cost-savings/" TargetMode="External"/><Relationship Id="rId7" Type="http://schemas.openxmlformats.org/officeDocument/2006/relationships/hyperlink" Target="https://academic.oup.com/ageing/article/41/2/142/47699;" TargetMode="External"/><Relationship Id="rId2" Type="http://schemas.openxmlformats.org/officeDocument/2006/relationships/hyperlink" Target="https://www.mass.gov/service-details/the-hpc-accountable-care-organization-aco-certification-program" TargetMode="External"/><Relationship Id="rId16" Type="http://schemas.openxmlformats.org/officeDocument/2006/relationships/hyperlink" Target="https://www.cdc.gov/nchs/data/ahcd/NAMCS_2010_factsheet_otolaryngology.pdf" TargetMode="External"/><Relationship Id="rId29" Type="http://schemas.openxmlformats.org/officeDocument/2006/relationships/hyperlink" Target="https://pubmed.ncbi.nlm.nih.gov/28256998/" TargetMode="External"/><Relationship Id="rId11" Type="http://schemas.openxmlformats.org/officeDocument/2006/relationships/hyperlink" Target="https://www.ncbi.nlm.nih.gov/pmc/articles/PMC3424705/." TargetMode="External"/><Relationship Id="rId24" Type="http://schemas.openxmlformats.org/officeDocument/2006/relationships/hyperlink" Target="https://www.healthaffairs.org/doi/pdf/10.1377/hlthaff.2013.1266" TargetMode="External"/><Relationship Id="rId32" Type="http://schemas.openxmlformats.org/officeDocument/2006/relationships/hyperlink" Target="https://www.mckinsey.com/industries/healthcare/our-insights/walking-out-of-the-hospital-the-continued-rise-of-ambulatory-care-and-how-to-take-advantage-of-it" TargetMode="External"/><Relationship Id="rId37" Type="http://schemas.openxmlformats.org/officeDocument/2006/relationships/hyperlink" Target="https://health.gov/healthypeople/priority-areas/social-determinants-health" TargetMode="External"/><Relationship Id="rId40" Type="http://schemas.openxmlformats.org/officeDocument/2006/relationships/hyperlink" Target="https://www.mass.gov/doc/community-engagement-guidelines-for-community-health-planning-pdf/download" TargetMode="External"/><Relationship Id="rId45" Type="http://schemas.openxmlformats.org/officeDocument/2006/relationships/hyperlink" Target="https://www.ascassociation.org/asca/about-ascs/savings/medicare-cost-savings/reducing-medicare-costs?_gl=1*1uyzq16*_ga*MTYxMjE1MzMyMy4xNzExNTQ5NTgw*_ga_5DE4L5HXFY*MTcxMTYzNTM1Ny41LjEuMTcxMTYzNjU2NS40MC4wLjA" TargetMode="External"/><Relationship Id="rId53" Type="http://schemas.openxmlformats.org/officeDocument/2006/relationships/hyperlink" Target="https://www.chiamass.gov/assets/docs/r/survey/mhis-2023/2023-MHIS-Report.pdf" TargetMode="External"/><Relationship Id="rId5" Type="http://schemas.openxmlformats.org/officeDocument/2006/relationships/hyperlink" Target="https://donahue.umass.edu/business-groups/economic-public-policy-research/massachusetts-population-estimates-program/population-estimates-by-massachusetts-geography/by-county" TargetMode="External"/><Relationship Id="rId10" Type="http://schemas.openxmlformats.org/officeDocument/2006/relationships/hyperlink" Target="https://www.ncbi.nlm.nih.gov/pmc/articles/PMC3424705/" TargetMode="External"/><Relationship Id="rId19" Type="http://schemas.openxmlformats.org/officeDocument/2006/relationships/hyperlink" Target="https://www.geriatric.theclinics.com/article/S0749-0690(18)30012-0/fulltext" TargetMode="External"/><Relationship Id="rId31" Type="http://schemas.openxmlformats.org/officeDocument/2006/relationships/hyperlink" Target="https://www.mckinsey.com/industries/healthcare/our-insights/walking-out-of-the-hospital-the-continued-rise-of-ambulatory-care-and-how-to-take-advantage-of-it" TargetMode="External"/><Relationship Id="rId44" Type="http://schemas.openxmlformats.org/officeDocument/2006/relationships/hyperlink" Target="https://www.medpac.gov/wp-content/uploads/2024/03/Mar24_Ch10_MedPAC_Report_To_Congress_SEC.pdf" TargetMode="External"/><Relationship Id="rId52" Type="http://schemas.openxmlformats.org/officeDocument/2006/relationships/hyperlink" Target="https://www.kff.org/health-costs/issue-brief/americans-challenges-with-health-care-costs/" TargetMode="External"/><Relationship Id="rId4" Type="http://schemas.openxmlformats.org/officeDocument/2006/relationships/hyperlink" Target="https://donahue.umass.edu/business-groups/economic-public-policy-research/massachusetts-population-estimates-program/population-estimates-by-massachusetts-geography/by-county" TargetMode="External"/><Relationship Id="rId9" Type="http://schemas.openxmlformats.org/officeDocument/2006/relationships/hyperlink" Target="https://www.mass.gov/info-details/hpc-datapoints-issue-26" TargetMode="External"/><Relationship Id="rId14" Type="http://schemas.openxmlformats.org/officeDocument/2006/relationships/hyperlink" Target="https://www.geriatric.theclinics.com/article/S0749-0690(18)30012-0/fulltext" TargetMode="External"/><Relationship Id="rId22" Type="http://schemas.openxmlformats.org/officeDocument/2006/relationships/hyperlink" Target="https://www.ncbi.nlm.nih.gov/pmc/articles/PMC4703913/pdf/or-2015-4-6177.pdf" TargetMode="External"/><Relationship Id="rId27" Type="http://schemas.openxmlformats.org/officeDocument/2006/relationships/hyperlink" Target="https://www.ascassociation.org/advancingsurgicalcare/aboutascs/industryoverview/apositivetrendinhealthcare" TargetMode="External"/><Relationship Id="rId30" Type="http://schemas.openxmlformats.org/officeDocument/2006/relationships/hyperlink" Target="https://pubmed.ncbi.nlm.nih.gov/28256998/" TargetMode="External"/><Relationship Id="rId35" Type="http://schemas.openxmlformats.org/officeDocument/2006/relationships/hyperlink" Target="https://www.southcoast.org/wp-content/uploads/2022/09/Southcoast-Health-CHNA-2022.pdf" TargetMode="External"/><Relationship Id="rId43" Type="http://schemas.openxmlformats.org/officeDocument/2006/relationships/hyperlink" Target="https://www.medpac.gov/wp-content/uploads/2024/03/Mar24_Ch10_MedPAC_Report_To_Congress_SEC.pdf" TargetMode="External"/><Relationship Id="rId48" Type="http://schemas.openxmlformats.org/officeDocument/2006/relationships/hyperlink" Target="https://www.cfaortho.com/media/news/2017/06/the-benefits-of-outpatient-surgical-centers;" TargetMode="External"/><Relationship Id="rId8" Type="http://schemas.openxmlformats.org/officeDocument/2006/relationships/hyperlink" Target="https://www.mass.gov/info-details/hpc-datapoints-issue-26" TargetMode="External"/><Relationship Id="rId51" Type="http://schemas.openxmlformats.org/officeDocument/2006/relationships/hyperlink" Target="https://www.odtmag.com/issues/2017-03-01/view_columns/the-abcs-of-asc-cost-savings/" TargetMode="External"/><Relationship Id="rId3" Type="http://schemas.openxmlformats.org/officeDocument/2006/relationships/hyperlink" Target="https://donahue.umass.edu/business-groups/economic-public-policy-research/massachusetts-population-estimates-program/population-estimates-by-massachusetts-geography/by-county" TargetMode="External"/><Relationship Id="rId12" Type="http://schemas.openxmlformats.org/officeDocument/2006/relationships/hyperlink" Target="https://www.ncbi.nlm.nih.gov/pmc/articles/PMC4366827/" TargetMode="External"/><Relationship Id="rId17" Type="http://schemas.openxmlformats.org/officeDocument/2006/relationships/hyperlink" Target="https://www.cdc.gov/nchs/data/ahcd/NAMCS_2010_factsheet_otolaryngology.pdf" TargetMode="External"/><Relationship Id="rId25" Type="http://schemas.openxmlformats.org/officeDocument/2006/relationships/hyperlink" Target="https://www.sciencedirect.com/science/article/abs/pii/S0167629617310743" TargetMode="External"/><Relationship Id="rId33" Type="http://schemas.openxmlformats.org/officeDocument/2006/relationships/hyperlink" Target="https://www.medpac.gov/wp-content/uploads/2024/03/Mar24_Ch10_MedPAC_Report_To_Congress_SEC.pdf" TargetMode="External"/><Relationship Id="rId38" Type="http://schemas.openxmlformats.org/officeDocument/2006/relationships/hyperlink" Target="https://health.gov/healthypeople/priority-areas/social-determinants-health" TargetMode="External"/><Relationship Id="rId46" Type="http://schemas.openxmlformats.org/officeDocument/2006/relationships/hyperlink" Target="https://www.ncbi.nlm.nih.gov/pmc/articles/PMC6790812/" TargetMode="External"/><Relationship Id="rId20" Type="http://schemas.openxmlformats.org/officeDocument/2006/relationships/hyperlink" Target="https://www.geriatric.theclinics.com/article/S0749-0690(18)30012-0/fulltext" TargetMode="External"/><Relationship Id="rId41" Type="http://schemas.openxmlformats.org/officeDocument/2006/relationships/hyperlink" Target="https://www.mass.gov/files/documents/2018/12/31/jud-lib-105cmr100.pdf." TargetMode="External"/><Relationship Id="rId1" Type="http://schemas.openxmlformats.org/officeDocument/2006/relationships/hyperlink" Target="https://www.mass.gov/service-details/the-hpc-accountable-care-organization-aco-certification-program" TargetMode="External"/><Relationship Id="rId6" Type="http://schemas.openxmlformats.org/officeDocument/2006/relationships/hyperlink" Target="https://academic.oup.com/ageing/article/41/2/142/47699" TargetMode="External"/><Relationship Id="rId15" Type="http://schemas.openxmlformats.org/officeDocument/2006/relationships/hyperlink" Target="https://www.geriatric.theclinics.com/article/S0749-0690(18)30012-0/fulltext" TargetMode="External"/><Relationship Id="rId23" Type="http://schemas.openxmlformats.org/officeDocument/2006/relationships/hyperlink" Target="https://www.healthaffairs.org/doi/pdf/10.1377/hlthaff.2013.1266" TargetMode="External"/><Relationship Id="rId28" Type="http://schemas.openxmlformats.org/officeDocument/2006/relationships/hyperlink" Target="https://www.ascassociation.org/advancingsurgicalcare/aboutascs/industryoverview/apositivetrendinhealthcare" TargetMode="External"/><Relationship Id="rId36" Type="http://schemas.openxmlformats.org/officeDocument/2006/relationships/hyperlink" Target="https://www.southcoast.org/wp-content/uploads/2022/09/Southcoast-Health-CHNA-2022.pdf" TargetMode="External"/><Relationship Id="rId49" Type="http://schemas.openxmlformats.org/officeDocument/2006/relationships/hyperlink" Target="https://www.cfaortho.com/media/news/2017/06/the-benefits-of-outpatient-surgical-centers"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826b762-7599-4a5c-9892-1efe1e78b7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5AEE4EE824B4487C37CC9DC0A0764" ma:contentTypeVersion="8" ma:contentTypeDescription="Create a new document." ma:contentTypeScope="" ma:versionID="2375ae1bdad1eb3133a63a45c18c121a">
  <xsd:schema xmlns:xsd="http://www.w3.org/2001/XMLSchema" xmlns:xs="http://www.w3.org/2001/XMLSchema" xmlns:p="http://schemas.microsoft.com/office/2006/metadata/properties" xmlns:ns3="8826b762-7599-4a5c-9892-1efe1e78b7c8" xmlns:ns4="1211b142-546f-41d5-b2e1-e5c6bfd5f51d" targetNamespace="http://schemas.microsoft.com/office/2006/metadata/properties" ma:root="true" ma:fieldsID="5bf34e7690741937d1cd4c34e7ae3b0e" ns3:_="" ns4:_="">
    <xsd:import namespace="8826b762-7599-4a5c-9892-1efe1e78b7c8"/>
    <xsd:import namespace="1211b142-546f-41d5-b2e1-e5c6bfd5f51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6b762-7599-4a5c-9892-1efe1e78b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11b142-546f-41d5-b2e1-e5c6bfd5f5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9FEBF-3A36-4FCD-85B9-699C9567CCFE}">
  <ds:schemaRefs>
    <ds:schemaRef ds:uri="http://schemas.microsoft.com/office/2006/metadata/properties"/>
    <ds:schemaRef ds:uri="http://schemas.microsoft.com/office/infopath/2007/PartnerControls"/>
    <ds:schemaRef ds:uri="8826b762-7599-4a5c-9892-1efe1e78b7c8"/>
  </ds:schemaRefs>
</ds:datastoreItem>
</file>

<file path=customXml/itemProps2.xml><?xml version="1.0" encoding="utf-8"?>
<ds:datastoreItem xmlns:ds="http://schemas.openxmlformats.org/officeDocument/2006/customXml" ds:itemID="{42C8C669-543E-4DFE-B647-58F1BBF548AA}">
  <ds:schemaRefs>
    <ds:schemaRef ds:uri="http://schemas.microsoft.com/sharepoint/v3/contenttype/forms"/>
  </ds:schemaRefs>
</ds:datastoreItem>
</file>

<file path=customXml/itemProps3.xml><?xml version="1.0" encoding="utf-8"?>
<ds:datastoreItem xmlns:ds="http://schemas.openxmlformats.org/officeDocument/2006/customXml" ds:itemID="{5A8FDDDF-8148-4229-95EF-96F09C497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6b762-7599-4a5c-9892-1efe1e78b7c8"/>
    <ds:schemaRef ds:uri="1211b142-546f-41d5-b2e1-e5c6bfd5f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95FDA-5EE7-4A51-8FEB-72A0BBA9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30</Pages>
  <Words>10005</Words>
  <Characters>57030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Marks, Brett (DPH)</cp:lastModifiedBy>
  <cp:revision>21</cp:revision>
  <cp:lastPrinted>2024-04-26T19:10:00Z</cp:lastPrinted>
  <dcterms:created xsi:type="dcterms:W3CDTF">2024-08-08T15:47:00Z</dcterms:created>
  <dcterms:modified xsi:type="dcterms:W3CDTF">2024-08-08T18:30:00Z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0x0101008005AEE4EE824B4487C37CC9DC0A0764</vt:lpwstr>
  </property>
</Properties>
</file>