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862" w:type="pct"/>
        <w:tblLook w:val="04A0" w:firstRow="1" w:lastRow="0" w:firstColumn="1" w:lastColumn="0" w:noHBand="0" w:noVBand="1"/>
        <w:tblCaption w:val="Staff Report to the Public Health Council for a Determination of Need"/>
        <w:tblDescription w:val="STAFF REPORT TO THE PUBLIC HEALTH COUNCIL&#10;FOR A DETERMINATION OF NEED&#10;Applicant Name  PAM Cubed, LLC&#10;Applicant Address  909 Sumner Street, Stoughton, MA 02072&#10;Filing Date November 19, 2021&#10;Type of DoN Application Transfer of Ownership&#10;Total Value $7,500,000.00&#10;Project Number PAM-21111018-TO&#10;Ten Taxpayer Groups (TTG) No&#10;Community Health Initiative (CHI)  Exempt from Factor 6&#10;Staff Recommendation Approval with Conditions&#10;Public Health Council February 9, 2022&#10;Project Summary and Regulatory Review&#10;PAM Cubed, LLC and its subsidiaries (“PAM”), the Applicant, proposes to become the owner of Curahealth Stoughton, LLC, a long-term acute care hospital (LTCH) located in Stoughton, Massachusetts (the Hospital). In an agreement between PAM and Nautic Partners VII-A, L.P. and its subsidiaries, which include the Applicant and the Hospital, (collectively, the “Seller”), PAM will acquire 100% of the equity in the Applicant. Thereafter, the Hospital will be an indirect subsidiary of PAM. PAM and its affiliated entities are part of a national network that owns and operates LTCHs throughout the United States (collectively, PAM Health). &#10;&#10;This Determination of Need (DoN) Application falls within the definition of Transfer of Ownership, which are reviewed under the DoN regulation 105 CMR 100.000. The Department must determine that need exists for a Proposed Project, on the basis of material in the record, where the Applicant makes a clear and convincing demonstration that the Proposed Project meets each applicable DoN Factor set forth within 105 CMR 100.210. A DoN Application for a Transfer of Ownership is subject to factors 1, 2, 3, and 4 of the DoN regulation. This staff report addresses each of the four factors set forth in the regulation.&#10;&#10;The Department did not receive any written comments on this application nor were any Ten Taxpayer Groups formed.&#10;"/>
      </w:tblPr>
      <w:tblGrid>
        <w:gridCol w:w="4139"/>
        <w:gridCol w:w="4953"/>
      </w:tblGrid>
      <w:tr w:rsidR="008C0709" w:rsidRPr="0016671D" w14:paraId="5E2173C9" w14:textId="77777777" w:rsidTr="03C54183">
        <w:trPr>
          <w:trHeight w:val="686"/>
          <w:tblHeader/>
        </w:trPr>
        <w:tc>
          <w:tcPr>
            <w:tcW w:w="5000" w:type="pct"/>
            <w:gridSpan w:val="2"/>
            <w:shd w:val="clear" w:color="auto" w:fill="D7F9FD"/>
            <w:vAlign w:val="center"/>
          </w:tcPr>
          <w:p w14:paraId="1B8C4D3E" w14:textId="48AF65AE" w:rsidR="008C0709" w:rsidRPr="0016671D" w:rsidRDefault="000A59C8" w:rsidP="00076C25">
            <w:pPr>
              <w:pStyle w:val="NoSpacing"/>
              <w:ind w:right="540"/>
              <w:contextualSpacing/>
              <w:jc w:val="center"/>
              <w:rPr>
                <w:b/>
              </w:rPr>
            </w:pPr>
            <w:r>
              <w:br w:type="page"/>
            </w:r>
            <w:r w:rsidR="00B02CF4">
              <w:rPr>
                <w:b/>
              </w:rPr>
              <w:t>S</w:t>
            </w:r>
            <w:r w:rsidR="008C0709" w:rsidRPr="0016671D">
              <w:rPr>
                <w:b/>
              </w:rPr>
              <w:t>TAFF REPORT TO THE PUBLIC HEALTH COUNCIL</w:t>
            </w:r>
          </w:p>
          <w:p w14:paraId="707BF2E0" w14:textId="77777777" w:rsidR="008C0709" w:rsidRPr="0016671D" w:rsidRDefault="008C0709" w:rsidP="00076C25">
            <w:pPr>
              <w:pStyle w:val="Header"/>
              <w:ind w:right="540"/>
              <w:contextualSpacing/>
              <w:jc w:val="center"/>
              <w:rPr>
                <w:rFonts w:cstheme="minorHAnsi"/>
                <w:b/>
                <w:sz w:val="24"/>
                <w:szCs w:val="24"/>
              </w:rPr>
            </w:pPr>
            <w:r w:rsidRPr="0016671D">
              <w:rPr>
                <w:rFonts w:cstheme="minorHAnsi"/>
                <w:b/>
                <w:sz w:val="24"/>
                <w:szCs w:val="24"/>
              </w:rPr>
              <w:t>FOR A DETERMINATION OF NEED</w:t>
            </w:r>
          </w:p>
        </w:tc>
      </w:tr>
      <w:tr w:rsidR="004313D9" w:rsidRPr="0016671D" w14:paraId="37A21A4B" w14:textId="77777777" w:rsidTr="03C54183">
        <w:trPr>
          <w:trHeight w:val="368"/>
        </w:trPr>
        <w:tc>
          <w:tcPr>
            <w:tcW w:w="2276" w:type="pct"/>
            <w:shd w:val="clear" w:color="auto" w:fill="auto"/>
            <w:vAlign w:val="center"/>
          </w:tcPr>
          <w:p w14:paraId="4463BBF6" w14:textId="77777777" w:rsidR="004313D9" w:rsidRPr="0016671D" w:rsidRDefault="004313D9" w:rsidP="004313D9">
            <w:pPr>
              <w:ind w:right="540"/>
              <w:contextualSpacing/>
            </w:pPr>
            <w:r w:rsidRPr="0016671D">
              <w:t xml:space="preserve">Applicant Name </w:t>
            </w:r>
          </w:p>
        </w:tc>
        <w:tc>
          <w:tcPr>
            <w:tcW w:w="2724" w:type="pct"/>
            <w:shd w:val="clear" w:color="auto" w:fill="auto"/>
            <w:vAlign w:val="center"/>
          </w:tcPr>
          <w:p w14:paraId="412EB352" w14:textId="525A8E89" w:rsidR="004313D9" w:rsidRPr="002738AD" w:rsidRDefault="00122D6F" w:rsidP="004313D9">
            <w:pPr>
              <w:ind w:right="540"/>
              <w:contextualSpacing/>
            </w:pPr>
            <w:r w:rsidRPr="00122D6F">
              <w:t>West Bridgewater MA Endoscopy ASC, LLC</w:t>
            </w:r>
          </w:p>
        </w:tc>
      </w:tr>
      <w:tr w:rsidR="004313D9" w:rsidRPr="0016671D" w14:paraId="7D5C8C8A" w14:textId="77777777" w:rsidTr="03C54183">
        <w:trPr>
          <w:trHeight w:val="306"/>
        </w:trPr>
        <w:tc>
          <w:tcPr>
            <w:tcW w:w="2276" w:type="pct"/>
            <w:shd w:val="clear" w:color="auto" w:fill="auto"/>
            <w:vAlign w:val="center"/>
          </w:tcPr>
          <w:p w14:paraId="60D7905A" w14:textId="77777777" w:rsidR="004313D9" w:rsidRPr="0016671D" w:rsidRDefault="004313D9" w:rsidP="004313D9">
            <w:pPr>
              <w:ind w:right="540"/>
              <w:contextualSpacing/>
            </w:pPr>
            <w:r w:rsidRPr="0016671D">
              <w:t xml:space="preserve">Applicant Address </w:t>
            </w:r>
          </w:p>
        </w:tc>
        <w:tc>
          <w:tcPr>
            <w:tcW w:w="2724" w:type="pct"/>
            <w:shd w:val="clear" w:color="auto" w:fill="auto"/>
            <w:vAlign w:val="center"/>
          </w:tcPr>
          <w:p w14:paraId="3941D529" w14:textId="77777777" w:rsidR="001535F1" w:rsidRDefault="00F47F56" w:rsidP="00440274">
            <w:pPr>
              <w:ind w:right="-20"/>
              <w:contextualSpacing/>
              <w:rPr>
                <w:lang w:val="fr-FR"/>
              </w:rPr>
            </w:pPr>
            <w:r>
              <w:rPr>
                <w:lang w:val="fr-FR"/>
              </w:rPr>
              <w:t>120 W. Center St.</w:t>
            </w:r>
          </w:p>
          <w:p w14:paraId="48C9B61F" w14:textId="4028A7A6" w:rsidR="00974F7A" w:rsidRPr="002738AD" w:rsidRDefault="00974F7A" w:rsidP="00440274">
            <w:pPr>
              <w:ind w:right="-20"/>
              <w:contextualSpacing/>
              <w:rPr>
                <w:lang w:val="fr-FR"/>
              </w:rPr>
            </w:pPr>
            <w:r>
              <w:rPr>
                <w:lang w:val="fr-FR"/>
              </w:rPr>
              <w:t>West Bridgewater, MA 02379</w:t>
            </w:r>
          </w:p>
        </w:tc>
      </w:tr>
      <w:tr w:rsidR="004313D9" w:rsidRPr="0016671D" w14:paraId="7F48402A" w14:textId="77777777" w:rsidTr="03C54183">
        <w:trPr>
          <w:trHeight w:val="323"/>
        </w:trPr>
        <w:tc>
          <w:tcPr>
            <w:tcW w:w="2276" w:type="pct"/>
            <w:shd w:val="clear" w:color="auto" w:fill="auto"/>
            <w:vAlign w:val="center"/>
          </w:tcPr>
          <w:p w14:paraId="62887CB2" w14:textId="77777777" w:rsidR="004313D9" w:rsidRPr="0016671D" w:rsidRDefault="004313D9" w:rsidP="004313D9">
            <w:pPr>
              <w:ind w:right="540"/>
              <w:contextualSpacing/>
            </w:pPr>
            <w:r w:rsidRPr="0016671D">
              <w:t>Filing Date</w:t>
            </w:r>
          </w:p>
        </w:tc>
        <w:tc>
          <w:tcPr>
            <w:tcW w:w="2724" w:type="pct"/>
            <w:shd w:val="clear" w:color="auto" w:fill="auto"/>
            <w:vAlign w:val="center"/>
          </w:tcPr>
          <w:p w14:paraId="2924AE87" w14:textId="5FB325BE" w:rsidR="004313D9" w:rsidRPr="002738AD" w:rsidRDefault="00817781" w:rsidP="004313D9">
            <w:pPr>
              <w:ind w:right="540"/>
              <w:contextualSpacing/>
            </w:pPr>
            <w:r>
              <w:t>October 4, 2024</w:t>
            </w:r>
          </w:p>
        </w:tc>
      </w:tr>
      <w:tr w:rsidR="004313D9" w:rsidRPr="0016671D" w14:paraId="45BF54E4" w14:textId="77777777" w:rsidTr="03C54183">
        <w:trPr>
          <w:trHeight w:val="300"/>
        </w:trPr>
        <w:tc>
          <w:tcPr>
            <w:tcW w:w="2276" w:type="pct"/>
            <w:shd w:val="clear" w:color="auto" w:fill="auto"/>
            <w:vAlign w:val="center"/>
          </w:tcPr>
          <w:p w14:paraId="11D28445" w14:textId="77777777" w:rsidR="004313D9" w:rsidRPr="0016671D" w:rsidRDefault="004313D9" w:rsidP="004313D9">
            <w:pPr>
              <w:ind w:right="540"/>
              <w:contextualSpacing/>
            </w:pPr>
            <w:r w:rsidRPr="0016671D">
              <w:t>Type of DoN Application</w:t>
            </w:r>
          </w:p>
        </w:tc>
        <w:tc>
          <w:tcPr>
            <w:tcW w:w="2724" w:type="pct"/>
            <w:shd w:val="clear" w:color="auto" w:fill="auto"/>
            <w:vAlign w:val="center"/>
          </w:tcPr>
          <w:p w14:paraId="54290C07" w14:textId="5DB90C04" w:rsidR="004313D9" w:rsidRPr="002738AD" w:rsidRDefault="00FC09A9" w:rsidP="004313D9">
            <w:pPr>
              <w:ind w:right="540"/>
              <w:contextualSpacing/>
            </w:pPr>
            <w:r>
              <w:t>Ambulatory Surgery</w:t>
            </w:r>
          </w:p>
        </w:tc>
      </w:tr>
      <w:tr w:rsidR="004313D9" w:rsidRPr="0016671D" w14:paraId="1C2D799A" w14:textId="77777777" w:rsidTr="03C54183">
        <w:trPr>
          <w:trHeight w:val="300"/>
        </w:trPr>
        <w:tc>
          <w:tcPr>
            <w:tcW w:w="2276" w:type="pct"/>
            <w:shd w:val="clear" w:color="auto" w:fill="auto"/>
            <w:vAlign w:val="center"/>
          </w:tcPr>
          <w:p w14:paraId="58287B54" w14:textId="77777777" w:rsidR="004313D9" w:rsidRPr="0016671D" w:rsidRDefault="004313D9" w:rsidP="004313D9">
            <w:pPr>
              <w:ind w:right="540"/>
              <w:contextualSpacing/>
            </w:pPr>
            <w:r w:rsidRPr="0016671D">
              <w:t>Total Value</w:t>
            </w:r>
          </w:p>
        </w:tc>
        <w:tc>
          <w:tcPr>
            <w:tcW w:w="2724" w:type="pct"/>
            <w:shd w:val="clear" w:color="auto" w:fill="auto"/>
            <w:vAlign w:val="center"/>
          </w:tcPr>
          <w:p w14:paraId="241030D1" w14:textId="755C4951" w:rsidR="004313D9" w:rsidRPr="002738AD" w:rsidRDefault="00263EF0" w:rsidP="004313D9">
            <w:pPr>
              <w:ind w:right="540"/>
              <w:contextualSpacing/>
            </w:pPr>
            <w:r>
              <w:t>$10,</w:t>
            </w:r>
            <w:r w:rsidR="00F47F56">
              <w:t>371,384</w:t>
            </w:r>
          </w:p>
        </w:tc>
      </w:tr>
      <w:tr w:rsidR="004313D9" w:rsidRPr="0016671D" w14:paraId="375F89F8" w14:textId="77777777" w:rsidTr="03C54183">
        <w:trPr>
          <w:trHeight w:val="300"/>
        </w:trPr>
        <w:tc>
          <w:tcPr>
            <w:tcW w:w="2276" w:type="pct"/>
            <w:shd w:val="clear" w:color="auto" w:fill="auto"/>
            <w:vAlign w:val="center"/>
          </w:tcPr>
          <w:p w14:paraId="179EBADA" w14:textId="77777777" w:rsidR="004313D9" w:rsidRPr="0016671D" w:rsidRDefault="004313D9" w:rsidP="004313D9">
            <w:pPr>
              <w:ind w:right="540"/>
              <w:contextualSpacing/>
            </w:pPr>
            <w:r w:rsidRPr="0016671D">
              <w:t>Project Number</w:t>
            </w:r>
          </w:p>
        </w:tc>
        <w:tc>
          <w:tcPr>
            <w:tcW w:w="2724" w:type="pct"/>
            <w:shd w:val="clear" w:color="auto" w:fill="auto"/>
            <w:vAlign w:val="center"/>
          </w:tcPr>
          <w:p w14:paraId="3F72EF9F" w14:textId="2B6ED96A" w:rsidR="004313D9" w:rsidRPr="002738AD" w:rsidRDefault="00362C18" w:rsidP="004313D9">
            <w:pPr>
              <w:ind w:right="540"/>
              <w:contextualSpacing/>
            </w:pPr>
            <w:r w:rsidRPr="00122D6F">
              <w:t># CEC-24082115-AS</w:t>
            </w:r>
          </w:p>
        </w:tc>
      </w:tr>
      <w:tr w:rsidR="004313D9" w:rsidRPr="0016671D" w14:paraId="5AB437F4" w14:textId="77777777" w:rsidTr="03C54183">
        <w:trPr>
          <w:trHeight w:val="300"/>
        </w:trPr>
        <w:tc>
          <w:tcPr>
            <w:tcW w:w="2276" w:type="pct"/>
            <w:shd w:val="clear" w:color="auto" w:fill="auto"/>
            <w:vAlign w:val="center"/>
          </w:tcPr>
          <w:p w14:paraId="673CB573" w14:textId="77777777" w:rsidR="004313D9" w:rsidRPr="0016671D" w:rsidRDefault="004313D9" w:rsidP="004313D9">
            <w:pPr>
              <w:ind w:right="540"/>
              <w:contextualSpacing/>
            </w:pPr>
            <w:r w:rsidRPr="0016671D">
              <w:t>Ten Taxpayer Groups (TTG)</w:t>
            </w:r>
          </w:p>
        </w:tc>
        <w:tc>
          <w:tcPr>
            <w:tcW w:w="2724" w:type="pct"/>
            <w:shd w:val="clear" w:color="auto" w:fill="auto"/>
            <w:vAlign w:val="center"/>
          </w:tcPr>
          <w:p w14:paraId="1F09EC20" w14:textId="19F0DD71" w:rsidR="004313D9" w:rsidRPr="002738AD" w:rsidRDefault="00FC09A9" w:rsidP="004313D9">
            <w:pPr>
              <w:ind w:right="540"/>
              <w:contextualSpacing/>
            </w:pPr>
            <w:r>
              <w:t>N</w:t>
            </w:r>
            <w:r w:rsidR="000F6117">
              <w:t>one</w:t>
            </w:r>
          </w:p>
        </w:tc>
      </w:tr>
      <w:tr w:rsidR="004313D9" w:rsidRPr="0016671D" w14:paraId="4DC78A97" w14:textId="77777777" w:rsidTr="03C54183">
        <w:trPr>
          <w:trHeight w:val="300"/>
        </w:trPr>
        <w:tc>
          <w:tcPr>
            <w:tcW w:w="2276" w:type="pct"/>
            <w:shd w:val="clear" w:color="auto" w:fill="auto"/>
            <w:vAlign w:val="center"/>
          </w:tcPr>
          <w:p w14:paraId="4ED36B8C" w14:textId="52EF1DC0" w:rsidR="004313D9" w:rsidRPr="0016671D" w:rsidRDefault="7C2C3A68" w:rsidP="004313D9">
            <w:pPr>
              <w:ind w:right="540"/>
              <w:contextualSpacing/>
            </w:pPr>
            <w:r>
              <w:t xml:space="preserve">Community Health Initiative </w:t>
            </w:r>
          </w:p>
        </w:tc>
        <w:tc>
          <w:tcPr>
            <w:tcW w:w="2724" w:type="pct"/>
            <w:shd w:val="clear" w:color="auto" w:fill="auto"/>
            <w:vAlign w:val="center"/>
          </w:tcPr>
          <w:p w14:paraId="1FD1C6E2" w14:textId="0A0848C2" w:rsidR="004313D9" w:rsidRPr="002738AD" w:rsidRDefault="00263EF0" w:rsidP="004313D9">
            <w:pPr>
              <w:ind w:right="540"/>
              <w:contextualSpacing/>
            </w:pPr>
            <w:r>
              <w:t>$518,569.20</w:t>
            </w:r>
          </w:p>
        </w:tc>
      </w:tr>
      <w:tr w:rsidR="004313D9" w:rsidRPr="0016671D" w14:paraId="328C674C" w14:textId="77777777" w:rsidTr="03C54183">
        <w:trPr>
          <w:trHeight w:val="300"/>
        </w:trPr>
        <w:tc>
          <w:tcPr>
            <w:tcW w:w="2276" w:type="pct"/>
            <w:shd w:val="clear" w:color="auto" w:fill="auto"/>
            <w:vAlign w:val="center"/>
          </w:tcPr>
          <w:p w14:paraId="7B1CAF6C" w14:textId="77777777" w:rsidR="004313D9" w:rsidRPr="0016671D" w:rsidRDefault="004313D9" w:rsidP="004313D9">
            <w:pPr>
              <w:ind w:right="540"/>
              <w:contextualSpacing/>
            </w:pPr>
            <w:r w:rsidRPr="0016671D">
              <w:t>Staff Recommendation</w:t>
            </w:r>
          </w:p>
        </w:tc>
        <w:tc>
          <w:tcPr>
            <w:tcW w:w="2724" w:type="pct"/>
            <w:shd w:val="clear" w:color="auto" w:fill="auto"/>
            <w:vAlign w:val="center"/>
          </w:tcPr>
          <w:p w14:paraId="1682CA02" w14:textId="2ECFDD9B" w:rsidR="004313D9" w:rsidRPr="002738AD" w:rsidRDefault="00FC09A9" w:rsidP="004313D9">
            <w:pPr>
              <w:ind w:right="540"/>
              <w:contextualSpacing/>
            </w:pPr>
            <w:r>
              <w:t>Approval</w:t>
            </w:r>
            <w:r w:rsidR="00147048">
              <w:t xml:space="preserve"> </w:t>
            </w:r>
          </w:p>
        </w:tc>
      </w:tr>
      <w:tr w:rsidR="004313D9" w:rsidRPr="0016671D" w14:paraId="40C51467" w14:textId="77777777" w:rsidTr="03C54183">
        <w:trPr>
          <w:trHeight w:val="300"/>
        </w:trPr>
        <w:tc>
          <w:tcPr>
            <w:tcW w:w="2276" w:type="pct"/>
            <w:shd w:val="clear" w:color="auto" w:fill="auto"/>
            <w:vAlign w:val="center"/>
          </w:tcPr>
          <w:p w14:paraId="4F63ADC5" w14:textId="50D08DEE" w:rsidR="004313D9" w:rsidRPr="0016671D" w:rsidRDefault="00C40991" w:rsidP="004313D9">
            <w:pPr>
              <w:ind w:right="540"/>
              <w:contextualSpacing/>
            </w:pPr>
            <w:r w:rsidRPr="0016671D">
              <w:t>Public Health Council</w:t>
            </w:r>
          </w:p>
        </w:tc>
        <w:tc>
          <w:tcPr>
            <w:tcW w:w="2724" w:type="pct"/>
            <w:shd w:val="clear" w:color="auto" w:fill="auto"/>
            <w:vAlign w:val="center"/>
          </w:tcPr>
          <w:p w14:paraId="3E0E2C44" w14:textId="7B724273" w:rsidR="004313D9" w:rsidRPr="00724236" w:rsidRDefault="43E0AF10" w:rsidP="4E2208F8">
            <w:pPr>
              <w:ind w:right="540"/>
              <w:contextualSpacing/>
            </w:pPr>
            <w:r w:rsidRPr="00724236">
              <w:t>February</w:t>
            </w:r>
            <w:r w:rsidR="2B581639" w:rsidRPr="00724236">
              <w:t xml:space="preserve"> 15, 202</w:t>
            </w:r>
            <w:r w:rsidR="00081851">
              <w:t>5</w:t>
            </w:r>
          </w:p>
        </w:tc>
      </w:tr>
      <w:tr w:rsidR="00D113E6" w:rsidRPr="0016671D" w14:paraId="5B8B03D1" w14:textId="77777777" w:rsidTr="03C54183">
        <w:trPr>
          <w:trHeight w:val="300"/>
        </w:trPr>
        <w:tc>
          <w:tcPr>
            <w:tcW w:w="5000" w:type="pct"/>
            <w:gridSpan w:val="2"/>
            <w:shd w:val="clear" w:color="auto" w:fill="auto"/>
            <w:vAlign w:val="center"/>
          </w:tcPr>
          <w:p w14:paraId="115595BA" w14:textId="637545D2" w:rsidR="00D113E6" w:rsidRPr="0016671D" w:rsidRDefault="00D113E6" w:rsidP="00D113E6">
            <w:pPr>
              <w:spacing w:before="240" w:after="200"/>
              <w:ind w:left="108" w:right="70"/>
              <w:jc w:val="center"/>
              <w:rPr>
                <w:rFonts w:eastAsia="Calibri"/>
                <w:b/>
              </w:rPr>
            </w:pPr>
            <w:r w:rsidRPr="0016671D">
              <w:rPr>
                <w:rFonts w:eastAsia="Calibri"/>
                <w:b/>
                <w:u w:val="single"/>
              </w:rPr>
              <w:t>Project Summary and Regulatory Review</w:t>
            </w:r>
          </w:p>
          <w:p w14:paraId="42E3F78E" w14:textId="55464BEA" w:rsidR="0066528C" w:rsidRPr="00147048" w:rsidRDefault="56EA5A6E" w:rsidP="4E2208F8">
            <w:pPr>
              <w:widowControl w:val="0"/>
              <w:autoSpaceDE w:val="0"/>
              <w:autoSpaceDN w:val="0"/>
              <w:spacing w:before="4"/>
              <w:rPr>
                <w:rFonts w:ascii="Calibri" w:eastAsia="Calibri" w:hAnsi="Calibri" w:cs="Calibri"/>
              </w:rPr>
            </w:pPr>
            <w:r>
              <w:rPr>
                <w:rFonts w:ascii="Calibri" w:eastAsia="Times New Roman" w:hAnsi="Calibri" w:cs="Calibri"/>
                <w:kern w:val="2"/>
              </w:rPr>
              <w:t>West Bridgewater MA Endoscopy ASC,</w:t>
            </w:r>
            <w:r w:rsidR="00147048">
              <w:rPr>
                <w:rFonts w:ascii="Calibri" w:eastAsia="Times New Roman" w:hAnsi="Calibri" w:cs="Calibri"/>
                <w:kern w:val="2"/>
              </w:rPr>
              <w:t xml:space="preserve"> </w:t>
            </w:r>
            <w:r>
              <w:rPr>
                <w:rFonts w:ascii="Calibri" w:eastAsia="Times New Roman" w:hAnsi="Calibri" w:cs="Calibri"/>
                <w:kern w:val="2"/>
              </w:rPr>
              <w:t>LLC</w:t>
            </w:r>
            <w:r w:rsidR="1C784174" w:rsidRPr="0066528C">
              <w:rPr>
                <w:rFonts w:ascii="Calibri" w:eastAsia="Times New Roman" w:hAnsi="Calibri" w:cs="Calibri"/>
                <w:kern w:val="2"/>
              </w:rPr>
              <w:t xml:space="preserve"> </w:t>
            </w:r>
            <w:r w:rsidR="1C784174" w:rsidRPr="0066528C">
              <w:rPr>
                <w:rFonts w:ascii="Calibri" w:eastAsia="Calibri" w:hAnsi="Calibri" w:cs="Calibri"/>
              </w:rPr>
              <w:t>(Applicant)</w:t>
            </w:r>
            <w:r w:rsidR="1C784174" w:rsidRPr="4E2208F8">
              <w:rPr>
                <w:rFonts w:ascii="Calibri" w:eastAsia="Calibri" w:hAnsi="Calibri" w:cs="Calibri"/>
              </w:rPr>
              <w:t xml:space="preserve"> </w:t>
            </w:r>
            <w:r w:rsidR="00147048" w:rsidRPr="4E2208F8">
              <w:rPr>
                <w:rFonts w:ascii="Calibri" w:eastAsia="Calibri" w:hAnsi="Calibri" w:cs="Calibri"/>
              </w:rPr>
              <w:t xml:space="preserve">filed a Determination of Need Application </w:t>
            </w:r>
            <w:r w:rsidR="1C784174" w:rsidRPr="4E2208F8">
              <w:rPr>
                <w:rFonts w:ascii="Calibri" w:eastAsia="Calibri" w:hAnsi="Calibri" w:cs="Calibri"/>
              </w:rPr>
              <w:t>(“DoN</w:t>
            </w:r>
            <w:r w:rsidR="041B27EB" w:rsidRPr="4E2208F8">
              <w:rPr>
                <w:rFonts w:ascii="Calibri" w:eastAsia="Calibri" w:hAnsi="Calibri" w:cs="Calibri"/>
              </w:rPr>
              <w:t xml:space="preserve"> Application</w:t>
            </w:r>
            <w:r w:rsidR="1C784174" w:rsidRPr="4E2208F8">
              <w:rPr>
                <w:rFonts w:ascii="Calibri" w:eastAsia="Calibri" w:hAnsi="Calibri" w:cs="Calibri"/>
              </w:rPr>
              <w:t xml:space="preserve">”) for </w:t>
            </w:r>
            <w:r w:rsidR="2AA4A56C" w:rsidRPr="4E2208F8">
              <w:rPr>
                <w:rFonts w:ascii="Calibri" w:eastAsia="Calibri" w:hAnsi="Calibri" w:cs="Calibri"/>
              </w:rPr>
              <w:t xml:space="preserve">an expansion of service </w:t>
            </w:r>
            <w:r w:rsidR="1C784174" w:rsidRPr="4E2208F8">
              <w:rPr>
                <w:rFonts w:ascii="Calibri" w:eastAsia="Calibri" w:hAnsi="Calibri" w:cs="Calibri"/>
              </w:rPr>
              <w:t>of a freestanding ambulatory surgery center (“ASC”)</w:t>
            </w:r>
            <w:r w:rsidR="7F7913E5" w:rsidRPr="4E2208F8">
              <w:rPr>
                <w:rFonts w:ascii="Calibri" w:eastAsia="Calibri" w:hAnsi="Calibri" w:cs="Calibri"/>
              </w:rPr>
              <w:t xml:space="preserve"> </w:t>
            </w:r>
            <w:r w:rsidR="1A55BB91" w:rsidRPr="4E2208F8">
              <w:rPr>
                <w:rFonts w:ascii="Calibri" w:eastAsia="Calibri" w:hAnsi="Calibri" w:cs="Calibri"/>
              </w:rPr>
              <w:t>by adding 2 procedure rooms</w:t>
            </w:r>
            <w:r w:rsidR="4FD231AD" w:rsidRPr="4E2208F8">
              <w:rPr>
                <w:rFonts w:ascii="Calibri" w:eastAsia="Calibri" w:hAnsi="Calibri" w:cs="Calibri"/>
              </w:rPr>
              <w:t xml:space="preserve"> and associated clinical</w:t>
            </w:r>
            <w:r w:rsidR="51DBD5BE" w:rsidRPr="4E2208F8">
              <w:rPr>
                <w:rFonts w:ascii="Calibri" w:eastAsia="Calibri" w:hAnsi="Calibri" w:cs="Calibri"/>
              </w:rPr>
              <w:t xml:space="preserve"> space</w:t>
            </w:r>
            <w:r w:rsidR="1A55BB91" w:rsidRPr="4E2208F8">
              <w:rPr>
                <w:rFonts w:ascii="Calibri" w:eastAsia="Calibri" w:hAnsi="Calibri" w:cs="Calibri"/>
              </w:rPr>
              <w:t xml:space="preserve">, and </w:t>
            </w:r>
            <w:r w:rsidR="51DBD5BE" w:rsidRPr="4E2208F8">
              <w:rPr>
                <w:rFonts w:ascii="Calibri" w:eastAsia="Calibri" w:hAnsi="Calibri" w:cs="Calibri"/>
              </w:rPr>
              <w:t>a transfer of site from 120 West Center St</w:t>
            </w:r>
            <w:r w:rsidR="750BEE18" w:rsidRPr="4E2208F8">
              <w:rPr>
                <w:rFonts w:ascii="Calibri" w:eastAsia="Calibri" w:hAnsi="Calibri" w:cs="Calibri"/>
              </w:rPr>
              <w:t xml:space="preserve">reet, West Bridgewater </w:t>
            </w:r>
            <w:r w:rsidR="1C784174" w:rsidRPr="4E2208F8">
              <w:rPr>
                <w:rFonts w:ascii="Calibri" w:eastAsia="Calibri" w:hAnsi="Calibri" w:cs="Calibri"/>
              </w:rPr>
              <w:t xml:space="preserve">to </w:t>
            </w:r>
            <w:r w:rsidR="750BEE18" w:rsidRPr="4E2208F8">
              <w:rPr>
                <w:rFonts w:ascii="Calibri" w:eastAsia="Calibri" w:hAnsi="Calibri" w:cs="Calibri"/>
              </w:rPr>
              <w:t>3 Washington Place, Easton</w:t>
            </w:r>
            <w:r w:rsidR="7402BD50" w:rsidRPr="4E2208F8">
              <w:rPr>
                <w:rFonts w:ascii="Calibri" w:eastAsia="Calibri" w:hAnsi="Calibri" w:cs="Calibri"/>
              </w:rPr>
              <w:t xml:space="preserve"> </w:t>
            </w:r>
            <w:r w:rsidR="1C784174" w:rsidRPr="4E2208F8">
              <w:rPr>
                <w:rFonts w:ascii="Calibri" w:eastAsia="Calibri" w:hAnsi="Calibri" w:cs="Calibri"/>
              </w:rPr>
              <w:t xml:space="preserve">(“Proposed Project”). </w:t>
            </w:r>
            <w:r w:rsidR="1C784174" w:rsidRPr="0066528C">
              <w:rPr>
                <w:rFonts w:ascii="Calibri" w:eastAsia="Calibri" w:hAnsi="Calibri" w:cs="Calibri"/>
              </w:rPr>
              <w:t xml:space="preserve">The </w:t>
            </w:r>
            <w:r w:rsidR="66923ECB">
              <w:rPr>
                <w:rFonts w:ascii="Calibri" w:eastAsia="Calibri" w:hAnsi="Calibri" w:cs="Calibri"/>
              </w:rPr>
              <w:t xml:space="preserve">Total Value </w:t>
            </w:r>
            <w:r w:rsidR="1C784174" w:rsidRPr="0066528C">
              <w:rPr>
                <w:rFonts w:ascii="Calibri" w:eastAsia="Calibri" w:hAnsi="Calibri" w:cs="Calibri"/>
              </w:rPr>
              <w:t>for the Proposed Project is</w:t>
            </w:r>
            <w:r w:rsidR="1C784174">
              <w:rPr>
                <w:rFonts w:ascii="Calibri" w:eastAsia="Calibri" w:hAnsi="Calibri" w:cs="Calibri"/>
              </w:rPr>
              <w:t xml:space="preserve"> </w:t>
            </w:r>
            <w:r w:rsidR="66923ECB">
              <w:t>$10,371,384.00</w:t>
            </w:r>
            <w:r w:rsidR="1C784174" w:rsidRPr="0066528C">
              <w:rPr>
                <w:rFonts w:ascii="Calibri" w:eastAsia="Calibri" w:hAnsi="Calibri" w:cs="Calibri"/>
              </w:rPr>
              <w:t>. The Community Health Initiatives (</w:t>
            </w:r>
            <w:r w:rsidR="1C784174">
              <w:rPr>
                <w:rFonts w:ascii="Calibri" w:eastAsia="Calibri" w:hAnsi="Calibri" w:cs="Calibri"/>
              </w:rPr>
              <w:t>‘</w:t>
            </w:r>
            <w:r w:rsidR="1C784174" w:rsidRPr="0066528C">
              <w:rPr>
                <w:rFonts w:ascii="Calibri" w:eastAsia="Calibri" w:hAnsi="Calibri" w:cs="Calibri"/>
              </w:rPr>
              <w:t>CHI</w:t>
            </w:r>
            <w:r w:rsidR="1C784174">
              <w:rPr>
                <w:rFonts w:ascii="Calibri" w:eastAsia="Calibri" w:hAnsi="Calibri" w:cs="Calibri"/>
              </w:rPr>
              <w:t>”</w:t>
            </w:r>
            <w:r w:rsidR="1C784174" w:rsidRPr="0066528C">
              <w:rPr>
                <w:rFonts w:ascii="Calibri" w:eastAsia="Calibri" w:hAnsi="Calibri" w:cs="Calibri"/>
              </w:rPr>
              <w:t>) contribution is</w:t>
            </w:r>
            <w:r w:rsidR="66923ECB">
              <w:rPr>
                <w:rFonts w:ascii="Calibri" w:eastAsia="Calibri" w:hAnsi="Calibri" w:cs="Calibri"/>
              </w:rPr>
              <w:t xml:space="preserve"> </w:t>
            </w:r>
            <w:r w:rsidR="66923ECB">
              <w:t>$518,569.20</w:t>
            </w:r>
            <w:r w:rsidR="1C784174" w:rsidRPr="0066528C">
              <w:rPr>
                <w:rFonts w:ascii="Calibri" w:eastAsia="Calibri" w:hAnsi="Calibri" w:cs="Calibri"/>
              </w:rPr>
              <w:t>.</w:t>
            </w:r>
            <w:r w:rsidR="1C784174" w:rsidRPr="4E2208F8">
              <w:rPr>
                <w:rFonts w:ascii="Calibri" w:eastAsia="Calibri" w:hAnsi="Calibri" w:cs="Calibri"/>
              </w:rPr>
              <w:t xml:space="preserve"> </w:t>
            </w:r>
          </w:p>
          <w:p w14:paraId="1510DF43" w14:textId="77777777" w:rsidR="00891DA7" w:rsidRPr="00186479" w:rsidRDefault="00891DA7" w:rsidP="00186479">
            <w:pPr>
              <w:ind w:left="108" w:right="70"/>
              <w:rPr>
                <w:rFonts w:eastAsia="Calibri"/>
              </w:rPr>
            </w:pPr>
          </w:p>
          <w:p w14:paraId="0E631155" w14:textId="77777777" w:rsidR="00D3582F" w:rsidRPr="00D3582F" w:rsidRDefault="00D3582F" w:rsidP="00D3582F">
            <w:pPr>
              <w:widowControl w:val="0"/>
              <w:autoSpaceDE w:val="0"/>
              <w:autoSpaceDN w:val="0"/>
              <w:ind w:right="164"/>
              <w:rPr>
                <w:rFonts w:ascii="Calibri" w:eastAsia="Calibri" w:hAnsi="Calibri" w:cs="Calibri"/>
                <w:szCs w:val="20"/>
              </w:rPr>
            </w:pPr>
            <w:r w:rsidRPr="00D3582F">
              <w:rPr>
                <w:rFonts w:ascii="Calibri" w:eastAsia="Calibri" w:hAnsi="Calibri" w:cs="Calibri"/>
                <w:szCs w:val="20"/>
              </w:rPr>
              <w:t xml:space="preserve">This DoN Application falls within the definition of Ambulatory Surgery, which is reviewed under the </w:t>
            </w:r>
            <w:proofErr w:type="spellStart"/>
            <w:r w:rsidRPr="00D3582F">
              <w:rPr>
                <w:rFonts w:ascii="Calibri" w:eastAsia="Calibri" w:hAnsi="Calibri" w:cs="Calibri"/>
                <w:szCs w:val="20"/>
              </w:rPr>
              <w:t>DoN</w:t>
            </w:r>
            <w:proofErr w:type="spellEnd"/>
            <w:r w:rsidRPr="00D3582F">
              <w:rPr>
                <w:rFonts w:ascii="Calibri" w:eastAsia="Calibri" w:hAnsi="Calibri" w:cs="Calibri"/>
                <w:szCs w:val="20"/>
              </w:rPr>
              <w:t xml:space="preserve"> regulation 105 CMR 100.000. The Department must determine that need exists for a Proposed Project, </w:t>
            </w:r>
            <w:bookmarkStart w:id="0" w:name="_Int_eF0C7Txz"/>
            <w:r w:rsidRPr="00D3582F">
              <w:rPr>
                <w:rFonts w:ascii="Calibri" w:eastAsia="Calibri" w:hAnsi="Calibri" w:cs="Calibri"/>
                <w:szCs w:val="20"/>
              </w:rPr>
              <w:t>on the basis of</w:t>
            </w:r>
            <w:bookmarkEnd w:id="0"/>
            <w:r w:rsidRPr="00D3582F">
              <w:rPr>
                <w:rFonts w:ascii="Calibri" w:eastAsia="Calibri" w:hAnsi="Calibri" w:cs="Calibri"/>
                <w:szCs w:val="20"/>
              </w:rPr>
              <w:t xml:space="preserve"> material in the record, where the Applicant makes a clear and convincing demonstration that the Proposed Project meets each Determination of Need Factor set forth within 105 CMR 100.210. This staff report addresses each of the six factors set forth in the regulation. </w:t>
            </w:r>
          </w:p>
          <w:p w14:paraId="53897644" w14:textId="247A58B4" w:rsidR="00D113E6" w:rsidRPr="00D113E6" w:rsidRDefault="00D113E6" w:rsidP="00186479">
            <w:pPr>
              <w:ind w:left="108" w:right="70"/>
              <w:rPr>
                <w:rFonts w:eastAsia="Calibri"/>
              </w:rPr>
            </w:pPr>
          </w:p>
        </w:tc>
      </w:tr>
    </w:tbl>
    <w:p w14:paraId="0E8E8B60" w14:textId="7590AA91" w:rsidR="00486F29" w:rsidRDefault="00486F29" w:rsidP="00FC26AB">
      <w:pPr>
        <w:pStyle w:val="Heading2"/>
      </w:pPr>
    </w:p>
    <w:p w14:paraId="49EC7263" w14:textId="77777777" w:rsidR="00486F29" w:rsidRDefault="00486F29">
      <w:pPr>
        <w:spacing w:after="200" w:line="276" w:lineRule="auto"/>
        <w:rPr>
          <w:rFonts w:asciiTheme="majorHAnsi" w:eastAsiaTheme="majorEastAsia" w:hAnsiTheme="majorHAnsi" w:cstheme="majorBidi"/>
          <w:b/>
          <w:bCs/>
          <w:color w:val="6076B4" w:themeColor="accent1"/>
          <w:sz w:val="26"/>
          <w:szCs w:val="26"/>
        </w:rPr>
      </w:pPr>
      <w:r>
        <w:br w:type="page"/>
      </w:r>
    </w:p>
    <w:p w14:paraId="2D8A6225" w14:textId="50F2F67A" w:rsidR="00C82F84" w:rsidRDefault="00A13015">
      <w:pPr>
        <w:pStyle w:val="TOC1"/>
        <w:rPr>
          <w:rFonts w:asciiTheme="minorHAnsi" w:eastAsiaTheme="minorEastAsia" w:hAnsiTheme="minorHAnsi" w:cstheme="minorBidi"/>
          <w:kern w:val="2"/>
          <w:szCs w:val="24"/>
          <w14:ligatures w14:val="standardContextual"/>
        </w:rPr>
      </w:pPr>
      <w:r w:rsidRPr="00E84440">
        <w:rPr>
          <w:rFonts w:cs="Calibri"/>
          <w:color w:val="2B579A"/>
          <w:szCs w:val="24"/>
          <w:shd w:val="clear" w:color="auto" w:fill="E6E6E6"/>
        </w:rPr>
        <w:lastRenderedPageBreak/>
        <w:fldChar w:fldCharType="begin"/>
      </w:r>
      <w:r w:rsidRPr="00E84440">
        <w:rPr>
          <w:rFonts w:cs="Calibri"/>
          <w:szCs w:val="24"/>
        </w:rPr>
        <w:instrText xml:space="preserve"> TOC \o "1-3" \h \z \u </w:instrText>
      </w:r>
      <w:r w:rsidRPr="00E84440">
        <w:rPr>
          <w:rFonts w:cs="Calibri"/>
          <w:color w:val="2B579A"/>
          <w:szCs w:val="24"/>
          <w:shd w:val="clear" w:color="auto" w:fill="E6E6E6"/>
        </w:rPr>
        <w:fldChar w:fldCharType="separate"/>
      </w:r>
      <w:hyperlink w:anchor="_Toc187325893" w:history="1">
        <w:r w:rsidR="00C82F84" w:rsidRPr="001E4025">
          <w:rPr>
            <w:rStyle w:val="Hyperlink"/>
            <w:rFonts w:cstheme="minorHAnsi"/>
            <w:color w:val="auto"/>
          </w:rPr>
          <w:t>Background and Application Overview</w:t>
        </w:r>
        <w:r w:rsidR="00C82F84">
          <w:rPr>
            <w:webHidden/>
          </w:rPr>
          <w:tab/>
        </w:r>
        <w:r w:rsidR="00C82F84">
          <w:rPr>
            <w:webHidden/>
          </w:rPr>
          <w:fldChar w:fldCharType="begin"/>
        </w:r>
        <w:r w:rsidR="00C82F84">
          <w:rPr>
            <w:webHidden/>
          </w:rPr>
          <w:instrText xml:space="preserve"> PAGEREF _Toc187325893 \h </w:instrText>
        </w:r>
        <w:r w:rsidR="00C82F84">
          <w:rPr>
            <w:webHidden/>
          </w:rPr>
        </w:r>
        <w:r w:rsidR="00C82F84">
          <w:rPr>
            <w:webHidden/>
          </w:rPr>
          <w:fldChar w:fldCharType="separate"/>
        </w:r>
        <w:r w:rsidR="00C82F84">
          <w:rPr>
            <w:webHidden/>
          </w:rPr>
          <w:t>3</w:t>
        </w:r>
        <w:r w:rsidR="00C82F84">
          <w:rPr>
            <w:webHidden/>
          </w:rPr>
          <w:fldChar w:fldCharType="end"/>
        </w:r>
      </w:hyperlink>
    </w:p>
    <w:p w14:paraId="30E3EDE6" w14:textId="13B91E43" w:rsidR="00C82F84" w:rsidRDefault="00C82F84">
      <w:pPr>
        <w:pStyle w:val="TOC1"/>
        <w:rPr>
          <w:rFonts w:asciiTheme="minorHAnsi" w:eastAsiaTheme="minorEastAsia" w:hAnsiTheme="minorHAnsi" w:cstheme="minorBidi"/>
          <w:kern w:val="2"/>
          <w:szCs w:val="24"/>
          <w14:ligatures w14:val="standardContextual"/>
        </w:rPr>
      </w:pPr>
      <w:hyperlink w:anchor="_Toc187325894" w:history="1">
        <w:r w:rsidRPr="001E4025">
          <w:rPr>
            <w:rStyle w:val="Hyperlink"/>
            <w:color w:val="auto"/>
          </w:rPr>
          <w:t>Patient Panel</w:t>
        </w:r>
        <w:r>
          <w:rPr>
            <w:webHidden/>
          </w:rPr>
          <w:tab/>
        </w:r>
        <w:r>
          <w:rPr>
            <w:webHidden/>
          </w:rPr>
          <w:fldChar w:fldCharType="begin"/>
        </w:r>
        <w:r>
          <w:rPr>
            <w:webHidden/>
          </w:rPr>
          <w:instrText xml:space="preserve"> PAGEREF _Toc187325894 \h </w:instrText>
        </w:r>
        <w:r>
          <w:rPr>
            <w:webHidden/>
          </w:rPr>
        </w:r>
        <w:r>
          <w:rPr>
            <w:webHidden/>
          </w:rPr>
          <w:fldChar w:fldCharType="separate"/>
        </w:r>
        <w:r>
          <w:rPr>
            <w:webHidden/>
          </w:rPr>
          <w:t>3</w:t>
        </w:r>
        <w:r>
          <w:rPr>
            <w:webHidden/>
          </w:rPr>
          <w:fldChar w:fldCharType="end"/>
        </w:r>
      </w:hyperlink>
    </w:p>
    <w:p w14:paraId="332A5CD5" w14:textId="1FE0F0DC" w:rsidR="00C82F84" w:rsidRDefault="00C82F84">
      <w:pPr>
        <w:pStyle w:val="TOC1"/>
        <w:rPr>
          <w:rFonts w:asciiTheme="minorHAnsi" w:eastAsiaTheme="minorEastAsia" w:hAnsiTheme="minorHAnsi" w:cstheme="minorBidi"/>
          <w:kern w:val="2"/>
          <w:szCs w:val="24"/>
          <w14:ligatures w14:val="standardContextual"/>
        </w:rPr>
      </w:pPr>
      <w:hyperlink w:anchor="_Toc187325895" w:history="1">
        <w:r w:rsidRPr="001E4025">
          <w:rPr>
            <w:rStyle w:val="Hyperlink"/>
            <w:rFonts w:eastAsia="Calibri" w:cstheme="minorHAnsi"/>
            <w:color w:val="auto"/>
          </w:rPr>
          <w:t>Factor 1a: Patient Panel Need</w:t>
        </w:r>
        <w:r>
          <w:rPr>
            <w:webHidden/>
          </w:rPr>
          <w:tab/>
        </w:r>
        <w:r>
          <w:rPr>
            <w:webHidden/>
          </w:rPr>
          <w:fldChar w:fldCharType="begin"/>
        </w:r>
        <w:r>
          <w:rPr>
            <w:webHidden/>
          </w:rPr>
          <w:instrText xml:space="preserve"> PAGEREF _Toc187325895 \h </w:instrText>
        </w:r>
        <w:r>
          <w:rPr>
            <w:webHidden/>
          </w:rPr>
        </w:r>
        <w:r>
          <w:rPr>
            <w:webHidden/>
          </w:rPr>
          <w:fldChar w:fldCharType="separate"/>
        </w:r>
        <w:r>
          <w:rPr>
            <w:webHidden/>
          </w:rPr>
          <w:t>6</w:t>
        </w:r>
        <w:r>
          <w:rPr>
            <w:webHidden/>
          </w:rPr>
          <w:fldChar w:fldCharType="end"/>
        </w:r>
      </w:hyperlink>
    </w:p>
    <w:p w14:paraId="7B382DC5" w14:textId="3A95E860" w:rsidR="00C82F84" w:rsidRDefault="00C82F84">
      <w:pPr>
        <w:pStyle w:val="TOC2"/>
        <w:rPr>
          <w:rFonts w:eastAsiaTheme="minorEastAsia" w:cstheme="minorBidi"/>
          <w:color w:val="auto"/>
          <w:kern w:val="2"/>
          <w14:ligatures w14:val="standardContextual"/>
        </w:rPr>
      </w:pPr>
      <w:hyperlink w:anchor="_Toc187325896" w:history="1">
        <w:r w:rsidRPr="001E4025">
          <w:rPr>
            <w:rStyle w:val="Hyperlink"/>
            <w:color w:val="auto"/>
          </w:rPr>
          <w:t>Factor 1: b) Public health value, improved health outcomes and quality of life; assurances of health equity</w:t>
        </w:r>
        <w:r>
          <w:rPr>
            <w:webHidden/>
          </w:rPr>
          <w:tab/>
        </w:r>
        <w:r>
          <w:rPr>
            <w:webHidden/>
          </w:rPr>
          <w:fldChar w:fldCharType="begin"/>
        </w:r>
        <w:r>
          <w:rPr>
            <w:webHidden/>
          </w:rPr>
          <w:instrText xml:space="preserve"> PAGEREF _Toc187325896 \h </w:instrText>
        </w:r>
        <w:r>
          <w:rPr>
            <w:webHidden/>
          </w:rPr>
        </w:r>
        <w:r>
          <w:rPr>
            <w:webHidden/>
          </w:rPr>
          <w:fldChar w:fldCharType="separate"/>
        </w:r>
        <w:r>
          <w:rPr>
            <w:webHidden/>
          </w:rPr>
          <w:t>11</w:t>
        </w:r>
        <w:r>
          <w:rPr>
            <w:webHidden/>
          </w:rPr>
          <w:fldChar w:fldCharType="end"/>
        </w:r>
      </w:hyperlink>
    </w:p>
    <w:p w14:paraId="3540C8F7" w14:textId="218D8C6F" w:rsidR="00C82F84" w:rsidRDefault="00C82F84">
      <w:pPr>
        <w:pStyle w:val="TOC1"/>
        <w:rPr>
          <w:rFonts w:asciiTheme="minorHAnsi" w:eastAsiaTheme="minorEastAsia" w:hAnsiTheme="minorHAnsi" w:cstheme="minorBidi"/>
          <w:kern w:val="2"/>
          <w:szCs w:val="24"/>
          <w14:ligatures w14:val="standardContextual"/>
        </w:rPr>
      </w:pPr>
      <w:hyperlink w:anchor="_Toc187325897" w:history="1">
        <w:r w:rsidRPr="001E4025">
          <w:rPr>
            <w:rStyle w:val="Hyperlink"/>
            <w:rFonts w:cstheme="minorHAnsi"/>
            <w:color w:val="auto"/>
          </w:rPr>
          <w:t>Factor 1: c) Efficiency, Continuity and Coordination of Care</w:t>
        </w:r>
        <w:r>
          <w:rPr>
            <w:webHidden/>
          </w:rPr>
          <w:tab/>
        </w:r>
        <w:r>
          <w:rPr>
            <w:webHidden/>
          </w:rPr>
          <w:fldChar w:fldCharType="begin"/>
        </w:r>
        <w:r>
          <w:rPr>
            <w:webHidden/>
          </w:rPr>
          <w:instrText xml:space="preserve"> PAGEREF _Toc187325897 \h </w:instrText>
        </w:r>
        <w:r>
          <w:rPr>
            <w:webHidden/>
          </w:rPr>
        </w:r>
        <w:r>
          <w:rPr>
            <w:webHidden/>
          </w:rPr>
          <w:fldChar w:fldCharType="separate"/>
        </w:r>
        <w:r>
          <w:rPr>
            <w:webHidden/>
          </w:rPr>
          <w:t>14</w:t>
        </w:r>
        <w:r>
          <w:rPr>
            <w:webHidden/>
          </w:rPr>
          <w:fldChar w:fldCharType="end"/>
        </w:r>
      </w:hyperlink>
    </w:p>
    <w:p w14:paraId="116A82E0" w14:textId="7B7D1F2B" w:rsidR="00C82F84" w:rsidRDefault="00C82F84">
      <w:pPr>
        <w:pStyle w:val="TOC1"/>
        <w:rPr>
          <w:rFonts w:asciiTheme="minorHAnsi" w:eastAsiaTheme="minorEastAsia" w:hAnsiTheme="minorHAnsi" w:cstheme="minorBidi"/>
          <w:kern w:val="2"/>
          <w:szCs w:val="24"/>
          <w14:ligatures w14:val="standardContextual"/>
        </w:rPr>
      </w:pPr>
      <w:hyperlink w:anchor="_Toc187325898" w:history="1">
        <w:r w:rsidRPr="001E4025">
          <w:rPr>
            <w:rStyle w:val="Hyperlink"/>
            <w:rFonts w:cstheme="minorHAnsi"/>
            <w:color w:val="auto"/>
          </w:rPr>
          <w:t>Factor 1: d) Consultation</w:t>
        </w:r>
        <w:r>
          <w:rPr>
            <w:webHidden/>
          </w:rPr>
          <w:tab/>
        </w:r>
        <w:r>
          <w:rPr>
            <w:webHidden/>
          </w:rPr>
          <w:fldChar w:fldCharType="begin"/>
        </w:r>
        <w:r>
          <w:rPr>
            <w:webHidden/>
          </w:rPr>
          <w:instrText xml:space="preserve"> PAGEREF _Toc187325898 \h </w:instrText>
        </w:r>
        <w:r>
          <w:rPr>
            <w:webHidden/>
          </w:rPr>
        </w:r>
        <w:r>
          <w:rPr>
            <w:webHidden/>
          </w:rPr>
          <w:fldChar w:fldCharType="separate"/>
        </w:r>
        <w:r>
          <w:rPr>
            <w:webHidden/>
          </w:rPr>
          <w:t>15</w:t>
        </w:r>
        <w:r>
          <w:rPr>
            <w:webHidden/>
          </w:rPr>
          <w:fldChar w:fldCharType="end"/>
        </w:r>
      </w:hyperlink>
    </w:p>
    <w:p w14:paraId="3E2B885E" w14:textId="0C135501" w:rsidR="00C82F84" w:rsidRDefault="00C82F84">
      <w:pPr>
        <w:pStyle w:val="TOC1"/>
        <w:rPr>
          <w:rFonts w:asciiTheme="minorHAnsi" w:eastAsiaTheme="minorEastAsia" w:hAnsiTheme="minorHAnsi" w:cstheme="minorBidi"/>
          <w:kern w:val="2"/>
          <w:szCs w:val="24"/>
          <w14:ligatures w14:val="standardContextual"/>
        </w:rPr>
      </w:pPr>
      <w:hyperlink w:anchor="_Toc187325899" w:history="1">
        <w:r w:rsidRPr="001E4025">
          <w:rPr>
            <w:rStyle w:val="Hyperlink"/>
            <w:rFonts w:cstheme="minorHAnsi"/>
            <w:color w:val="auto"/>
          </w:rPr>
          <w:t>Factor 1: e) Evidence of Sound Community Engagement through the Patient Panel</w:t>
        </w:r>
        <w:r>
          <w:rPr>
            <w:webHidden/>
          </w:rPr>
          <w:tab/>
        </w:r>
        <w:r>
          <w:rPr>
            <w:webHidden/>
          </w:rPr>
          <w:fldChar w:fldCharType="begin"/>
        </w:r>
        <w:r>
          <w:rPr>
            <w:webHidden/>
          </w:rPr>
          <w:instrText xml:space="preserve"> PAGEREF _Toc187325899 \h </w:instrText>
        </w:r>
        <w:r>
          <w:rPr>
            <w:webHidden/>
          </w:rPr>
        </w:r>
        <w:r>
          <w:rPr>
            <w:webHidden/>
          </w:rPr>
          <w:fldChar w:fldCharType="separate"/>
        </w:r>
        <w:r>
          <w:rPr>
            <w:webHidden/>
          </w:rPr>
          <w:t>15</w:t>
        </w:r>
        <w:r>
          <w:rPr>
            <w:webHidden/>
          </w:rPr>
          <w:fldChar w:fldCharType="end"/>
        </w:r>
      </w:hyperlink>
    </w:p>
    <w:p w14:paraId="271B5272" w14:textId="060E73A2" w:rsidR="00C82F84" w:rsidRDefault="00C82F84">
      <w:pPr>
        <w:pStyle w:val="TOC1"/>
        <w:rPr>
          <w:rFonts w:asciiTheme="minorHAnsi" w:eastAsiaTheme="minorEastAsia" w:hAnsiTheme="minorHAnsi" w:cstheme="minorBidi"/>
          <w:kern w:val="2"/>
          <w:szCs w:val="24"/>
          <w14:ligatures w14:val="standardContextual"/>
        </w:rPr>
      </w:pPr>
      <w:hyperlink w:anchor="_Toc187325900" w:history="1">
        <w:r w:rsidRPr="001E4025">
          <w:rPr>
            <w:rStyle w:val="Hyperlink"/>
            <w:color w:val="auto"/>
          </w:rPr>
          <w:t>Factor 1: f) Competition on Price, Total Medical Expenses (TME), Costs and Other Measures of Health Care Spending</w:t>
        </w:r>
        <w:r>
          <w:rPr>
            <w:webHidden/>
          </w:rPr>
          <w:tab/>
        </w:r>
        <w:r>
          <w:rPr>
            <w:webHidden/>
          </w:rPr>
          <w:fldChar w:fldCharType="begin"/>
        </w:r>
        <w:r>
          <w:rPr>
            <w:webHidden/>
          </w:rPr>
          <w:instrText xml:space="preserve"> PAGEREF _Toc187325900 \h </w:instrText>
        </w:r>
        <w:r>
          <w:rPr>
            <w:webHidden/>
          </w:rPr>
        </w:r>
        <w:r>
          <w:rPr>
            <w:webHidden/>
          </w:rPr>
          <w:fldChar w:fldCharType="separate"/>
        </w:r>
        <w:r>
          <w:rPr>
            <w:webHidden/>
          </w:rPr>
          <w:t>16</w:t>
        </w:r>
        <w:r>
          <w:rPr>
            <w:webHidden/>
          </w:rPr>
          <w:fldChar w:fldCharType="end"/>
        </w:r>
      </w:hyperlink>
    </w:p>
    <w:p w14:paraId="5E36A027" w14:textId="5CC30B8D" w:rsidR="00C82F84" w:rsidRDefault="00C82F84">
      <w:pPr>
        <w:pStyle w:val="TOC2"/>
        <w:rPr>
          <w:rFonts w:eastAsiaTheme="minorEastAsia" w:cstheme="minorBidi"/>
          <w:color w:val="auto"/>
          <w:kern w:val="2"/>
          <w14:ligatures w14:val="standardContextual"/>
        </w:rPr>
      </w:pPr>
      <w:hyperlink w:anchor="_Toc187325901" w:history="1">
        <w:r w:rsidRPr="001E4025">
          <w:rPr>
            <w:rStyle w:val="Hyperlink"/>
            <w:color w:val="auto"/>
          </w:rPr>
          <w:t>FACTOR 1 Summary Analysis</w:t>
        </w:r>
        <w:r>
          <w:rPr>
            <w:webHidden/>
          </w:rPr>
          <w:tab/>
        </w:r>
        <w:r>
          <w:rPr>
            <w:webHidden/>
          </w:rPr>
          <w:fldChar w:fldCharType="begin"/>
        </w:r>
        <w:r>
          <w:rPr>
            <w:webHidden/>
          </w:rPr>
          <w:instrText xml:space="preserve"> PAGEREF _Toc187325901 \h </w:instrText>
        </w:r>
        <w:r>
          <w:rPr>
            <w:webHidden/>
          </w:rPr>
        </w:r>
        <w:r>
          <w:rPr>
            <w:webHidden/>
          </w:rPr>
          <w:fldChar w:fldCharType="separate"/>
        </w:r>
        <w:r>
          <w:rPr>
            <w:webHidden/>
          </w:rPr>
          <w:t>18</w:t>
        </w:r>
        <w:r>
          <w:rPr>
            <w:webHidden/>
          </w:rPr>
          <w:fldChar w:fldCharType="end"/>
        </w:r>
      </w:hyperlink>
    </w:p>
    <w:p w14:paraId="70AACF9B" w14:textId="5EEFEC6C" w:rsidR="00C82F84" w:rsidRDefault="00C82F84">
      <w:pPr>
        <w:pStyle w:val="TOC1"/>
        <w:rPr>
          <w:rFonts w:asciiTheme="minorHAnsi" w:eastAsiaTheme="minorEastAsia" w:hAnsiTheme="minorHAnsi" w:cstheme="minorBidi"/>
          <w:kern w:val="2"/>
          <w:szCs w:val="24"/>
          <w14:ligatures w14:val="standardContextual"/>
        </w:rPr>
      </w:pPr>
      <w:hyperlink w:anchor="_Toc187325902" w:history="1">
        <w:r w:rsidRPr="001E4025">
          <w:rPr>
            <w:rStyle w:val="Hyperlink"/>
            <w:rFonts w:cstheme="minorHAnsi"/>
            <w:color w:val="auto"/>
          </w:rPr>
          <w:t>Factor 2: Cost Containment, Improved Public Health Outcomes and Delivery System Transformation</w:t>
        </w:r>
        <w:r>
          <w:rPr>
            <w:webHidden/>
          </w:rPr>
          <w:tab/>
        </w:r>
        <w:r>
          <w:rPr>
            <w:webHidden/>
          </w:rPr>
          <w:fldChar w:fldCharType="begin"/>
        </w:r>
        <w:r>
          <w:rPr>
            <w:webHidden/>
          </w:rPr>
          <w:instrText xml:space="preserve"> PAGEREF _Toc187325902 \h </w:instrText>
        </w:r>
        <w:r>
          <w:rPr>
            <w:webHidden/>
          </w:rPr>
        </w:r>
        <w:r>
          <w:rPr>
            <w:webHidden/>
          </w:rPr>
          <w:fldChar w:fldCharType="separate"/>
        </w:r>
        <w:r>
          <w:rPr>
            <w:webHidden/>
          </w:rPr>
          <w:t>18</w:t>
        </w:r>
        <w:r>
          <w:rPr>
            <w:webHidden/>
          </w:rPr>
          <w:fldChar w:fldCharType="end"/>
        </w:r>
      </w:hyperlink>
    </w:p>
    <w:p w14:paraId="63EB6C89" w14:textId="0B964FB0" w:rsidR="00C82F84" w:rsidRDefault="00C82F84">
      <w:pPr>
        <w:pStyle w:val="TOC1"/>
        <w:rPr>
          <w:rFonts w:asciiTheme="minorHAnsi" w:eastAsiaTheme="minorEastAsia" w:hAnsiTheme="minorHAnsi" w:cstheme="minorBidi"/>
          <w:kern w:val="2"/>
          <w:szCs w:val="24"/>
          <w14:ligatures w14:val="standardContextual"/>
        </w:rPr>
      </w:pPr>
      <w:hyperlink w:anchor="_Toc187325903" w:history="1">
        <w:r w:rsidRPr="001E4025">
          <w:rPr>
            <w:rStyle w:val="Hyperlink"/>
            <w:rFonts w:cstheme="minorHAnsi"/>
            <w:color w:val="auto"/>
          </w:rPr>
          <w:t>Factor 3: Relevant Licensure/Oversight Compliance</w:t>
        </w:r>
        <w:r>
          <w:rPr>
            <w:webHidden/>
          </w:rPr>
          <w:tab/>
        </w:r>
        <w:r>
          <w:rPr>
            <w:webHidden/>
          </w:rPr>
          <w:fldChar w:fldCharType="begin"/>
        </w:r>
        <w:r>
          <w:rPr>
            <w:webHidden/>
          </w:rPr>
          <w:instrText xml:space="preserve"> PAGEREF _Toc187325903 \h </w:instrText>
        </w:r>
        <w:r>
          <w:rPr>
            <w:webHidden/>
          </w:rPr>
        </w:r>
        <w:r>
          <w:rPr>
            <w:webHidden/>
          </w:rPr>
          <w:fldChar w:fldCharType="separate"/>
        </w:r>
        <w:r>
          <w:rPr>
            <w:webHidden/>
          </w:rPr>
          <w:t>20</w:t>
        </w:r>
        <w:r>
          <w:rPr>
            <w:webHidden/>
          </w:rPr>
          <w:fldChar w:fldCharType="end"/>
        </w:r>
      </w:hyperlink>
    </w:p>
    <w:p w14:paraId="59AFAE17" w14:textId="08C25A6F" w:rsidR="00C82F84" w:rsidRDefault="00C82F84">
      <w:pPr>
        <w:pStyle w:val="TOC1"/>
        <w:rPr>
          <w:rFonts w:asciiTheme="minorHAnsi" w:eastAsiaTheme="minorEastAsia" w:hAnsiTheme="minorHAnsi" w:cstheme="minorBidi"/>
          <w:kern w:val="2"/>
          <w:szCs w:val="24"/>
          <w14:ligatures w14:val="standardContextual"/>
        </w:rPr>
      </w:pPr>
      <w:hyperlink w:anchor="_Toc187325904" w:history="1">
        <w:r w:rsidRPr="001E4025">
          <w:rPr>
            <w:rStyle w:val="Hyperlink"/>
            <w:rFonts w:cstheme="minorHAnsi"/>
            <w:color w:val="auto"/>
          </w:rPr>
          <w:t>Factor 4: Demonstration of Sufficient Funds Independent CPA Analysis</w:t>
        </w:r>
        <w:r>
          <w:rPr>
            <w:webHidden/>
          </w:rPr>
          <w:tab/>
        </w:r>
        <w:r>
          <w:rPr>
            <w:webHidden/>
          </w:rPr>
          <w:fldChar w:fldCharType="begin"/>
        </w:r>
        <w:r>
          <w:rPr>
            <w:webHidden/>
          </w:rPr>
          <w:instrText xml:space="preserve"> PAGEREF _Toc187325904 \h </w:instrText>
        </w:r>
        <w:r>
          <w:rPr>
            <w:webHidden/>
          </w:rPr>
        </w:r>
        <w:r>
          <w:rPr>
            <w:webHidden/>
          </w:rPr>
          <w:fldChar w:fldCharType="separate"/>
        </w:r>
        <w:r>
          <w:rPr>
            <w:webHidden/>
          </w:rPr>
          <w:t>20</w:t>
        </w:r>
        <w:r>
          <w:rPr>
            <w:webHidden/>
          </w:rPr>
          <w:fldChar w:fldCharType="end"/>
        </w:r>
      </w:hyperlink>
    </w:p>
    <w:p w14:paraId="43B69EE4" w14:textId="4281B46B" w:rsidR="00C82F84" w:rsidRDefault="00C82F84">
      <w:pPr>
        <w:pStyle w:val="TOC1"/>
        <w:rPr>
          <w:rFonts w:asciiTheme="minorHAnsi" w:eastAsiaTheme="minorEastAsia" w:hAnsiTheme="minorHAnsi" w:cstheme="minorBidi"/>
          <w:kern w:val="2"/>
          <w:szCs w:val="24"/>
          <w14:ligatures w14:val="standardContextual"/>
        </w:rPr>
      </w:pPr>
      <w:hyperlink w:anchor="_Toc187325905" w:history="1">
        <w:r w:rsidRPr="001E4025">
          <w:rPr>
            <w:rStyle w:val="Hyperlink"/>
            <w:color w:val="auto"/>
          </w:rPr>
          <w:t>Factor 5: Relative Merit</w:t>
        </w:r>
        <w:r>
          <w:rPr>
            <w:webHidden/>
          </w:rPr>
          <w:tab/>
        </w:r>
        <w:r>
          <w:rPr>
            <w:webHidden/>
          </w:rPr>
          <w:fldChar w:fldCharType="begin"/>
        </w:r>
        <w:r>
          <w:rPr>
            <w:webHidden/>
          </w:rPr>
          <w:instrText xml:space="preserve"> PAGEREF _Toc187325905 \h </w:instrText>
        </w:r>
        <w:r>
          <w:rPr>
            <w:webHidden/>
          </w:rPr>
        </w:r>
        <w:r>
          <w:rPr>
            <w:webHidden/>
          </w:rPr>
          <w:fldChar w:fldCharType="separate"/>
        </w:r>
        <w:r>
          <w:rPr>
            <w:webHidden/>
          </w:rPr>
          <w:t>22</w:t>
        </w:r>
        <w:r>
          <w:rPr>
            <w:webHidden/>
          </w:rPr>
          <w:fldChar w:fldCharType="end"/>
        </w:r>
      </w:hyperlink>
    </w:p>
    <w:p w14:paraId="4FFA784E" w14:textId="530F4BB2" w:rsidR="00C82F84" w:rsidRDefault="00C82F84">
      <w:pPr>
        <w:pStyle w:val="TOC1"/>
        <w:rPr>
          <w:rFonts w:asciiTheme="minorHAnsi" w:eastAsiaTheme="minorEastAsia" w:hAnsiTheme="minorHAnsi" w:cstheme="minorBidi"/>
          <w:kern w:val="2"/>
          <w:szCs w:val="24"/>
          <w14:ligatures w14:val="standardContextual"/>
        </w:rPr>
      </w:pPr>
      <w:hyperlink w:anchor="_Toc187325906" w:history="1">
        <w:r w:rsidRPr="001E4025">
          <w:rPr>
            <w:rStyle w:val="Hyperlink"/>
            <w:rFonts w:eastAsia="Times New Roman" w:cstheme="minorHAnsi"/>
            <w:color w:val="auto"/>
          </w:rPr>
          <w:t>Factor 6: Community-based Health Initiatives</w:t>
        </w:r>
        <w:r>
          <w:rPr>
            <w:webHidden/>
          </w:rPr>
          <w:tab/>
        </w:r>
        <w:r>
          <w:rPr>
            <w:webHidden/>
          </w:rPr>
          <w:fldChar w:fldCharType="begin"/>
        </w:r>
        <w:r>
          <w:rPr>
            <w:webHidden/>
          </w:rPr>
          <w:instrText xml:space="preserve"> PAGEREF _Toc187325906 \h </w:instrText>
        </w:r>
        <w:r>
          <w:rPr>
            <w:webHidden/>
          </w:rPr>
        </w:r>
        <w:r>
          <w:rPr>
            <w:webHidden/>
          </w:rPr>
          <w:fldChar w:fldCharType="separate"/>
        </w:r>
        <w:r>
          <w:rPr>
            <w:webHidden/>
          </w:rPr>
          <w:t>23</w:t>
        </w:r>
        <w:r>
          <w:rPr>
            <w:webHidden/>
          </w:rPr>
          <w:fldChar w:fldCharType="end"/>
        </w:r>
      </w:hyperlink>
    </w:p>
    <w:p w14:paraId="56E61C41" w14:textId="3FCD0AB8" w:rsidR="00C82F84" w:rsidRDefault="00C82F84">
      <w:pPr>
        <w:pStyle w:val="TOC1"/>
        <w:rPr>
          <w:rFonts w:asciiTheme="minorHAnsi" w:eastAsiaTheme="minorEastAsia" w:hAnsiTheme="minorHAnsi" w:cstheme="minorBidi"/>
          <w:kern w:val="2"/>
          <w:szCs w:val="24"/>
          <w14:ligatures w14:val="standardContextual"/>
        </w:rPr>
      </w:pPr>
      <w:hyperlink w:anchor="_Toc187325907" w:history="1">
        <w:r w:rsidRPr="001E4025">
          <w:rPr>
            <w:rStyle w:val="Hyperlink"/>
            <w:rFonts w:cstheme="minorHAnsi"/>
            <w:color w:val="auto"/>
          </w:rPr>
          <w:t>Findings and Recommendations</w:t>
        </w:r>
        <w:r>
          <w:rPr>
            <w:webHidden/>
          </w:rPr>
          <w:tab/>
        </w:r>
        <w:r>
          <w:rPr>
            <w:webHidden/>
          </w:rPr>
          <w:fldChar w:fldCharType="begin"/>
        </w:r>
        <w:r>
          <w:rPr>
            <w:webHidden/>
          </w:rPr>
          <w:instrText xml:space="preserve"> PAGEREF _Toc187325907 \h </w:instrText>
        </w:r>
        <w:r>
          <w:rPr>
            <w:webHidden/>
          </w:rPr>
        </w:r>
        <w:r>
          <w:rPr>
            <w:webHidden/>
          </w:rPr>
          <w:fldChar w:fldCharType="separate"/>
        </w:r>
        <w:r>
          <w:rPr>
            <w:webHidden/>
          </w:rPr>
          <w:t>24</w:t>
        </w:r>
        <w:r>
          <w:rPr>
            <w:webHidden/>
          </w:rPr>
          <w:fldChar w:fldCharType="end"/>
        </w:r>
      </w:hyperlink>
    </w:p>
    <w:p w14:paraId="54D6D43C" w14:textId="3CDEDB0B" w:rsidR="00C82F84" w:rsidRDefault="00C82F84">
      <w:pPr>
        <w:pStyle w:val="TOC1"/>
        <w:rPr>
          <w:rFonts w:asciiTheme="minorHAnsi" w:eastAsiaTheme="minorEastAsia" w:hAnsiTheme="minorHAnsi" w:cstheme="minorBidi"/>
          <w:kern w:val="2"/>
          <w:szCs w:val="24"/>
          <w14:ligatures w14:val="standardContextual"/>
        </w:rPr>
      </w:pPr>
      <w:hyperlink w:anchor="_Toc187325908" w:history="1">
        <w:r w:rsidRPr="001E4025">
          <w:rPr>
            <w:rStyle w:val="Hyperlink"/>
            <w:rFonts w:cstheme="minorHAnsi"/>
            <w:color w:val="auto"/>
          </w:rPr>
          <w:t>Appendix 1</w:t>
        </w:r>
        <w:r>
          <w:rPr>
            <w:webHidden/>
          </w:rPr>
          <w:tab/>
        </w:r>
        <w:r>
          <w:rPr>
            <w:webHidden/>
          </w:rPr>
          <w:fldChar w:fldCharType="begin"/>
        </w:r>
        <w:r>
          <w:rPr>
            <w:webHidden/>
          </w:rPr>
          <w:instrText xml:space="preserve"> PAGEREF _Toc187325908 \h </w:instrText>
        </w:r>
        <w:r>
          <w:rPr>
            <w:webHidden/>
          </w:rPr>
        </w:r>
        <w:r>
          <w:rPr>
            <w:webHidden/>
          </w:rPr>
          <w:fldChar w:fldCharType="separate"/>
        </w:r>
        <w:r>
          <w:rPr>
            <w:webHidden/>
          </w:rPr>
          <w:t>25</w:t>
        </w:r>
        <w:r>
          <w:rPr>
            <w:webHidden/>
          </w:rPr>
          <w:fldChar w:fldCharType="end"/>
        </w:r>
      </w:hyperlink>
    </w:p>
    <w:p w14:paraId="7FC25410" w14:textId="5098EDD8" w:rsidR="00486F29" w:rsidRDefault="00A13015" w:rsidP="00486F29">
      <w:r w:rsidRPr="00E84440">
        <w:rPr>
          <w:rFonts w:ascii="Calibri" w:eastAsiaTheme="majorEastAsia" w:hAnsi="Calibri" w:cs="Calibri"/>
          <w:noProof/>
          <w:color w:val="2B579A"/>
          <w:shd w:val="clear" w:color="auto" w:fill="E6E6E6"/>
        </w:rPr>
        <w:fldChar w:fldCharType="end"/>
      </w:r>
    </w:p>
    <w:p w14:paraId="3A859690" w14:textId="77777777" w:rsidR="003A6B26" w:rsidRDefault="003A6B26"/>
    <w:p w14:paraId="0F0AEB89" w14:textId="77777777" w:rsidR="003A6B26" w:rsidRDefault="003A6B26"/>
    <w:p w14:paraId="4A22DCFD" w14:textId="77777777" w:rsidR="003A6B26" w:rsidRDefault="003A6B26"/>
    <w:p w14:paraId="1BA7A6CE" w14:textId="77777777" w:rsidR="003A6B26" w:rsidRDefault="003A6B26"/>
    <w:p w14:paraId="47AB7007" w14:textId="77777777" w:rsidR="003A6B26" w:rsidRDefault="003A6B26"/>
    <w:p w14:paraId="66F2FB22" w14:textId="77777777" w:rsidR="003A6B26" w:rsidRDefault="003A6B26"/>
    <w:p w14:paraId="538C1D0B" w14:textId="16F598C8" w:rsidR="00D113E6" w:rsidRDefault="00D113E6">
      <w:r>
        <w:br w:type="page"/>
      </w:r>
    </w:p>
    <w:p w14:paraId="5E0BC33E" w14:textId="536E7BD5" w:rsidR="0089038F" w:rsidRDefault="006B4303" w:rsidP="0073461E">
      <w:pPr>
        <w:pStyle w:val="Heading1"/>
        <w:spacing w:before="0"/>
        <w:rPr>
          <w:rFonts w:asciiTheme="minorHAnsi" w:hAnsiTheme="minorHAnsi" w:cstheme="minorHAnsi"/>
        </w:rPr>
      </w:pPr>
      <w:bookmarkStart w:id="1" w:name="_Toc27567688"/>
      <w:bookmarkStart w:id="2" w:name="_Toc17151134"/>
      <w:bookmarkStart w:id="3" w:name="_Toc17228947"/>
      <w:bookmarkStart w:id="4" w:name="_Toc17731303"/>
      <w:bookmarkStart w:id="5" w:name="_Toc17748221"/>
      <w:bookmarkStart w:id="6" w:name="_Toc17748448"/>
      <w:bookmarkStart w:id="7" w:name="_Toc17748692"/>
      <w:bookmarkStart w:id="8" w:name="_Toc18922392"/>
      <w:bookmarkStart w:id="9" w:name="_Toc23110213"/>
      <w:bookmarkStart w:id="10" w:name="_Toc23157976"/>
      <w:bookmarkStart w:id="11" w:name="_Toc23323238"/>
      <w:bookmarkStart w:id="12" w:name="_Toc23324244"/>
      <w:bookmarkStart w:id="13" w:name="_Toc23424528"/>
      <w:bookmarkStart w:id="14" w:name="_Toc187325893"/>
      <w:r w:rsidRPr="00983114">
        <w:rPr>
          <w:rFonts w:asciiTheme="minorHAnsi" w:hAnsiTheme="minorHAnsi" w:cstheme="minorHAnsi"/>
        </w:rPr>
        <w:lastRenderedPageBreak/>
        <w:t>B</w:t>
      </w:r>
      <w:r w:rsidR="00234964" w:rsidRPr="00983114">
        <w:rPr>
          <w:rFonts w:asciiTheme="minorHAnsi" w:hAnsiTheme="minorHAnsi" w:cstheme="minorHAnsi"/>
        </w:rPr>
        <w:t>ackground</w:t>
      </w:r>
      <w:bookmarkEnd w:id="1"/>
      <w:bookmarkEnd w:id="2"/>
      <w:bookmarkEnd w:id="3"/>
      <w:bookmarkEnd w:id="4"/>
      <w:bookmarkEnd w:id="5"/>
      <w:bookmarkEnd w:id="6"/>
      <w:bookmarkEnd w:id="7"/>
      <w:bookmarkEnd w:id="8"/>
      <w:bookmarkEnd w:id="9"/>
      <w:bookmarkEnd w:id="10"/>
      <w:bookmarkEnd w:id="11"/>
      <w:bookmarkEnd w:id="12"/>
      <w:bookmarkEnd w:id="13"/>
      <w:r w:rsidR="008A5727" w:rsidRPr="00983114">
        <w:rPr>
          <w:rFonts w:asciiTheme="minorHAnsi" w:hAnsiTheme="minorHAnsi" w:cstheme="minorHAnsi"/>
        </w:rPr>
        <w:t xml:space="preserve"> </w:t>
      </w:r>
      <w:r w:rsidRPr="00983114">
        <w:rPr>
          <w:rFonts w:asciiTheme="minorHAnsi" w:hAnsiTheme="minorHAnsi" w:cstheme="minorHAnsi"/>
        </w:rPr>
        <w:t>and Application Overview</w:t>
      </w:r>
      <w:bookmarkStart w:id="15" w:name="_Toc17474921"/>
      <w:bookmarkEnd w:id="14"/>
    </w:p>
    <w:p w14:paraId="50ABB1B9" w14:textId="77777777" w:rsidR="00CB0381" w:rsidRPr="00CB0381" w:rsidRDefault="00CB0381" w:rsidP="00CB0381"/>
    <w:p w14:paraId="630611B4" w14:textId="40EE9039" w:rsidR="00D03D92" w:rsidRPr="00D03D92" w:rsidRDefault="007B523E" w:rsidP="4E2208F8">
      <w:pPr>
        <w:tabs>
          <w:tab w:val="left" w:pos="10080"/>
        </w:tabs>
        <w:rPr>
          <w:rFonts w:ascii="Calibri" w:eastAsia="Calibri" w:hAnsi="Calibri" w:cs="Calibri"/>
        </w:rPr>
      </w:pPr>
      <w:r w:rsidRPr="4E2208F8">
        <w:rPr>
          <w:rFonts w:ascii="Calibri" w:eastAsia="Calibri" w:hAnsi="Calibri" w:cs="Calibri"/>
        </w:rPr>
        <w:t xml:space="preserve">West Bridgewater MA Endoscopy ASC, </w:t>
      </w:r>
      <w:r w:rsidR="00CE0BFC" w:rsidRPr="4E2208F8">
        <w:rPr>
          <w:rFonts w:ascii="Calibri" w:eastAsia="Calibri" w:hAnsi="Calibri" w:cs="Calibri"/>
        </w:rPr>
        <w:t>LLC (</w:t>
      </w:r>
      <w:r w:rsidRPr="4E2208F8">
        <w:rPr>
          <w:rFonts w:ascii="Calibri" w:eastAsia="Calibri" w:hAnsi="Calibri" w:cs="Calibri"/>
        </w:rPr>
        <w:t>the “Applicant”</w:t>
      </w:r>
      <w:r w:rsidR="76CA975A" w:rsidRPr="4E2208F8">
        <w:rPr>
          <w:rFonts w:ascii="Calibri" w:eastAsia="Calibri" w:hAnsi="Calibri" w:cs="Calibri"/>
        </w:rPr>
        <w:t xml:space="preserve"> or “W. Bridgewater”</w:t>
      </w:r>
      <w:r w:rsidRPr="4E2208F8">
        <w:rPr>
          <w:rFonts w:ascii="Calibri" w:eastAsia="Calibri" w:hAnsi="Calibri" w:cs="Calibri"/>
        </w:rPr>
        <w:t>),</w:t>
      </w:r>
      <w:r w:rsidR="00AF3FFB" w:rsidRPr="4E2208F8">
        <w:rPr>
          <w:rFonts w:ascii="Calibri" w:eastAsia="Calibri" w:hAnsi="Calibri" w:cs="Calibri"/>
        </w:rPr>
        <w:t xml:space="preserve"> a for-profit Tennessee limited liability company, </w:t>
      </w:r>
      <w:r w:rsidRPr="4E2208F8">
        <w:rPr>
          <w:rFonts w:ascii="Calibri" w:eastAsia="Calibri" w:hAnsi="Calibri" w:cs="Calibri"/>
        </w:rPr>
        <w:t xml:space="preserve">is a joint venture between </w:t>
      </w:r>
      <w:proofErr w:type="spellStart"/>
      <w:r w:rsidRPr="4E2208F8">
        <w:rPr>
          <w:rFonts w:ascii="Calibri" w:eastAsia="Calibri" w:hAnsi="Calibri" w:cs="Calibri"/>
        </w:rPr>
        <w:t>Amsurg</w:t>
      </w:r>
      <w:proofErr w:type="spellEnd"/>
      <w:r w:rsidRPr="4E2208F8">
        <w:rPr>
          <w:rFonts w:ascii="Calibri" w:eastAsia="Calibri" w:hAnsi="Calibri" w:cs="Calibri"/>
        </w:rPr>
        <w:t xml:space="preserve"> Holdings, Inc. (“AMSURG”) and Commonwealth Endoscopy Center, Inc. </w:t>
      </w:r>
      <w:r w:rsidR="00EB31E6" w:rsidRPr="4E2208F8">
        <w:rPr>
          <w:rFonts w:ascii="Calibri" w:eastAsia="Calibri" w:hAnsi="Calibri" w:cs="Calibri"/>
        </w:rPr>
        <w:t xml:space="preserve">(“CEC”) </w:t>
      </w:r>
      <w:r w:rsidR="005806F4" w:rsidRPr="4E2208F8">
        <w:rPr>
          <w:rFonts w:ascii="Calibri" w:eastAsia="Calibri" w:hAnsi="Calibri" w:cs="Calibri"/>
        </w:rPr>
        <w:t xml:space="preserve">whereby </w:t>
      </w:r>
      <w:r w:rsidRPr="4E2208F8">
        <w:rPr>
          <w:rFonts w:ascii="Calibri" w:eastAsia="Calibri" w:hAnsi="Calibri" w:cs="Calibri"/>
        </w:rPr>
        <w:t>AMSURG owns 51% and</w:t>
      </w:r>
      <w:r w:rsidR="00AF3FFB" w:rsidRPr="4E2208F8">
        <w:rPr>
          <w:rFonts w:ascii="Calibri" w:eastAsia="Calibri" w:hAnsi="Calibri" w:cs="Calibri"/>
        </w:rPr>
        <w:t xml:space="preserve"> CEC</w:t>
      </w:r>
      <w:r w:rsidRPr="4E2208F8">
        <w:rPr>
          <w:rFonts w:ascii="Calibri" w:eastAsia="Calibri" w:hAnsi="Calibri" w:cs="Calibri"/>
        </w:rPr>
        <w:t xml:space="preserve"> owns 49%. The Applicant </w:t>
      </w:r>
      <w:r w:rsidR="00D7168E" w:rsidRPr="4E2208F8">
        <w:rPr>
          <w:rFonts w:ascii="Calibri" w:eastAsia="Calibri" w:hAnsi="Calibri" w:cs="Calibri"/>
        </w:rPr>
        <w:t xml:space="preserve">is a </w:t>
      </w:r>
      <w:r w:rsidR="00CF2910" w:rsidRPr="4E2208F8">
        <w:rPr>
          <w:rFonts w:ascii="Calibri" w:eastAsia="Calibri" w:hAnsi="Calibri" w:cs="Calibri"/>
        </w:rPr>
        <w:t xml:space="preserve">DPH licensed </w:t>
      </w:r>
      <w:r w:rsidR="00D03D92" w:rsidRPr="4E2208F8">
        <w:rPr>
          <w:rFonts w:ascii="Calibri" w:eastAsia="Calibri" w:hAnsi="Calibri" w:cs="Calibri"/>
        </w:rPr>
        <w:t>single specialty ambulatory surgery center ("ASC")</w:t>
      </w:r>
      <w:r w:rsidR="00DA024C" w:rsidRPr="4E2208F8">
        <w:rPr>
          <w:rFonts w:ascii="Calibri" w:eastAsia="Calibri" w:hAnsi="Calibri" w:cs="Calibri"/>
        </w:rPr>
        <w:t xml:space="preserve"> </w:t>
      </w:r>
      <w:r w:rsidR="00CA7CE5" w:rsidRPr="4E2208F8">
        <w:rPr>
          <w:rFonts w:ascii="Calibri" w:eastAsia="Calibri" w:hAnsi="Calibri" w:cs="Calibri"/>
        </w:rPr>
        <w:t>that is</w:t>
      </w:r>
      <w:r w:rsidR="00605915" w:rsidRPr="4E2208F8">
        <w:rPr>
          <w:rFonts w:ascii="Calibri" w:eastAsia="Calibri" w:hAnsi="Calibri" w:cs="Calibri"/>
        </w:rPr>
        <w:t xml:space="preserve"> certified by Medicare and MassHealth</w:t>
      </w:r>
      <w:r w:rsidR="00CE0BFC" w:rsidRPr="4E2208F8">
        <w:rPr>
          <w:rStyle w:val="FootnoteReference"/>
          <w:rFonts w:ascii="Calibri" w:eastAsia="Calibri" w:hAnsi="Calibri" w:cs="Calibri"/>
        </w:rPr>
        <w:footnoteReference w:id="2"/>
      </w:r>
      <w:r w:rsidR="005806F4" w:rsidRPr="4E2208F8">
        <w:rPr>
          <w:rFonts w:ascii="Calibri" w:eastAsia="Calibri" w:hAnsi="Calibri" w:cs="Calibri"/>
        </w:rPr>
        <w:t xml:space="preserve">. </w:t>
      </w:r>
      <w:r w:rsidR="00D03D92" w:rsidRPr="4E2208F8">
        <w:rPr>
          <w:rFonts w:ascii="Calibri" w:eastAsia="Calibri" w:hAnsi="Calibri" w:cs="Calibri"/>
        </w:rPr>
        <w:t xml:space="preserve">The Applicant has been performing same day </w:t>
      </w:r>
      <w:r w:rsidR="002D3EF8">
        <w:rPr>
          <w:rFonts w:ascii="Calibri" w:eastAsia="Calibri" w:hAnsi="Calibri" w:cs="Calibri"/>
        </w:rPr>
        <w:t>g</w:t>
      </w:r>
      <w:r w:rsidR="00FF7EFB">
        <w:rPr>
          <w:rFonts w:ascii="Calibri" w:eastAsia="Calibri" w:hAnsi="Calibri" w:cs="Calibri"/>
        </w:rPr>
        <w:t>astrointestinal (</w:t>
      </w:r>
      <w:r w:rsidR="00D03D92" w:rsidRPr="4E2208F8">
        <w:rPr>
          <w:rFonts w:ascii="Calibri" w:eastAsia="Calibri" w:hAnsi="Calibri" w:cs="Calibri"/>
        </w:rPr>
        <w:t>GI</w:t>
      </w:r>
      <w:r w:rsidR="00FF7EFB">
        <w:rPr>
          <w:rFonts w:ascii="Calibri" w:eastAsia="Calibri" w:hAnsi="Calibri" w:cs="Calibri"/>
        </w:rPr>
        <w:t>)</w:t>
      </w:r>
      <w:r w:rsidR="00D03D92" w:rsidRPr="4E2208F8">
        <w:rPr>
          <w:rFonts w:ascii="Calibri" w:eastAsia="Calibri" w:hAnsi="Calibri" w:cs="Calibri"/>
        </w:rPr>
        <w:t xml:space="preserve"> surgery since June 1997</w:t>
      </w:r>
      <w:r w:rsidR="00AF3FFB" w:rsidRPr="4E2208F8">
        <w:rPr>
          <w:rFonts w:ascii="Calibri" w:eastAsia="Calibri" w:hAnsi="Calibri" w:cs="Calibri"/>
        </w:rPr>
        <w:t>,</w:t>
      </w:r>
      <w:r w:rsidR="009C1BBD" w:rsidRPr="4E2208F8">
        <w:rPr>
          <w:rFonts w:ascii="Calibri" w:eastAsia="Calibri" w:hAnsi="Calibri" w:cs="Calibri"/>
        </w:rPr>
        <w:t xml:space="preserve"> and </w:t>
      </w:r>
      <w:r w:rsidR="00D03D92" w:rsidRPr="4E2208F8">
        <w:rPr>
          <w:rFonts w:ascii="Calibri" w:eastAsia="Calibri" w:hAnsi="Calibri" w:cs="Calibri"/>
        </w:rPr>
        <w:t>at its current site since 2009</w:t>
      </w:r>
      <w:r w:rsidR="00AF3FFB" w:rsidRPr="4E2208F8">
        <w:rPr>
          <w:rFonts w:ascii="Calibri" w:eastAsia="Calibri" w:hAnsi="Calibri" w:cs="Calibri"/>
        </w:rPr>
        <w:t>; it</w:t>
      </w:r>
      <w:r w:rsidR="008C70DF" w:rsidRPr="4E2208F8">
        <w:rPr>
          <w:rFonts w:ascii="Calibri" w:eastAsia="Calibri" w:hAnsi="Calibri" w:cs="Calibri"/>
        </w:rPr>
        <w:t xml:space="preserve"> is eligible to expand through the grandfathering provision of 105 CMR 100.715.</w:t>
      </w:r>
      <w:r w:rsidR="008C70DF" w:rsidRPr="4E2208F8">
        <w:rPr>
          <w:rFonts w:ascii="Calibri" w:eastAsia="Calibri" w:hAnsi="Calibri" w:cs="Calibri"/>
          <w:vertAlign w:val="superscript"/>
        </w:rPr>
        <w:footnoteReference w:id="3"/>
      </w:r>
      <w:r w:rsidR="008C70DF" w:rsidRPr="4E2208F8">
        <w:rPr>
          <w:rFonts w:ascii="Calibri" w:eastAsia="Calibri" w:hAnsi="Calibri" w:cs="Calibri"/>
        </w:rPr>
        <w:t xml:space="preserve"> </w:t>
      </w:r>
    </w:p>
    <w:p w14:paraId="7AE1FECE" w14:textId="77777777" w:rsidR="00D03D92" w:rsidRPr="00D03D92" w:rsidRDefault="00D03D92" w:rsidP="00D03D92">
      <w:pPr>
        <w:tabs>
          <w:tab w:val="left" w:pos="10080"/>
        </w:tabs>
        <w:rPr>
          <w:rFonts w:ascii="Calibri" w:eastAsia="Calibri" w:hAnsi="Calibri" w:cs="Calibri"/>
          <w:szCs w:val="22"/>
        </w:rPr>
      </w:pPr>
    </w:p>
    <w:p w14:paraId="7F3B3395" w14:textId="3A75BE05" w:rsidR="0031659C" w:rsidRDefault="00642671" w:rsidP="002E79CB">
      <w:pPr>
        <w:tabs>
          <w:tab w:val="left" w:pos="10080"/>
        </w:tabs>
        <w:rPr>
          <w:rFonts w:ascii="Calibri" w:eastAsia="Calibri" w:hAnsi="Calibri" w:cs="Calibri"/>
          <w:szCs w:val="22"/>
        </w:rPr>
      </w:pPr>
      <w:r>
        <w:rPr>
          <w:rFonts w:ascii="Calibri" w:eastAsia="Calibri" w:hAnsi="Calibri" w:cs="Calibri"/>
          <w:szCs w:val="22"/>
        </w:rPr>
        <w:t>CEC</w:t>
      </w:r>
      <w:r w:rsidR="003F627B">
        <w:rPr>
          <w:rFonts w:ascii="Calibri" w:eastAsia="Calibri" w:hAnsi="Calibri" w:cs="Calibri"/>
          <w:szCs w:val="22"/>
        </w:rPr>
        <w:t>,</w:t>
      </w:r>
      <w:r w:rsidR="002E79CB" w:rsidRPr="002E79CB">
        <w:rPr>
          <w:rFonts w:ascii="Calibri" w:eastAsia="Calibri" w:hAnsi="Calibri" w:cs="Calibri"/>
          <w:szCs w:val="22"/>
        </w:rPr>
        <w:t xml:space="preserve"> </w:t>
      </w:r>
      <w:r w:rsidR="0031659C" w:rsidRPr="0031659C">
        <w:rPr>
          <w:rFonts w:ascii="Calibri" w:eastAsia="Calibri" w:hAnsi="Calibri" w:cs="Calibri"/>
          <w:szCs w:val="22"/>
        </w:rPr>
        <w:t>a physician group practice</w:t>
      </w:r>
      <w:r w:rsidR="006102FF">
        <w:rPr>
          <w:rFonts w:ascii="Calibri" w:eastAsia="Calibri" w:hAnsi="Calibri" w:cs="Calibri"/>
          <w:szCs w:val="22"/>
        </w:rPr>
        <w:t>,</w:t>
      </w:r>
      <w:r w:rsidR="0031659C" w:rsidRPr="0031659C">
        <w:rPr>
          <w:rFonts w:ascii="Calibri" w:eastAsia="Calibri" w:hAnsi="Calibri" w:cs="Calibri"/>
          <w:szCs w:val="22"/>
        </w:rPr>
        <w:t xml:space="preserve"> </w:t>
      </w:r>
      <w:r w:rsidR="003F627B">
        <w:rPr>
          <w:rFonts w:ascii="Calibri" w:eastAsia="Calibri" w:hAnsi="Calibri" w:cs="Calibri"/>
          <w:szCs w:val="22"/>
        </w:rPr>
        <w:t xml:space="preserve">is </w:t>
      </w:r>
      <w:r w:rsidR="002E79CB" w:rsidRPr="002E79CB">
        <w:rPr>
          <w:rFonts w:ascii="Calibri" w:eastAsia="Calibri" w:hAnsi="Calibri" w:cs="Calibri"/>
          <w:szCs w:val="22"/>
        </w:rPr>
        <w:t xml:space="preserve">owned by a group of </w:t>
      </w:r>
      <w:r w:rsidR="006102FF">
        <w:rPr>
          <w:rFonts w:ascii="Calibri" w:eastAsia="Calibri" w:hAnsi="Calibri" w:cs="Calibri"/>
          <w:szCs w:val="22"/>
        </w:rPr>
        <w:t xml:space="preserve">7 </w:t>
      </w:r>
      <w:r w:rsidR="002E79CB" w:rsidRPr="002E79CB">
        <w:rPr>
          <w:rFonts w:ascii="Calibri" w:eastAsia="Calibri" w:hAnsi="Calibri" w:cs="Calibri"/>
          <w:szCs w:val="22"/>
        </w:rPr>
        <w:t xml:space="preserve">physicians </w:t>
      </w:r>
      <w:r w:rsidR="00156E3F">
        <w:rPr>
          <w:rFonts w:ascii="Calibri" w:eastAsia="Calibri" w:hAnsi="Calibri" w:cs="Calibri"/>
          <w:szCs w:val="22"/>
        </w:rPr>
        <w:t xml:space="preserve">who </w:t>
      </w:r>
      <w:r w:rsidR="002E79CB" w:rsidRPr="002E79CB">
        <w:rPr>
          <w:rFonts w:ascii="Calibri" w:eastAsia="Calibri" w:hAnsi="Calibri" w:cs="Calibri"/>
          <w:szCs w:val="22"/>
        </w:rPr>
        <w:t>have</w:t>
      </w:r>
      <w:r w:rsidR="00156E3F">
        <w:rPr>
          <w:rFonts w:ascii="Calibri" w:eastAsia="Calibri" w:hAnsi="Calibri" w:cs="Calibri"/>
          <w:szCs w:val="22"/>
        </w:rPr>
        <w:t xml:space="preserve"> prov</w:t>
      </w:r>
      <w:r w:rsidR="002E79CB" w:rsidRPr="002E79CB">
        <w:rPr>
          <w:rFonts w:ascii="Calibri" w:eastAsia="Calibri" w:hAnsi="Calibri" w:cs="Calibri"/>
          <w:szCs w:val="22"/>
        </w:rPr>
        <w:t>i</w:t>
      </w:r>
      <w:r w:rsidR="00156E3F">
        <w:rPr>
          <w:rFonts w:ascii="Calibri" w:eastAsia="Calibri" w:hAnsi="Calibri" w:cs="Calibri"/>
          <w:szCs w:val="22"/>
        </w:rPr>
        <w:t>d</w:t>
      </w:r>
      <w:r w:rsidR="002E79CB" w:rsidRPr="002E79CB">
        <w:rPr>
          <w:rFonts w:ascii="Calibri" w:eastAsia="Calibri" w:hAnsi="Calibri" w:cs="Calibri"/>
          <w:szCs w:val="22"/>
        </w:rPr>
        <w:t xml:space="preserve">ed specialized gastroenterology care to the Southeastern Massachusetts region for over 30 years. </w:t>
      </w:r>
    </w:p>
    <w:p w14:paraId="5A025ACC" w14:textId="04524F82" w:rsidR="0031659C" w:rsidRDefault="0031659C" w:rsidP="4E2208F8">
      <w:pPr>
        <w:tabs>
          <w:tab w:val="left" w:pos="10080"/>
        </w:tabs>
        <w:rPr>
          <w:rFonts w:ascii="Calibri" w:eastAsia="Calibri" w:hAnsi="Calibri" w:cs="Calibri"/>
        </w:rPr>
      </w:pPr>
      <w:r w:rsidRPr="4E2208F8">
        <w:rPr>
          <w:rFonts w:ascii="Calibri" w:eastAsia="Calibri" w:hAnsi="Calibri" w:cs="Calibri"/>
        </w:rPr>
        <w:t xml:space="preserve">In May 2024, 5 </w:t>
      </w:r>
      <w:r w:rsidR="00D7168E" w:rsidRPr="4E2208F8">
        <w:rPr>
          <w:rFonts w:ascii="Calibri" w:eastAsia="Calibri" w:hAnsi="Calibri" w:cs="Calibri"/>
        </w:rPr>
        <w:t xml:space="preserve">additional </w:t>
      </w:r>
      <w:r w:rsidRPr="4E2208F8">
        <w:rPr>
          <w:rFonts w:ascii="Calibri" w:eastAsia="Calibri" w:hAnsi="Calibri" w:cs="Calibri"/>
        </w:rPr>
        <w:t xml:space="preserve">physicians began performing procedures at the </w:t>
      </w:r>
      <w:r w:rsidR="00B07B87" w:rsidRPr="4E2208F8">
        <w:rPr>
          <w:rFonts w:ascii="Calibri" w:eastAsia="Calibri" w:hAnsi="Calibri" w:cs="Calibri"/>
        </w:rPr>
        <w:t>f</w:t>
      </w:r>
      <w:r w:rsidRPr="4E2208F8">
        <w:rPr>
          <w:rFonts w:ascii="Calibri" w:eastAsia="Calibri" w:hAnsi="Calibri" w:cs="Calibri"/>
        </w:rPr>
        <w:t xml:space="preserve">acility, including the 3 “New Physicians” who may obtain a minority interest in the </w:t>
      </w:r>
      <w:r w:rsidR="006102FF" w:rsidRPr="4E2208F8">
        <w:rPr>
          <w:rFonts w:ascii="Calibri" w:eastAsia="Calibri" w:hAnsi="Calibri" w:cs="Calibri"/>
        </w:rPr>
        <w:t>p</w:t>
      </w:r>
      <w:r w:rsidRPr="4E2208F8">
        <w:rPr>
          <w:rFonts w:ascii="Calibri" w:eastAsia="Calibri" w:hAnsi="Calibri" w:cs="Calibri"/>
        </w:rPr>
        <w:t>ractice</w:t>
      </w:r>
      <w:r w:rsidR="003F627B" w:rsidRPr="4E2208F8">
        <w:rPr>
          <w:rFonts w:ascii="Calibri" w:eastAsia="Calibri" w:hAnsi="Calibri" w:cs="Calibri"/>
        </w:rPr>
        <w:t>; this change</w:t>
      </w:r>
      <w:r w:rsidR="006102FF" w:rsidRPr="4E2208F8">
        <w:rPr>
          <w:rFonts w:ascii="Calibri" w:eastAsia="Calibri" w:hAnsi="Calibri" w:cs="Calibri"/>
        </w:rPr>
        <w:t xml:space="preserve"> will not result in a change in control of the Applicant.</w:t>
      </w:r>
      <w:r w:rsidR="00D7168E" w:rsidRPr="4E2208F8">
        <w:rPr>
          <w:rFonts w:ascii="Calibri" w:eastAsia="Calibri" w:hAnsi="Calibri" w:cs="Calibri"/>
        </w:rPr>
        <w:t xml:space="preserve"> </w:t>
      </w:r>
    </w:p>
    <w:p w14:paraId="3BEE6982" w14:textId="77777777" w:rsidR="00147048" w:rsidRDefault="00147048" w:rsidP="002E79CB">
      <w:pPr>
        <w:tabs>
          <w:tab w:val="left" w:pos="10080"/>
        </w:tabs>
        <w:rPr>
          <w:rFonts w:ascii="Calibri" w:eastAsia="Calibri" w:hAnsi="Calibri" w:cs="Calibri"/>
          <w:szCs w:val="22"/>
        </w:rPr>
      </w:pPr>
    </w:p>
    <w:p w14:paraId="5E2F8AD7" w14:textId="77E89E2C" w:rsidR="00147048" w:rsidRPr="00147048" w:rsidRDefault="00147048" w:rsidP="03C54183">
      <w:pPr>
        <w:tabs>
          <w:tab w:val="left" w:pos="10080"/>
        </w:tabs>
        <w:rPr>
          <w:rFonts w:ascii="Calibri" w:eastAsia="Calibri" w:hAnsi="Calibri" w:cs="Calibri"/>
        </w:rPr>
      </w:pPr>
      <w:r w:rsidRPr="03C54183">
        <w:rPr>
          <w:rFonts w:ascii="Calibri" w:eastAsia="Calibri" w:hAnsi="Calibri" w:cs="Calibri"/>
        </w:rPr>
        <w:t xml:space="preserve">AMSURG jointly owns and manages over 250 ASCs across 34 states; it has 9 centers located in Massachusetts. It focuses on </w:t>
      </w:r>
      <w:r w:rsidR="00FF7EFB" w:rsidRPr="03C54183">
        <w:rPr>
          <w:rFonts w:ascii="Calibri" w:eastAsia="Calibri" w:hAnsi="Calibri" w:cs="Calibri"/>
        </w:rPr>
        <w:t>GI</w:t>
      </w:r>
      <w:r w:rsidRPr="03C54183">
        <w:rPr>
          <w:rFonts w:ascii="Calibri" w:eastAsia="Calibri" w:hAnsi="Calibri" w:cs="Calibri"/>
        </w:rPr>
        <w:t xml:space="preserve">, </w:t>
      </w:r>
      <w:r w:rsidR="002D3EF8" w:rsidRPr="03C54183">
        <w:rPr>
          <w:rFonts w:ascii="Calibri" w:eastAsia="Calibri" w:hAnsi="Calibri" w:cs="Calibri"/>
        </w:rPr>
        <w:t>o</w:t>
      </w:r>
      <w:r w:rsidRPr="03C54183">
        <w:rPr>
          <w:rFonts w:ascii="Calibri" w:eastAsia="Calibri" w:hAnsi="Calibri" w:cs="Calibri"/>
        </w:rPr>
        <w:t xml:space="preserve">phthalmology and </w:t>
      </w:r>
      <w:r w:rsidR="002D3EF8" w:rsidRPr="03C54183">
        <w:rPr>
          <w:rFonts w:ascii="Calibri" w:eastAsia="Calibri" w:hAnsi="Calibri" w:cs="Calibri"/>
        </w:rPr>
        <w:t>o</w:t>
      </w:r>
      <w:r w:rsidRPr="03C54183">
        <w:rPr>
          <w:rFonts w:ascii="Calibri" w:eastAsia="Calibri" w:hAnsi="Calibri" w:cs="Calibri"/>
        </w:rPr>
        <w:t>rthopedic surgery.</w:t>
      </w:r>
    </w:p>
    <w:p w14:paraId="2A24BB3B" w14:textId="77777777" w:rsidR="00147048" w:rsidRPr="002E79CB" w:rsidRDefault="00147048" w:rsidP="002E79CB">
      <w:pPr>
        <w:tabs>
          <w:tab w:val="left" w:pos="10080"/>
        </w:tabs>
        <w:rPr>
          <w:rFonts w:ascii="Calibri" w:eastAsia="Calibri" w:hAnsi="Calibri" w:cs="Calibri"/>
          <w:szCs w:val="22"/>
        </w:rPr>
      </w:pPr>
    </w:p>
    <w:p w14:paraId="63C2C4CE" w14:textId="77777777" w:rsidR="00CB0381" w:rsidRPr="00FA75CF" w:rsidRDefault="00CB0381" w:rsidP="002A51BD">
      <w:pPr>
        <w:tabs>
          <w:tab w:val="left" w:pos="10080"/>
        </w:tabs>
        <w:rPr>
          <w:rFonts w:ascii="Calibri" w:eastAsia="Calibri" w:hAnsi="Calibri" w:cs="Calibri"/>
          <w:b/>
          <w:bCs/>
          <w:szCs w:val="22"/>
        </w:rPr>
      </w:pPr>
      <w:r w:rsidRPr="00FA75CF">
        <w:rPr>
          <w:rFonts w:ascii="Calibri" w:eastAsia="Calibri" w:hAnsi="Calibri" w:cs="Calibri"/>
          <w:b/>
          <w:bCs/>
          <w:szCs w:val="22"/>
        </w:rPr>
        <w:t>The Proposed Project</w:t>
      </w:r>
    </w:p>
    <w:p w14:paraId="50E3F2CD" w14:textId="77777777" w:rsidR="00CB0381" w:rsidRPr="00CB0381" w:rsidRDefault="00CB0381" w:rsidP="002A51BD">
      <w:pPr>
        <w:tabs>
          <w:tab w:val="left" w:pos="10080"/>
        </w:tabs>
        <w:rPr>
          <w:rFonts w:ascii="Calibri" w:eastAsia="Calibri" w:hAnsi="Calibri" w:cs="Calibri"/>
          <w:szCs w:val="22"/>
        </w:rPr>
      </w:pPr>
    </w:p>
    <w:p w14:paraId="79740764" w14:textId="2376285D" w:rsidR="00092936" w:rsidRDefault="00B07B87" w:rsidP="4E2208F8">
      <w:pPr>
        <w:tabs>
          <w:tab w:val="left" w:pos="10080"/>
        </w:tabs>
        <w:rPr>
          <w:rFonts w:ascii="Calibri" w:eastAsia="Calibri" w:hAnsi="Calibri" w:cs="Calibri"/>
        </w:rPr>
      </w:pPr>
      <w:r w:rsidRPr="4E2208F8">
        <w:rPr>
          <w:rFonts w:ascii="Calibri" w:eastAsia="Calibri" w:hAnsi="Calibri" w:cs="Calibri"/>
        </w:rPr>
        <w:t xml:space="preserve">Through this </w:t>
      </w:r>
      <w:r w:rsidR="00D4607A" w:rsidRPr="4E2208F8">
        <w:rPr>
          <w:rFonts w:ascii="Calibri" w:eastAsia="Calibri" w:hAnsi="Calibri" w:cs="Calibri"/>
        </w:rPr>
        <w:t>Proposed Project</w:t>
      </w:r>
      <w:r w:rsidRPr="4E2208F8">
        <w:rPr>
          <w:rFonts w:ascii="Calibri" w:eastAsia="Calibri" w:hAnsi="Calibri" w:cs="Calibri"/>
        </w:rPr>
        <w:t>, t</w:t>
      </w:r>
      <w:r w:rsidR="00CB0381" w:rsidRPr="4E2208F8">
        <w:rPr>
          <w:rFonts w:ascii="Calibri" w:eastAsia="Calibri" w:hAnsi="Calibri" w:cs="Calibri"/>
        </w:rPr>
        <w:t>h</w:t>
      </w:r>
      <w:r w:rsidR="006A1FF3" w:rsidRPr="4E2208F8">
        <w:rPr>
          <w:rFonts w:ascii="Calibri" w:eastAsia="Calibri" w:hAnsi="Calibri" w:cs="Calibri"/>
        </w:rPr>
        <w:t>e</w:t>
      </w:r>
      <w:r w:rsidR="00CB0381" w:rsidRPr="4E2208F8">
        <w:rPr>
          <w:rFonts w:ascii="Calibri" w:eastAsia="Calibri" w:hAnsi="Calibri" w:cs="Calibri"/>
        </w:rPr>
        <w:t xml:space="preserve"> Applica</w:t>
      </w:r>
      <w:r w:rsidR="006A1FF3" w:rsidRPr="4E2208F8">
        <w:rPr>
          <w:rFonts w:ascii="Calibri" w:eastAsia="Calibri" w:hAnsi="Calibri" w:cs="Calibri"/>
        </w:rPr>
        <w:t>n</w:t>
      </w:r>
      <w:r w:rsidR="00CB0381" w:rsidRPr="4E2208F8">
        <w:rPr>
          <w:rFonts w:ascii="Calibri" w:eastAsia="Calibri" w:hAnsi="Calibri" w:cs="Calibri"/>
        </w:rPr>
        <w:t>t</w:t>
      </w:r>
      <w:r w:rsidR="001C08FC" w:rsidRPr="4E2208F8">
        <w:rPr>
          <w:rFonts w:ascii="Calibri" w:eastAsia="Calibri" w:hAnsi="Calibri" w:cs="Calibri"/>
        </w:rPr>
        <w:t xml:space="preserve"> is</w:t>
      </w:r>
      <w:r w:rsidR="00CB0381" w:rsidRPr="4E2208F8">
        <w:rPr>
          <w:rFonts w:ascii="Calibri" w:eastAsia="Calibri" w:hAnsi="Calibri" w:cs="Calibri"/>
        </w:rPr>
        <w:t xml:space="preserve"> </w:t>
      </w:r>
      <w:r w:rsidR="00D4607A" w:rsidRPr="4E2208F8">
        <w:rPr>
          <w:rFonts w:ascii="Calibri" w:eastAsia="Calibri" w:hAnsi="Calibri" w:cs="Calibri"/>
        </w:rPr>
        <w:t>request</w:t>
      </w:r>
      <w:r w:rsidR="006A1FF3" w:rsidRPr="4E2208F8">
        <w:rPr>
          <w:rFonts w:ascii="Calibri" w:eastAsia="Calibri" w:hAnsi="Calibri" w:cs="Calibri"/>
        </w:rPr>
        <w:t xml:space="preserve">ing </w:t>
      </w:r>
      <w:r w:rsidR="005B2BA4" w:rsidRPr="4E2208F8">
        <w:rPr>
          <w:rFonts w:ascii="Calibri" w:eastAsia="Calibri" w:hAnsi="Calibri" w:cs="Calibri"/>
        </w:rPr>
        <w:t xml:space="preserve">to expand </w:t>
      </w:r>
      <w:r w:rsidR="00087A9A" w:rsidRPr="4E2208F8">
        <w:rPr>
          <w:rFonts w:ascii="Calibri" w:eastAsia="Calibri" w:hAnsi="Calibri" w:cs="Calibri"/>
        </w:rPr>
        <w:t xml:space="preserve">ASC </w:t>
      </w:r>
      <w:r w:rsidR="005B2BA4" w:rsidRPr="4E2208F8">
        <w:rPr>
          <w:rFonts w:ascii="Calibri" w:eastAsia="Calibri" w:hAnsi="Calibri" w:cs="Calibri"/>
        </w:rPr>
        <w:t xml:space="preserve">services </w:t>
      </w:r>
      <w:r w:rsidR="00B200CA" w:rsidRPr="4E2208F8">
        <w:rPr>
          <w:rFonts w:ascii="Calibri" w:eastAsia="Calibri" w:hAnsi="Calibri" w:cs="Calibri"/>
        </w:rPr>
        <w:t>from two (2) to four (4) procedure rooms</w:t>
      </w:r>
      <w:r w:rsidR="005B3C08" w:rsidRPr="4E2208F8">
        <w:rPr>
          <w:rFonts w:ascii="Calibri" w:eastAsia="Calibri" w:hAnsi="Calibri" w:cs="Calibri"/>
        </w:rPr>
        <w:t xml:space="preserve"> and six (6) to </w:t>
      </w:r>
      <w:r w:rsidR="007E18A6" w:rsidRPr="4E2208F8">
        <w:rPr>
          <w:rFonts w:ascii="Calibri" w:eastAsia="Calibri" w:hAnsi="Calibri" w:cs="Calibri"/>
        </w:rPr>
        <w:t>twelve (12) pre-</w:t>
      </w:r>
      <w:r w:rsidR="000C1A34" w:rsidRPr="4E2208F8">
        <w:rPr>
          <w:rFonts w:ascii="Calibri" w:eastAsia="Calibri" w:hAnsi="Calibri" w:cs="Calibri"/>
        </w:rPr>
        <w:t xml:space="preserve">and </w:t>
      </w:r>
      <w:r w:rsidR="007E18A6" w:rsidRPr="4E2208F8">
        <w:rPr>
          <w:rFonts w:ascii="Calibri" w:eastAsia="Calibri" w:hAnsi="Calibri" w:cs="Calibri"/>
        </w:rPr>
        <w:t>post</w:t>
      </w:r>
      <w:r w:rsidR="000C1A34" w:rsidRPr="4E2208F8">
        <w:rPr>
          <w:rFonts w:ascii="Calibri" w:eastAsia="Calibri" w:hAnsi="Calibri" w:cs="Calibri"/>
        </w:rPr>
        <w:t>-</w:t>
      </w:r>
      <w:r w:rsidR="007E18A6" w:rsidRPr="4E2208F8">
        <w:rPr>
          <w:rFonts w:ascii="Calibri" w:eastAsia="Calibri" w:hAnsi="Calibri" w:cs="Calibri"/>
        </w:rPr>
        <w:t xml:space="preserve"> </w:t>
      </w:r>
      <w:r w:rsidR="000C1A34" w:rsidRPr="4E2208F8">
        <w:rPr>
          <w:rFonts w:ascii="Calibri" w:eastAsia="Calibri" w:hAnsi="Calibri" w:cs="Calibri"/>
        </w:rPr>
        <w:t xml:space="preserve">operative bays. </w:t>
      </w:r>
      <w:r w:rsidR="005D779E" w:rsidRPr="4E2208F8">
        <w:rPr>
          <w:rFonts w:ascii="Calibri" w:eastAsia="Calibri" w:hAnsi="Calibri" w:cs="Calibri"/>
        </w:rPr>
        <w:t xml:space="preserve">In order to </w:t>
      </w:r>
      <w:r w:rsidR="006A1FF3" w:rsidRPr="4E2208F8">
        <w:rPr>
          <w:rFonts w:ascii="Calibri" w:eastAsia="Calibri" w:hAnsi="Calibri" w:cs="Calibri"/>
        </w:rPr>
        <w:t>accomplish</w:t>
      </w:r>
      <w:r w:rsidR="005D779E" w:rsidRPr="4E2208F8">
        <w:rPr>
          <w:rFonts w:ascii="Calibri" w:eastAsia="Calibri" w:hAnsi="Calibri" w:cs="Calibri"/>
        </w:rPr>
        <w:t xml:space="preserve"> </w:t>
      </w:r>
      <w:r w:rsidR="00544862" w:rsidRPr="4E2208F8">
        <w:rPr>
          <w:rFonts w:ascii="Calibri" w:eastAsia="Calibri" w:hAnsi="Calibri" w:cs="Calibri"/>
        </w:rPr>
        <w:t xml:space="preserve">this expansion, </w:t>
      </w:r>
      <w:r w:rsidR="005D779E" w:rsidRPr="4E2208F8">
        <w:rPr>
          <w:rFonts w:ascii="Calibri" w:eastAsia="Calibri" w:hAnsi="Calibri" w:cs="Calibri"/>
        </w:rPr>
        <w:t>the Applicant must relocate</w:t>
      </w:r>
      <w:r w:rsidR="53632444" w:rsidRPr="4E2208F8">
        <w:rPr>
          <w:rFonts w:ascii="Calibri" w:eastAsia="Calibri" w:hAnsi="Calibri" w:cs="Calibri"/>
        </w:rPr>
        <w:t xml:space="preserve"> </w:t>
      </w:r>
      <w:r w:rsidR="000B6149" w:rsidRPr="4E2208F8">
        <w:rPr>
          <w:rFonts w:ascii="Calibri" w:eastAsia="Calibri" w:hAnsi="Calibri" w:cs="Calibri"/>
        </w:rPr>
        <w:t>from 120 West Center Street</w:t>
      </w:r>
      <w:r w:rsidR="101820C3" w:rsidRPr="4E2208F8">
        <w:rPr>
          <w:rFonts w:ascii="Calibri" w:eastAsia="Calibri" w:hAnsi="Calibri" w:cs="Calibri"/>
        </w:rPr>
        <w:t>.</w:t>
      </w:r>
      <w:r w:rsidR="000B6149" w:rsidRPr="4E2208F8">
        <w:rPr>
          <w:rFonts w:ascii="Calibri" w:eastAsia="Calibri" w:hAnsi="Calibri" w:cs="Calibri"/>
        </w:rPr>
        <w:t xml:space="preserve"> </w:t>
      </w:r>
      <w:r w:rsidR="7C7626BC" w:rsidRPr="4E2208F8">
        <w:rPr>
          <w:rFonts w:ascii="Calibri" w:eastAsia="Calibri" w:hAnsi="Calibri" w:cs="Calibri"/>
        </w:rPr>
        <w:t xml:space="preserve">The </w:t>
      </w:r>
      <w:r w:rsidR="168B1345" w:rsidRPr="4E2208F8">
        <w:rPr>
          <w:rFonts w:ascii="Calibri" w:eastAsia="Calibri" w:hAnsi="Calibri" w:cs="Calibri"/>
        </w:rPr>
        <w:t>A</w:t>
      </w:r>
      <w:r w:rsidR="7C7626BC" w:rsidRPr="4E2208F8">
        <w:rPr>
          <w:rFonts w:ascii="Calibri" w:eastAsia="Calibri" w:hAnsi="Calibri" w:cs="Calibri"/>
        </w:rPr>
        <w:t xml:space="preserve">pplicant does not anticipate </w:t>
      </w:r>
      <w:r w:rsidR="0EA4E77D" w:rsidRPr="4E2208F8">
        <w:rPr>
          <w:rFonts w:ascii="Calibri" w:eastAsia="Calibri" w:hAnsi="Calibri" w:cs="Calibri"/>
        </w:rPr>
        <w:t>changes to</w:t>
      </w:r>
      <w:r w:rsidR="04C00A86" w:rsidRPr="4E2208F8">
        <w:rPr>
          <w:rFonts w:ascii="Calibri" w:eastAsia="Calibri" w:hAnsi="Calibri" w:cs="Calibri"/>
        </w:rPr>
        <w:t xml:space="preserve"> its Patient Panel </w:t>
      </w:r>
      <w:r w:rsidR="1C4CA791" w:rsidRPr="4E2208F8">
        <w:rPr>
          <w:rFonts w:ascii="Calibri" w:eastAsia="Calibri" w:hAnsi="Calibri" w:cs="Calibri"/>
        </w:rPr>
        <w:t>because the o</w:t>
      </w:r>
      <w:r w:rsidR="4D83814A" w:rsidRPr="4E2208F8">
        <w:rPr>
          <w:rFonts w:ascii="Calibri" w:eastAsia="Calibri" w:hAnsi="Calibri" w:cs="Calibri"/>
        </w:rPr>
        <w:t>f</w:t>
      </w:r>
      <w:r w:rsidR="6DE0A6CE" w:rsidRPr="4E2208F8">
        <w:rPr>
          <w:rFonts w:ascii="Calibri" w:eastAsia="Calibri" w:hAnsi="Calibri" w:cs="Calibri"/>
        </w:rPr>
        <w:t>f</w:t>
      </w:r>
      <w:r w:rsidR="4D83814A" w:rsidRPr="4E2208F8">
        <w:rPr>
          <w:rFonts w:ascii="Calibri" w:eastAsia="Calibri" w:hAnsi="Calibri" w:cs="Calibri"/>
        </w:rPr>
        <w:t xml:space="preserve">ices of the referring physicians will not </w:t>
      </w:r>
      <w:proofErr w:type="gramStart"/>
      <w:r w:rsidR="4D83814A" w:rsidRPr="4E2208F8">
        <w:rPr>
          <w:rFonts w:ascii="Calibri" w:eastAsia="Calibri" w:hAnsi="Calibri" w:cs="Calibri"/>
        </w:rPr>
        <w:t>change</w:t>
      </w:r>
      <w:proofErr w:type="gramEnd"/>
      <w:r w:rsidR="4D83814A" w:rsidRPr="4E2208F8">
        <w:rPr>
          <w:rFonts w:ascii="Calibri" w:eastAsia="Calibri" w:hAnsi="Calibri" w:cs="Calibri"/>
        </w:rPr>
        <w:t xml:space="preserve"> nor will </w:t>
      </w:r>
      <w:r w:rsidR="04C00A86" w:rsidRPr="4E2208F8">
        <w:rPr>
          <w:rFonts w:ascii="Calibri" w:eastAsia="Calibri" w:hAnsi="Calibri" w:cs="Calibri"/>
        </w:rPr>
        <w:t xml:space="preserve">the site of </w:t>
      </w:r>
      <w:r w:rsidR="745D8348" w:rsidRPr="4E2208F8">
        <w:rPr>
          <w:rFonts w:ascii="Calibri" w:eastAsia="Calibri" w:hAnsi="Calibri" w:cs="Calibri"/>
        </w:rPr>
        <w:t>its</w:t>
      </w:r>
      <w:r w:rsidR="04C00A86" w:rsidRPr="4E2208F8">
        <w:rPr>
          <w:rFonts w:ascii="Calibri" w:eastAsia="Calibri" w:hAnsi="Calibri" w:cs="Calibri"/>
        </w:rPr>
        <w:t xml:space="preserve"> </w:t>
      </w:r>
      <w:r w:rsidR="49C70E96" w:rsidRPr="4E2208F8">
        <w:rPr>
          <w:rFonts w:ascii="Calibri" w:eastAsia="Calibri" w:hAnsi="Calibri" w:cs="Calibri"/>
        </w:rPr>
        <w:t xml:space="preserve">partner </w:t>
      </w:r>
      <w:r w:rsidR="04C00A86" w:rsidRPr="4E2208F8">
        <w:rPr>
          <w:rFonts w:ascii="Calibri" w:eastAsia="Calibri" w:hAnsi="Calibri" w:cs="Calibri"/>
        </w:rPr>
        <w:t>physician</w:t>
      </w:r>
      <w:r w:rsidR="13F0D702" w:rsidRPr="4E2208F8">
        <w:rPr>
          <w:rFonts w:ascii="Calibri" w:eastAsia="Calibri" w:hAnsi="Calibri" w:cs="Calibri"/>
        </w:rPr>
        <w:t>’s</w:t>
      </w:r>
      <w:r w:rsidR="04C00A86" w:rsidRPr="4E2208F8">
        <w:rPr>
          <w:rFonts w:ascii="Calibri" w:eastAsia="Calibri" w:hAnsi="Calibri" w:cs="Calibri"/>
        </w:rPr>
        <w:t xml:space="preserve"> pra</w:t>
      </w:r>
      <w:r w:rsidR="3142EE50" w:rsidRPr="4E2208F8">
        <w:rPr>
          <w:rFonts w:ascii="Calibri" w:eastAsia="Calibri" w:hAnsi="Calibri" w:cs="Calibri"/>
        </w:rPr>
        <w:t xml:space="preserve">ctices </w:t>
      </w:r>
      <w:r w:rsidR="0FBA2BD0" w:rsidRPr="4E2208F8">
        <w:rPr>
          <w:rFonts w:ascii="Calibri" w:eastAsia="Calibri" w:hAnsi="Calibri" w:cs="Calibri"/>
        </w:rPr>
        <w:t>change</w:t>
      </w:r>
      <w:r w:rsidR="273CED75" w:rsidRPr="4E2208F8">
        <w:rPr>
          <w:rFonts w:ascii="Calibri" w:eastAsia="Calibri" w:hAnsi="Calibri" w:cs="Calibri"/>
        </w:rPr>
        <w:t>.</w:t>
      </w:r>
      <w:r w:rsidRPr="4E2208F8">
        <w:rPr>
          <w:rStyle w:val="FootnoteReference"/>
          <w:rFonts w:ascii="Calibri" w:eastAsia="Calibri" w:hAnsi="Calibri" w:cs="Calibri"/>
        </w:rPr>
        <w:footnoteReference w:id="4"/>
      </w:r>
    </w:p>
    <w:p w14:paraId="5EF7EEC6" w14:textId="77777777" w:rsidR="00362856" w:rsidRDefault="00362856" w:rsidP="002A51BD">
      <w:pPr>
        <w:tabs>
          <w:tab w:val="left" w:pos="10080"/>
        </w:tabs>
        <w:rPr>
          <w:rFonts w:ascii="Calibri" w:eastAsia="Calibri" w:hAnsi="Calibri" w:cs="Calibri"/>
          <w:szCs w:val="22"/>
        </w:rPr>
      </w:pPr>
    </w:p>
    <w:p w14:paraId="73FCA063" w14:textId="50ACD30A" w:rsidR="001E0969" w:rsidRDefault="00362856" w:rsidP="00CC5451">
      <w:pPr>
        <w:tabs>
          <w:tab w:val="left" w:pos="10080"/>
        </w:tabs>
        <w:spacing w:after="240"/>
        <w:rPr>
          <w:rFonts w:cstheme="minorBidi"/>
        </w:rPr>
      </w:pPr>
      <w:r w:rsidRPr="03C54183">
        <w:rPr>
          <w:rFonts w:ascii="Calibri" w:eastAsia="Calibri" w:hAnsi="Calibri" w:cs="Calibri"/>
        </w:rPr>
        <w:t xml:space="preserve">As described herein, the Applicant states the Proposed Project has been developed to respond to increased </w:t>
      </w:r>
      <w:r w:rsidR="00544862" w:rsidRPr="03C54183">
        <w:rPr>
          <w:rFonts w:ascii="Calibri" w:eastAsia="Calibri" w:hAnsi="Calibri" w:cs="Calibri"/>
        </w:rPr>
        <w:t xml:space="preserve">need </w:t>
      </w:r>
      <w:r w:rsidRPr="03C54183">
        <w:rPr>
          <w:rFonts w:ascii="Calibri" w:eastAsia="Calibri" w:hAnsi="Calibri" w:cs="Calibri"/>
        </w:rPr>
        <w:t xml:space="preserve">due to </w:t>
      </w:r>
      <w:r w:rsidR="00F26E36" w:rsidRPr="03C54183">
        <w:rPr>
          <w:rFonts w:ascii="Calibri" w:eastAsia="Calibri" w:hAnsi="Calibri" w:cs="Calibri"/>
        </w:rPr>
        <w:t xml:space="preserve">(1) </w:t>
      </w:r>
      <w:r w:rsidRPr="03C54183">
        <w:rPr>
          <w:rFonts w:ascii="Calibri" w:eastAsia="Calibri" w:hAnsi="Calibri" w:cs="Calibri"/>
        </w:rPr>
        <w:t>the national shift in GI care from hospital-based outpatient departments (“HOPDs”) to ASCs</w:t>
      </w:r>
      <w:r w:rsidR="00D124F4" w:rsidRPr="03C54183">
        <w:rPr>
          <w:rFonts w:ascii="Calibri" w:eastAsia="Calibri" w:hAnsi="Calibri" w:cs="Calibri"/>
        </w:rPr>
        <w:t xml:space="preserve">, </w:t>
      </w:r>
      <w:r w:rsidR="00F26E36" w:rsidRPr="03C54183">
        <w:rPr>
          <w:rFonts w:ascii="Calibri" w:eastAsia="Calibri" w:hAnsi="Calibri" w:cs="Calibri"/>
        </w:rPr>
        <w:t xml:space="preserve">(2) </w:t>
      </w:r>
      <w:r w:rsidR="00544862" w:rsidRPr="03C54183">
        <w:rPr>
          <w:rFonts w:ascii="Calibri" w:eastAsia="Calibri" w:hAnsi="Calibri" w:cs="Calibri"/>
        </w:rPr>
        <w:t>changes in the incidence of GI diseases and</w:t>
      </w:r>
      <w:r w:rsidR="00F26E36" w:rsidRPr="03C54183">
        <w:rPr>
          <w:rFonts w:ascii="Calibri" w:eastAsia="Calibri" w:hAnsi="Calibri" w:cs="Calibri"/>
        </w:rPr>
        <w:t xml:space="preserve"> (3)</w:t>
      </w:r>
      <w:r w:rsidR="00D124F4" w:rsidRPr="03C54183">
        <w:rPr>
          <w:rFonts w:ascii="Calibri" w:eastAsia="Calibri" w:hAnsi="Calibri" w:cs="Calibri"/>
        </w:rPr>
        <w:t xml:space="preserve"> </w:t>
      </w:r>
      <w:r w:rsidR="00544862" w:rsidRPr="03C54183">
        <w:rPr>
          <w:rFonts w:ascii="Calibri" w:eastAsia="Calibri" w:hAnsi="Calibri" w:cs="Calibri"/>
        </w:rPr>
        <w:t>the aging population.</w:t>
      </w:r>
      <w:r w:rsidRPr="03C54183">
        <w:rPr>
          <w:rFonts w:ascii="Calibri" w:eastAsia="Calibri" w:hAnsi="Calibri" w:cs="Calibri"/>
        </w:rPr>
        <w:t xml:space="preserve"> Accordingly, the Applicant states that by increasing access within the service area, the Proposed Project will reduce costs for patients, commercial and government payers. </w:t>
      </w:r>
      <w:bookmarkStart w:id="16" w:name="_Toc157428826"/>
      <w:bookmarkStart w:id="17" w:name="_Toc17151135"/>
      <w:bookmarkStart w:id="18" w:name="_Toc17731308"/>
      <w:bookmarkStart w:id="19" w:name="_Toc18420176"/>
      <w:bookmarkStart w:id="20" w:name="_Toc18922397"/>
      <w:bookmarkStart w:id="21" w:name="_Toc27567690"/>
      <w:bookmarkStart w:id="22" w:name="_Toc17151137"/>
    </w:p>
    <w:p w14:paraId="1B925C85" w14:textId="520063AC" w:rsidR="00D53BE5" w:rsidRPr="002A51BD" w:rsidRDefault="00CE4434" w:rsidP="4E2208F8">
      <w:pPr>
        <w:pStyle w:val="Heading1"/>
        <w:spacing w:before="0"/>
        <w:rPr>
          <w:rStyle w:val="FootnoteReference"/>
          <w:rFonts w:asciiTheme="minorHAnsi" w:hAnsiTheme="minorHAnsi" w:cstheme="minorBidi"/>
        </w:rPr>
      </w:pPr>
      <w:bookmarkStart w:id="23" w:name="_Toc187325894"/>
      <w:r w:rsidRPr="4E2208F8">
        <w:rPr>
          <w:rFonts w:asciiTheme="minorHAnsi" w:hAnsiTheme="minorHAnsi" w:cstheme="minorBidi"/>
        </w:rPr>
        <w:t>Pa</w:t>
      </w:r>
      <w:r w:rsidR="0060259B" w:rsidRPr="4E2208F8">
        <w:rPr>
          <w:rFonts w:asciiTheme="minorHAnsi" w:hAnsiTheme="minorHAnsi" w:cstheme="minorBidi"/>
        </w:rPr>
        <w:t>tient Panel</w:t>
      </w:r>
      <w:r w:rsidR="0060259B" w:rsidRPr="4E2208F8">
        <w:rPr>
          <w:rFonts w:asciiTheme="minorHAnsi" w:hAnsiTheme="minorHAnsi" w:cstheme="minorBidi"/>
          <w:vertAlign w:val="superscript"/>
        </w:rPr>
        <w:footnoteReference w:id="5"/>
      </w:r>
      <w:bookmarkEnd w:id="16"/>
      <w:bookmarkEnd w:id="23"/>
    </w:p>
    <w:p w14:paraId="6B33F462" w14:textId="77777777" w:rsidR="00D94FF1" w:rsidRDefault="00D94FF1" w:rsidP="00D94FF1">
      <w:pPr>
        <w:rPr>
          <w:rFonts w:ascii="Calibri" w:eastAsia="Aptos" w:hAnsi="Calibri" w:cs="Calibri"/>
        </w:rPr>
      </w:pPr>
    </w:p>
    <w:p w14:paraId="7F376818" w14:textId="51C0A348" w:rsidR="00D94FF1" w:rsidRPr="00D94FF1" w:rsidRDefault="00D94FF1" w:rsidP="00D94FF1">
      <w:pPr>
        <w:rPr>
          <w:rFonts w:ascii="Calibri" w:eastAsia="Aptos" w:hAnsi="Calibri" w:cs="Calibri"/>
        </w:rPr>
      </w:pPr>
      <w:r w:rsidRPr="03C54183">
        <w:rPr>
          <w:rFonts w:ascii="Calibri" w:eastAsia="Aptos" w:hAnsi="Calibri" w:cs="Calibri"/>
        </w:rPr>
        <w:lastRenderedPageBreak/>
        <w:t>The Applicant’s Patient Panel, shown in Table 1, consists of unique patients who have received care at the Applicant</w:t>
      </w:r>
      <w:r w:rsidR="0055462C" w:rsidRPr="03C54183">
        <w:rPr>
          <w:rFonts w:ascii="Calibri" w:eastAsia="Aptos" w:hAnsi="Calibri" w:cs="Calibri"/>
        </w:rPr>
        <w:t>’</w:t>
      </w:r>
      <w:r w:rsidRPr="03C54183">
        <w:rPr>
          <w:rFonts w:ascii="Calibri" w:eastAsia="Aptos" w:hAnsi="Calibri" w:cs="Calibri"/>
        </w:rPr>
        <w:t>s facility over the last three fiscal years and annualized data for nine months of fiscal year 2024. From FY 2021 and through 2024, the Patient Panel has grown 13.8%.</w:t>
      </w:r>
    </w:p>
    <w:p w14:paraId="63486383" w14:textId="012A88DA" w:rsidR="00D94FF1" w:rsidRPr="00D94FF1" w:rsidRDefault="00D94FF1" w:rsidP="00D94FF1">
      <w:pPr>
        <w:spacing w:after="160"/>
        <w:jc w:val="center"/>
        <w:rPr>
          <w:rFonts w:ascii="Calibri" w:eastAsia="Aptos" w:hAnsi="Calibri" w:cs="Calibri"/>
        </w:rPr>
      </w:pPr>
      <w:r w:rsidRPr="00D94FF1">
        <w:rPr>
          <w:rFonts w:ascii="Calibri" w:eastAsia="Aptos" w:hAnsi="Calibri" w:cs="Calibri"/>
          <w:b/>
          <w:bCs/>
        </w:rPr>
        <w:t>Table 1:</w:t>
      </w:r>
      <w:r w:rsidRPr="00D94FF1">
        <w:rPr>
          <w:rFonts w:ascii="Calibri" w:eastAsia="Aptos" w:hAnsi="Calibri" w:cs="Calibri"/>
        </w:rPr>
        <w:t xml:space="preserve"> </w:t>
      </w:r>
      <w:r w:rsidRPr="00D94FF1">
        <w:rPr>
          <w:rFonts w:ascii="Calibri" w:eastAsia="Aptos" w:hAnsi="Calibri" w:cs="Calibri"/>
          <w:b/>
          <w:bCs/>
        </w:rPr>
        <w:t>Overview of Patient Panel- FY21-FY24 (Annualized)</w:t>
      </w:r>
    </w:p>
    <w:tbl>
      <w:tblPr>
        <w:tblW w:w="4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1020"/>
        <w:gridCol w:w="1020"/>
        <w:gridCol w:w="1440"/>
      </w:tblGrid>
      <w:tr w:rsidR="00D94FF1" w:rsidRPr="00D94FF1" w14:paraId="5C468080" w14:textId="77777777" w:rsidTr="00081851">
        <w:trPr>
          <w:cantSplit/>
          <w:trHeight w:val="290"/>
          <w:tblHeader/>
          <w:jc w:val="center"/>
        </w:trPr>
        <w:tc>
          <w:tcPr>
            <w:tcW w:w="1020" w:type="dxa"/>
            <w:shd w:val="clear" w:color="auto" w:fill="DDFFFF"/>
            <w:noWrap/>
            <w:vAlign w:val="center"/>
            <w:hideMark/>
          </w:tcPr>
          <w:p w14:paraId="6B1E8EE6" w14:textId="77777777" w:rsidR="00D94FF1" w:rsidRPr="00D94FF1" w:rsidRDefault="00D94FF1" w:rsidP="00D94FF1">
            <w:pPr>
              <w:jc w:val="center"/>
              <w:rPr>
                <w:rFonts w:ascii="Calibri" w:eastAsia="Times New Roman" w:hAnsi="Calibri" w:cs="Calibri"/>
                <w:b/>
                <w:bCs/>
                <w:color w:val="000000"/>
              </w:rPr>
            </w:pPr>
            <w:r w:rsidRPr="00D94FF1">
              <w:rPr>
                <w:rFonts w:ascii="Calibri" w:eastAsia="Times New Roman" w:hAnsi="Calibri" w:cs="Calibri"/>
                <w:b/>
                <w:bCs/>
                <w:color w:val="000000"/>
              </w:rPr>
              <w:t>2021</w:t>
            </w:r>
          </w:p>
        </w:tc>
        <w:tc>
          <w:tcPr>
            <w:tcW w:w="1020" w:type="dxa"/>
            <w:shd w:val="clear" w:color="auto" w:fill="DDFFFF"/>
            <w:noWrap/>
            <w:vAlign w:val="center"/>
            <w:hideMark/>
          </w:tcPr>
          <w:p w14:paraId="0E5D067E" w14:textId="77777777" w:rsidR="00D94FF1" w:rsidRPr="00D94FF1" w:rsidRDefault="00D94FF1" w:rsidP="00D94FF1">
            <w:pPr>
              <w:jc w:val="center"/>
              <w:rPr>
                <w:rFonts w:ascii="Calibri" w:eastAsia="Times New Roman" w:hAnsi="Calibri" w:cs="Calibri"/>
                <w:b/>
                <w:bCs/>
                <w:color w:val="000000"/>
              </w:rPr>
            </w:pPr>
            <w:r w:rsidRPr="00D94FF1">
              <w:rPr>
                <w:rFonts w:ascii="Calibri" w:eastAsia="Times New Roman" w:hAnsi="Calibri" w:cs="Calibri"/>
                <w:b/>
                <w:bCs/>
                <w:color w:val="000000"/>
              </w:rPr>
              <w:t>2022</w:t>
            </w:r>
          </w:p>
        </w:tc>
        <w:tc>
          <w:tcPr>
            <w:tcW w:w="1020" w:type="dxa"/>
            <w:shd w:val="clear" w:color="auto" w:fill="DDFFFF"/>
            <w:noWrap/>
            <w:vAlign w:val="center"/>
            <w:hideMark/>
          </w:tcPr>
          <w:p w14:paraId="21CEC9D8" w14:textId="77777777" w:rsidR="00D94FF1" w:rsidRPr="00D94FF1" w:rsidRDefault="00D94FF1" w:rsidP="00D94FF1">
            <w:pPr>
              <w:jc w:val="center"/>
              <w:rPr>
                <w:rFonts w:ascii="Calibri" w:eastAsia="Times New Roman" w:hAnsi="Calibri" w:cs="Calibri"/>
                <w:b/>
                <w:bCs/>
                <w:color w:val="000000"/>
              </w:rPr>
            </w:pPr>
            <w:r w:rsidRPr="00D94FF1">
              <w:rPr>
                <w:rFonts w:ascii="Calibri" w:eastAsia="Times New Roman" w:hAnsi="Calibri" w:cs="Calibri"/>
                <w:b/>
                <w:bCs/>
                <w:color w:val="000000"/>
              </w:rPr>
              <w:t>2023</w:t>
            </w:r>
          </w:p>
        </w:tc>
        <w:tc>
          <w:tcPr>
            <w:tcW w:w="1440" w:type="dxa"/>
            <w:shd w:val="clear" w:color="auto" w:fill="DDFFFF"/>
            <w:noWrap/>
            <w:vAlign w:val="center"/>
            <w:hideMark/>
          </w:tcPr>
          <w:p w14:paraId="1522348B" w14:textId="77777777" w:rsidR="00D94FF1" w:rsidRPr="00D94FF1" w:rsidRDefault="00D94FF1" w:rsidP="00D94FF1">
            <w:pPr>
              <w:jc w:val="center"/>
              <w:rPr>
                <w:rFonts w:ascii="Calibri" w:eastAsia="Times New Roman" w:hAnsi="Calibri" w:cs="Calibri"/>
                <w:b/>
                <w:bCs/>
                <w:color w:val="000000"/>
              </w:rPr>
            </w:pPr>
            <w:r w:rsidRPr="00D94FF1">
              <w:rPr>
                <w:rFonts w:ascii="Calibri" w:eastAsia="Times New Roman" w:hAnsi="Calibri" w:cs="Calibri"/>
                <w:b/>
                <w:bCs/>
                <w:color w:val="000000"/>
              </w:rPr>
              <w:t>1-9 2024</w:t>
            </w:r>
          </w:p>
        </w:tc>
      </w:tr>
      <w:tr w:rsidR="00D94FF1" w:rsidRPr="00D94FF1" w14:paraId="1B8A62E4" w14:textId="77777777" w:rsidTr="00081851">
        <w:trPr>
          <w:cantSplit/>
          <w:trHeight w:val="290"/>
          <w:tblHeader/>
          <w:jc w:val="center"/>
        </w:trPr>
        <w:tc>
          <w:tcPr>
            <w:tcW w:w="1020" w:type="dxa"/>
            <w:shd w:val="clear" w:color="auto" w:fill="DDFFFF"/>
            <w:noWrap/>
            <w:vAlign w:val="center"/>
            <w:hideMark/>
          </w:tcPr>
          <w:p w14:paraId="17BC9DB2" w14:textId="77777777" w:rsidR="00D94FF1" w:rsidRPr="00D94FF1" w:rsidRDefault="00D94FF1" w:rsidP="00D94FF1">
            <w:pPr>
              <w:jc w:val="center"/>
              <w:rPr>
                <w:rFonts w:ascii="Calibri" w:eastAsia="Times New Roman" w:hAnsi="Calibri" w:cs="Calibri"/>
                <w:b/>
                <w:bCs/>
                <w:color w:val="000000"/>
              </w:rPr>
            </w:pPr>
            <w:r w:rsidRPr="00D94FF1">
              <w:rPr>
                <w:rFonts w:ascii="Calibri" w:eastAsia="Times New Roman" w:hAnsi="Calibri" w:cs="Calibri"/>
                <w:b/>
                <w:bCs/>
              </w:rPr>
              <w:t>#</w:t>
            </w:r>
          </w:p>
        </w:tc>
        <w:tc>
          <w:tcPr>
            <w:tcW w:w="1020" w:type="dxa"/>
            <w:shd w:val="clear" w:color="auto" w:fill="DDFFFF"/>
            <w:noWrap/>
            <w:vAlign w:val="center"/>
            <w:hideMark/>
          </w:tcPr>
          <w:p w14:paraId="39FA7E6C" w14:textId="77777777" w:rsidR="00D94FF1" w:rsidRPr="00D94FF1" w:rsidRDefault="00D94FF1" w:rsidP="00D94FF1">
            <w:pPr>
              <w:jc w:val="center"/>
              <w:rPr>
                <w:rFonts w:ascii="Calibri" w:eastAsia="Times New Roman" w:hAnsi="Calibri" w:cs="Calibri"/>
                <w:b/>
                <w:bCs/>
                <w:color w:val="000000"/>
              </w:rPr>
            </w:pPr>
            <w:r w:rsidRPr="00D94FF1">
              <w:rPr>
                <w:rFonts w:ascii="Calibri" w:eastAsia="Times New Roman" w:hAnsi="Calibri" w:cs="Calibri"/>
                <w:b/>
                <w:bCs/>
              </w:rPr>
              <w:t xml:space="preserve"># </w:t>
            </w:r>
          </w:p>
        </w:tc>
        <w:tc>
          <w:tcPr>
            <w:tcW w:w="1020" w:type="dxa"/>
            <w:shd w:val="clear" w:color="auto" w:fill="DDFFFF"/>
            <w:noWrap/>
            <w:vAlign w:val="center"/>
            <w:hideMark/>
          </w:tcPr>
          <w:p w14:paraId="59D0B705" w14:textId="77777777" w:rsidR="00D94FF1" w:rsidRPr="00D94FF1" w:rsidRDefault="00D94FF1" w:rsidP="00D94FF1">
            <w:pPr>
              <w:jc w:val="center"/>
              <w:rPr>
                <w:rFonts w:ascii="Calibri" w:eastAsia="Times New Roman" w:hAnsi="Calibri" w:cs="Calibri"/>
                <w:b/>
                <w:bCs/>
                <w:color w:val="000000"/>
              </w:rPr>
            </w:pPr>
            <w:r w:rsidRPr="00D94FF1">
              <w:rPr>
                <w:rFonts w:ascii="Calibri" w:eastAsia="Times New Roman" w:hAnsi="Calibri" w:cs="Calibri"/>
                <w:b/>
                <w:bCs/>
              </w:rPr>
              <w:t xml:space="preserve"># </w:t>
            </w:r>
          </w:p>
        </w:tc>
        <w:tc>
          <w:tcPr>
            <w:tcW w:w="1440" w:type="dxa"/>
            <w:shd w:val="clear" w:color="auto" w:fill="DDFFFF"/>
            <w:noWrap/>
            <w:vAlign w:val="center"/>
            <w:hideMark/>
          </w:tcPr>
          <w:p w14:paraId="370A2717" w14:textId="77777777" w:rsidR="00D94FF1" w:rsidRPr="00D94FF1" w:rsidRDefault="00D94FF1" w:rsidP="00D94FF1">
            <w:pPr>
              <w:jc w:val="center"/>
              <w:rPr>
                <w:rFonts w:ascii="Calibri" w:eastAsia="Times New Roman" w:hAnsi="Calibri" w:cs="Calibri"/>
                <w:b/>
                <w:bCs/>
                <w:color w:val="000000"/>
              </w:rPr>
            </w:pPr>
            <w:r w:rsidRPr="00D94FF1">
              <w:rPr>
                <w:rFonts w:ascii="Calibri" w:eastAsia="Times New Roman" w:hAnsi="Calibri" w:cs="Calibri"/>
                <w:b/>
                <w:bCs/>
                <w:color w:val="000000"/>
              </w:rPr>
              <w:t>Annualized</w:t>
            </w:r>
          </w:p>
        </w:tc>
      </w:tr>
      <w:tr w:rsidR="00D94FF1" w:rsidRPr="00D94FF1" w14:paraId="1DD032A7" w14:textId="77777777" w:rsidTr="00081851">
        <w:trPr>
          <w:cantSplit/>
          <w:trHeight w:val="290"/>
          <w:jc w:val="center"/>
        </w:trPr>
        <w:tc>
          <w:tcPr>
            <w:tcW w:w="1020" w:type="dxa"/>
            <w:shd w:val="clear" w:color="auto" w:fill="auto"/>
            <w:noWrap/>
            <w:vAlign w:val="center"/>
            <w:hideMark/>
          </w:tcPr>
          <w:p w14:paraId="27008DE3" w14:textId="77777777" w:rsidR="00D94FF1" w:rsidRPr="00D94FF1" w:rsidRDefault="00D94FF1" w:rsidP="00D94FF1">
            <w:pPr>
              <w:jc w:val="right"/>
              <w:rPr>
                <w:rFonts w:ascii="Calibri" w:eastAsia="Times New Roman" w:hAnsi="Calibri" w:cs="Calibri"/>
                <w:color w:val="000000"/>
              </w:rPr>
            </w:pPr>
            <w:r w:rsidRPr="00D94FF1">
              <w:rPr>
                <w:rFonts w:ascii="Calibri" w:eastAsia="Times New Roman" w:hAnsi="Calibri" w:cs="Calibri"/>
                <w:color w:val="000000"/>
              </w:rPr>
              <w:t xml:space="preserve">5,345 </w:t>
            </w:r>
          </w:p>
        </w:tc>
        <w:tc>
          <w:tcPr>
            <w:tcW w:w="1020" w:type="dxa"/>
            <w:shd w:val="clear" w:color="auto" w:fill="auto"/>
            <w:noWrap/>
            <w:vAlign w:val="center"/>
            <w:hideMark/>
          </w:tcPr>
          <w:p w14:paraId="5B4FF4C3" w14:textId="77777777" w:rsidR="00D94FF1" w:rsidRPr="00D94FF1" w:rsidRDefault="00D94FF1" w:rsidP="00D94FF1">
            <w:pPr>
              <w:jc w:val="right"/>
              <w:rPr>
                <w:rFonts w:ascii="Calibri" w:eastAsia="Times New Roman" w:hAnsi="Calibri" w:cs="Calibri"/>
                <w:color w:val="000000"/>
              </w:rPr>
            </w:pPr>
            <w:r w:rsidRPr="00D94FF1">
              <w:rPr>
                <w:rFonts w:ascii="Calibri" w:eastAsia="Times New Roman" w:hAnsi="Calibri" w:cs="Calibri"/>
                <w:color w:val="000000"/>
              </w:rPr>
              <w:t xml:space="preserve">5,198 </w:t>
            </w:r>
          </w:p>
        </w:tc>
        <w:tc>
          <w:tcPr>
            <w:tcW w:w="1020" w:type="dxa"/>
            <w:shd w:val="clear" w:color="auto" w:fill="auto"/>
            <w:noWrap/>
            <w:vAlign w:val="center"/>
            <w:hideMark/>
          </w:tcPr>
          <w:p w14:paraId="256DB8A1" w14:textId="77777777" w:rsidR="00D94FF1" w:rsidRPr="00D94FF1" w:rsidRDefault="00D94FF1" w:rsidP="00D94FF1">
            <w:pPr>
              <w:jc w:val="right"/>
              <w:rPr>
                <w:rFonts w:ascii="Calibri" w:eastAsia="Times New Roman" w:hAnsi="Calibri" w:cs="Calibri"/>
                <w:color w:val="000000"/>
              </w:rPr>
            </w:pPr>
            <w:r w:rsidRPr="00D94FF1">
              <w:rPr>
                <w:rFonts w:ascii="Calibri" w:eastAsia="Times New Roman" w:hAnsi="Calibri" w:cs="Calibri"/>
                <w:color w:val="000000"/>
              </w:rPr>
              <w:t xml:space="preserve">5,868 </w:t>
            </w:r>
          </w:p>
        </w:tc>
        <w:tc>
          <w:tcPr>
            <w:tcW w:w="1440" w:type="dxa"/>
            <w:shd w:val="clear" w:color="auto" w:fill="auto"/>
            <w:noWrap/>
            <w:vAlign w:val="center"/>
            <w:hideMark/>
          </w:tcPr>
          <w:p w14:paraId="7D50BF84" w14:textId="77777777" w:rsidR="00D94FF1" w:rsidRPr="00D94FF1" w:rsidRDefault="00D94FF1" w:rsidP="00D94FF1">
            <w:pPr>
              <w:jc w:val="right"/>
              <w:rPr>
                <w:rFonts w:ascii="Calibri" w:eastAsia="Times New Roman" w:hAnsi="Calibri" w:cs="Calibri"/>
                <w:color w:val="000000"/>
              </w:rPr>
            </w:pPr>
            <w:r w:rsidRPr="00D94FF1">
              <w:rPr>
                <w:rFonts w:ascii="Calibri" w:eastAsia="Times New Roman" w:hAnsi="Calibri" w:cs="Calibri"/>
                <w:color w:val="000000"/>
              </w:rPr>
              <w:t xml:space="preserve"> 6,083 </w:t>
            </w:r>
          </w:p>
        </w:tc>
      </w:tr>
    </w:tbl>
    <w:p w14:paraId="5733E258" w14:textId="77777777" w:rsidR="00D94FF1" w:rsidRPr="00D94FF1" w:rsidRDefault="00D94FF1" w:rsidP="00D94FF1">
      <w:pPr>
        <w:spacing w:after="160"/>
        <w:rPr>
          <w:rFonts w:ascii="Calibri" w:eastAsia="Aptos" w:hAnsi="Calibri" w:cs="Calibri"/>
        </w:rPr>
      </w:pPr>
    </w:p>
    <w:p w14:paraId="0BC51389" w14:textId="41D56907" w:rsidR="00D94FF1" w:rsidRPr="00D94FF1" w:rsidRDefault="00D94FF1" w:rsidP="00D94FF1">
      <w:pPr>
        <w:rPr>
          <w:rFonts w:ascii="Calibri" w:eastAsia="Aptos" w:hAnsi="Calibri" w:cs="Calibri"/>
          <w:b/>
          <w:bCs/>
        </w:rPr>
      </w:pPr>
      <w:r w:rsidRPr="00D94FF1">
        <w:rPr>
          <w:rFonts w:ascii="Calibri" w:eastAsia="Aptos" w:hAnsi="Calibri" w:cs="Calibri"/>
        </w:rPr>
        <w:t xml:space="preserve">Table 2 summarizes elements of the </w:t>
      </w:r>
      <w:r w:rsidR="00644F0A">
        <w:rPr>
          <w:rFonts w:ascii="Calibri" w:eastAsia="Aptos" w:hAnsi="Calibri" w:cs="Calibri"/>
        </w:rPr>
        <w:t xml:space="preserve">Applicant’s </w:t>
      </w:r>
      <w:r w:rsidRPr="00D94FF1">
        <w:rPr>
          <w:rFonts w:ascii="Calibri" w:eastAsia="Aptos" w:hAnsi="Calibri" w:cs="Calibri"/>
        </w:rPr>
        <w:t xml:space="preserve">demographic profile; there are year over year fluctuations in the reported data, however no significant trends are noted. </w:t>
      </w:r>
    </w:p>
    <w:p w14:paraId="228B22EC" w14:textId="77777777" w:rsidR="00D94FF1" w:rsidRPr="00D94FF1" w:rsidRDefault="00D94FF1" w:rsidP="00D94FF1">
      <w:pPr>
        <w:rPr>
          <w:rFonts w:ascii="Calibri" w:eastAsia="Aptos" w:hAnsi="Calibri" w:cs="Calibri"/>
          <w:b/>
          <w:bCs/>
        </w:rPr>
      </w:pPr>
    </w:p>
    <w:p w14:paraId="4EC77B65" w14:textId="77777777" w:rsidR="00D94FF1" w:rsidRPr="00D94FF1" w:rsidRDefault="00D94FF1" w:rsidP="001E0969">
      <w:pPr>
        <w:jc w:val="center"/>
        <w:rPr>
          <w:rFonts w:ascii="Calibri" w:eastAsia="Aptos" w:hAnsi="Calibri" w:cs="Calibri"/>
        </w:rPr>
      </w:pPr>
      <w:r w:rsidRPr="00D94FF1">
        <w:rPr>
          <w:rFonts w:ascii="Calibri" w:eastAsia="Aptos" w:hAnsi="Calibri" w:cs="Calibri"/>
          <w:b/>
          <w:bCs/>
        </w:rPr>
        <w:t>Table 2: Demographic Profile of Patients- CY 21-24 Annualized</w:t>
      </w:r>
    </w:p>
    <w:p w14:paraId="55D5AC5B" w14:textId="77777777" w:rsidR="00D94FF1" w:rsidRPr="00D94FF1" w:rsidRDefault="00D94FF1" w:rsidP="00D94FF1">
      <w:pPr>
        <w:rPr>
          <w:rFonts w:ascii="Calibri" w:eastAsia="Aptos" w:hAnsi="Calibri" w:cs="Calibri"/>
        </w:rPr>
      </w:pPr>
    </w:p>
    <w:tbl>
      <w:tblPr>
        <w:tblW w:w="9270" w:type="dxa"/>
        <w:jc w:val="center"/>
        <w:tblLook w:val="04A0" w:firstRow="1" w:lastRow="0" w:firstColumn="1" w:lastColumn="0" w:noHBand="0" w:noVBand="1"/>
      </w:tblPr>
      <w:tblGrid>
        <w:gridCol w:w="4280"/>
        <w:gridCol w:w="1020"/>
        <w:gridCol w:w="1020"/>
        <w:gridCol w:w="1020"/>
        <w:gridCol w:w="1930"/>
      </w:tblGrid>
      <w:tr w:rsidR="00D94FF1" w:rsidRPr="00D94FF1" w14:paraId="58B0D37F" w14:textId="77777777" w:rsidTr="000A58E3">
        <w:trPr>
          <w:cantSplit/>
          <w:trHeight w:val="310"/>
          <w:tblHeader/>
          <w:jc w:val="center"/>
        </w:trPr>
        <w:tc>
          <w:tcPr>
            <w:tcW w:w="4280" w:type="dxa"/>
            <w:tcBorders>
              <w:top w:val="single" w:sz="4" w:space="0" w:color="auto"/>
              <w:left w:val="single" w:sz="4" w:space="0" w:color="auto"/>
              <w:bottom w:val="single" w:sz="4" w:space="0" w:color="auto"/>
              <w:right w:val="single" w:sz="4" w:space="0" w:color="auto"/>
            </w:tcBorders>
            <w:shd w:val="clear" w:color="auto" w:fill="D9FFFF"/>
            <w:noWrap/>
            <w:vAlign w:val="bottom"/>
            <w:hideMark/>
          </w:tcPr>
          <w:p w14:paraId="0141F0A9" w14:textId="77777777" w:rsidR="00D94FF1" w:rsidRPr="00D94FF1" w:rsidRDefault="00D94FF1" w:rsidP="00D94FF1">
            <w:pPr>
              <w:rPr>
                <w:rFonts w:ascii="Calibri" w:eastAsia="Times New Roman" w:hAnsi="Calibri" w:cs="Calibri"/>
                <w:b/>
                <w:bCs/>
                <w:color w:val="000000"/>
              </w:rPr>
            </w:pPr>
            <w:r w:rsidRPr="00D94FF1">
              <w:rPr>
                <w:rFonts w:ascii="Calibri" w:eastAsia="Times New Roman" w:hAnsi="Calibri" w:cs="Calibri"/>
                <w:b/>
                <w:bCs/>
                <w:color w:val="000000"/>
              </w:rPr>
              <w:t> </w:t>
            </w:r>
          </w:p>
        </w:tc>
        <w:tc>
          <w:tcPr>
            <w:tcW w:w="1020" w:type="dxa"/>
            <w:tcBorders>
              <w:top w:val="single" w:sz="4" w:space="0" w:color="auto"/>
              <w:left w:val="nil"/>
              <w:bottom w:val="single" w:sz="4" w:space="0" w:color="auto"/>
              <w:right w:val="single" w:sz="4" w:space="0" w:color="auto"/>
            </w:tcBorders>
            <w:shd w:val="clear" w:color="auto" w:fill="D9FFFF"/>
            <w:noWrap/>
            <w:vAlign w:val="center"/>
            <w:hideMark/>
          </w:tcPr>
          <w:p w14:paraId="59BA2F73" w14:textId="77777777" w:rsidR="00D94FF1" w:rsidRPr="00D94FF1" w:rsidRDefault="00D94FF1" w:rsidP="00D94FF1">
            <w:pPr>
              <w:jc w:val="center"/>
              <w:rPr>
                <w:rFonts w:ascii="Calibri" w:eastAsia="Times New Roman" w:hAnsi="Calibri" w:cs="Calibri"/>
                <w:b/>
                <w:bCs/>
                <w:color w:val="000000"/>
              </w:rPr>
            </w:pPr>
            <w:r w:rsidRPr="00D94FF1">
              <w:rPr>
                <w:rFonts w:ascii="Calibri" w:eastAsia="Times New Roman" w:hAnsi="Calibri" w:cs="Calibri"/>
                <w:b/>
                <w:bCs/>
                <w:color w:val="000000"/>
              </w:rPr>
              <w:t>2021</w:t>
            </w:r>
          </w:p>
        </w:tc>
        <w:tc>
          <w:tcPr>
            <w:tcW w:w="1020" w:type="dxa"/>
            <w:tcBorders>
              <w:top w:val="single" w:sz="4" w:space="0" w:color="auto"/>
              <w:left w:val="nil"/>
              <w:bottom w:val="single" w:sz="4" w:space="0" w:color="auto"/>
              <w:right w:val="single" w:sz="4" w:space="0" w:color="auto"/>
            </w:tcBorders>
            <w:shd w:val="clear" w:color="auto" w:fill="D9FFFF"/>
            <w:noWrap/>
            <w:vAlign w:val="center"/>
            <w:hideMark/>
          </w:tcPr>
          <w:p w14:paraId="56BB477D" w14:textId="77777777" w:rsidR="00D94FF1" w:rsidRPr="00D94FF1" w:rsidRDefault="00D94FF1" w:rsidP="00D94FF1">
            <w:pPr>
              <w:jc w:val="center"/>
              <w:rPr>
                <w:rFonts w:ascii="Calibri" w:eastAsia="Times New Roman" w:hAnsi="Calibri" w:cs="Calibri"/>
                <w:b/>
                <w:bCs/>
                <w:color w:val="000000"/>
              </w:rPr>
            </w:pPr>
            <w:r w:rsidRPr="00D94FF1">
              <w:rPr>
                <w:rFonts w:ascii="Calibri" w:eastAsia="Times New Roman" w:hAnsi="Calibri" w:cs="Calibri"/>
                <w:b/>
                <w:bCs/>
                <w:color w:val="000000"/>
              </w:rPr>
              <w:t>2022</w:t>
            </w:r>
          </w:p>
        </w:tc>
        <w:tc>
          <w:tcPr>
            <w:tcW w:w="1020" w:type="dxa"/>
            <w:tcBorders>
              <w:top w:val="single" w:sz="4" w:space="0" w:color="auto"/>
              <w:left w:val="nil"/>
              <w:bottom w:val="single" w:sz="4" w:space="0" w:color="auto"/>
              <w:right w:val="single" w:sz="4" w:space="0" w:color="auto"/>
            </w:tcBorders>
            <w:shd w:val="clear" w:color="auto" w:fill="D9FFFF"/>
            <w:noWrap/>
            <w:vAlign w:val="center"/>
            <w:hideMark/>
          </w:tcPr>
          <w:p w14:paraId="69B25D40" w14:textId="77777777" w:rsidR="00D94FF1" w:rsidRPr="00D94FF1" w:rsidRDefault="00D94FF1" w:rsidP="00D94FF1">
            <w:pPr>
              <w:jc w:val="center"/>
              <w:rPr>
                <w:rFonts w:ascii="Calibri" w:eastAsia="Times New Roman" w:hAnsi="Calibri" w:cs="Calibri"/>
                <w:b/>
                <w:bCs/>
                <w:color w:val="000000"/>
              </w:rPr>
            </w:pPr>
            <w:r w:rsidRPr="00D94FF1">
              <w:rPr>
                <w:rFonts w:ascii="Calibri" w:eastAsia="Times New Roman" w:hAnsi="Calibri" w:cs="Calibri"/>
                <w:b/>
                <w:bCs/>
                <w:color w:val="000000"/>
              </w:rPr>
              <w:t>2023</w:t>
            </w:r>
          </w:p>
        </w:tc>
        <w:tc>
          <w:tcPr>
            <w:tcW w:w="1930" w:type="dxa"/>
            <w:tcBorders>
              <w:top w:val="single" w:sz="4" w:space="0" w:color="auto"/>
              <w:left w:val="nil"/>
              <w:bottom w:val="single" w:sz="4" w:space="0" w:color="auto"/>
              <w:right w:val="single" w:sz="4" w:space="0" w:color="auto"/>
            </w:tcBorders>
            <w:shd w:val="clear" w:color="auto" w:fill="D9FFFF"/>
            <w:noWrap/>
            <w:vAlign w:val="center"/>
            <w:hideMark/>
          </w:tcPr>
          <w:p w14:paraId="7AB04E17" w14:textId="77777777" w:rsidR="00D94FF1" w:rsidRPr="00D94FF1" w:rsidRDefault="00D94FF1" w:rsidP="00D94FF1">
            <w:pPr>
              <w:jc w:val="center"/>
              <w:rPr>
                <w:rFonts w:ascii="Calibri" w:eastAsia="Times New Roman" w:hAnsi="Calibri" w:cs="Calibri"/>
                <w:b/>
                <w:bCs/>
                <w:color w:val="000000"/>
              </w:rPr>
            </w:pPr>
            <w:r w:rsidRPr="00D94FF1">
              <w:rPr>
                <w:rFonts w:ascii="Calibri" w:eastAsia="Times New Roman" w:hAnsi="Calibri" w:cs="Calibri"/>
                <w:b/>
                <w:bCs/>
                <w:color w:val="000000"/>
              </w:rPr>
              <w:t>2024 Annualized</w:t>
            </w:r>
          </w:p>
        </w:tc>
      </w:tr>
      <w:tr w:rsidR="000A58E3" w:rsidRPr="00D94FF1" w14:paraId="1AF3EAFF" w14:textId="77777777" w:rsidTr="000A58E3">
        <w:trPr>
          <w:cantSplit/>
          <w:trHeight w:val="290"/>
          <w:tblHeader/>
          <w:jc w:val="center"/>
        </w:trPr>
        <w:tc>
          <w:tcPr>
            <w:tcW w:w="4280" w:type="dxa"/>
            <w:tcBorders>
              <w:top w:val="nil"/>
              <w:left w:val="single" w:sz="4" w:space="0" w:color="auto"/>
              <w:bottom w:val="single" w:sz="4" w:space="0" w:color="auto"/>
              <w:right w:val="single" w:sz="4" w:space="0" w:color="auto"/>
            </w:tcBorders>
            <w:shd w:val="clear" w:color="auto" w:fill="D9FFFF"/>
            <w:noWrap/>
            <w:vAlign w:val="bottom"/>
          </w:tcPr>
          <w:p w14:paraId="27578AC6" w14:textId="77777777" w:rsidR="000A58E3" w:rsidRPr="00D94FF1" w:rsidRDefault="000A58E3" w:rsidP="000A58E3">
            <w:pPr>
              <w:rPr>
                <w:rFonts w:ascii="Calibri" w:eastAsia="Times New Roman" w:hAnsi="Calibri" w:cs="Calibri"/>
                <w:b/>
                <w:bCs/>
                <w:color w:val="000000"/>
              </w:rPr>
            </w:pPr>
          </w:p>
        </w:tc>
        <w:tc>
          <w:tcPr>
            <w:tcW w:w="1020" w:type="dxa"/>
            <w:tcBorders>
              <w:top w:val="nil"/>
              <w:left w:val="nil"/>
              <w:bottom w:val="single" w:sz="4" w:space="0" w:color="auto"/>
              <w:right w:val="single" w:sz="4" w:space="0" w:color="auto"/>
            </w:tcBorders>
            <w:shd w:val="clear" w:color="auto" w:fill="D9FFFF"/>
            <w:noWrap/>
            <w:vAlign w:val="center"/>
          </w:tcPr>
          <w:p w14:paraId="6473A6A5" w14:textId="4387582C" w:rsidR="000A58E3" w:rsidRPr="00D94FF1" w:rsidRDefault="000A58E3" w:rsidP="000A58E3">
            <w:pPr>
              <w:jc w:val="center"/>
              <w:rPr>
                <w:rFonts w:ascii="Calibri" w:eastAsia="Times New Roman" w:hAnsi="Calibri" w:cs="Calibri"/>
                <w:b/>
                <w:bCs/>
                <w:color w:val="000000"/>
              </w:rPr>
            </w:pPr>
            <w:r w:rsidRPr="00D94FF1">
              <w:rPr>
                <w:rFonts w:ascii="Calibri" w:eastAsia="Times New Roman" w:hAnsi="Calibri" w:cs="Calibri"/>
                <w:b/>
                <w:bCs/>
                <w:color w:val="000000"/>
              </w:rPr>
              <w:t>%</w:t>
            </w:r>
          </w:p>
        </w:tc>
        <w:tc>
          <w:tcPr>
            <w:tcW w:w="1020" w:type="dxa"/>
            <w:tcBorders>
              <w:top w:val="nil"/>
              <w:left w:val="nil"/>
              <w:bottom w:val="single" w:sz="4" w:space="0" w:color="auto"/>
              <w:right w:val="single" w:sz="4" w:space="0" w:color="auto"/>
            </w:tcBorders>
            <w:shd w:val="clear" w:color="auto" w:fill="D9FFFF"/>
            <w:noWrap/>
            <w:vAlign w:val="center"/>
          </w:tcPr>
          <w:p w14:paraId="43CCE42E" w14:textId="3A4E7045" w:rsidR="000A58E3" w:rsidRPr="00D94FF1" w:rsidRDefault="000A58E3" w:rsidP="000A58E3">
            <w:pPr>
              <w:jc w:val="center"/>
              <w:rPr>
                <w:rFonts w:ascii="Calibri" w:eastAsia="Times New Roman" w:hAnsi="Calibri" w:cs="Calibri"/>
                <w:b/>
                <w:bCs/>
                <w:color w:val="000000"/>
              </w:rPr>
            </w:pPr>
            <w:r w:rsidRPr="00D94FF1">
              <w:rPr>
                <w:rFonts w:ascii="Calibri" w:eastAsia="Times New Roman" w:hAnsi="Calibri" w:cs="Calibri"/>
                <w:b/>
                <w:bCs/>
                <w:color w:val="000000"/>
              </w:rPr>
              <w:t>%</w:t>
            </w:r>
          </w:p>
        </w:tc>
        <w:tc>
          <w:tcPr>
            <w:tcW w:w="1020" w:type="dxa"/>
            <w:tcBorders>
              <w:top w:val="nil"/>
              <w:left w:val="nil"/>
              <w:bottom w:val="single" w:sz="4" w:space="0" w:color="auto"/>
              <w:right w:val="single" w:sz="4" w:space="0" w:color="auto"/>
            </w:tcBorders>
            <w:shd w:val="clear" w:color="auto" w:fill="D9FFFF"/>
            <w:noWrap/>
            <w:vAlign w:val="center"/>
          </w:tcPr>
          <w:p w14:paraId="265A8331" w14:textId="6E35CA33" w:rsidR="000A58E3" w:rsidRPr="00D94FF1" w:rsidRDefault="000A58E3" w:rsidP="000A58E3">
            <w:pPr>
              <w:jc w:val="center"/>
              <w:rPr>
                <w:rFonts w:ascii="Calibri" w:eastAsia="Times New Roman" w:hAnsi="Calibri" w:cs="Calibri"/>
                <w:b/>
                <w:bCs/>
                <w:color w:val="000000"/>
              </w:rPr>
            </w:pPr>
            <w:r w:rsidRPr="00D94FF1">
              <w:rPr>
                <w:rFonts w:ascii="Calibri" w:eastAsia="Times New Roman" w:hAnsi="Calibri" w:cs="Calibri"/>
                <w:b/>
                <w:bCs/>
                <w:color w:val="000000"/>
              </w:rPr>
              <w:t>%</w:t>
            </w:r>
          </w:p>
        </w:tc>
        <w:tc>
          <w:tcPr>
            <w:tcW w:w="1930" w:type="dxa"/>
            <w:tcBorders>
              <w:top w:val="nil"/>
              <w:left w:val="nil"/>
              <w:bottom w:val="single" w:sz="4" w:space="0" w:color="auto"/>
              <w:right w:val="single" w:sz="4" w:space="0" w:color="auto"/>
            </w:tcBorders>
            <w:shd w:val="clear" w:color="auto" w:fill="D9FFFF"/>
            <w:noWrap/>
            <w:vAlign w:val="center"/>
          </w:tcPr>
          <w:p w14:paraId="7967B767" w14:textId="209AFD24" w:rsidR="000A58E3" w:rsidRPr="00D94FF1" w:rsidRDefault="000A58E3" w:rsidP="000A58E3">
            <w:pPr>
              <w:jc w:val="center"/>
              <w:rPr>
                <w:rFonts w:ascii="Calibri" w:eastAsia="Times New Roman" w:hAnsi="Calibri" w:cs="Calibri"/>
                <w:b/>
                <w:bCs/>
                <w:color w:val="000000"/>
              </w:rPr>
            </w:pPr>
            <w:r w:rsidRPr="00D94FF1">
              <w:rPr>
                <w:rFonts w:ascii="Calibri" w:eastAsia="Times New Roman" w:hAnsi="Calibri" w:cs="Calibri"/>
                <w:b/>
                <w:bCs/>
                <w:color w:val="000000"/>
              </w:rPr>
              <w:t>%</w:t>
            </w:r>
          </w:p>
        </w:tc>
      </w:tr>
      <w:tr w:rsidR="00D94FF1" w:rsidRPr="00D94FF1" w14:paraId="18976769" w14:textId="77777777" w:rsidTr="000A58E3">
        <w:trPr>
          <w:cantSplit/>
          <w:trHeight w:val="290"/>
          <w:jc w:val="center"/>
        </w:trPr>
        <w:tc>
          <w:tcPr>
            <w:tcW w:w="4280" w:type="dxa"/>
            <w:tcBorders>
              <w:top w:val="nil"/>
              <w:left w:val="single" w:sz="4" w:space="0" w:color="auto"/>
              <w:bottom w:val="single" w:sz="4" w:space="0" w:color="auto"/>
              <w:right w:val="single" w:sz="4" w:space="0" w:color="auto"/>
            </w:tcBorders>
            <w:shd w:val="clear" w:color="auto" w:fill="D9FFFF"/>
            <w:noWrap/>
            <w:vAlign w:val="bottom"/>
            <w:hideMark/>
          </w:tcPr>
          <w:p w14:paraId="12AE94D1" w14:textId="77777777" w:rsidR="00D94FF1" w:rsidRPr="00D94FF1" w:rsidRDefault="00D94FF1" w:rsidP="00D94FF1">
            <w:pPr>
              <w:rPr>
                <w:rFonts w:ascii="Calibri" w:eastAsia="Times New Roman" w:hAnsi="Calibri" w:cs="Calibri"/>
                <w:b/>
                <w:bCs/>
                <w:color w:val="000000"/>
              </w:rPr>
            </w:pPr>
            <w:r w:rsidRPr="00D94FF1">
              <w:rPr>
                <w:rFonts w:ascii="Calibri" w:eastAsia="Times New Roman" w:hAnsi="Calibri" w:cs="Calibri"/>
                <w:b/>
                <w:bCs/>
                <w:color w:val="000000"/>
              </w:rPr>
              <w:t>Patient Gender</w:t>
            </w:r>
          </w:p>
        </w:tc>
        <w:tc>
          <w:tcPr>
            <w:tcW w:w="1020" w:type="dxa"/>
            <w:tcBorders>
              <w:top w:val="nil"/>
              <w:left w:val="nil"/>
              <w:bottom w:val="single" w:sz="4" w:space="0" w:color="auto"/>
              <w:right w:val="single" w:sz="4" w:space="0" w:color="auto"/>
            </w:tcBorders>
            <w:shd w:val="clear" w:color="auto" w:fill="D9FFFF"/>
            <w:noWrap/>
            <w:vAlign w:val="center"/>
          </w:tcPr>
          <w:p w14:paraId="4E8FDC0F" w14:textId="373B40FC" w:rsidR="00D94FF1" w:rsidRPr="00D94FF1" w:rsidRDefault="00D94FF1" w:rsidP="00D94FF1">
            <w:pPr>
              <w:jc w:val="center"/>
              <w:rPr>
                <w:rFonts w:ascii="Calibri" w:eastAsia="Times New Roman" w:hAnsi="Calibri" w:cs="Calibri"/>
                <w:b/>
                <w:bCs/>
                <w:color w:val="000000"/>
              </w:rPr>
            </w:pPr>
          </w:p>
        </w:tc>
        <w:tc>
          <w:tcPr>
            <w:tcW w:w="1020" w:type="dxa"/>
            <w:tcBorders>
              <w:top w:val="nil"/>
              <w:left w:val="nil"/>
              <w:bottom w:val="single" w:sz="4" w:space="0" w:color="auto"/>
              <w:right w:val="single" w:sz="4" w:space="0" w:color="auto"/>
            </w:tcBorders>
            <w:shd w:val="clear" w:color="auto" w:fill="D9FFFF"/>
            <w:noWrap/>
            <w:vAlign w:val="center"/>
          </w:tcPr>
          <w:p w14:paraId="7FFA05E2" w14:textId="1BCD8A31" w:rsidR="00D94FF1" w:rsidRPr="00D94FF1" w:rsidRDefault="00D94FF1" w:rsidP="00D94FF1">
            <w:pPr>
              <w:jc w:val="center"/>
              <w:rPr>
                <w:rFonts w:ascii="Calibri" w:eastAsia="Times New Roman" w:hAnsi="Calibri" w:cs="Calibri"/>
                <w:b/>
                <w:bCs/>
                <w:color w:val="000000"/>
              </w:rPr>
            </w:pPr>
          </w:p>
        </w:tc>
        <w:tc>
          <w:tcPr>
            <w:tcW w:w="1020" w:type="dxa"/>
            <w:tcBorders>
              <w:top w:val="nil"/>
              <w:left w:val="nil"/>
              <w:bottom w:val="single" w:sz="4" w:space="0" w:color="auto"/>
              <w:right w:val="single" w:sz="4" w:space="0" w:color="auto"/>
            </w:tcBorders>
            <w:shd w:val="clear" w:color="auto" w:fill="D9FFFF"/>
            <w:noWrap/>
            <w:vAlign w:val="center"/>
          </w:tcPr>
          <w:p w14:paraId="35C0B885" w14:textId="02D0B572" w:rsidR="00D94FF1" w:rsidRPr="00D94FF1" w:rsidRDefault="00D94FF1" w:rsidP="00D94FF1">
            <w:pPr>
              <w:jc w:val="center"/>
              <w:rPr>
                <w:rFonts w:ascii="Calibri" w:eastAsia="Times New Roman" w:hAnsi="Calibri" w:cs="Calibri"/>
                <w:b/>
                <w:bCs/>
                <w:color w:val="000000"/>
              </w:rPr>
            </w:pPr>
          </w:p>
        </w:tc>
        <w:tc>
          <w:tcPr>
            <w:tcW w:w="1930" w:type="dxa"/>
            <w:tcBorders>
              <w:top w:val="nil"/>
              <w:left w:val="nil"/>
              <w:bottom w:val="single" w:sz="4" w:space="0" w:color="auto"/>
              <w:right w:val="single" w:sz="4" w:space="0" w:color="auto"/>
            </w:tcBorders>
            <w:shd w:val="clear" w:color="auto" w:fill="D9FFFF"/>
            <w:noWrap/>
            <w:vAlign w:val="center"/>
          </w:tcPr>
          <w:p w14:paraId="3D73A540" w14:textId="58E275DE" w:rsidR="00D94FF1" w:rsidRPr="00D94FF1" w:rsidRDefault="00D94FF1" w:rsidP="00D94FF1">
            <w:pPr>
              <w:jc w:val="center"/>
              <w:rPr>
                <w:rFonts w:ascii="Calibri" w:eastAsia="Times New Roman" w:hAnsi="Calibri" w:cs="Calibri"/>
                <w:b/>
                <w:bCs/>
                <w:color w:val="000000"/>
              </w:rPr>
            </w:pPr>
          </w:p>
        </w:tc>
      </w:tr>
      <w:tr w:rsidR="00D94FF1" w:rsidRPr="00D94FF1" w14:paraId="7F085732" w14:textId="77777777" w:rsidTr="00081851">
        <w:trPr>
          <w:cantSplit/>
          <w:trHeight w:val="290"/>
          <w:jc w:val="center"/>
        </w:trPr>
        <w:tc>
          <w:tcPr>
            <w:tcW w:w="4280" w:type="dxa"/>
            <w:tcBorders>
              <w:top w:val="nil"/>
              <w:left w:val="single" w:sz="4" w:space="0" w:color="auto"/>
              <w:bottom w:val="single" w:sz="4" w:space="0" w:color="auto"/>
              <w:right w:val="single" w:sz="4" w:space="0" w:color="auto"/>
            </w:tcBorders>
            <w:shd w:val="clear" w:color="auto" w:fill="auto"/>
            <w:noWrap/>
            <w:vAlign w:val="bottom"/>
            <w:hideMark/>
          </w:tcPr>
          <w:p w14:paraId="0366F4D9" w14:textId="77777777" w:rsidR="00D94FF1" w:rsidRPr="00D94FF1" w:rsidRDefault="00D94FF1" w:rsidP="00D94FF1">
            <w:pPr>
              <w:rPr>
                <w:rFonts w:ascii="Calibri" w:eastAsia="Times New Roman" w:hAnsi="Calibri" w:cs="Calibri"/>
                <w:color w:val="000000"/>
              </w:rPr>
            </w:pPr>
            <w:r w:rsidRPr="00D94FF1">
              <w:rPr>
                <w:rFonts w:ascii="Calibri" w:eastAsia="Times New Roman" w:hAnsi="Calibri" w:cs="Calibri"/>
                <w:color w:val="000000"/>
              </w:rPr>
              <w:t>Female</w:t>
            </w:r>
          </w:p>
        </w:tc>
        <w:tc>
          <w:tcPr>
            <w:tcW w:w="1020" w:type="dxa"/>
            <w:tcBorders>
              <w:top w:val="nil"/>
              <w:left w:val="nil"/>
              <w:bottom w:val="single" w:sz="4" w:space="0" w:color="auto"/>
              <w:right w:val="single" w:sz="4" w:space="0" w:color="auto"/>
            </w:tcBorders>
            <w:shd w:val="clear" w:color="auto" w:fill="auto"/>
            <w:noWrap/>
            <w:vAlign w:val="bottom"/>
            <w:hideMark/>
          </w:tcPr>
          <w:p w14:paraId="1FCBEA2C" w14:textId="77777777" w:rsidR="00D94FF1" w:rsidRPr="00D94FF1" w:rsidRDefault="00D94FF1" w:rsidP="00D94FF1">
            <w:pPr>
              <w:jc w:val="right"/>
              <w:rPr>
                <w:rFonts w:ascii="Calibri" w:eastAsia="Times New Roman" w:hAnsi="Calibri" w:cs="Calibri"/>
                <w:color w:val="000000"/>
              </w:rPr>
            </w:pPr>
            <w:r w:rsidRPr="00D94FF1">
              <w:rPr>
                <w:rFonts w:ascii="Calibri" w:eastAsia="Times New Roman" w:hAnsi="Calibri" w:cs="Calibri"/>
                <w:color w:val="000000"/>
              </w:rPr>
              <w:t>53.0%</w:t>
            </w:r>
          </w:p>
        </w:tc>
        <w:tc>
          <w:tcPr>
            <w:tcW w:w="1020" w:type="dxa"/>
            <w:tcBorders>
              <w:top w:val="nil"/>
              <w:left w:val="nil"/>
              <w:bottom w:val="single" w:sz="4" w:space="0" w:color="auto"/>
              <w:right w:val="single" w:sz="4" w:space="0" w:color="auto"/>
            </w:tcBorders>
            <w:shd w:val="clear" w:color="auto" w:fill="auto"/>
            <w:noWrap/>
            <w:vAlign w:val="bottom"/>
            <w:hideMark/>
          </w:tcPr>
          <w:p w14:paraId="6CE35C71" w14:textId="77777777" w:rsidR="00D94FF1" w:rsidRPr="00D94FF1" w:rsidRDefault="00D94FF1" w:rsidP="00D94FF1">
            <w:pPr>
              <w:jc w:val="right"/>
              <w:rPr>
                <w:rFonts w:ascii="Calibri" w:eastAsia="Times New Roman" w:hAnsi="Calibri" w:cs="Calibri"/>
                <w:color w:val="000000"/>
              </w:rPr>
            </w:pPr>
            <w:r w:rsidRPr="00D94FF1">
              <w:rPr>
                <w:rFonts w:ascii="Calibri" w:eastAsia="Times New Roman" w:hAnsi="Calibri" w:cs="Calibri"/>
                <w:color w:val="000000"/>
              </w:rPr>
              <w:t>51.0%</w:t>
            </w:r>
          </w:p>
        </w:tc>
        <w:tc>
          <w:tcPr>
            <w:tcW w:w="1020" w:type="dxa"/>
            <w:tcBorders>
              <w:top w:val="nil"/>
              <w:left w:val="nil"/>
              <w:bottom w:val="single" w:sz="4" w:space="0" w:color="auto"/>
              <w:right w:val="single" w:sz="4" w:space="0" w:color="auto"/>
            </w:tcBorders>
            <w:shd w:val="clear" w:color="auto" w:fill="auto"/>
            <w:noWrap/>
            <w:vAlign w:val="bottom"/>
            <w:hideMark/>
          </w:tcPr>
          <w:p w14:paraId="695E5FAC" w14:textId="77777777" w:rsidR="00D94FF1" w:rsidRPr="00D94FF1" w:rsidRDefault="00D94FF1" w:rsidP="00D94FF1">
            <w:pPr>
              <w:jc w:val="right"/>
              <w:rPr>
                <w:rFonts w:ascii="Calibri" w:eastAsia="Times New Roman" w:hAnsi="Calibri" w:cs="Calibri"/>
                <w:color w:val="000000"/>
              </w:rPr>
            </w:pPr>
            <w:r w:rsidRPr="00D94FF1">
              <w:rPr>
                <w:rFonts w:ascii="Calibri" w:eastAsia="Times New Roman" w:hAnsi="Calibri" w:cs="Calibri"/>
                <w:color w:val="000000"/>
              </w:rPr>
              <w:t>52.0%</w:t>
            </w:r>
          </w:p>
        </w:tc>
        <w:tc>
          <w:tcPr>
            <w:tcW w:w="1930" w:type="dxa"/>
            <w:tcBorders>
              <w:top w:val="nil"/>
              <w:left w:val="nil"/>
              <w:bottom w:val="single" w:sz="4" w:space="0" w:color="auto"/>
              <w:right w:val="single" w:sz="4" w:space="0" w:color="auto"/>
            </w:tcBorders>
            <w:shd w:val="clear" w:color="auto" w:fill="auto"/>
            <w:noWrap/>
            <w:vAlign w:val="bottom"/>
            <w:hideMark/>
          </w:tcPr>
          <w:p w14:paraId="648936CE" w14:textId="77777777" w:rsidR="00D94FF1" w:rsidRPr="00D94FF1" w:rsidRDefault="00D94FF1" w:rsidP="00D94FF1">
            <w:pPr>
              <w:jc w:val="right"/>
              <w:rPr>
                <w:rFonts w:ascii="Calibri" w:eastAsia="Times New Roman" w:hAnsi="Calibri" w:cs="Calibri"/>
                <w:color w:val="000000"/>
              </w:rPr>
            </w:pPr>
            <w:r w:rsidRPr="00D94FF1">
              <w:rPr>
                <w:rFonts w:ascii="Calibri" w:eastAsia="Times New Roman" w:hAnsi="Calibri" w:cs="Calibri"/>
                <w:color w:val="000000"/>
              </w:rPr>
              <w:t>49.0%</w:t>
            </w:r>
          </w:p>
        </w:tc>
      </w:tr>
      <w:tr w:rsidR="00D94FF1" w:rsidRPr="00D94FF1" w14:paraId="256F77CC" w14:textId="77777777" w:rsidTr="00081851">
        <w:trPr>
          <w:cantSplit/>
          <w:trHeight w:val="290"/>
          <w:jc w:val="center"/>
        </w:trPr>
        <w:tc>
          <w:tcPr>
            <w:tcW w:w="4280" w:type="dxa"/>
            <w:tcBorders>
              <w:top w:val="nil"/>
              <w:left w:val="single" w:sz="4" w:space="0" w:color="auto"/>
              <w:bottom w:val="single" w:sz="4" w:space="0" w:color="auto"/>
              <w:right w:val="single" w:sz="4" w:space="0" w:color="auto"/>
            </w:tcBorders>
            <w:shd w:val="clear" w:color="auto" w:fill="auto"/>
            <w:noWrap/>
            <w:vAlign w:val="bottom"/>
            <w:hideMark/>
          </w:tcPr>
          <w:p w14:paraId="7E061B9C" w14:textId="77777777" w:rsidR="00D94FF1" w:rsidRPr="00D94FF1" w:rsidRDefault="00D94FF1" w:rsidP="00D94FF1">
            <w:pPr>
              <w:rPr>
                <w:rFonts w:ascii="Calibri" w:eastAsia="Times New Roman" w:hAnsi="Calibri" w:cs="Calibri"/>
                <w:color w:val="000000"/>
              </w:rPr>
            </w:pPr>
            <w:r w:rsidRPr="00D94FF1">
              <w:rPr>
                <w:rFonts w:ascii="Calibri" w:eastAsia="Times New Roman" w:hAnsi="Calibri" w:cs="Calibri"/>
                <w:color w:val="000000"/>
              </w:rPr>
              <w:t>Male</w:t>
            </w:r>
          </w:p>
        </w:tc>
        <w:tc>
          <w:tcPr>
            <w:tcW w:w="1020" w:type="dxa"/>
            <w:tcBorders>
              <w:top w:val="nil"/>
              <w:left w:val="nil"/>
              <w:bottom w:val="single" w:sz="4" w:space="0" w:color="auto"/>
              <w:right w:val="single" w:sz="4" w:space="0" w:color="auto"/>
            </w:tcBorders>
            <w:shd w:val="clear" w:color="auto" w:fill="auto"/>
            <w:noWrap/>
            <w:vAlign w:val="bottom"/>
            <w:hideMark/>
          </w:tcPr>
          <w:p w14:paraId="4B5E3904" w14:textId="77777777" w:rsidR="00D94FF1" w:rsidRPr="00D94FF1" w:rsidRDefault="00D94FF1" w:rsidP="00D94FF1">
            <w:pPr>
              <w:jc w:val="right"/>
              <w:rPr>
                <w:rFonts w:ascii="Calibri" w:eastAsia="Times New Roman" w:hAnsi="Calibri" w:cs="Calibri"/>
                <w:color w:val="000000"/>
              </w:rPr>
            </w:pPr>
            <w:r w:rsidRPr="00D94FF1">
              <w:rPr>
                <w:rFonts w:ascii="Calibri" w:eastAsia="Times New Roman" w:hAnsi="Calibri" w:cs="Calibri"/>
                <w:color w:val="000000"/>
              </w:rPr>
              <w:t>47.0%</w:t>
            </w:r>
          </w:p>
        </w:tc>
        <w:tc>
          <w:tcPr>
            <w:tcW w:w="1020" w:type="dxa"/>
            <w:tcBorders>
              <w:top w:val="nil"/>
              <w:left w:val="nil"/>
              <w:bottom w:val="single" w:sz="4" w:space="0" w:color="auto"/>
              <w:right w:val="single" w:sz="4" w:space="0" w:color="auto"/>
            </w:tcBorders>
            <w:shd w:val="clear" w:color="auto" w:fill="auto"/>
            <w:noWrap/>
            <w:vAlign w:val="bottom"/>
            <w:hideMark/>
          </w:tcPr>
          <w:p w14:paraId="78BE2657" w14:textId="77777777" w:rsidR="00D94FF1" w:rsidRPr="00D94FF1" w:rsidRDefault="00D94FF1" w:rsidP="00D94FF1">
            <w:pPr>
              <w:jc w:val="right"/>
              <w:rPr>
                <w:rFonts w:ascii="Calibri" w:eastAsia="Times New Roman" w:hAnsi="Calibri" w:cs="Calibri"/>
                <w:color w:val="000000"/>
              </w:rPr>
            </w:pPr>
            <w:r w:rsidRPr="00D94FF1">
              <w:rPr>
                <w:rFonts w:ascii="Calibri" w:eastAsia="Times New Roman" w:hAnsi="Calibri" w:cs="Calibri"/>
                <w:color w:val="000000"/>
              </w:rPr>
              <w:t>49.0%</w:t>
            </w:r>
          </w:p>
        </w:tc>
        <w:tc>
          <w:tcPr>
            <w:tcW w:w="1020" w:type="dxa"/>
            <w:tcBorders>
              <w:top w:val="nil"/>
              <w:left w:val="nil"/>
              <w:bottom w:val="single" w:sz="4" w:space="0" w:color="auto"/>
              <w:right w:val="single" w:sz="4" w:space="0" w:color="auto"/>
            </w:tcBorders>
            <w:shd w:val="clear" w:color="auto" w:fill="auto"/>
            <w:noWrap/>
            <w:vAlign w:val="bottom"/>
            <w:hideMark/>
          </w:tcPr>
          <w:p w14:paraId="31D1DA48" w14:textId="77777777" w:rsidR="00D94FF1" w:rsidRPr="00D94FF1" w:rsidRDefault="00D94FF1" w:rsidP="00D94FF1">
            <w:pPr>
              <w:jc w:val="right"/>
              <w:rPr>
                <w:rFonts w:ascii="Calibri" w:eastAsia="Times New Roman" w:hAnsi="Calibri" w:cs="Calibri"/>
                <w:color w:val="000000"/>
              </w:rPr>
            </w:pPr>
            <w:r w:rsidRPr="00D94FF1">
              <w:rPr>
                <w:rFonts w:ascii="Calibri" w:eastAsia="Times New Roman" w:hAnsi="Calibri" w:cs="Calibri"/>
                <w:color w:val="000000"/>
              </w:rPr>
              <w:t>48.0%</w:t>
            </w:r>
          </w:p>
        </w:tc>
        <w:tc>
          <w:tcPr>
            <w:tcW w:w="1930" w:type="dxa"/>
            <w:tcBorders>
              <w:top w:val="nil"/>
              <w:left w:val="nil"/>
              <w:bottom w:val="single" w:sz="4" w:space="0" w:color="auto"/>
              <w:right w:val="single" w:sz="4" w:space="0" w:color="auto"/>
            </w:tcBorders>
            <w:shd w:val="clear" w:color="auto" w:fill="auto"/>
            <w:noWrap/>
            <w:vAlign w:val="bottom"/>
            <w:hideMark/>
          </w:tcPr>
          <w:p w14:paraId="5AAFCD9A" w14:textId="77777777" w:rsidR="00D94FF1" w:rsidRPr="00D94FF1" w:rsidRDefault="00D94FF1" w:rsidP="00D94FF1">
            <w:pPr>
              <w:jc w:val="right"/>
              <w:rPr>
                <w:rFonts w:ascii="Calibri" w:eastAsia="Times New Roman" w:hAnsi="Calibri" w:cs="Calibri"/>
                <w:color w:val="000000"/>
              </w:rPr>
            </w:pPr>
            <w:r w:rsidRPr="00D94FF1">
              <w:rPr>
                <w:rFonts w:ascii="Calibri" w:eastAsia="Times New Roman" w:hAnsi="Calibri" w:cs="Calibri"/>
                <w:color w:val="000000"/>
              </w:rPr>
              <w:t>51.0%</w:t>
            </w:r>
          </w:p>
        </w:tc>
      </w:tr>
      <w:tr w:rsidR="00D94FF1" w:rsidRPr="00D94FF1" w14:paraId="0D0AC504" w14:textId="77777777" w:rsidTr="00081851">
        <w:trPr>
          <w:cantSplit/>
          <w:trHeight w:val="310"/>
          <w:jc w:val="center"/>
        </w:trPr>
        <w:tc>
          <w:tcPr>
            <w:tcW w:w="4280" w:type="dxa"/>
            <w:tcBorders>
              <w:top w:val="nil"/>
              <w:left w:val="single" w:sz="4" w:space="0" w:color="auto"/>
              <w:bottom w:val="single" w:sz="4" w:space="0" w:color="auto"/>
              <w:right w:val="single" w:sz="4" w:space="0" w:color="auto"/>
            </w:tcBorders>
            <w:shd w:val="clear" w:color="auto" w:fill="D9FFFF"/>
            <w:noWrap/>
            <w:hideMark/>
          </w:tcPr>
          <w:p w14:paraId="40538156" w14:textId="77777777" w:rsidR="00D94FF1" w:rsidRPr="00D94FF1" w:rsidRDefault="00D94FF1" w:rsidP="00D94FF1">
            <w:pPr>
              <w:rPr>
                <w:rFonts w:ascii="Calibri" w:eastAsia="Times New Roman" w:hAnsi="Calibri" w:cs="Calibri"/>
                <w:b/>
                <w:bCs/>
                <w:color w:val="000000"/>
              </w:rPr>
            </w:pPr>
            <w:r w:rsidRPr="00D94FF1">
              <w:rPr>
                <w:rFonts w:ascii="Calibri" w:eastAsia="Times New Roman" w:hAnsi="Calibri" w:cs="Calibri"/>
                <w:b/>
                <w:bCs/>
                <w:color w:val="000000"/>
              </w:rPr>
              <w:t>Patient Age</w:t>
            </w:r>
          </w:p>
        </w:tc>
        <w:tc>
          <w:tcPr>
            <w:tcW w:w="1020" w:type="dxa"/>
            <w:tcBorders>
              <w:top w:val="nil"/>
              <w:left w:val="nil"/>
              <w:bottom w:val="single" w:sz="4" w:space="0" w:color="auto"/>
              <w:right w:val="single" w:sz="4" w:space="0" w:color="auto"/>
            </w:tcBorders>
            <w:shd w:val="clear" w:color="auto" w:fill="D9FFFF"/>
            <w:noWrap/>
            <w:vAlign w:val="bottom"/>
            <w:hideMark/>
          </w:tcPr>
          <w:p w14:paraId="5E958ADF" w14:textId="77777777" w:rsidR="00D94FF1" w:rsidRPr="00D94FF1" w:rsidRDefault="00D94FF1" w:rsidP="00D94FF1">
            <w:pPr>
              <w:rPr>
                <w:rFonts w:ascii="Calibri" w:eastAsia="Times New Roman" w:hAnsi="Calibri" w:cs="Calibri"/>
                <w:color w:val="000000"/>
              </w:rPr>
            </w:pPr>
            <w:r w:rsidRPr="00D94FF1">
              <w:rPr>
                <w:rFonts w:ascii="Calibri" w:eastAsia="Times New Roman" w:hAnsi="Calibri" w:cs="Calibri"/>
                <w:color w:val="000000"/>
              </w:rPr>
              <w:t> </w:t>
            </w:r>
          </w:p>
        </w:tc>
        <w:tc>
          <w:tcPr>
            <w:tcW w:w="1020" w:type="dxa"/>
            <w:tcBorders>
              <w:top w:val="nil"/>
              <w:left w:val="nil"/>
              <w:bottom w:val="single" w:sz="4" w:space="0" w:color="auto"/>
              <w:right w:val="single" w:sz="4" w:space="0" w:color="auto"/>
            </w:tcBorders>
            <w:shd w:val="clear" w:color="auto" w:fill="D9FFFF"/>
            <w:noWrap/>
            <w:vAlign w:val="bottom"/>
            <w:hideMark/>
          </w:tcPr>
          <w:p w14:paraId="29FD638E" w14:textId="77777777" w:rsidR="00D94FF1" w:rsidRPr="00D94FF1" w:rsidRDefault="00D94FF1" w:rsidP="00D94FF1">
            <w:pPr>
              <w:rPr>
                <w:rFonts w:ascii="Calibri" w:eastAsia="Times New Roman" w:hAnsi="Calibri" w:cs="Calibri"/>
                <w:color w:val="000000"/>
              </w:rPr>
            </w:pPr>
            <w:r w:rsidRPr="00D94FF1">
              <w:rPr>
                <w:rFonts w:ascii="Calibri" w:eastAsia="Times New Roman" w:hAnsi="Calibri" w:cs="Calibri"/>
                <w:color w:val="000000"/>
              </w:rPr>
              <w:t> </w:t>
            </w:r>
          </w:p>
        </w:tc>
        <w:tc>
          <w:tcPr>
            <w:tcW w:w="1020" w:type="dxa"/>
            <w:tcBorders>
              <w:top w:val="nil"/>
              <w:left w:val="nil"/>
              <w:bottom w:val="single" w:sz="4" w:space="0" w:color="auto"/>
              <w:right w:val="single" w:sz="4" w:space="0" w:color="auto"/>
            </w:tcBorders>
            <w:shd w:val="clear" w:color="auto" w:fill="D9FFFF"/>
            <w:noWrap/>
            <w:vAlign w:val="bottom"/>
            <w:hideMark/>
          </w:tcPr>
          <w:p w14:paraId="78E1108E" w14:textId="77777777" w:rsidR="00D94FF1" w:rsidRPr="00D94FF1" w:rsidRDefault="00D94FF1" w:rsidP="00D94FF1">
            <w:pPr>
              <w:rPr>
                <w:rFonts w:ascii="Calibri" w:eastAsia="Times New Roman" w:hAnsi="Calibri" w:cs="Calibri"/>
                <w:color w:val="000000"/>
              </w:rPr>
            </w:pPr>
            <w:r w:rsidRPr="00D94FF1">
              <w:rPr>
                <w:rFonts w:ascii="Calibri" w:eastAsia="Times New Roman" w:hAnsi="Calibri" w:cs="Calibri"/>
                <w:color w:val="000000"/>
              </w:rPr>
              <w:t> </w:t>
            </w:r>
          </w:p>
        </w:tc>
        <w:tc>
          <w:tcPr>
            <w:tcW w:w="1930" w:type="dxa"/>
            <w:tcBorders>
              <w:top w:val="nil"/>
              <w:left w:val="nil"/>
              <w:bottom w:val="single" w:sz="4" w:space="0" w:color="auto"/>
              <w:right w:val="single" w:sz="4" w:space="0" w:color="auto"/>
            </w:tcBorders>
            <w:shd w:val="clear" w:color="auto" w:fill="D9FFFF"/>
            <w:noWrap/>
            <w:vAlign w:val="bottom"/>
            <w:hideMark/>
          </w:tcPr>
          <w:p w14:paraId="6D450CD9" w14:textId="77777777" w:rsidR="00D94FF1" w:rsidRPr="00D94FF1" w:rsidRDefault="00D94FF1" w:rsidP="00D94FF1">
            <w:pPr>
              <w:rPr>
                <w:rFonts w:ascii="Calibri" w:eastAsia="Times New Roman" w:hAnsi="Calibri" w:cs="Calibri"/>
                <w:color w:val="000000"/>
              </w:rPr>
            </w:pPr>
            <w:r w:rsidRPr="00D94FF1">
              <w:rPr>
                <w:rFonts w:ascii="Calibri" w:eastAsia="Times New Roman" w:hAnsi="Calibri" w:cs="Calibri"/>
                <w:color w:val="000000"/>
              </w:rPr>
              <w:t> </w:t>
            </w:r>
          </w:p>
        </w:tc>
      </w:tr>
      <w:tr w:rsidR="00D94FF1" w:rsidRPr="00D94FF1" w14:paraId="567CDB56" w14:textId="77777777" w:rsidTr="00081851">
        <w:trPr>
          <w:cantSplit/>
          <w:trHeight w:val="310"/>
          <w:jc w:val="center"/>
        </w:trPr>
        <w:tc>
          <w:tcPr>
            <w:tcW w:w="4280" w:type="dxa"/>
            <w:tcBorders>
              <w:top w:val="nil"/>
              <w:left w:val="single" w:sz="4" w:space="0" w:color="auto"/>
              <w:bottom w:val="single" w:sz="4" w:space="0" w:color="auto"/>
              <w:right w:val="single" w:sz="4" w:space="0" w:color="auto"/>
            </w:tcBorders>
            <w:shd w:val="clear" w:color="auto" w:fill="auto"/>
            <w:noWrap/>
            <w:hideMark/>
          </w:tcPr>
          <w:p w14:paraId="7134D862" w14:textId="77777777" w:rsidR="00D94FF1" w:rsidRPr="00D94FF1" w:rsidRDefault="00D94FF1" w:rsidP="00D94FF1">
            <w:pPr>
              <w:rPr>
                <w:rFonts w:ascii="Calibri" w:eastAsia="Times New Roman" w:hAnsi="Calibri" w:cs="Calibri"/>
                <w:color w:val="000000"/>
              </w:rPr>
            </w:pPr>
            <w:r w:rsidRPr="00D94FF1">
              <w:rPr>
                <w:rFonts w:ascii="Calibri" w:eastAsia="Times New Roman" w:hAnsi="Calibri" w:cs="Calibri"/>
                <w:color w:val="000000"/>
              </w:rPr>
              <w:t>0-44</w:t>
            </w:r>
          </w:p>
        </w:tc>
        <w:tc>
          <w:tcPr>
            <w:tcW w:w="1020" w:type="dxa"/>
            <w:tcBorders>
              <w:top w:val="nil"/>
              <w:left w:val="nil"/>
              <w:bottom w:val="single" w:sz="4" w:space="0" w:color="auto"/>
              <w:right w:val="single" w:sz="4" w:space="0" w:color="auto"/>
            </w:tcBorders>
            <w:shd w:val="clear" w:color="auto" w:fill="auto"/>
            <w:noWrap/>
            <w:hideMark/>
          </w:tcPr>
          <w:p w14:paraId="135E0EB5" w14:textId="77777777" w:rsidR="00D94FF1" w:rsidRPr="00D94FF1" w:rsidRDefault="00D94FF1" w:rsidP="00D94FF1">
            <w:pPr>
              <w:jc w:val="right"/>
              <w:rPr>
                <w:rFonts w:ascii="Calibri" w:eastAsia="Times New Roman" w:hAnsi="Calibri" w:cs="Calibri"/>
                <w:color w:val="000000"/>
              </w:rPr>
            </w:pPr>
            <w:r w:rsidRPr="00D94FF1">
              <w:rPr>
                <w:rFonts w:ascii="Calibri" w:eastAsia="Times New Roman" w:hAnsi="Calibri" w:cs="Calibri"/>
                <w:color w:val="000000"/>
              </w:rPr>
              <w:t>17.9%</w:t>
            </w:r>
          </w:p>
        </w:tc>
        <w:tc>
          <w:tcPr>
            <w:tcW w:w="1020" w:type="dxa"/>
            <w:tcBorders>
              <w:top w:val="nil"/>
              <w:left w:val="nil"/>
              <w:bottom w:val="single" w:sz="4" w:space="0" w:color="auto"/>
              <w:right w:val="single" w:sz="4" w:space="0" w:color="auto"/>
            </w:tcBorders>
            <w:shd w:val="clear" w:color="auto" w:fill="auto"/>
            <w:noWrap/>
            <w:hideMark/>
          </w:tcPr>
          <w:p w14:paraId="1A66E6D6" w14:textId="77777777" w:rsidR="00D94FF1" w:rsidRPr="00D94FF1" w:rsidRDefault="00D94FF1" w:rsidP="00D94FF1">
            <w:pPr>
              <w:jc w:val="right"/>
              <w:rPr>
                <w:rFonts w:ascii="Calibri" w:eastAsia="Times New Roman" w:hAnsi="Calibri" w:cs="Calibri"/>
                <w:color w:val="000000"/>
              </w:rPr>
            </w:pPr>
            <w:r w:rsidRPr="00D94FF1">
              <w:rPr>
                <w:rFonts w:ascii="Calibri" w:eastAsia="Times New Roman" w:hAnsi="Calibri" w:cs="Calibri"/>
                <w:color w:val="000000"/>
              </w:rPr>
              <w:t>15.2%</w:t>
            </w:r>
          </w:p>
        </w:tc>
        <w:tc>
          <w:tcPr>
            <w:tcW w:w="1020" w:type="dxa"/>
            <w:tcBorders>
              <w:top w:val="nil"/>
              <w:left w:val="nil"/>
              <w:bottom w:val="single" w:sz="4" w:space="0" w:color="auto"/>
              <w:right w:val="single" w:sz="4" w:space="0" w:color="auto"/>
            </w:tcBorders>
            <w:shd w:val="clear" w:color="auto" w:fill="auto"/>
            <w:noWrap/>
            <w:hideMark/>
          </w:tcPr>
          <w:p w14:paraId="78B2523E" w14:textId="77777777" w:rsidR="00D94FF1" w:rsidRPr="00D94FF1" w:rsidRDefault="00D94FF1" w:rsidP="00D94FF1">
            <w:pPr>
              <w:jc w:val="right"/>
              <w:rPr>
                <w:rFonts w:ascii="Calibri" w:eastAsia="Times New Roman" w:hAnsi="Calibri" w:cs="Calibri"/>
                <w:color w:val="000000"/>
              </w:rPr>
            </w:pPr>
            <w:r w:rsidRPr="00D94FF1">
              <w:rPr>
                <w:rFonts w:ascii="Calibri" w:eastAsia="Times New Roman" w:hAnsi="Calibri" w:cs="Calibri"/>
                <w:color w:val="000000"/>
              </w:rPr>
              <w:t>11.6%</w:t>
            </w:r>
          </w:p>
        </w:tc>
        <w:tc>
          <w:tcPr>
            <w:tcW w:w="1930" w:type="dxa"/>
            <w:tcBorders>
              <w:top w:val="nil"/>
              <w:left w:val="nil"/>
              <w:bottom w:val="single" w:sz="4" w:space="0" w:color="auto"/>
              <w:right w:val="single" w:sz="4" w:space="0" w:color="auto"/>
            </w:tcBorders>
            <w:shd w:val="clear" w:color="auto" w:fill="auto"/>
            <w:noWrap/>
            <w:hideMark/>
          </w:tcPr>
          <w:p w14:paraId="6C09FEB2" w14:textId="77777777" w:rsidR="00D94FF1" w:rsidRPr="00D94FF1" w:rsidRDefault="00D94FF1" w:rsidP="00D94FF1">
            <w:pPr>
              <w:jc w:val="right"/>
              <w:rPr>
                <w:rFonts w:ascii="Calibri" w:eastAsia="Times New Roman" w:hAnsi="Calibri" w:cs="Calibri"/>
                <w:color w:val="000000"/>
              </w:rPr>
            </w:pPr>
            <w:r w:rsidRPr="00D94FF1">
              <w:rPr>
                <w:rFonts w:ascii="Calibri" w:eastAsia="Times New Roman" w:hAnsi="Calibri" w:cs="Calibri"/>
                <w:color w:val="000000"/>
              </w:rPr>
              <w:t>11.4%</w:t>
            </w:r>
          </w:p>
        </w:tc>
      </w:tr>
      <w:tr w:rsidR="00D94FF1" w:rsidRPr="00D94FF1" w14:paraId="09A3B269" w14:textId="77777777" w:rsidTr="00081851">
        <w:trPr>
          <w:cantSplit/>
          <w:trHeight w:val="310"/>
          <w:jc w:val="center"/>
        </w:trPr>
        <w:tc>
          <w:tcPr>
            <w:tcW w:w="4280" w:type="dxa"/>
            <w:tcBorders>
              <w:top w:val="nil"/>
              <w:left w:val="single" w:sz="4" w:space="0" w:color="auto"/>
              <w:bottom w:val="single" w:sz="4" w:space="0" w:color="auto"/>
              <w:right w:val="single" w:sz="4" w:space="0" w:color="auto"/>
            </w:tcBorders>
            <w:shd w:val="clear" w:color="auto" w:fill="auto"/>
            <w:noWrap/>
            <w:hideMark/>
          </w:tcPr>
          <w:p w14:paraId="0EF76902" w14:textId="77777777" w:rsidR="00D94FF1" w:rsidRPr="00D94FF1" w:rsidRDefault="00D94FF1" w:rsidP="00D94FF1">
            <w:pPr>
              <w:rPr>
                <w:rFonts w:ascii="Calibri" w:eastAsia="Times New Roman" w:hAnsi="Calibri" w:cs="Calibri"/>
                <w:color w:val="000000"/>
              </w:rPr>
            </w:pPr>
            <w:r w:rsidRPr="00D94FF1">
              <w:rPr>
                <w:rFonts w:ascii="Calibri" w:eastAsia="Times New Roman" w:hAnsi="Calibri" w:cs="Calibri"/>
                <w:color w:val="000000"/>
              </w:rPr>
              <w:t>45-49</w:t>
            </w:r>
          </w:p>
        </w:tc>
        <w:tc>
          <w:tcPr>
            <w:tcW w:w="1020" w:type="dxa"/>
            <w:tcBorders>
              <w:top w:val="nil"/>
              <w:left w:val="nil"/>
              <w:bottom w:val="single" w:sz="4" w:space="0" w:color="auto"/>
              <w:right w:val="single" w:sz="4" w:space="0" w:color="auto"/>
            </w:tcBorders>
            <w:shd w:val="clear" w:color="auto" w:fill="auto"/>
            <w:noWrap/>
            <w:hideMark/>
          </w:tcPr>
          <w:p w14:paraId="44842162" w14:textId="77777777" w:rsidR="00D94FF1" w:rsidRPr="00D94FF1" w:rsidRDefault="00D94FF1" w:rsidP="00D94FF1">
            <w:pPr>
              <w:jc w:val="right"/>
              <w:rPr>
                <w:rFonts w:ascii="Calibri" w:eastAsia="Times New Roman" w:hAnsi="Calibri" w:cs="Calibri"/>
                <w:color w:val="000000"/>
              </w:rPr>
            </w:pPr>
            <w:r w:rsidRPr="00D94FF1">
              <w:rPr>
                <w:rFonts w:ascii="Calibri" w:eastAsia="Times New Roman" w:hAnsi="Calibri" w:cs="Calibri"/>
                <w:color w:val="000000"/>
              </w:rPr>
              <w:t>6.6%</w:t>
            </w:r>
          </w:p>
        </w:tc>
        <w:tc>
          <w:tcPr>
            <w:tcW w:w="1020" w:type="dxa"/>
            <w:tcBorders>
              <w:top w:val="nil"/>
              <w:left w:val="nil"/>
              <w:bottom w:val="single" w:sz="4" w:space="0" w:color="auto"/>
              <w:right w:val="single" w:sz="4" w:space="0" w:color="auto"/>
            </w:tcBorders>
            <w:shd w:val="clear" w:color="auto" w:fill="auto"/>
            <w:noWrap/>
            <w:hideMark/>
          </w:tcPr>
          <w:p w14:paraId="1C017429" w14:textId="77777777" w:rsidR="00D94FF1" w:rsidRPr="00D94FF1" w:rsidRDefault="00D94FF1" w:rsidP="00D94FF1">
            <w:pPr>
              <w:jc w:val="right"/>
              <w:rPr>
                <w:rFonts w:ascii="Calibri" w:eastAsia="Times New Roman" w:hAnsi="Calibri" w:cs="Calibri"/>
                <w:color w:val="000000"/>
              </w:rPr>
            </w:pPr>
            <w:r w:rsidRPr="00D94FF1">
              <w:rPr>
                <w:rFonts w:ascii="Calibri" w:eastAsia="Times New Roman" w:hAnsi="Calibri" w:cs="Calibri"/>
                <w:color w:val="000000"/>
              </w:rPr>
              <w:t>10.4%</w:t>
            </w:r>
          </w:p>
        </w:tc>
        <w:tc>
          <w:tcPr>
            <w:tcW w:w="1020" w:type="dxa"/>
            <w:tcBorders>
              <w:top w:val="nil"/>
              <w:left w:val="nil"/>
              <w:bottom w:val="single" w:sz="4" w:space="0" w:color="auto"/>
              <w:right w:val="single" w:sz="4" w:space="0" w:color="auto"/>
            </w:tcBorders>
            <w:shd w:val="clear" w:color="auto" w:fill="auto"/>
            <w:noWrap/>
            <w:hideMark/>
          </w:tcPr>
          <w:p w14:paraId="7ED20E46" w14:textId="77777777" w:rsidR="00D94FF1" w:rsidRPr="00D94FF1" w:rsidRDefault="00D94FF1" w:rsidP="00D94FF1">
            <w:pPr>
              <w:jc w:val="right"/>
              <w:rPr>
                <w:rFonts w:ascii="Calibri" w:eastAsia="Times New Roman" w:hAnsi="Calibri" w:cs="Calibri"/>
                <w:color w:val="000000"/>
              </w:rPr>
            </w:pPr>
            <w:r w:rsidRPr="00D94FF1">
              <w:rPr>
                <w:rFonts w:ascii="Calibri" w:eastAsia="Times New Roman" w:hAnsi="Calibri" w:cs="Calibri"/>
                <w:color w:val="000000"/>
              </w:rPr>
              <w:t>15.9%</w:t>
            </w:r>
          </w:p>
        </w:tc>
        <w:tc>
          <w:tcPr>
            <w:tcW w:w="1930" w:type="dxa"/>
            <w:tcBorders>
              <w:top w:val="nil"/>
              <w:left w:val="nil"/>
              <w:bottom w:val="single" w:sz="4" w:space="0" w:color="auto"/>
              <w:right w:val="single" w:sz="4" w:space="0" w:color="auto"/>
            </w:tcBorders>
            <w:shd w:val="clear" w:color="auto" w:fill="auto"/>
            <w:noWrap/>
            <w:hideMark/>
          </w:tcPr>
          <w:p w14:paraId="5B7A9B46" w14:textId="77777777" w:rsidR="00D94FF1" w:rsidRPr="00D94FF1" w:rsidRDefault="00D94FF1" w:rsidP="00D94FF1">
            <w:pPr>
              <w:jc w:val="right"/>
              <w:rPr>
                <w:rFonts w:ascii="Calibri" w:eastAsia="Times New Roman" w:hAnsi="Calibri" w:cs="Calibri"/>
                <w:color w:val="000000"/>
              </w:rPr>
            </w:pPr>
            <w:r w:rsidRPr="00D94FF1">
              <w:rPr>
                <w:rFonts w:ascii="Calibri" w:eastAsia="Times New Roman" w:hAnsi="Calibri" w:cs="Calibri"/>
                <w:color w:val="000000"/>
              </w:rPr>
              <w:t>12.7%</w:t>
            </w:r>
          </w:p>
        </w:tc>
      </w:tr>
      <w:tr w:rsidR="00D94FF1" w:rsidRPr="00D94FF1" w14:paraId="54E0EE01" w14:textId="77777777" w:rsidTr="00081851">
        <w:trPr>
          <w:cantSplit/>
          <w:trHeight w:val="310"/>
          <w:jc w:val="center"/>
        </w:trPr>
        <w:tc>
          <w:tcPr>
            <w:tcW w:w="4280" w:type="dxa"/>
            <w:tcBorders>
              <w:top w:val="nil"/>
              <w:left w:val="single" w:sz="4" w:space="0" w:color="auto"/>
              <w:bottom w:val="single" w:sz="4" w:space="0" w:color="auto"/>
              <w:right w:val="single" w:sz="4" w:space="0" w:color="auto"/>
            </w:tcBorders>
            <w:shd w:val="clear" w:color="auto" w:fill="auto"/>
            <w:noWrap/>
            <w:hideMark/>
          </w:tcPr>
          <w:p w14:paraId="680021C9" w14:textId="77777777" w:rsidR="00D94FF1" w:rsidRPr="00D94FF1" w:rsidRDefault="00D94FF1" w:rsidP="00D94FF1">
            <w:pPr>
              <w:rPr>
                <w:rFonts w:ascii="Calibri" w:eastAsia="Times New Roman" w:hAnsi="Calibri" w:cs="Calibri"/>
                <w:color w:val="000000"/>
              </w:rPr>
            </w:pPr>
            <w:r w:rsidRPr="00D94FF1">
              <w:rPr>
                <w:rFonts w:ascii="Calibri" w:eastAsia="Times New Roman" w:hAnsi="Calibri" w:cs="Calibri"/>
                <w:color w:val="000000"/>
              </w:rPr>
              <w:t>50-69</w:t>
            </w:r>
          </w:p>
        </w:tc>
        <w:tc>
          <w:tcPr>
            <w:tcW w:w="1020" w:type="dxa"/>
            <w:tcBorders>
              <w:top w:val="nil"/>
              <w:left w:val="nil"/>
              <w:bottom w:val="single" w:sz="4" w:space="0" w:color="auto"/>
              <w:right w:val="single" w:sz="4" w:space="0" w:color="auto"/>
            </w:tcBorders>
            <w:shd w:val="clear" w:color="auto" w:fill="auto"/>
            <w:noWrap/>
            <w:hideMark/>
          </w:tcPr>
          <w:p w14:paraId="681D0C56" w14:textId="77777777" w:rsidR="00D94FF1" w:rsidRPr="00D94FF1" w:rsidRDefault="00D94FF1" w:rsidP="00D94FF1">
            <w:pPr>
              <w:jc w:val="right"/>
              <w:rPr>
                <w:rFonts w:ascii="Calibri" w:eastAsia="Times New Roman" w:hAnsi="Calibri" w:cs="Calibri"/>
                <w:color w:val="000000"/>
              </w:rPr>
            </w:pPr>
            <w:r w:rsidRPr="00D94FF1">
              <w:rPr>
                <w:rFonts w:ascii="Calibri" w:eastAsia="Times New Roman" w:hAnsi="Calibri" w:cs="Calibri"/>
                <w:color w:val="000000"/>
              </w:rPr>
              <w:t>59.7%</w:t>
            </w:r>
          </w:p>
        </w:tc>
        <w:tc>
          <w:tcPr>
            <w:tcW w:w="1020" w:type="dxa"/>
            <w:tcBorders>
              <w:top w:val="nil"/>
              <w:left w:val="nil"/>
              <w:bottom w:val="single" w:sz="4" w:space="0" w:color="auto"/>
              <w:right w:val="single" w:sz="4" w:space="0" w:color="auto"/>
            </w:tcBorders>
            <w:shd w:val="clear" w:color="auto" w:fill="auto"/>
            <w:noWrap/>
            <w:hideMark/>
          </w:tcPr>
          <w:p w14:paraId="3D6F23CC" w14:textId="77777777" w:rsidR="00D94FF1" w:rsidRPr="00D94FF1" w:rsidRDefault="00D94FF1" w:rsidP="00D94FF1">
            <w:pPr>
              <w:jc w:val="right"/>
              <w:rPr>
                <w:rFonts w:ascii="Calibri" w:eastAsia="Times New Roman" w:hAnsi="Calibri" w:cs="Calibri"/>
                <w:color w:val="000000"/>
              </w:rPr>
            </w:pPr>
            <w:r w:rsidRPr="00D94FF1">
              <w:rPr>
                <w:rFonts w:ascii="Calibri" w:eastAsia="Times New Roman" w:hAnsi="Calibri" w:cs="Calibri"/>
                <w:color w:val="000000"/>
              </w:rPr>
              <w:t>58.1%</w:t>
            </w:r>
          </w:p>
        </w:tc>
        <w:tc>
          <w:tcPr>
            <w:tcW w:w="1020" w:type="dxa"/>
            <w:tcBorders>
              <w:top w:val="nil"/>
              <w:left w:val="nil"/>
              <w:bottom w:val="single" w:sz="4" w:space="0" w:color="auto"/>
              <w:right w:val="single" w:sz="4" w:space="0" w:color="auto"/>
            </w:tcBorders>
            <w:shd w:val="clear" w:color="auto" w:fill="auto"/>
            <w:noWrap/>
            <w:hideMark/>
          </w:tcPr>
          <w:p w14:paraId="6BBD19CE" w14:textId="77777777" w:rsidR="00D94FF1" w:rsidRPr="00D94FF1" w:rsidRDefault="00D94FF1" w:rsidP="00D94FF1">
            <w:pPr>
              <w:jc w:val="right"/>
              <w:rPr>
                <w:rFonts w:ascii="Calibri" w:eastAsia="Times New Roman" w:hAnsi="Calibri" w:cs="Calibri"/>
                <w:color w:val="000000"/>
              </w:rPr>
            </w:pPr>
            <w:r w:rsidRPr="00D94FF1">
              <w:rPr>
                <w:rFonts w:ascii="Calibri" w:eastAsia="Times New Roman" w:hAnsi="Calibri" w:cs="Calibri"/>
                <w:color w:val="000000"/>
              </w:rPr>
              <w:t>56.7%</w:t>
            </w:r>
          </w:p>
        </w:tc>
        <w:tc>
          <w:tcPr>
            <w:tcW w:w="1930" w:type="dxa"/>
            <w:tcBorders>
              <w:top w:val="nil"/>
              <w:left w:val="nil"/>
              <w:bottom w:val="single" w:sz="4" w:space="0" w:color="auto"/>
              <w:right w:val="single" w:sz="4" w:space="0" w:color="auto"/>
            </w:tcBorders>
            <w:shd w:val="clear" w:color="auto" w:fill="auto"/>
            <w:noWrap/>
            <w:hideMark/>
          </w:tcPr>
          <w:p w14:paraId="5093E5BA" w14:textId="77777777" w:rsidR="00D94FF1" w:rsidRPr="00D94FF1" w:rsidRDefault="00D94FF1" w:rsidP="00D94FF1">
            <w:pPr>
              <w:jc w:val="right"/>
              <w:rPr>
                <w:rFonts w:ascii="Calibri" w:eastAsia="Times New Roman" w:hAnsi="Calibri" w:cs="Calibri"/>
                <w:color w:val="000000"/>
              </w:rPr>
            </w:pPr>
            <w:r w:rsidRPr="00D94FF1">
              <w:rPr>
                <w:rFonts w:ascii="Calibri" w:eastAsia="Times New Roman" w:hAnsi="Calibri" w:cs="Calibri"/>
                <w:color w:val="000000"/>
              </w:rPr>
              <w:t>56.7%</w:t>
            </w:r>
          </w:p>
        </w:tc>
      </w:tr>
      <w:tr w:rsidR="00D94FF1" w:rsidRPr="00D94FF1" w14:paraId="3CB323C9" w14:textId="77777777" w:rsidTr="00081851">
        <w:trPr>
          <w:cantSplit/>
          <w:trHeight w:val="310"/>
          <w:jc w:val="center"/>
        </w:trPr>
        <w:tc>
          <w:tcPr>
            <w:tcW w:w="4280" w:type="dxa"/>
            <w:tcBorders>
              <w:top w:val="nil"/>
              <w:left w:val="single" w:sz="4" w:space="0" w:color="auto"/>
              <w:bottom w:val="single" w:sz="4" w:space="0" w:color="auto"/>
              <w:right w:val="single" w:sz="4" w:space="0" w:color="auto"/>
            </w:tcBorders>
            <w:shd w:val="clear" w:color="auto" w:fill="auto"/>
            <w:noWrap/>
            <w:hideMark/>
          </w:tcPr>
          <w:p w14:paraId="5417899C" w14:textId="77777777" w:rsidR="00D94FF1" w:rsidRPr="00D94FF1" w:rsidRDefault="00D94FF1" w:rsidP="00D94FF1">
            <w:pPr>
              <w:rPr>
                <w:rFonts w:ascii="Calibri" w:eastAsia="Times New Roman" w:hAnsi="Calibri" w:cs="Calibri"/>
                <w:color w:val="000000"/>
              </w:rPr>
            </w:pPr>
            <w:r w:rsidRPr="00D94FF1">
              <w:rPr>
                <w:rFonts w:ascii="Calibri" w:eastAsia="Times New Roman" w:hAnsi="Calibri" w:cs="Calibri"/>
                <w:color w:val="000000"/>
              </w:rPr>
              <w:t>70+</w:t>
            </w:r>
          </w:p>
        </w:tc>
        <w:tc>
          <w:tcPr>
            <w:tcW w:w="1020" w:type="dxa"/>
            <w:tcBorders>
              <w:top w:val="nil"/>
              <w:left w:val="nil"/>
              <w:bottom w:val="single" w:sz="4" w:space="0" w:color="auto"/>
              <w:right w:val="single" w:sz="4" w:space="0" w:color="auto"/>
            </w:tcBorders>
            <w:shd w:val="clear" w:color="auto" w:fill="auto"/>
            <w:noWrap/>
            <w:hideMark/>
          </w:tcPr>
          <w:p w14:paraId="2606F912" w14:textId="77777777" w:rsidR="00D94FF1" w:rsidRPr="00D94FF1" w:rsidRDefault="00D94FF1" w:rsidP="00D94FF1">
            <w:pPr>
              <w:jc w:val="right"/>
              <w:rPr>
                <w:rFonts w:ascii="Calibri" w:eastAsia="Times New Roman" w:hAnsi="Calibri" w:cs="Calibri"/>
                <w:color w:val="000000"/>
              </w:rPr>
            </w:pPr>
            <w:r w:rsidRPr="00D94FF1">
              <w:rPr>
                <w:rFonts w:ascii="Calibri" w:eastAsia="Times New Roman" w:hAnsi="Calibri" w:cs="Calibri"/>
                <w:color w:val="000000"/>
              </w:rPr>
              <w:t>15.7%</w:t>
            </w:r>
          </w:p>
        </w:tc>
        <w:tc>
          <w:tcPr>
            <w:tcW w:w="1020" w:type="dxa"/>
            <w:tcBorders>
              <w:top w:val="nil"/>
              <w:left w:val="nil"/>
              <w:bottom w:val="single" w:sz="4" w:space="0" w:color="auto"/>
              <w:right w:val="single" w:sz="4" w:space="0" w:color="auto"/>
            </w:tcBorders>
            <w:shd w:val="clear" w:color="auto" w:fill="auto"/>
            <w:noWrap/>
            <w:hideMark/>
          </w:tcPr>
          <w:p w14:paraId="748DE161" w14:textId="77777777" w:rsidR="00D94FF1" w:rsidRPr="00D94FF1" w:rsidRDefault="00D94FF1" w:rsidP="00D94FF1">
            <w:pPr>
              <w:jc w:val="right"/>
              <w:rPr>
                <w:rFonts w:ascii="Calibri" w:eastAsia="Times New Roman" w:hAnsi="Calibri" w:cs="Calibri"/>
                <w:color w:val="000000"/>
              </w:rPr>
            </w:pPr>
            <w:r w:rsidRPr="00D94FF1">
              <w:rPr>
                <w:rFonts w:ascii="Calibri" w:eastAsia="Times New Roman" w:hAnsi="Calibri" w:cs="Calibri"/>
                <w:color w:val="000000"/>
              </w:rPr>
              <w:t>16.4%</w:t>
            </w:r>
          </w:p>
        </w:tc>
        <w:tc>
          <w:tcPr>
            <w:tcW w:w="1020" w:type="dxa"/>
            <w:tcBorders>
              <w:top w:val="nil"/>
              <w:left w:val="nil"/>
              <w:bottom w:val="single" w:sz="4" w:space="0" w:color="auto"/>
              <w:right w:val="single" w:sz="4" w:space="0" w:color="auto"/>
            </w:tcBorders>
            <w:shd w:val="clear" w:color="auto" w:fill="auto"/>
            <w:noWrap/>
            <w:hideMark/>
          </w:tcPr>
          <w:p w14:paraId="020C4F23" w14:textId="77777777" w:rsidR="00D94FF1" w:rsidRPr="00D94FF1" w:rsidRDefault="00D94FF1" w:rsidP="00D94FF1">
            <w:pPr>
              <w:jc w:val="right"/>
              <w:rPr>
                <w:rFonts w:ascii="Calibri" w:eastAsia="Times New Roman" w:hAnsi="Calibri" w:cs="Calibri"/>
                <w:color w:val="000000"/>
              </w:rPr>
            </w:pPr>
            <w:r w:rsidRPr="00D94FF1">
              <w:rPr>
                <w:rFonts w:ascii="Calibri" w:eastAsia="Times New Roman" w:hAnsi="Calibri" w:cs="Calibri"/>
                <w:color w:val="000000"/>
              </w:rPr>
              <w:t>15.8%</w:t>
            </w:r>
          </w:p>
        </w:tc>
        <w:tc>
          <w:tcPr>
            <w:tcW w:w="1930" w:type="dxa"/>
            <w:tcBorders>
              <w:top w:val="nil"/>
              <w:left w:val="nil"/>
              <w:bottom w:val="single" w:sz="4" w:space="0" w:color="auto"/>
              <w:right w:val="single" w:sz="4" w:space="0" w:color="auto"/>
            </w:tcBorders>
            <w:shd w:val="clear" w:color="auto" w:fill="auto"/>
            <w:noWrap/>
            <w:hideMark/>
          </w:tcPr>
          <w:p w14:paraId="2D449FCC" w14:textId="77777777" w:rsidR="00D94FF1" w:rsidRPr="00D94FF1" w:rsidRDefault="00D94FF1" w:rsidP="00D94FF1">
            <w:pPr>
              <w:jc w:val="right"/>
              <w:rPr>
                <w:rFonts w:ascii="Calibri" w:eastAsia="Times New Roman" w:hAnsi="Calibri" w:cs="Calibri"/>
                <w:color w:val="000000"/>
              </w:rPr>
            </w:pPr>
            <w:r w:rsidRPr="00D94FF1">
              <w:rPr>
                <w:rFonts w:ascii="Calibri" w:eastAsia="Times New Roman" w:hAnsi="Calibri" w:cs="Calibri"/>
                <w:color w:val="000000"/>
              </w:rPr>
              <w:t>19.2%</w:t>
            </w:r>
          </w:p>
        </w:tc>
      </w:tr>
      <w:tr w:rsidR="00D94FF1" w:rsidRPr="00D94FF1" w14:paraId="6748532F" w14:textId="77777777" w:rsidTr="00081851">
        <w:trPr>
          <w:cantSplit/>
          <w:trHeight w:val="310"/>
          <w:jc w:val="center"/>
        </w:trPr>
        <w:tc>
          <w:tcPr>
            <w:tcW w:w="4280" w:type="dxa"/>
            <w:tcBorders>
              <w:top w:val="nil"/>
              <w:left w:val="single" w:sz="4" w:space="0" w:color="auto"/>
              <w:bottom w:val="single" w:sz="4" w:space="0" w:color="auto"/>
              <w:right w:val="single" w:sz="4" w:space="0" w:color="auto"/>
            </w:tcBorders>
            <w:shd w:val="clear" w:color="auto" w:fill="D9FFFF"/>
            <w:noWrap/>
            <w:vAlign w:val="bottom"/>
            <w:hideMark/>
          </w:tcPr>
          <w:p w14:paraId="3F70BC39" w14:textId="77777777" w:rsidR="00D94FF1" w:rsidRPr="00D94FF1" w:rsidRDefault="00D94FF1" w:rsidP="00D94FF1">
            <w:pPr>
              <w:rPr>
                <w:rFonts w:ascii="Calibri" w:eastAsia="Times New Roman" w:hAnsi="Calibri" w:cs="Calibri"/>
                <w:b/>
                <w:bCs/>
                <w:color w:val="000000"/>
              </w:rPr>
            </w:pPr>
            <w:r w:rsidRPr="00D94FF1">
              <w:rPr>
                <w:rFonts w:ascii="Calibri" w:eastAsia="Times New Roman" w:hAnsi="Calibri" w:cs="Calibri"/>
                <w:b/>
                <w:bCs/>
                <w:color w:val="000000"/>
              </w:rPr>
              <w:t>Race</w:t>
            </w:r>
          </w:p>
        </w:tc>
        <w:tc>
          <w:tcPr>
            <w:tcW w:w="1020" w:type="dxa"/>
            <w:tcBorders>
              <w:top w:val="nil"/>
              <w:left w:val="nil"/>
              <w:bottom w:val="single" w:sz="4" w:space="0" w:color="auto"/>
              <w:right w:val="single" w:sz="4" w:space="0" w:color="auto"/>
            </w:tcBorders>
            <w:shd w:val="clear" w:color="auto" w:fill="D9FFFF"/>
            <w:noWrap/>
            <w:vAlign w:val="bottom"/>
            <w:hideMark/>
          </w:tcPr>
          <w:p w14:paraId="62F1A741" w14:textId="77777777" w:rsidR="00D94FF1" w:rsidRPr="00D94FF1" w:rsidRDefault="00D94FF1" w:rsidP="00D94FF1">
            <w:pPr>
              <w:rPr>
                <w:rFonts w:ascii="Calibri" w:eastAsia="Times New Roman" w:hAnsi="Calibri" w:cs="Calibri"/>
                <w:color w:val="000000"/>
              </w:rPr>
            </w:pPr>
            <w:r w:rsidRPr="00D94FF1">
              <w:rPr>
                <w:rFonts w:ascii="Calibri" w:eastAsia="Times New Roman" w:hAnsi="Calibri" w:cs="Calibri"/>
                <w:color w:val="000000"/>
              </w:rPr>
              <w:t> </w:t>
            </w:r>
          </w:p>
        </w:tc>
        <w:tc>
          <w:tcPr>
            <w:tcW w:w="1020" w:type="dxa"/>
            <w:tcBorders>
              <w:top w:val="nil"/>
              <w:left w:val="nil"/>
              <w:bottom w:val="single" w:sz="4" w:space="0" w:color="auto"/>
              <w:right w:val="single" w:sz="4" w:space="0" w:color="auto"/>
            </w:tcBorders>
            <w:shd w:val="clear" w:color="auto" w:fill="D9FFFF"/>
            <w:noWrap/>
            <w:vAlign w:val="bottom"/>
            <w:hideMark/>
          </w:tcPr>
          <w:p w14:paraId="6BAA4C91" w14:textId="77777777" w:rsidR="00D94FF1" w:rsidRPr="00D94FF1" w:rsidRDefault="00D94FF1" w:rsidP="00D94FF1">
            <w:pPr>
              <w:rPr>
                <w:rFonts w:ascii="Calibri" w:eastAsia="Times New Roman" w:hAnsi="Calibri" w:cs="Calibri"/>
                <w:color w:val="000000"/>
              </w:rPr>
            </w:pPr>
            <w:r w:rsidRPr="00D94FF1">
              <w:rPr>
                <w:rFonts w:ascii="Calibri" w:eastAsia="Times New Roman" w:hAnsi="Calibri" w:cs="Calibri"/>
                <w:color w:val="000000"/>
              </w:rPr>
              <w:t> </w:t>
            </w:r>
          </w:p>
        </w:tc>
        <w:tc>
          <w:tcPr>
            <w:tcW w:w="1020" w:type="dxa"/>
            <w:tcBorders>
              <w:top w:val="nil"/>
              <w:left w:val="nil"/>
              <w:bottom w:val="single" w:sz="4" w:space="0" w:color="auto"/>
              <w:right w:val="single" w:sz="4" w:space="0" w:color="auto"/>
            </w:tcBorders>
            <w:shd w:val="clear" w:color="auto" w:fill="D9FFFF"/>
            <w:noWrap/>
            <w:vAlign w:val="bottom"/>
            <w:hideMark/>
          </w:tcPr>
          <w:p w14:paraId="7F483C5A" w14:textId="77777777" w:rsidR="00D94FF1" w:rsidRPr="00D94FF1" w:rsidRDefault="00D94FF1" w:rsidP="00D94FF1">
            <w:pPr>
              <w:rPr>
                <w:rFonts w:ascii="Calibri" w:eastAsia="Times New Roman" w:hAnsi="Calibri" w:cs="Calibri"/>
                <w:color w:val="000000"/>
              </w:rPr>
            </w:pPr>
            <w:r w:rsidRPr="00D94FF1">
              <w:rPr>
                <w:rFonts w:ascii="Calibri" w:eastAsia="Times New Roman" w:hAnsi="Calibri" w:cs="Calibri"/>
                <w:color w:val="000000"/>
              </w:rPr>
              <w:t> </w:t>
            </w:r>
          </w:p>
        </w:tc>
        <w:tc>
          <w:tcPr>
            <w:tcW w:w="1930" w:type="dxa"/>
            <w:tcBorders>
              <w:top w:val="nil"/>
              <w:left w:val="nil"/>
              <w:bottom w:val="single" w:sz="4" w:space="0" w:color="auto"/>
              <w:right w:val="single" w:sz="4" w:space="0" w:color="auto"/>
            </w:tcBorders>
            <w:shd w:val="clear" w:color="auto" w:fill="D9FFFF"/>
            <w:noWrap/>
            <w:vAlign w:val="bottom"/>
            <w:hideMark/>
          </w:tcPr>
          <w:p w14:paraId="11403545" w14:textId="77777777" w:rsidR="00D94FF1" w:rsidRPr="00D94FF1" w:rsidRDefault="00D94FF1" w:rsidP="00D94FF1">
            <w:pPr>
              <w:rPr>
                <w:rFonts w:ascii="Calibri" w:eastAsia="Times New Roman" w:hAnsi="Calibri" w:cs="Calibri"/>
                <w:color w:val="000000"/>
              </w:rPr>
            </w:pPr>
            <w:r w:rsidRPr="00D94FF1">
              <w:rPr>
                <w:rFonts w:ascii="Calibri" w:eastAsia="Times New Roman" w:hAnsi="Calibri" w:cs="Calibri"/>
                <w:color w:val="000000"/>
              </w:rPr>
              <w:t> </w:t>
            </w:r>
          </w:p>
        </w:tc>
      </w:tr>
      <w:tr w:rsidR="00D94FF1" w:rsidRPr="00D94FF1" w14:paraId="0CC1C886" w14:textId="77777777" w:rsidTr="00081851">
        <w:trPr>
          <w:cantSplit/>
          <w:trHeight w:val="620"/>
          <w:jc w:val="center"/>
        </w:trPr>
        <w:tc>
          <w:tcPr>
            <w:tcW w:w="4280" w:type="dxa"/>
            <w:tcBorders>
              <w:top w:val="nil"/>
              <w:left w:val="single" w:sz="4" w:space="0" w:color="auto"/>
              <w:bottom w:val="single" w:sz="4" w:space="0" w:color="auto"/>
              <w:right w:val="single" w:sz="4" w:space="0" w:color="auto"/>
            </w:tcBorders>
            <w:shd w:val="clear" w:color="auto" w:fill="auto"/>
            <w:hideMark/>
          </w:tcPr>
          <w:p w14:paraId="5CAC17FA" w14:textId="6E2B6461" w:rsidR="00D94FF1" w:rsidRPr="00D94FF1" w:rsidRDefault="00D94FF1" w:rsidP="00D94FF1">
            <w:pPr>
              <w:rPr>
                <w:rFonts w:ascii="Calibri" w:eastAsia="Times New Roman" w:hAnsi="Calibri" w:cs="Calibri"/>
                <w:color w:val="000000"/>
              </w:rPr>
            </w:pPr>
            <w:r w:rsidRPr="00D94FF1">
              <w:rPr>
                <w:rFonts w:ascii="Calibri" w:eastAsia="Times New Roman" w:hAnsi="Calibri" w:cs="Calibri"/>
                <w:color w:val="000000"/>
              </w:rPr>
              <w:t>American Indian or Alaskan Native</w:t>
            </w:r>
            <w:r w:rsidR="002C0987">
              <w:rPr>
                <w:rFonts w:ascii="Calibri" w:eastAsia="Times New Roman" w:hAnsi="Calibri" w:cs="Calibri"/>
                <w:color w:val="000000"/>
              </w:rPr>
              <w:t>,</w:t>
            </w:r>
            <w:r w:rsidRPr="00D94FF1">
              <w:rPr>
                <w:rFonts w:ascii="Calibri" w:eastAsia="Times New Roman" w:hAnsi="Calibri" w:cs="Calibri"/>
                <w:color w:val="000000"/>
              </w:rPr>
              <w:t xml:space="preserve"> Asian, Native Hawaiian or Pacific Islander, Other</w:t>
            </w:r>
          </w:p>
        </w:tc>
        <w:tc>
          <w:tcPr>
            <w:tcW w:w="1020" w:type="dxa"/>
            <w:tcBorders>
              <w:top w:val="nil"/>
              <w:left w:val="nil"/>
              <w:bottom w:val="single" w:sz="4" w:space="0" w:color="auto"/>
              <w:right w:val="single" w:sz="4" w:space="0" w:color="auto"/>
            </w:tcBorders>
            <w:shd w:val="clear" w:color="auto" w:fill="auto"/>
            <w:noWrap/>
            <w:hideMark/>
          </w:tcPr>
          <w:p w14:paraId="5120ACDC" w14:textId="77777777" w:rsidR="00D94FF1" w:rsidRPr="00D94FF1" w:rsidRDefault="00D94FF1" w:rsidP="00D94FF1">
            <w:pPr>
              <w:jc w:val="right"/>
              <w:rPr>
                <w:rFonts w:ascii="Calibri" w:eastAsia="Times New Roman" w:hAnsi="Calibri" w:cs="Calibri"/>
                <w:color w:val="000000"/>
              </w:rPr>
            </w:pPr>
            <w:r w:rsidRPr="00D94FF1">
              <w:rPr>
                <w:rFonts w:ascii="Calibri" w:eastAsia="Times New Roman" w:hAnsi="Calibri" w:cs="Calibri"/>
                <w:color w:val="000000"/>
              </w:rPr>
              <w:t>3.1%</w:t>
            </w:r>
          </w:p>
        </w:tc>
        <w:tc>
          <w:tcPr>
            <w:tcW w:w="1020" w:type="dxa"/>
            <w:tcBorders>
              <w:top w:val="nil"/>
              <w:left w:val="nil"/>
              <w:bottom w:val="single" w:sz="4" w:space="0" w:color="auto"/>
              <w:right w:val="single" w:sz="4" w:space="0" w:color="auto"/>
            </w:tcBorders>
            <w:shd w:val="clear" w:color="auto" w:fill="auto"/>
            <w:noWrap/>
            <w:hideMark/>
          </w:tcPr>
          <w:p w14:paraId="6D9441FF" w14:textId="77777777" w:rsidR="00D94FF1" w:rsidRPr="00D94FF1" w:rsidRDefault="00D94FF1" w:rsidP="00D94FF1">
            <w:pPr>
              <w:jc w:val="right"/>
              <w:rPr>
                <w:rFonts w:ascii="Calibri" w:eastAsia="Times New Roman" w:hAnsi="Calibri" w:cs="Calibri"/>
                <w:color w:val="000000"/>
              </w:rPr>
            </w:pPr>
            <w:r w:rsidRPr="00D94FF1">
              <w:rPr>
                <w:rFonts w:ascii="Calibri" w:eastAsia="Times New Roman" w:hAnsi="Calibri" w:cs="Calibri"/>
                <w:color w:val="000000"/>
              </w:rPr>
              <w:t>3.1%</w:t>
            </w:r>
          </w:p>
        </w:tc>
        <w:tc>
          <w:tcPr>
            <w:tcW w:w="1020" w:type="dxa"/>
            <w:tcBorders>
              <w:top w:val="nil"/>
              <w:left w:val="nil"/>
              <w:bottom w:val="single" w:sz="4" w:space="0" w:color="auto"/>
              <w:right w:val="single" w:sz="4" w:space="0" w:color="auto"/>
            </w:tcBorders>
            <w:shd w:val="clear" w:color="auto" w:fill="auto"/>
            <w:noWrap/>
            <w:hideMark/>
          </w:tcPr>
          <w:p w14:paraId="6BB4B7D0" w14:textId="77777777" w:rsidR="00D94FF1" w:rsidRPr="00D94FF1" w:rsidRDefault="00D94FF1" w:rsidP="00D94FF1">
            <w:pPr>
              <w:jc w:val="right"/>
              <w:rPr>
                <w:rFonts w:ascii="Calibri" w:eastAsia="Times New Roman" w:hAnsi="Calibri" w:cs="Calibri"/>
                <w:color w:val="000000"/>
              </w:rPr>
            </w:pPr>
            <w:r w:rsidRPr="00D94FF1">
              <w:rPr>
                <w:rFonts w:ascii="Calibri" w:eastAsia="Times New Roman" w:hAnsi="Calibri" w:cs="Calibri"/>
                <w:color w:val="000000"/>
              </w:rPr>
              <w:t>4.0%</w:t>
            </w:r>
          </w:p>
        </w:tc>
        <w:tc>
          <w:tcPr>
            <w:tcW w:w="1930" w:type="dxa"/>
            <w:tcBorders>
              <w:top w:val="nil"/>
              <w:left w:val="nil"/>
              <w:bottom w:val="single" w:sz="4" w:space="0" w:color="auto"/>
              <w:right w:val="single" w:sz="4" w:space="0" w:color="auto"/>
            </w:tcBorders>
            <w:shd w:val="clear" w:color="auto" w:fill="auto"/>
            <w:noWrap/>
            <w:hideMark/>
          </w:tcPr>
          <w:p w14:paraId="0EFCA139" w14:textId="77777777" w:rsidR="00D94FF1" w:rsidRPr="00D94FF1" w:rsidRDefault="00D94FF1" w:rsidP="00D94FF1">
            <w:pPr>
              <w:jc w:val="right"/>
              <w:rPr>
                <w:rFonts w:ascii="Calibri" w:eastAsia="Times New Roman" w:hAnsi="Calibri" w:cs="Calibri"/>
                <w:color w:val="000000"/>
              </w:rPr>
            </w:pPr>
            <w:r w:rsidRPr="00D94FF1">
              <w:rPr>
                <w:rFonts w:ascii="Calibri" w:eastAsia="Times New Roman" w:hAnsi="Calibri" w:cs="Calibri"/>
                <w:color w:val="000000"/>
              </w:rPr>
              <w:t>3.5%</w:t>
            </w:r>
          </w:p>
        </w:tc>
      </w:tr>
      <w:tr w:rsidR="00D94FF1" w:rsidRPr="00D94FF1" w14:paraId="39E7097B" w14:textId="77777777" w:rsidTr="00081851">
        <w:trPr>
          <w:cantSplit/>
          <w:trHeight w:val="310"/>
          <w:jc w:val="center"/>
        </w:trPr>
        <w:tc>
          <w:tcPr>
            <w:tcW w:w="4280" w:type="dxa"/>
            <w:tcBorders>
              <w:top w:val="nil"/>
              <w:left w:val="single" w:sz="4" w:space="0" w:color="auto"/>
              <w:bottom w:val="single" w:sz="4" w:space="0" w:color="auto"/>
              <w:right w:val="single" w:sz="4" w:space="0" w:color="auto"/>
            </w:tcBorders>
            <w:shd w:val="clear" w:color="auto" w:fill="auto"/>
            <w:hideMark/>
          </w:tcPr>
          <w:p w14:paraId="013674BB" w14:textId="77777777" w:rsidR="00D94FF1" w:rsidRPr="00D94FF1" w:rsidRDefault="00D94FF1" w:rsidP="00D94FF1">
            <w:pPr>
              <w:rPr>
                <w:rFonts w:ascii="Calibri" w:eastAsia="Times New Roman" w:hAnsi="Calibri" w:cs="Calibri"/>
                <w:color w:val="000000"/>
              </w:rPr>
            </w:pPr>
            <w:r w:rsidRPr="00D94FF1">
              <w:rPr>
                <w:rFonts w:ascii="Calibri" w:eastAsia="Times New Roman" w:hAnsi="Calibri" w:cs="Calibri"/>
                <w:color w:val="000000"/>
              </w:rPr>
              <w:t>Black / African American</w:t>
            </w:r>
          </w:p>
        </w:tc>
        <w:tc>
          <w:tcPr>
            <w:tcW w:w="1020" w:type="dxa"/>
            <w:tcBorders>
              <w:top w:val="nil"/>
              <w:left w:val="nil"/>
              <w:bottom w:val="single" w:sz="4" w:space="0" w:color="auto"/>
              <w:right w:val="single" w:sz="4" w:space="0" w:color="auto"/>
            </w:tcBorders>
            <w:shd w:val="clear" w:color="auto" w:fill="auto"/>
            <w:noWrap/>
            <w:hideMark/>
          </w:tcPr>
          <w:p w14:paraId="2128D851" w14:textId="77777777" w:rsidR="00D94FF1" w:rsidRPr="00D94FF1" w:rsidRDefault="00D94FF1" w:rsidP="00D94FF1">
            <w:pPr>
              <w:jc w:val="right"/>
              <w:rPr>
                <w:rFonts w:ascii="Calibri" w:eastAsia="Times New Roman" w:hAnsi="Calibri" w:cs="Calibri"/>
                <w:color w:val="000000"/>
              </w:rPr>
            </w:pPr>
            <w:r w:rsidRPr="00D94FF1">
              <w:rPr>
                <w:rFonts w:ascii="Calibri" w:eastAsia="Times New Roman" w:hAnsi="Calibri" w:cs="Calibri"/>
                <w:color w:val="000000"/>
              </w:rPr>
              <w:t>3.9%</w:t>
            </w:r>
          </w:p>
        </w:tc>
        <w:tc>
          <w:tcPr>
            <w:tcW w:w="1020" w:type="dxa"/>
            <w:tcBorders>
              <w:top w:val="nil"/>
              <w:left w:val="nil"/>
              <w:bottom w:val="single" w:sz="4" w:space="0" w:color="auto"/>
              <w:right w:val="single" w:sz="4" w:space="0" w:color="auto"/>
            </w:tcBorders>
            <w:shd w:val="clear" w:color="auto" w:fill="auto"/>
            <w:noWrap/>
            <w:hideMark/>
          </w:tcPr>
          <w:p w14:paraId="36FF5F9D" w14:textId="77777777" w:rsidR="00D94FF1" w:rsidRPr="00D94FF1" w:rsidRDefault="00D94FF1" w:rsidP="00D94FF1">
            <w:pPr>
              <w:jc w:val="right"/>
              <w:rPr>
                <w:rFonts w:ascii="Calibri" w:eastAsia="Times New Roman" w:hAnsi="Calibri" w:cs="Calibri"/>
                <w:color w:val="000000"/>
              </w:rPr>
            </w:pPr>
            <w:r w:rsidRPr="00D94FF1">
              <w:rPr>
                <w:rFonts w:ascii="Calibri" w:eastAsia="Times New Roman" w:hAnsi="Calibri" w:cs="Calibri"/>
                <w:color w:val="000000"/>
              </w:rPr>
              <w:t>4.8%</w:t>
            </w:r>
          </w:p>
        </w:tc>
        <w:tc>
          <w:tcPr>
            <w:tcW w:w="1020" w:type="dxa"/>
            <w:tcBorders>
              <w:top w:val="nil"/>
              <w:left w:val="nil"/>
              <w:bottom w:val="single" w:sz="4" w:space="0" w:color="auto"/>
              <w:right w:val="single" w:sz="4" w:space="0" w:color="auto"/>
            </w:tcBorders>
            <w:shd w:val="clear" w:color="auto" w:fill="auto"/>
            <w:noWrap/>
            <w:hideMark/>
          </w:tcPr>
          <w:p w14:paraId="7E03D440" w14:textId="77777777" w:rsidR="00D94FF1" w:rsidRPr="00D94FF1" w:rsidRDefault="00D94FF1" w:rsidP="00D94FF1">
            <w:pPr>
              <w:jc w:val="right"/>
              <w:rPr>
                <w:rFonts w:ascii="Calibri" w:eastAsia="Times New Roman" w:hAnsi="Calibri" w:cs="Calibri"/>
                <w:color w:val="000000"/>
              </w:rPr>
            </w:pPr>
            <w:r w:rsidRPr="00D94FF1">
              <w:rPr>
                <w:rFonts w:ascii="Calibri" w:eastAsia="Times New Roman" w:hAnsi="Calibri" w:cs="Calibri"/>
                <w:color w:val="000000"/>
              </w:rPr>
              <w:t>7.6%</w:t>
            </w:r>
          </w:p>
        </w:tc>
        <w:tc>
          <w:tcPr>
            <w:tcW w:w="1930" w:type="dxa"/>
            <w:tcBorders>
              <w:top w:val="nil"/>
              <w:left w:val="nil"/>
              <w:bottom w:val="single" w:sz="4" w:space="0" w:color="auto"/>
              <w:right w:val="single" w:sz="4" w:space="0" w:color="auto"/>
            </w:tcBorders>
            <w:shd w:val="clear" w:color="auto" w:fill="auto"/>
            <w:noWrap/>
            <w:hideMark/>
          </w:tcPr>
          <w:p w14:paraId="73F2850C" w14:textId="77777777" w:rsidR="00D94FF1" w:rsidRPr="00D94FF1" w:rsidRDefault="00D94FF1" w:rsidP="00D94FF1">
            <w:pPr>
              <w:jc w:val="right"/>
              <w:rPr>
                <w:rFonts w:ascii="Calibri" w:eastAsia="Times New Roman" w:hAnsi="Calibri" w:cs="Calibri"/>
                <w:color w:val="000000"/>
              </w:rPr>
            </w:pPr>
            <w:r w:rsidRPr="00D94FF1">
              <w:rPr>
                <w:rFonts w:ascii="Calibri" w:eastAsia="Times New Roman" w:hAnsi="Calibri" w:cs="Calibri"/>
                <w:color w:val="000000"/>
              </w:rPr>
              <w:t>6.3%</w:t>
            </w:r>
          </w:p>
        </w:tc>
      </w:tr>
      <w:tr w:rsidR="00D94FF1" w:rsidRPr="00D94FF1" w14:paraId="2C7FA54D" w14:textId="77777777" w:rsidTr="00081851">
        <w:trPr>
          <w:cantSplit/>
          <w:trHeight w:val="310"/>
          <w:jc w:val="center"/>
        </w:trPr>
        <w:tc>
          <w:tcPr>
            <w:tcW w:w="4280" w:type="dxa"/>
            <w:tcBorders>
              <w:top w:val="nil"/>
              <w:left w:val="single" w:sz="4" w:space="0" w:color="auto"/>
              <w:bottom w:val="single" w:sz="4" w:space="0" w:color="auto"/>
              <w:right w:val="single" w:sz="4" w:space="0" w:color="auto"/>
            </w:tcBorders>
            <w:shd w:val="clear" w:color="auto" w:fill="auto"/>
            <w:hideMark/>
          </w:tcPr>
          <w:p w14:paraId="6F6391B7" w14:textId="77777777" w:rsidR="00D94FF1" w:rsidRPr="00D94FF1" w:rsidRDefault="00D94FF1" w:rsidP="00D94FF1">
            <w:pPr>
              <w:rPr>
                <w:rFonts w:ascii="Calibri" w:eastAsia="Times New Roman" w:hAnsi="Calibri" w:cs="Calibri"/>
                <w:color w:val="000000"/>
              </w:rPr>
            </w:pPr>
            <w:r w:rsidRPr="00D94FF1">
              <w:rPr>
                <w:rFonts w:ascii="Calibri" w:eastAsia="Times New Roman" w:hAnsi="Calibri" w:cs="Calibri"/>
                <w:color w:val="000000"/>
              </w:rPr>
              <w:t>White</w:t>
            </w:r>
          </w:p>
        </w:tc>
        <w:tc>
          <w:tcPr>
            <w:tcW w:w="1020" w:type="dxa"/>
            <w:tcBorders>
              <w:top w:val="nil"/>
              <w:left w:val="nil"/>
              <w:bottom w:val="single" w:sz="4" w:space="0" w:color="auto"/>
              <w:right w:val="single" w:sz="4" w:space="0" w:color="auto"/>
            </w:tcBorders>
            <w:shd w:val="clear" w:color="auto" w:fill="auto"/>
            <w:noWrap/>
            <w:hideMark/>
          </w:tcPr>
          <w:p w14:paraId="59DA181C" w14:textId="77777777" w:rsidR="00D94FF1" w:rsidRPr="00D94FF1" w:rsidRDefault="00D94FF1" w:rsidP="00D94FF1">
            <w:pPr>
              <w:jc w:val="right"/>
              <w:rPr>
                <w:rFonts w:ascii="Calibri" w:eastAsia="Times New Roman" w:hAnsi="Calibri" w:cs="Calibri"/>
                <w:color w:val="000000"/>
              </w:rPr>
            </w:pPr>
            <w:r w:rsidRPr="00D94FF1">
              <w:rPr>
                <w:rFonts w:ascii="Calibri" w:eastAsia="Times New Roman" w:hAnsi="Calibri" w:cs="Calibri"/>
                <w:color w:val="000000"/>
              </w:rPr>
              <w:t>79.5%</w:t>
            </w:r>
          </w:p>
        </w:tc>
        <w:tc>
          <w:tcPr>
            <w:tcW w:w="1020" w:type="dxa"/>
            <w:tcBorders>
              <w:top w:val="nil"/>
              <w:left w:val="nil"/>
              <w:bottom w:val="single" w:sz="4" w:space="0" w:color="auto"/>
              <w:right w:val="single" w:sz="4" w:space="0" w:color="auto"/>
            </w:tcBorders>
            <w:shd w:val="clear" w:color="auto" w:fill="auto"/>
            <w:noWrap/>
            <w:hideMark/>
          </w:tcPr>
          <w:p w14:paraId="1EDBC31D" w14:textId="77777777" w:rsidR="00D94FF1" w:rsidRPr="00D94FF1" w:rsidRDefault="00D94FF1" w:rsidP="00D94FF1">
            <w:pPr>
              <w:jc w:val="right"/>
              <w:rPr>
                <w:rFonts w:ascii="Calibri" w:eastAsia="Times New Roman" w:hAnsi="Calibri" w:cs="Calibri"/>
                <w:color w:val="000000"/>
              </w:rPr>
            </w:pPr>
            <w:r w:rsidRPr="00D94FF1">
              <w:rPr>
                <w:rFonts w:ascii="Calibri" w:eastAsia="Times New Roman" w:hAnsi="Calibri" w:cs="Calibri"/>
                <w:color w:val="000000"/>
              </w:rPr>
              <w:t>86.1%</w:t>
            </w:r>
          </w:p>
        </w:tc>
        <w:tc>
          <w:tcPr>
            <w:tcW w:w="1020" w:type="dxa"/>
            <w:tcBorders>
              <w:top w:val="nil"/>
              <w:left w:val="nil"/>
              <w:bottom w:val="single" w:sz="4" w:space="0" w:color="auto"/>
              <w:right w:val="single" w:sz="4" w:space="0" w:color="auto"/>
            </w:tcBorders>
            <w:shd w:val="clear" w:color="auto" w:fill="auto"/>
            <w:noWrap/>
            <w:hideMark/>
          </w:tcPr>
          <w:p w14:paraId="6FD8FA50" w14:textId="77777777" w:rsidR="00D94FF1" w:rsidRPr="00D94FF1" w:rsidRDefault="00D94FF1" w:rsidP="00D94FF1">
            <w:pPr>
              <w:jc w:val="right"/>
              <w:rPr>
                <w:rFonts w:ascii="Calibri" w:eastAsia="Times New Roman" w:hAnsi="Calibri" w:cs="Calibri"/>
                <w:color w:val="000000"/>
              </w:rPr>
            </w:pPr>
            <w:r w:rsidRPr="00D94FF1">
              <w:rPr>
                <w:rFonts w:ascii="Calibri" w:eastAsia="Times New Roman" w:hAnsi="Calibri" w:cs="Calibri"/>
                <w:color w:val="000000"/>
              </w:rPr>
              <w:t>79.4%</w:t>
            </w:r>
          </w:p>
        </w:tc>
        <w:tc>
          <w:tcPr>
            <w:tcW w:w="1930" w:type="dxa"/>
            <w:tcBorders>
              <w:top w:val="nil"/>
              <w:left w:val="nil"/>
              <w:bottom w:val="single" w:sz="4" w:space="0" w:color="auto"/>
              <w:right w:val="single" w:sz="4" w:space="0" w:color="auto"/>
            </w:tcBorders>
            <w:shd w:val="clear" w:color="auto" w:fill="auto"/>
            <w:noWrap/>
            <w:hideMark/>
          </w:tcPr>
          <w:p w14:paraId="7207B38A" w14:textId="77777777" w:rsidR="00D94FF1" w:rsidRPr="00D94FF1" w:rsidRDefault="00D94FF1" w:rsidP="00D94FF1">
            <w:pPr>
              <w:jc w:val="right"/>
              <w:rPr>
                <w:rFonts w:ascii="Calibri" w:eastAsia="Times New Roman" w:hAnsi="Calibri" w:cs="Calibri"/>
                <w:color w:val="000000"/>
              </w:rPr>
            </w:pPr>
            <w:r w:rsidRPr="00D94FF1">
              <w:rPr>
                <w:rFonts w:ascii="Calibri" w:eastAsia="Times New Roman" w:hAnsi="Calibri" w:cs="Calibri"/>
                <w:color w:val="000000"/>
              </w:rPr>
              <w:t>82.7%</w:t>
            </w:r>
          </w:p>
        </w:tc>
      </w:tr>
      <w:tr w:rsidR="00D94FF1" w:rsidRPr="00D94FF1" w14:paraId="6A5D3F7F" w14:textId="77777777" w:rsidTr="00081851">
        <w:trPr>
          <w:cantSplit/>
          <w:trHeight w:val="341"/>
          <w:jc w:val="center"/>
        </w:trPr>
        <w:tc>
          <w:tcPr>
            <w:tcW w:w="4280" w:type="dxa"/>
            <w:tcBorders>
              <w:top w:val="nil"/>
              <w:left w:val="single" w:sz="4" w:space="0" w:color="auto"/>
              <w:bottom w:val="single" w:sz="4" w:space="0" w:color="auto"/>
              <w:right w:val="single" w:sz="4" w:space="0" w:color="auto"/>
            </w:tcBorders>
            <w:shd w:val="clear" w:color="auto" w:fill="auto"/>
            <w:hideMark/>
          </w:tcPr>
          <w:p w14:paraId="37F551AA" w14:textId="3018E896" w:rsidR="00D94FF1" w:rsidRPr="00D94FF1" w:rsidRDefault="00644F0A" w:rsidP="00D94FF1">
            <w:pPr>
              <w:rPr>
                <w:rFonts w:ascii="Calibri" w:eastAsia="Times New Roman" w:hAnsi="Calibri" w:cs="Calibri"/>
                <w:color w:val="000000"/>
              </w:rPr>
            </w:pPr>
            <w:r>
              <w:rPr>
                <w:rFonts w:ascii="Calibri" w:eastAsia="Times New Roman" w:hAnsi="Calibri" w:cs="Calibri"/>
                <w:color w:val="000000"/>
              </w:rPr>
              <w:t>R</w:t>
            </w:r>
            <w:r w:rsidR="00D94FF1" w:rsidRPr="00D94FF1">
              <w:rPr>
                <w:rFonts w:ascii="Calibri" w:eastAsia="Times New Roman" w:hAnsi="Calibri" w:cs="Calibri"/>
                <w:color w:val="000000"/>
              </w:rPr>
              <w:t>ace not reported by patients</w:t>
            </w:r>
          </w:p>
        </w:tc>
        <w:tc>
          <w:tcPr>
            <w:tcW w:w="1020" w:type="dxa"/>
            <w:tcBorders>
              <w:top w:val="nil"/>
              <w:left w:val="nil"/>
              <w:bottom w:val="single" w:sz="4" w:space="0" w:color="auto"/>
              <w:right w:val="single" w:sz="4" w:space="0" w:color="auto"/>
            </w:tcBorders>
            <w:shd w:val="clear" w:color="auto" w:fill="auto"/>
            <w:noWrap/>
            <w:hideMark/>
          </w:tcPr>
          <w:p w14:paraId="594AC6AA" w14:textId="77777777" w:rsidR="00D94FF1" w:rsidRPr="00D94FF1" w:rsidRDefault="00D94FF1" w:rsidP="00D94FF1">
            <w:pPr>
              <w:jc w:val="right"/>
              <w:rPr>
                <w:rFonts w:ascii="Calibri" w:eastAsia="Times New Roman" w:hAnsi="Calibri" w:cs="Calibri"/>
                <w:color w:val="000000"/>
              </w:rPr>
            </w:pPr>
            <w:r w:rsidRPr="00D94FF1">
              <w:rPr>
                <w:rFonts w:ascii="Calibri" w:eastAsia="Times New Roman" w:hAnsi="Calibri" w:cs="Calibri"/>
                <w:color w:val="000000"/>
              </w:rPr>
              <w:t>13.5%</w:t>
            </w:r>
          </w:p>
        </w:tc>
        <w:tc>
          <w:tcPr>
            <w:tcW w:w="1020" w:type="dxa"/>
            <w:tcBorders>
              <w:top w:val="nil"/>
              <w:left w:val="nil"/>
              <w:bottom w:val="single" w:sz="4" w:space="0" w:color="auto"/>
              <w:right w:val="single" w:sz="4" w:space="0" w:color="auto"/>
            </w:tcBorders>
            <w:shd w:val="clear" w:color="auto" w:fill="auto"/>
            <w:noWrap/>
            <w:hideMark/>
          </w:tcPr>
          <w:p w14:paraId="24B454C8" w14:textId="77777777" w:rsidR="00D94FF1" w:rsidRPr="00D94FF1" w:rsidRDefault="00D94FF1" w:rsidP="00D94FF1">
            <w:pPr>
              <w:jc w:val="right"/>
              <w:rPr>
                <w:rFonts w:ascii="Calibri" w:eastAsia="Times New Roman" w:hAnsi="Calibri" w:cs="Calibri"/>
                <w:color w:val="000000"/>
              </w:rPr>
            </w:pPr>
            <w:r w:rsidRPr="00D94FF1">
              <w:rPr>
                <w:rFonts w:ascii="Calibri" w:eastAsia="Times New Roman" w:hAnsi="Calibri" w:cs="Calibri"/>
                <w:color w:val="000000"/>
              </w:rPr>
              <w:t>6.0%</w:t>
            </w:r>
          </w:p>
        </w:tc>
        <w:tc>
          <w:tcPr>
            <w:tcW w:w="1020" w:type="dxa"/>
            <w:tcBorders>
              <w:top w:val="nil"/>
              <w:left w:val="nil"/>
              <w:bottom w:val="single" w:sz="4" w:space="0" w:color="auto"/>
              <w:right w:val="single" w:sz="4" w:space="0" w:color="auto"/>
            </w:tcBorders>
            <w:shd w:val="clear" w:color="auto" w:fill="auto"/>
            <w:noWrap/>
            <w:hideMark/>
          </w:tcPr>
          <w:p w14:paraId="35253B26" w14:textId="77777777" w:rsidR="00D94FF1" w:rsidRPr="00D94FF1" w:rsidRDefault="00D94FF1" w:rsidP="00D94FF1">
            <w:pPr>
              <w:jc w:val="right"/>
              <w:rPr>
                <w:rFonts w:ascii="Calibri" w:eastAsia="Times New Roman" w:hAnsi="Calibri" w:cs="Calibri"/>
                <w:color w:val="000000"/>
              </w:rPr>
            </w:pPr>
            <w:r w:rsidRPr="00D94FF1">
              <w:rPr>
                <w:rFonts w:ascii="Calibri" w:eastAsia="Times New Roman" w:hAnsi="Calibri" w:cs="Calibri"/>
                <w:color w:val="000000"/>
              </w:rPr>
              <w:t>8.9%</w:t>
            </w:r>
          </w:p>
        </w:tc>
        <w:tc>
          <w:tcPr>
            <w:tcW w:w="1930" w:type="dxa"/>
            <w:tcBorders>
              <w:top w:val="nil"/>
              <w:left w:val="nil"/>
              <w:bottom w:val="single" w:sz="4" w:space="0" w:color="auto"/>
              <w:right w:val="single" w:sz="4" w:space="0" w:color="auto"/>
            </w:tcBorders>
            <w:shd w:val="clear" w:color="auto" w:fill="auto"/>
            <w:noWrap/>
            <w:hideMark/>
          </w:tcPr>
          <w:p w14:paraId="705AE703" w14:textId="77777777" w:rsidR="00D94FF1" w:rsidRPr="00D94FF1" w:rsidRDefault="00D94FF1" w:rsidP="00D94FF1">
            <w:pPr>
              <w:jc w:val="right"/>
              <w:rPr>
                <w:rFonts w:ascii="Calibri" w:eastAsia="Times New Roman" w:hAnsi="Calibri" w:cs="Calibri"/>
                <w:color w:val="000000"/>
              </w:rPr>
            </w:pPr>
            <w:r w:rsidRPr="00D94FF1">
              <w:rPr>
                <w:rFonts w:ascii="Calibri" w:eastAsia="Times New Roman" w:hAnsi="Calibri" w:cs="Calibri"/>
                <w:color w:val="000000"/>
              </w:rPr>
              <w:t>7.5%</w:t>
            </w:r>
          </w:p>
        </w:tc>
      </w:tr>
      <w:tr w:rsidR="00D94FF1" w:rsidRPr="00D94FF1" w14:paraId="1234AE17" w14:textId="77777777" w:rsidTr="00081851">
        <w:trPr>
          <w:cantSplit/>
          <w:trHeight w:val="310"/>
          <w:jc w:val="center"/>
        </w:trPr>
        <w:tc>
          <w:tcPr>
            <w:tcW w:w="4280" w:type="dxa"/>
            <w:tcBorders>
              <w:top w:val="nil"/>
              <w:left w:val="single" w:sz="4" w:space="0" w:color="auto"/>
              <w:bottom w:val="single" w:sz="4" w:space="0" w:color="auto"/>
              <w:right w:val="single" w:sz="4" w:space="0" w:color="auto"/>
            </w:tcBorders>
            <w:shd w:val="clear" w:color="auto" w:fill="D9FFFF"/>
            <w:hideMark/>
          </w:tcPr>
          <w:p w14:paraId="1659CA13" w14:textId="77777777" w:rsidR="00D94FF1" w:rsidRPr="00D94FF1" w:rsidRDefault="00D94FF1" w:rsidP="00D94FF1">
            <w:pPr>
              <w:rPr>
                <w:rFonts w:ascii="Calibri" w:eastAsia="Times New Roman" w:hAnsi="Calibri" w:cs="Calibri"/>
                <w:b/>
                <w:bCs/>
                <w:color w:val="000000"/>
              </w:rPr>
            </w:pPr>
            <w:r w:rsidRPr="00D94FF1">
              <w:rPr>
                <w:rFonts w:ascii="Calibri" w:eastAsia="Times New Roman" w:hAnsi="Calibri" w:cs="Calibri"/>
                <w:b/>
                <w:bCs/>
                <w:color w:val="000000"/>
              </w:rPr>
              <w:t>Ethnicity Total</w:t>
            </w:r>
          </w:p>
        </w:tc>
        <w:tc>
          <w:tcPr>
            <w:tcW w:w="1020" w:type="dxa"/>
            <w:tcBorders>
              <w:top w:val="nil"/>
              <w:left w:val="nil"/>
              <w:bottom w:val="single" w:sz="4" w:space="0" w:color="auto"/>
              <w:right w:val="single" w:sz="4" w:space="0" w:color="auto"/>
            </w:tcBorders>
            <w:shd w:val="clear" w:color="auto" w:fill="D9FFFF"/>
            <w:noWrap/>
            <w:hideMark/>
          </w:tcPr>
          <w:p w14:paraId="0DA9F3B4" w14:textId="77777777" w:rsidR="00D94FF1" w:rsidRPr="00D94FF1" w:rsidRDefault="00D94FF1" w:rsidP="00D94FF1">
            <w:pPr>
              <w:rPr>
                <w:rFonts w:ascii="Calibri" w:eastAsia="Times New Roman" w:hAnsi="Calibri" w:cs="Calibri"/>
                <w:color w:val="000000"/>
              </w:rPr>
            </w:pPr>
            <w:r w:rsidRPr="00D94FF1">
              <w:rPr>
                <w:rFonts w:ascii="Calibri" w:eastAsia="Times New Roman" w:hAnsi="Calibri" w:cs="Calibri"/>
                <w:color w:val="000000"/>
              </w:rPr>
              <w:t> </w:t>
            </w:r>
          </w:p>
        </w:tc>
        <w:tc>
          <w:tcPr>
            <w:tcW w:w="1020" w:type="dxa"/>
            <w:tcBorders>
              <w:top w:val="nil"/>
              <w:left w:val="nil"/>
              <w:bottom w:val="single" w:sz="4" w:space="0" w:color="auto"/>
              <w:right w:val="single" w:sz="4" w:space="0" w:color="auto"/>
            </w:tcBorders>
            <w:shd w:val="clear" w:color="auto" w:fill="D9FFFF"/>
            <w:noWrap/>
            <w:hideMark/>
          </w:tcPr>
          <w:p w14:paraId="4BF6E7BA" w14:textId="77777777" w:rsidR="00D94FF1" w:rsidRPr="00D94FF1" w:rsidRDefault="00D94FF1" w:rsidP="00D94FF1">
            <w:pPr>
              <w:rPr>
                <w:rFonts w:ascii="Calibri" w:eastAsia="Times New Roman" w:hAnsi="Calibri" w:cs="Calibri"/>
                <w:color w:val="000000"/>
              </w:rPr>
            </w:pPr>
            <w:r w:rsidRPr="00D94FF1">
              <w:rPr>
                <w:rFonts w:ascii="Calibri" w:eastAsia="Times New Roman" w:hAnsi="Calibri" w:cs="Calibri"/>
                <w:color w:val="000000"/>
              </w:rPr>
              <w:t> </w:t>
            </w:r>
          </w:p>
        </w:tc>
        <w:tc>
          <w:tcPr>
            <w:tcW w:w="1020" w:type="dxa"/>
            <w:tcBorders>
              <w:top w:val="nil"/>
              <w:left w:val="nil"/>
              <w:bottom w:val="single" w:sz="4" w:space="0" w:color="auto"/>
              <w:right w:val="single" w:sz="4" w:space="0" w:color="auto"/>
            </w:tcBorders>
            <w:shd w:val="clear" w:color="auto" w:fill="D9FFFF"/>
            <w:noWrap/>
            <w:hideMark/>
          </w:tcPr>
          <w:p w14:paraId="5A24B245" w14:textId="77777777" w:rsidR="00D94FF1" w:rsidRPr="00D94FF1" w:rsidRDefault="00D94FF1" w:rsidP="00D94FF1">
            <w:pPr>
              <w:rPr>
                <w:rFonts w:ascii="Calibri" w:eastAsia="Times New Roman" w:hAnsi="Calibri" w:cs="Calibri"/>
                <w:color w:val="000000"/>
              </w:rPr>
            </w:pPr>
            <w:r w:rsidRPr="00D94FF1">
              <w:rPr>
                <w:rFonts w:ascii="Calibri" w:eastAsia="Times New Roman" w:hAnsi="Calibri" w:cs="Calibri"/>
                <w:color w:val="000000"/>
              </w:rPr>
              <w:t> </w:t>
            </w:r>
          </w:p>
        </w:tc>
        <w:tc>
          <w:tcPr>
            <w:tcW w:w="1930" w:type="dxa"/>
            <w:tcBorders>
              <w:top w:val="nil"/>
              <w:left w:val="nil"/>
              <w:bottom w:val="single" w:sz="4" w:space="0" w:color="auto"/>
              <w:right w:val="single" w:sz="4" w:space="0" w:color="auto"/>
            </w:tcBorders>
            <w:shd w:val="clear" w:color="auto" w:fill="D9FFFF"/>
            <w:noWrap/>
            <w:hideMark/>
          </w:tcPr>
          <w:p w14:paraId="4CD7E9E4" w14:textId="77777777" w:rsidR="00D94FF1" w:rsidRPr="00D94FF1" w:rsidRDefault="00D94FF1" w:rsidP="00D94FF1">
            <w:pPr>
              <w:rPr>
                <w:rFonts w:ascii="Calibri" w:eastAsia="Times New Roman" w:hAnsi="Calibri" w:cs="Calibri"/>
                <w:color w:val="000000"/>
              </w:rPr>
            </w:pPr>
            <w:r w:rsidRPr="00D94FF1">
              <w:rPr>
                <w:rFonts w:ascii="Calibri" w:eastAsia="Times New Roman" w:hAnsi="Calibri" w:cs="Calibri"/>
                <w:color w:val="000000"/>
              </w:rPr>
              <w:t> </w:t>
            </w:r>
          </w:p>
        </w:tc>
      </w:tr>
      <w:tr w:rsidR="00D94FF1" w:rsidRPr="00D94FF1" w14:paraId="047792CE" w14:textId="77777777" w:rsidTr="00081851">
        <w:trPr>
          <w:cantSplit/>
          <w:trHeight w:val="310"/>
          <w:jc w:val="center"/>
        </w:trPr>
        <w:tc>
          <w:tcPr>
            <w:tcW w:w="4280" w:type="dxa"/>
            <w:tcBorders>
              <w:top w:val="nil"/>
              <w:left w:val="single" w:sz="4" w:space="0" w:color="auto"/>
              <w:bottom w:val="single" w:sz="4" w:space="0" w:color="auto"/>
              <w:right w:val="single" w:sz="4" w:space="0" w:color="auto"/>
            </w:tcBorders>
            <w:shd w:val="clear" w:color="auto" w:fill="auto"/>
            <w:hideMark/>
          </w:tcPr>
          <w:p w14:paraId="0A076F2B" w14:textId="77777777" w:rsidR="00D94FF1" w:rsidRPr="00D94FF1" w:rsidRDefault="00D94FF1" w:rsidP="00D94FF1">
            <w:pPr>
              <w:rPr>
                <w:rFonts w:ascii="Calibri" w:eastAsia="Times New Roman" w:hAnsi="Calibri" w:cs="Calibri"/>
                <w:color w:val="000000"/>
              </w:rPr>
            </w:pPr>
            <w:r w:rsidRPr="00D94FF1">
              <w:rPr>
                <w:rFonts w:ascii="Calibri" w:eastAsia="Times New Roman" w:hAnsi="Calibri" w:cs="Calibri"/>
                <w:color w:val="000000"/>
              </w:rPr>
              <w:t>Hispanic or Latino</w:t>
            </w:r>
          </w:p>
        </w:tc>
        <w:tc>
          <w:tcPr>
            <w:tcW w:w="1020" w:type="dxa"/>
            <w:tcBorders>
              <w:top w:val="nil"/>
              <w:left w:val="nil"/>
              <w:bottom w:val="single" w:sz="4" w:space="0" w:color="auto"/>
              <w:right w:val="single" w:sz="4" w:space="0" w:color="auto"/>
            </w:tcBorders>
            <w:shd w:val="clear" w:color="auto" w:fill="auto"/>
            <w:noWrap/>
            <w:hideMark/>
          </w:tcPr>
          <w:p w14:paraId="5A406AAF" w14:textId="77777777" w:rsidR="00D94FF1" w:rsidRPr="00D94FF1" w:rsidRDefault="00D94FF1" w:rsidP="00D94FF1">
            <w:pPr>
              <w:jc w:val="right"/>
              <w:rPr>
                <w:rFonts w:ascii="Calibri" w:eastAsia="Times New Roman" w:hAnsi="Calibri" w:cs="Calibri"/>
                <w:color w:val="000000"/>
              </w:rPr>
            </w:pPr>
            <w:r w:rsidRPr="00D94FF1">
              <w:rPr>
                <w:rFonts w:ascii="Calibri" w:eastAsia="Times New Roman" w:hAnsi="Calibri" w:cs="Calibri"/>
                <w:color w:val="000000"/>
              </w:rPr>
              <w:t>2.4%</w:t>
            </w:r>
          </w:p>
        </w:tc>
        <w:tc>
          <w:tcPr>
            <w:tcW w:w="1020" w:type="dxa"/>
            <w:tcBorders>
              <w:top w:val="nil"/>
              <w:left w:val="nil"/>
              <w:bottom w:val="single" w:sz="4" w:space="0" w:color="auto"/>
              <w:right w:val="single" w:sz="4" w:space="0" w:color="auto"/>
            </w:tcBorders>
            <w:shd w:val="clear" w:color="auto" w:fill="auto"/>
            <w:noWrap/>
            <w:hideMark/>
          </w:tcPr>
          <w:p w14:paraId="74499FE6" w14:textId="77777777" w:rsidR="00D94FF1" w:rsidRPr="00D94FF1" w:rsidRDefault="00D94FF1" w:rsidP="00D94FF1">
            <w:pPr>
              <w:jc w:val="right"/>
              <w:rPr>
                <w:rFonts w:ascii="Calibri" w:eastAsia="Times New Roman" w:hAnsi="Calibri" w:cs="Calibri"/>
                <w:color w:val="000000"/>
              </w:rPr>
            </w:pPr>
            <w:r w:rsidRPr="00D94FF1">
              <w:rPr>
                <w:rFonts w:ascii="Calibri" w:eastAsia="Times New Roman" w:hAnsi="Calibri" w:cs="Calibri"/>
                <w:color w:val="000000"/>
              </w:rPr>
              <w:t>2.6%</w:t>
            </w:r>
          </w:p>
        </w:tc>
        <w:tc>
          <w:tcPr>
            <w:tcW w:w="1020" w:type="dxa"/>
            <w:tcBorders>
              <w:top w:val="nil"/>
              <w:left w:val="nil"/>
              <w:bottom w:val="single" w:sz="4" w:space="0" w:color="auto"/>
              <w:right w:val="single" w:sz="4" w:space="0" w:color="auto"/>
            </w:tcBorders>
            <w:shd w:val="clear" w:color="auto" w:fill="auto"/>
            <w:noWrap/>
            <w:hideMark/>
          </w:tcPr>
          <w:p w14:paraId="47884313" w14:textId="77777777" w:rsidR="00D94FF1" w:rsidRPr="00D94FF1" w:rsidRDefault="00D94FF1" w:rsidP="00D94FF1">
            <w:pPr>
              <w:jc w:val="right"/>
              <w:rPr>
                <w:rFonts w:ascii="Calibri" w:eastAsia="Times New Roman" w:hAnsi="Calibri" w:cs="Calibri"/>
                <w:color w:val="000000"/>
              </w:rPr>
            </w:pPr>
            <w:r w:rsidRPr="00D94FF1">
              <w:rPr>
                <w:rFonts w:ascii="Calibri" w:eastAsia="Times New Roman" w:hAnsi="Calibri" w:cs="Calibri"/>
                <w:color w:val="000000"/>
              </w:rPr>
              <w:t>4.8%</w:t>
            </w:r>
          </w:p>
        </w:tc>
        <w:tc>
          <w:tcPr>
            <w:tcW w:w="1930" w:type="dxa"/>
            <w:tcBorders>
              <w:top w:val="nil"/>
              <w:left w:val="nil"/>
              <w:bottom w:val="single" w:sz="4" w:space="0" w:color="auto"/>
              <w:right w:val="single" w:sz="4" w:space="0" w:color="auto"/>
            </w:tcBorders>
            <w:shd w:val="clear" w:color="auto" w:fill="auto"/>
            <w:noWrap/>
            <w:hideMark/>
          </w:tcPr>
          <w:p w14:paraId="518207F1" w14:textId="77777777" w:rsidR="00D94FF1" w:rsidRPr="00D94FF1" w:rsidRDefault="00D94FF1" w:rsidP="00D94FF1">
            <w:pPr>
              <w:jc w:val="right"/>
              <w:rPr>
                <w:rFonts w:ascii="Calibri" w:eastAsia="Times New Roman" w:hAnsi="Calibri" w:cs="Calibri"/>
                <w:color w:val="000000"/>
              </w:rPr>
            </w:pPr>
            <w:r w:rsidRPr="00D94FF1">
              <w:rPr>
                <w:rFonts w:ascii="Calibri" w:eastAsia="Times New Roman" w:hAnsi="Calibri" w:cs="Calibri"/>
                <w:color w:val="000000"/>
              </w:rPr>
              <w:t>3.2%</w:t>
            </w:r>
          </w:p>
        </w:tc>
      </w:tr>
      <w:tr w:rsidR="00D94FF1" w:rsidRPr="00D94FF1" w14:paraId="6E2465D6" w14:textId="77777777" w:rsidTr="00081851">
        <w:trPr>
          <w:cantSplit/>
          <w:trHeight w:val="310"/>
          <w:jc w:val="center"/>
        </w:trPr>
        <w:tc>
          <w:tcPr>
            <w:tcW w:w="4280" w:type="dxa"/>
            <w:tcBorders>
              <w:top w:val="nil"/>
              <w:left w:val="single" w:sz="4" w:space="0" w:color="auto"/>
              <w:bottom w:val="single" w:sz="4" w:space="0" w:color="auto"/>
              <w:right w:val="single" w:sz="4" w:space="0" w:color="auto"/>
            </w:tcBorders>
            <w:shd w:val="clear" w:color="auto" w:fill="auto"/>
            <w:hideMark/>
          </w:tcPr>
          <w:p w14:paraId="7A478BAD" w14:textId="77777777" w:rsidR="00D94FF1" w:rsidRPr="00D94FF1" w:rsidRDefault="00D94FF1" w:rsidP="00D94FF1">
            <w:pPr>
              <w:rPr>
                <w:rFonts w:ascii="Calibri" w:eastAsia="Times New Roman" w:hAnsi="Calibri" w:cs="Calibri"/>
                <w:color w:val="000000"/>
              </w:rPr>
            </w:pPr>
            <w:r w:rsidRPr="00D94FF1">
              <w:rPr>
                <w:rFonts w:ascii="Calibri" w:eastAsia="Times New Roman" w:hAnsi="Calibri" w:cs="Calibri"/>
                <w:color w:val="000000"/>
              </w:rPr>
              <w:t>Not Hispanic or Latino</w:t>
            </w:r>
          </w:p>
        </w:tc>
        <w:tc>
          <w:tcPr>
            <w:tcW w:w="1020" w:type="dxa"/>
            <w:tcBorders>
              <w:top w:val="nil"/>
              <w:left w:val="nil"/>
              <w:bottom w:val="single" w:sz="4" w:space="0" w:color="auto"/>
              <w:right w:val="single" w:sz="4" w:space="0" w:color="auto"/>
            </w:tcBorders>
            <w:shd w:val="clear" w:color="auto" w:fill="auto"/>
            <w:noWrap/>
            <w:hideMark/>
          </w:tcPr>
          <w:p w14:paraId="25C65772" w14:textId="77777777" w:rsidR="00D94FF1" w:rsidRPr="00D94FF1" w:rsidRDefault="00D94FF1" w:rsidP="00D94FF1">
            <w:pPr>
              <w:jc w:val="right"/>
              <w:rPr>
                <w:rFonts w:ascii="Calibri" w:eastAsia="Times New Roman" w:hAnsi="Calibri" w:cs="Calibri"/>
                <w:color w:val="000000"/>
              </w:rPr>
            </w:pPr>
            <w:r w:rsidRPr="00D94FF1">
              <w:rPr>
                <w:rFonts w:ascii="Calibri" w:eastAsia="Times New Roman" w:hAnsi="Calibri" w:cs="Calibri"/>
                <w:color w:val="000000"/>
              </w:rPr>
              <w:t>63.0%</w:t>
            </w:r>
          </w:p>
        </w:tc>
        <w:tc>
          <w:tcPr>
            <w:tcW w:w="1020" w:type="dxa"/>
            <w:tcBorders>
              <w:top w:val="nil"/>
              <w:left w:val="nil"/>
              <w:bottom w:val="single" w:sz="4" w:space="0" w:color="auto"/>
              <w:right w:val="single" w:sz="4" w:space="0" w:color="auto"/>
            </w:tcBorders>
            <w:shd w:val="clear" w:color="auto" w:fill="auto"/>
            <w:noWrap/>
            <w:hideMark/>
          </w:tcPr>
          <w:p w14:paraId="451583F6" w14:textId="77777777" w:rsidR="00D94FF1" w:rsidRPr="00D94FF1" w:rsidRDefault="00D94FF1" w:rsidP="00D94FF1">
            <w:pPr>
              <w:jc w:val="right"/>
              <w:rPr>
                <w:rFonts w:ascii="Calibri" w:eastAsia="Times New Roman" w:hAnsi="Calibri" w:cs="Calibri"/>
                <w:color w:val="000000"/>
              </w:rPr>
            </w:pPr>
            <w:r w:rsidRPr="00D94FF1">
              <w:rPr>
                <w:rFonts w:ascii="Calibri" w:eastAsia="Times New Roman" w:hAnsi="Calibri" w:cs="Calibri"/>
                <w:color w:val="000000"/>
              </w:rPr>
              <w:t>63.3%</w:t>
            </w:r>
          </w:p>
        </w:tc>
        <w:tc>
          <w:tcPr>
            <w:tcW w:w="1020" w:type="dxa"/>
            <w:tcBorders>
              <w:top w:val="nil"/>
              <w:left w:val="nil"/>
              <w:bottom w:val="single" w:sz="4" w:space="0" w:color="auto"/>
              <w:right w:val="single" w:sz="4" w:space="0" w:color="auto"/>
            </w:tcBorders>
            <w:shd w:val="clear" w:color="auto" w:fill="auto"/>
            <w:noWrap/>
            <w:hideMark/>
          </w:tcPr>
          <w:p w14:paraId="65743C26" w14:textId="77777777" w:rsidR="00D94FF1" w:rsidRPr="00D94FF1" w:rsidRDefault="00D94FF1" w:rsidP="00D94FF1">
            <w:pPr>
              <w:jc w:val="right"/>
              <w:rPr>
                <w:rFonts w:ascii="Calibri" w:eastAsia="Times New Roman" w:hAnsi="Calibri" w:cs="Calibri"/>
                <w:color w:val="000000"/>
              </w:rPr>
            </w:pPr>
            <w:r w:rsidRPr="00D94FF1">
              <w:rPr>
                <w:rFonts w:ascii="Calibri" w:eastAsia="Times New Roman" w:hAnsi="Calibri" w:cs="Calibri"/>
                <w:color w:val="000000"/>
              </w:rPr>
              <w:t>65.9%</w:t>
            </w:r>
          </w:p>
        </w:tc>
        <w:tc>
          <w:tcPr>
            <w:tcW w:w="1930" w:type="dxa"/>
            <w:tcBorders>
              <w:top w:val="nil"/>
              <w:left w:val="nil"/>
              <w:bottom w:val="single" w:sz="4" w:space="0" w:color="auto"/>
              <w:right w:val="single" w:sz="4" w:space="0" w:color="auto"/>
            </w:tcBorders>
            <w:shd w:val="clear" w:color="auto" w:fill="auto"/>
            <w:noWrap/>
            <w:hideMark/>
          </w:tcPr>
          <w:p w14:paraId="37345818" w14:textId="77777777" w:rsidR="00D94FF1" w:rsidRPr="00D94FF1" w:rsidRDefault="00D94FF1" w:rsidP="00D94FF1">
            <w:pPr>
              <w:jc w:val="right"/>
              <w:rPr>
                <w:rFonts w:ascii="Calibri" w:eastAsia="Times New Roman" w:hAnsi="Calibri" w:cs="Calibri"/>
                <w:color w:val="000000"/>
              </w:rPr>
            </w:pPr>
            <w:r w:rsidRPr="00D94FF1">
              <w:rPr>
                <w:rFonts w:ascii="Calibri" w:eastAsia="Times New Roman" w:hAnsi="Calibri" w:cs="Calibri"/>
                <w:color w:val="000000"/>
              </w:rPr>
              <w:t>75.3%</w:t>
            </w:r>
          </w:p>
        </w:tc>
      </w:tr>
      <w:tr w:rsidR="00D94FF1" w:rsidRPr="00D94FF1" w14:paraId="10C62DDA" w14:textId="77777777" w:rsidTr="00081851">
        <w:trPr>
          <w:cantSplit/>
          <w:trHeight w:val="287"/>
          <w:jc w:val="center"/>
        </w:trPr>
        <w:tc>
          <w:tcPr>
            <w:tcW w:w="4280" w:type="dxa"/>
            <w:tcBorders>
              <w:top w:val="nil"/>
              <w:left w:val="single" w:sz="4" w:space="0" w:color="auto"/>
              <w:bottom w:val="single" w:sz="4" w:space="0" w:color="auto"/>
              <w:right w:val="single" w:sz="4" w:space="0" w:color="auto"/>
            </w:tcBorders>
            <w:shd w:val="clear" w:color="auto" w:fill="auto"/>
            <w:hideMark/>
          </w:tcPr>
          <w:p w14:paraId="0563A9C6" w14:textId="7FDA5E22" w:rsidR="00D94FF1" w:rsidRPr="00D94FF1" w:rsidRDefault="00644F0A" w:rsidP="00D94FF1">
            <w:pPr>
              <w:rPr>
                <w:rFonts w:ascii="Calibri" w:eastAsia="Times New Roman" w:hAnsi="Calibri" w:cs="Calibri"/>
                <w:color w:val="000000"/>
              </w:rPr>
            </w:pPr>
            <w:r>
              <w:rPr>
                <w:rFonts w:ascii="Calibri" w:eastAsia="Times New Roman" w:hAnsi="Calibri" w:cs="Calibri"/>
                <w:color w:val="000000"/>
              </w:rPr>
              <w:t>E</w:t>
            </w:r>
            <w:r w:rsidR="00D94FF1" w:rsidRPr="00D94FF1">
              <w:rPr>
                <w:rFonts w:ascii="Calibri" w:eastAsia="Times New Roman" w:hAnsi="Calibri" w:cs="Calibri"/>
                <w:color w:val="000000"/>
              </w:rPr>
              <w:t xml:space="preserve">thnicity not reported by patients </w:t>
            </w:r>
          </w:p>
        </w:tc>
        <w:tc>
          <w:tcPr>
            <w:tcW w:w="1020" w:type="dxa"/>
            <w:tcBorders>
              <w:top w:val="nil"/>
              <w:left w:val="nil"/>
              <w:bottom w:val="single" w:sz="4" w:space="0" w:color="auto"/>
              <w:right w:val="single" w:sz="4" w:space="0" w:color="auto"/>
            </w:tcBorders>
            <w:shd w:val="clear" w:color="auto" w:fill="auto"/>
            <w:noWrap/>
            <w:hideMark/>
          </w:tcPr>
          <w:p w14:paraId="5B74BB1D" w14:textId="77777777" w:rsidR="00D94FF1" w:rsidRPr="00D94FF1" w:rsidRDefault="00D94FF1" w:rsidP="00D94FF1">
            <w:pPr>
              <w:jc w:val="right"/>
              <w:rPr>
                <w:rFonts w:ascii="Calibri" w:eastAsia="Times New Roman" w:hAnsi="Calibri" w:cs="Calibri"/>
                <w:color w:val="000000"/>
              </w:rPr>
            </w:pPr>
            <w:r w:rsidRPr="00D94FF1">
              <w:rPr>
                <w:rFonts w:ascii="Calibri" w:eastAsia="Times New Roman" w:hAnsi="Calibri" w:cs="Calibri"/>
                <w:color w:val="000000"/>
              </w:rPr>
              <w:t>34.6%</w:t>
            </w:r>
          </w:p>
        </w:tc>
        <w:tc>
          <w:tcPr>
            <w:tcW w:w="1020" w:type="dxa"/>
            <w:tcBorders>
              <w:top w:val="nil"/>
              <w:left w:val="nil"/>
              <w:bottom w:val="single" w:sz="4" w:space="0" w:color="auto"/>
              <w:right w:val="single" w:sz="4" w:space="0" w:color="auto"/>
            </w:tcBorders>
            <w:shd w:val="clear" w:color="auto" w:fill="auto"/>
            <w:noWrap/>
            <w:hideMark/>
          </w:tcPr>
          <w:p w14:paraId="283B2B7E" w14:textId="77777777" w:rsidR="00D94FF1" w:rsidRPr="00D94FF1" w:rsidRDefault="00D94FF1" w:rsidP="00D94FF1">
            <w:pPr>
              <w:jc w:val="right"/>
              <w:rPr>
                <w:rFonts w:ascii="Calibri" w:eastAsia="Times New Roman" w:hAnsi="Calibri" w:cs="Calibri"/>
                <w:color w:val="000000"/>
              </w:rPr>
            </w:pPr>
            <w:r w:rsidRPr="00D94FF1">
              <w:rPr>
                <w:rFonts w:ascii="Calibri" w:eastAsia="Times New Roman" w:hAnsi="Calibri" w:cs="Calibri"/>
                <w:color w:val="000000"/>
              </w:rPr>
              <w:t>34.2%</w:t>
            </w:r>
          </w:p>
        </w:tc>
        <w:tc>
          <w:tcPr>
            <w:tcW w:w="1020" w:type="dxa"/>
            <w:tcBorders>
              <w:top w:val="nil"/>
              <w:left w:val="nil"/>
              <w:bottom w:val="single" w:sz="4" w:space="0" w:color="auto"/>
              <w:right w:val="single" w:sz="4" w:space="0" w:color="auto"/>
            </w:tcBorders>
            <w:shd w:val="clear" w:color="auto" w:fill="auto"/>
            <w:noWrap/>
            <w:hideMark/>
          </w:tcPr>
          <w:p w14:paraId="01004018" w14:textId="77777777" w:rsidR="00D94FF1" w:rsidRPr="00D94FF1" w:rsidRDefault="00D94FF1" w:rsidP="00D94FF1">
            <w:pPr>
              <w:jc w:val="right"/>
              <w:rPr>
                <w:rFonts w:ascii="Calibri" w:eastAsia="Times New Roman" w:hAnsi="Calibri" w:cs="Calibri"/>
                <w:color w:val="000000"/>
              </w:rPr>
            </w:pPr>
            <w:r w:rsidRPr="00D94FF1">
              <w:rPr>
                <w:rFonts w:ascii="Calibri" w:eastAsia="Times New Roman" w:hAnsi="Calibri" w:cs="Calibri"/>
                <w:color w:val="000000"/>
              </w:rPr>
              <w:t>29.3%</w:t>
            </w:r>
          </w:p>
        </w:tc>
        <w:tc>
          <w:tcPr>
            <w:tcW w:w="1930" w:type="dxa"/>
            <w:tcBorders>
              <w:top w:val="nil"/>
              <w:left w:val="nil"/>
              <w:bottom w:val="single" w:sz="4" w:space="0" w:color="auto"/>
              <w:right w:val="single" w:sz="4" w:space="0" w:color="auto"/>
            </w:tcBorders>
            <w:shd w:val="clear" w:color="auto" w:fill="auto"/>
            <w:noWrap/>
            <w:hideMark/>
          </w:tcPr>
          <w:p w14:paraId="01A7787E" w14:textId="77777777" w:rsidR="00D94FF1" w:rsidRPr="00D94FF1" w:rsidRDefault="00D94FF1" w:rsidP="00D94FF1">
            <w:pPr>
              <w:jc w:val="right"/>
              <w:rPr>
                <w:rFonts w:ascii="Calibri" w:eastAsia="Times New Roman" w:hAnsi="Calibri" w:cs="Calibri"/>
                <w:color w:val="000000"/>
              </w:rPr>
            </w:pPr>
            <w:r w:rsidRPr="00D94FF1">
              <w:rPr>
                <w:rFonts w:ascii="Calibri" w:eastAsia="Times New Roman" w:hAnsi="Calibri" w:cs="Calibri"/>
                <w:color w:val="000000"/>
              </w:rPr>
              <w:t>21.5%</w:t>
            </w:r>
          </w:p>
        </w:tc>
      </w:tr>
    </w:tbl>
    <w:p w14:paraId="6F79774E" w14:textId="77777777" w:rsidR="00CC5451" w:rsidRDefault="00CC5451" w:rsidP="00CC5451">
      <w:pPr>
        <w:rPr>
          <w:rFonts w:ascii="Calibri" w:eastAsia="Aptos" w:hAnsi="Calibri" w:cs="Calibri"/>
          <w:b/>
          <w:bCs/>
        </w:rPr>
      </w:pPr>
      <w:bookmarkStart w:id="24" w:name="_9kMIH5YVt4886BFNelS"/>
      <w:bookmarkStart w:id="25" w:name="_Hlk92709500"/>
    </w:p>
    <w:p w14:paraId="1A569406" w14:textId="112910E2" w:rsidR="00D94FF1" w:rsidRPr="00D94FF1" w:rsidRDefault="00D94FF1" w:rsidP="00701F0C">
      <w:pPr>
        <w:rPr>
          <w:rFonts w:ascii="Calibri" w:eastAsia="Aptos" w:hAnsi="Calibri" w:cs="Calibri"/>
        </w:rPr>
      </w:pPr>
      <w:r w:rsidRPr="00D94FF1">
        <w:rPr>
          <w:rFonts w:ascii="Calibri" w:eastAsia="Aptos" w:hAnsi="Calibri" w:cs="Calibri"/>
          <w:b/>
          <w:bCs/>
        </w:rPr>
        <w:t>Gender:</w:t>
      </w:r>
      <w:bookmarkEnd w:id="24"/>
      <w:r w:rsidRPr="00D94FF1">
        <w:rPr>
          <w:rFonts w:ascii="Calibri" w:eastAsia="Aptos" w:hAnsi="Calibri" w:cs="Calibri"/>
          <w:b/>
          <w:bCs/>
        </w:rPr>
        <w:t xml:space="preserve"> </w:t>
      </w:r>
      <w:r w:rsidRPr="00D94FF1">
        <w:rPr>
          <w:rFonts w:ascii="Calibri" w:eastAsia="Aptos" w:hAnsi="Calibri" w:cs="Calibri"/>
        </w:rPr>
        <w:t xml:space="preserve">In 2024, 49% and 51% of the Applicant’s patient panel are female and male, respectively. The patient gender mix was relatively stable from 2021-2024. </w:t>
      </w:r>
    </w:p>
    <w:p w14:paraId="37C9C11E" w14:textId="77777777" w:rsidR="00701F0C" w:rsidRDefault="00701F0C" w:rsidP="00701F0C">
      <w:pPr>
        <w:rPr>
          <w:rFonts w:ascii="Calibri" w:eastAsia="Aptos" w:hAnsi="Calibri" w:cs="Calibri"/>
          <w:b/>
          <w:bCs/>
        </w:rPr>
      </w:pPr>
      <w:bookmarkStart w:id="26" w:name="_Hlk151731082"/>
    </w:p>
    <w:p w14:paraId="1BE47D39" w14:textId="77777777" w:rsidR="00701F0C" w:rsidRDefault="00D94FF1" w:rsidP="00701F0C">
      <w:pPr>
        <w:rPr>
          <w:rFonts w:ascii="Calibri" w:eastAsia="Aptos" w:hAnsi="Calibri" w:cs="Calibri"/>
        </w:rPr>
      </w:pPr>
      <w:r w:rsidRPr="00D94FF1">
        <w:rPr>
          <w:rFonts w:ascii="Calibri" w:eastAsia="Aptos" w:hAnsi="Calibri" w:cs="Calibri"/>
          <w:b/>
          <w:bCs/>
        </w:rPr>
        <w:t>Age:</w:t>
      </w:r>
      <w:r w:rsidRPr="00D94FF1">
        <w:rPr>
          <w:rFonts w:ascii="Calibri" w:eastAsia="Aptos" w:hAnsi="Calibri" w:cs="Calibri"/>
        </w:rPr>
        <w:t xml:space="preserve"> The over half of patients are ages 50-69. The share of 45-49 and 70+ age cohorts show small increases over the reporting period. </w:t>
      </w:r>
      <w:bookmarkEnd w:id="26"/>
    </w:p>
    <w:p w14:paraId="78E84940" w14:textId="4913E928" w:rsidR="00D94FF1" w:rsidRDefault="00D94FF1" w:rsidP="00701F0C">
      <w:pPr>
        <w:rPr>
          <w:rFonts w:ascii="Calibri" w:eastAsia="Aptos" w:hAnsi="Calibri" w:cs="Calibri"/>
        </w:rPr>
      </w:pPr>
      <w:r w:rsidRPr="00D94FF1">
        <w:rPr>
          <w:rFonts w:ascii="Calibri" w:eastAsia="Aptos" w:hAnsi="Calibri" w:cs="Calibri"/>
          <w:b/>
          <w:bCs/>
        </w:rPr>
        <w:lastRenderedPageBreak/>
        <w:t xml:space="preserve">Race: </w:t>
      </w:r>
      <w:bookmarkEnd w:id="25"/>
      <w:r w:rsidRPr="00D94FF1">
        <w:rPr>
          <w:rFonts w:ascii="Calibri" w:eastAsia="Aptos" w:hAnsi="Calibri" w:cs="Calibri"/>
        </w:rPr>
        <w:t>The Applicant reports that patients predominantly self-identify as white with slight growth in patients identifying as Black and a decrease in number of patients declining to identify.</w:t>
      </w:r>
    </w:p>
    <w:p w14:paraId="44B076B8" w14:textId="77777777" w:rsidR="00701F0C" w:rsidRPr="00D94FF1" w:rsidRDefault="00701F0C" w:rsidP="00701F0C">
      <w:pPr>
        <w:rPr>
          <w:rFonts w:ascii="Calibri" w:eastAsia="Aptos" w:hAnsi="Calibri" w:cs="Calibri"/>
        </w:rPr>
      </w:pPr>
    </w:p>
    <w:p w14:paraId="024F2719" w14:textId="77777777" w:rsidR="00D94FF1" w:rsidRPr="00D94FF1" w:rsidRDefault="00D94FF1" w:rsidP="00D94FF1">
      <w:pPr>
        <w:spacing w:after="160"/>
        <w:rPr>
          <w:rFonts w:ascii="Calibri" w:eastAsia="Aptos" w:hAnsi="Calibri" w:cs="Calibri"/>
        </w:rPr>
      </w:pPr>
      <w:r w:rsidRPr="00D94FF1">
        <w:rPr>
          <w:rFonts w:ascii="Calibri" w:eastAsia="Aptos" w:hAnsi="Calibri" w:cs="Calibri"/>
          <w:b/>
          <w:bCs/>
        </w:rPr>
        <w:t xml:space="preserve">Patient Origin: </w:t>
      </w:r>
      <w:r w:rsidRPr="00D94FF1">
        <w:rPr>
          <w:rFonts w:ascii="Calibri" w:eastAsia="Aptos" w:hAnsi="Calibri" w:cs="Calibri"/>
        </w:rPr>
        <w:t>The Applicant’s Primary Service Area consists of the following 16 Massachusetts towns, where 75% of the applicant’s 2024 patients reside: Bridgewater, Brockton, East Bridgewater, East Taunton, Hanson, Lakeville, Mansfield, Middleboro, Norton, North Easton, Raynham, South Easton, Stoughton, Taunton, West Bridgewater, and Whitman. The remaining 25% of the Applicant's patients travel from 93 other towns in Massachusetts. (Table 3)</w:t>
      </w:r>
    </w:p>
    <w:p w14:paraId="319B8D86" w14:textId="77777777" w:rsidR="00D94FF1" w:rsidRPr="00D94FF1" w:rsidRDefault="00D94FF1" w:rsidP="00D94FF1">
      <w:pPr>
        <w:spacing w:after="160"/>
        <w:jc w:val="center"/>
        <w:rPr>
          <w:rFonts w:ascii="Calibri" w:eastAsia="Aptos" w:hAnsi="Calibri" w:cs="Calibri"/>
          <w:b/>
          <w:bCs/>
        </w:rPr>
      </w:pPr>
      <w:r w:rsidRPr="00D94FF1">
        <w:rPr>
          <w:rFonts w:ascii="Calibri" w:eastAsia="Aptos" w:hAnsi="Calibri" w:cs="Calibri"/>
          <w:b/>
          <w:bCs/>
        </w:rPr>
        <w:t>Table 3: Patient Origin by Town</w:t>
      </w:r>
    </w:p>
    <w:tbl>
      <w:tblPr>
        <w:tblW w:w="6390" w:type="dxa"/>
        <w:jc w:val="center"/>
        <w:tblLook w:val="04A0" w:firstRow="1" w:lastRow="0" w:firstColumn="1" w:lastColumn="0" w:noHBand="0" w:noVBand="1"/>
      </w:tblPr>
      <w:tblGrid>
        <w:gridCol w:w="2415"/>
        <w:gridCol w:w="1160"/>
        <w:gridCol w:w="2815"/>
      </w:tblGrid>
      <w:tr w:rsidR="00D94FF1" w:rsidRPr="00D94FF1" w14:paraId="675C16A9" w14:textId="77777777" w:rsidTr="000A58E3">
        <w:trPr>
          <w:cantSplit/>
          <w:trHeight w:val="341"/>
          <w:tblHeader/>
          <w:jc w:val="center"/>
        </w:trPr>
        <w:tc>
          <w:tcPr>
            <w:tcW w:w="2415" w:type="dxa"/>
            <w:tcBorders>
              <w:top w:val="single" w:sz="4" w:space="0" w:color="auto"/>
              <w:left w:val="single" w:sz="4" w:space="0" w:color="auto"/>
              <w:bottom w:val="single" w:sz="4" w:space="0" w:color="auto"/>
              <w:right w:val="single" w:sz="4" w:space="0" w:color="auto"/>
            </w:tcBorders>
            <w:shd w:val="clear" w:color="auto" w:fill="D9FFFF"/>
            <w:noWrap/>
            <w:hideMark/>
          </w:tcPr>
          <w:p w14:paraId="562A678D" w14:textId="77777777" w:rsidR="00D94FF1" w:rsidRPr="00D94FF1" w:rsidRDefault="00D94FF1" w:rsidP="00701F0C">
            <w:pPr>
              <w:rPr>
                <w:rFonts w:ascii="Calibri" w:eastAsia="Times New Roman" w:hAnsi="Calibri" w:cs="Calibri"/>
                <w:b/>
                <w:bCs/>
                <w:color w:val="000000"/>
              </w:rPr>
            </w:pPr>
            <w:r w:rsidRPr="00D94FF1">
              <w:rPr>
                <w:rFonts w:ascii="Calibri" w:eastAsia="Times New Roman" w:hAnsi="Calibri" w:cs="Calibri"/>
                <w:b/>
                <w:bCs/>
                <w:color w:val="000000"/>
              </w:rPr>
              <w:t>Patient Origin</w:t>
            </w:r>
          </w:p>
        </w:tc>
        <w:tc>
          <w:tcPr>
            <w:tcW w:w="1160" w:type="dxa"/>
            <w:tcBorders>
              <w:top w:val="single" w:sz="4" w:space="0" w:color="auto"/>
              <w:left w:val="nil"/>
              <w:bottom w:val="single" w:sz="4" w:space="0" w:color="auto"/>
              <w:right w:val="single" w:sz="4" w:space="0" w:color="auto"/>
            </w:tcBorders>
            <w:shd w:val="clear" w:color="auto" w:fill="D9FFFF"/>
            <w:noWrap/>
            <w:hideMark/>
          </w:tcPr>
          <w:p w14:paraId="33D3744D" w14:textId="77777777" w:rsidR="00D94FF1" w:rsidRPr="00D94FF1" w:rsidRDefault="00D94FF1" w:rsidP="00701F0C">
            <w:pPr>
              <w:jc w:val="center"/>
              <w:rPr>
                <w:rFonts w:ascii="Calibri" w:eastAsia="Times New Roman" w:hAnsi="Calibri" w:cs="Calibri"/>
                <w:b/>
                <w:bCs/>
                <w:color w:val="000000"/>
              </w:rPr>
            </w:pPr>
            <w:r w:rsidRPr="00D94FF1">
              <w:rPr>
                <w:rFonts w:ascii="Calibri" w:eastAsia="Times New Roman" w:hAnsi="Calibri" w:cs="Calibri"/>
                <w:b/>
                <w:bCs/>
                <w:color w:val="000000"/>
              </w:rPr>
              <w:t>2023</w:t>
            </w:r>
          </w:p>
        </w:tc>
        <w:tc>
          <w:tcPr>
            <w:tcW w:w="2815" w:type="dxa"/>
            <w:tcBorders>
              <w:top w:val="single" w:sz="4" w:space="0" w:color="auto"/>
              <w:left w:val="nil"/>
              <w:bottom w:val="single" w:sz="4" w:space="0" w:color="auto"/>
              <w:right w:val="single" w:sz="4" w:space="0" w:color="auto"/>
            </w:tcBorders>
            <w:shd w:val="clear" w:color="auto" w:fill="D9FFFF"/>
            <w:hideMark/>
          </w:tcPr>
          <w:p w14:paraId="52216CE9" w14:textId="77777777" w:rsidR="00D94FF1" w:rsidRPr="00D94FF1" w:rsidRDefault="00D94FF1" w:rsidP="00701F0C">
            <w:pPr>
              <w:jc w:val="center"/>
              <w:rPr>
                <w:rFonts w:ascii="Calibri" w:eastAsia="Times New Roman" w:hAnsi="Calibri" w:cs="Calibri"/>
                <w:b/>
                <w:bCs/>
                <w:color w:val="000000"/>
              </w:rPr>
            </w:pPr>
            <w:r w:rsidRPr="00D94FF1">
              <w:rPr>
                <w:rFonts w:ascii="Calibri" w:eastAsia="Times New Roman" w:hAnsi="Calibri" w:cs="Calibri"/>
                <w:b/>
                <w:bCs/>
                <w:color w:val="000000"/>
              </w:rPr>
              <w:t>2024 Jan-May annualized</w:t>
            </w:r>
          </w:p>
        </w:tc>
      </w:tr>
      <w:tr w:rsidR="00D94FF1" w:rsidRPr="00D94FF1" w14:paraId="1E1B9D28" w14:textId="77777777" w:rsidTr="000A58E3">
        <w:trPr>
          <w:cantSplit/>
          <w:trHeight w:val="260"/>
          <w:tblHeader/>
          <w:jc w:val="center"/>
        </w:trPr>
        <w:tc>
          <w:tcPr>
            <w:tcW w:w="2415" w:type="dxa"/>
            <w:tcBorders>
              <w:top w:val="nil"/>
              <w:left w:val="single" w:sz="4" w:space="0" w:color="auto"/>
              <w:bottom w:val="single" w:sz="4" w:space="0" w:color="auto"/>
              <w:right w:val="single" w:sz="4" w:space="0" w:color="auto"/>
            </w:tcBorders>
            <w:shd w:val="clear" w:color="auto" w:fill="D9FFFF"/>
            <w:noWrap/>
            <w:hideMark/>
          </w:tcPr>
          <w:p w14:paraId="52DE4070" w14:textId="77777777" w:rsidR="00D94FF1" w:rsidRPr="00D94FF1" w:rsidRDefault="00D94FF1" w:rsidP="00701F0C">
            <w:pPr>
              <w:rPr>
                <w:rFonts w:ascii="Calibri" w:eastAsia="Times New Roman" w:hAnsi="Calibri" w:cs="Calibri"/>
                <w:b/>
                <w:bCs/>
                <w:color w:val="000000"/>
              </w:rPr>
            </w:pPr>
            <w:r w:rsidRPr="00D94FF1">
              <w:rPr>
                <w:rFonts w:ascii="Calibri" w:eastAsia="Times New Roman" w:hAnsi="Calibri" w:cs="Calibri"/>
                <w:b/>
                <w:bCs/>
                <w:color w:val="000000"/>
              </w:rPr>
              <w:t>City/Towns</w:t>
            </w:r>
          </w:p>
        </w:tc>
        <w:tc>
          <w:tcPr>
            <w:tcW w:w="1160" w:type="dxa"/>
            <w:tcBorders>
              <w:top w:val="nil"/>
              <w:left w:val="nil"/>
              <w:bottom w:val="single" w:sz="4" w:space="0" w:color="auto"/>
              <w:right w:val="single" w:sz="4" w:space="0" w:color="auto"/>
            </w:tcBorders>
            <w:shd w:val="clear" w:color="auto" w:fill="D9FFFF"/>
            <w:noWrap/>
            <w:hideMark/>
          </w:tcPr>
          <w:p w14:paraId="335AE9DF" w14:textId="77777777" w:rsidR="00D94FF1" w:rsidRPr="00D94FF1" w:rsidRDefault="00D94FF1" w:rsidP="00701F0C">
            <w:pPr>
              <w:jc w:val="center"/>
              <w:rPr>
                <w:rFonts w:ascii="Calibri" w:eastAsia="Times New Roman" w:hAnsi="Calibri" w:cs="Calibri"/>
                <w:b/>
                <w:bCs/>
                <w:color w:val="000000"/>
              </w:rPr>
            </w:pPr>
            <w:r w:rsidRPr="00D94FF1">
              <w:rPr>
                <w:rFonts w:ascii="Calibri" w:eastAsia="Times New Roman" w:hAnsi="Calibri" w:cs="Calibri"/>
                <w:b/>
                <w:bCs/>
                <w:color w:val="000000"/>
              </w:rPr>
              <w:t>%</w:t>
            </w:r>
          </w:p>
        </w:tc>
        <w:tc>
          <w:tcPr>
            <w:tcW w:w="2815" w:type="dxa"/>
            <w:tcBorders>
              <w:top w:val="nil"/>
              <w:left w:val="nil"/>
              <w:bottom w:val="single" w:sz="4" w:space="0" w:color="auto"/>
              <w:right w:val="single" w:sz="4" w:space="0" w:color="auto"/>
            </w:tcBorders>
            <w:shd w:val="clear" w:color="auto" w:fill="D9FFFF"/>
            <w:noWrap/>
            <w:hideMark/>
          </w:tcPr>
          <w:p w14:paraId="41CADA0B" w14:textId="77777777" w:rsidR="00D94FF1" w:rsidRPr="00D94FF1" w:rsidRDefault="00D94FF1" w:rsidP="00701F0C">
            <w:pPr>
              <w:jc w:val="center"/>
              <w:rPr>
                <w:rFonts w:ascii="Calibri" w:eastAsia="Times New Roman" w:hAnsi="Calibri" w:cs="Calibri"/>
                <w:b/>
                <w:bCs/>
                <w:color w:val="000000"/>
              </w:rPr>
            </w:pPr>
            <w:r w:rsidRPr="00D94FF1">
              <w:rPr>
                <w:rFonts w:ascii="Calibri" w:eastAsia="Times New Roman" w:hAnsi="Calibri" w:cs="Calibri"/>
                <w:b/>
                <w:bCs/>
                <w:color w:val="000000"/>
              </w:rPr>
              <w:t>%</w:t>
            </w:r>
          </w:p>
        </w:tc>
      </w:tr>
      <w:tr w:rsidR="00D94FF1" w:rsidRPr="00D94FF1" w14:paraId="69D56690" w14:textId="77777777" w:rsidTr="000A58E3">
        <w:trPr>
          <w:cantSplit/>
          <w:trHeight w:val="310"/>
          <w:jc w:val="center"/>
        </w:trPr>
        <w:tc>
          <w:tcPr>
            <w:tcW w:w="2415" w:type="dxa"/>
            <w:tcBorders>
              <w:top w:val="nil"/>
              <w:left w:val="single" w:sz="4" w:space="0" w:color="auto"/>
              <w:bottom w:val="single" w:sz="4" w:space="0" w:color="auto"/>
              <w:right w:val="single" w:sz="4" w:space="0" w:color="auto"/>
            </w:tcBorders>
            <w:shd w:val="clear" w:color="auto" w:fill="auto"/>
            <w:noWrap/>
            <w:vAlign w:val="bottom"/>
            <w:hideMark/>
          </w:tcPr>
          <w:p w14:paraId="2468D41C" w14:textId="77777777" w:rsidR="00D94FF1" w:rsidRPr="00D94FF1" w:rsidRDefault="00D94FF1" w:rsidP="00701F0C">
            <w:pPr>
              <w:rPr>
                <w:rFonts w:ascii="Calibri" w:eastAsia="Times New Roman" w:hAnsi="Calibri" w:cs="Calibri"/>
                <w:color w:val="000000"/>
              </w:rPr>
            </w:pPr>
            <w:r w:rsidRPr="00D94FF1">
              <w:rPr>
                <w:rFonts w:ascii="Calibri" w:eastAsia="Times New Roman" w:hAnsi="Calibri" w:cs="Calibri"/>
                <w:color w:val="000000"/>
              </w:rPr>
              <w:t>Taunton</w:t>
            </w:r>
          </w:p>
        </w:tc>
        <w:tc>
          <w:tcPr>
            <w:tcW w:w="1160" w:type="dxa"/>
            <w:tcBorders>
              <w:top w:val="nil"/>
              <w:left w:val="nil"/>
              <w:bottom w:val="single" w:sz="4" w:space="0" w:color="auto"/>
              <w:right w:val="single" w:sz="4" w:space="0" w:color="auto"/>
            </w:tcBorders>
            <w:shd w:val="clear" w:color="auto" w:fill="auto"/>
            <w:noWrap/>
            <w:vAlign w:val="bottom"/>
            <w:hideMark/>
          </w:tcPr>
          <w:p w14:paraId="649E0213" w14:textId="77777777" w:rsidR="00D94FF1" w:rsidRPr="00D94FF1" w:rsidRDefault="00D94FF1" w:rsidP="00701F0C">
            <w:pPr>
              <w:jc w:val="center"/>
              <w:rPr>
                <w:rFonts w:ascii="Calibri" w:eastAsia="Times New Roman" w:hAnsi="Calibri" w:cs="Calibri"/>
                <w:color w:val="000000"/>
              </w:rPr>
            </w:pPr>
            <w:r w:rsidRPr="00D94FF1">
              <w:rPr>
                <w:rFonts w:ascii="Calibri" w:eastAsia="Times New Roman" w:hAnsi="Calibri" w:cs="Calibri"/>
                <w:color w:val="000000"/>
              </w:rPr>
              <w:t>11%</w:t>
            </w:r>
          </w:p>
        </w:tc>
        <w:tc>
          <w:tcPr>
            <w:tcW w:w="2815" w:type="dxa"/>
            <w:tcBorders>
              <w:top w:val="nil"/>
              <w:left w:val="nil"/>
              <w:bottom w:val="single" w:sz="4" w:space="0" w:color="auto"/>
              <w:right w:val="single" w:sz="4" w:space="0" w:color="auto"/>
            </w:tcBorders>
            <w:shd w:val="clear" w:color="auto" w:fill="auto"/>
            <w:noWrap/>
            <w:vAlign w:val="bottom"/>
            <w:hideMark/>
          </w:tcPr>
          <w:p w14:paraId="1CC26CD2" w14:textId="77777777" w:rsidR="00D94FF1" w:rsidRPr="00D94FF1" w:rsidRDefault="00D94FF1" w:rsidP="00701F0C">
            <w:pPr>
              <w:jc w:val="center"/>
              <w:rPr>
                <w:rFonts w:ascii="Calibri" w:eastAsia="Times New Roman" w:hAnsi="Calibri" w:cs="Calibri"/>
                <w:color w:val="000000"/>
              </w:rPr>
            </w:pPr>
            <w:r w:rsidRPr="00D94FF1">
              <w:rPr>
                <w:rFonts w:ascii="Calibri" w:eastAsia="Times New Roman" w:hAnsi="Calibri" w:cs="Calibri"/>
                <w:color w:val="000000"/>
              </w:rPr>
              <w:t>11%</w:t>
            </w:r>
          </w:p>
        </w:tc>
      </w:tr>
      <w:tr w:rsidR="00D94FF1" w:rsidRPr="00D94FF1" w14:paraId="34C06BCF" w14:textId="77777777" w:rsidTr="000A58E3">
        <w:trPr>
          <w:cantSplit/>
          <w:trHeight w:val="310"/>
          <w:jc w:val="center"/>
        </w:trPr>
        <w:tc>
          <w:tcPr>
            <w:tcW w:w="2415" w:type="dxa"/>
            <w:tcBorders>
              <w:top w:val="nil"/>
              <w:left w:val="single" w:sz="4" w:space="0" w:color="auto"/>
              <w:bottom w:val="single" w:sz="4" w:space="0" w:color="auto"/>
              <w:right w:val="single" w:sz="4" w:space="0" w:color="auto"/>
            </w:tcBorders>
            <w:shd w:val="clear" w:color="auto" w:fill="auto"/>
            <w:noWrap/>
            <w:vAlign w:val="bottom"/>
            <w:hideMark/>
          </w:tcPr>
          <w:p w14:paraId="3ACC9DF2" w14:textId="77777777" w:rsidR="00D94FF1" w:rsidRPr="00D94FF1" w:rsidRDefault="00D94FF1" w:rsidP="00701F0C">
            <w:pPr>
              <w:rPr>
                <w:rFonts w:ascii="Calibri" w:eastAsia="Times New Roman" w:hAnsi="Calibri" w:cs="Calibri"/>
                <w:color w:val="000000"/>
              </w:rPr>
            </w:pPr>
            <w:r w:rsidRPr="00D94FF1">
              <w:rPr>
                <w:rFonts w:ascii="Calibri" w:eastAsia="Times New Roman" w:hAnsi="Calibri" w:cs="Calibri"/>
                <w:color w:val="000000"/>
              </w:rPr>
              <w:t>Brockton</w:t>
            </w:r>
          </w:p>
        </w:tc>
        <w:tc>
          <w:tcPr>
            <w:tcW w:w="1160" w:type="dxa"/>
            <w:tcBorders>
              <w:top w:val="nil"/>
              <w:left w:val="nil"/>
              <w:bottom w:val="single" w:sz="4" w:space="0" w:color="auto"/>
              <w:right w:val="single" w:sz="4" w:space="0" w:color="auto"/>
            </w:tcBorders>
            <w:shd w:val="clear" w:color="auto" w:fill="auto"/>
            <w:noWrap/>
            <w:vAlign w:val="bottom"/>
            <w:hideMark/>
          </w:tcPr>
          <w:p w14:paraId="56D41B83" w14:textId="77777777" w:rsidR="00D94FF1" w:rsidRPr="00D94FF1" w:rsidRDefault="00D94FF1" w:rsidP="00701F0C">
            <w:pPr>
              <w:jc w:val="center"/>
              <w:rPr>
                <w:rFonts w:ascii="Calibri" w:eastAsia="Times New Roman" w:hAnsi="Calibri" w:cs="Calibri"/>
                <w:color w:val="000000"/>
              </w:rPr>
            </w:pPr>
            <w:r w:rsidRPr="00D94FF1">
              <w:rPr>
                <w:rFonts w:ascii="Calibri" w:eastAsia="Times New Roman" w:hAnsi="Calibri" w:cs="Calibri"/>
                <w:color w:val="000000"/>
              </w:rPr>
              <w:t>13%</w:t>
            </w:r>
          </w:p>
        </w:tc>
        <w:tc>
          <w:tcPr>
            <w:tcW w:w="2815" w:type="dxa"/>
            <w:tcBorders>
              <w:top w:val="nil"/>
              <w:left w:val="nil"/>
              <w:bottom w:val="single" w:sz="4" w:space="0" w:color="auto"/>
              <w:right w:val="single" w:sz="4" w:space="0" w:color="auto"/>
            </w:tcBorders>
            <w:shd w:val="clear" w:color="auto" w:fill="auto"/>
            <w:noWrap/>
            <w:vAlign w:val="bottom"/>
            <w:hideMark/>
          </w:tcPr>
          <w:p w14:paraId="22305F30" w14:textId="77777777" w:rsidR="00D94FF1" w:rsidRPr="00D94FF1" w:rsidRDefault="00D94FF1" w:rsidP="00701F0C">
            <w:pPr>
              <w:jc w:val="center"/>
              <w:rPr>
                <w:rFonts w:ascii="Calibri" w:eastAsia="Times New Roman" w:hAnsi="Calibri" w:cs="Calibri"/>
                <w:color w:val="000000"/>
              </w:rPr>
            </w:pPr>
            <w:r w:rsidRPr="00D94FF1">
              <w:rPr>
                <w:rFonts w:ascii="Calibri" w:eastAsia="Times New Roman" w:hAnsi="Calibri" w:cs="Calibri"/>
                <w:color w:val="000000"/>
              </w:rPr>
              <w:t>10%</w:t>
            </w:r>
          </w:p>
        </w:tc>
      </w:tr>
      <w:tr w:rsidR="00D94FF1" w:rsidRPr="00D94FF1" w14:paraId="562409EC" w14:textId="77777777" w:rsidTr="000A58E3">
        <w:trPr>
          <w:cantSplit/>
          <w:trHeight w:val="310"/>
          <w:jc w:val="center"/>
        </w:trPr>
        <w:tc>
          <w:tcPr>
            <w:tcW w:w="2415" w:type="dxa"/>
            <w:tcBorders>
              <w:top w:val="nil"/>
              <w:left w:val="single" w:sz="4" w:space="0" w:color="auto"/>
              <w:bottom w:val="single" w:sz="4" w:space="0" w:color="auto"/>
              <w:right w:val="single" w:sz="4" w:space="0" w:color="auto"/>
            </w:tcBorders>
            <w:shd w:val="clear" w:color="auto" w:fill="auto"/>
            <w:noWrap/>
            <w:vAlign w:val="bottom"/>
            <w:hideMark/>
          </w:tcPr>
          <w:p w14:paraId="54F4C6F4" w14:textId="77777777" w:rsidR="00D94FF1" w:rsidRPr="00D94FF1" w:rsidRDefault="00D94FF1" w:rsidP="00701F0C">
            <w:pPr>
              <w:rPr>
                <w:rFonts w:ascii="Calibri" w:eastAsia="Times New Roman" w:hAnsi="Calibri" w:cs="Calibri"/>
                <w:color w:val="000000"/>
              </w:rPr>
            </w:pPr>
            <w:r w:rsidRPr="00D94FF1">
              <w:rPr>
                <w:rFonts w:ascii="Calibri" w:eastAsia="Times New Roman" w:hAnsi="Calibri" w:cs="Calibri"/>
                <w:color w:val="000000"/>
              </w:rPr>
              <w:t>Bridgewater</w:t>
            </w:r>
          </w:p>
        </w:tc>
        <w:tc>
          <w:tcPr>
            <w:tcW w:w="1160" w:type="dxa"/>
            <w:tcBorders>
              <w:top w:val="nil"/>
              <w:left w:val="nil"/>
              <w:bottom w:val="single" w:sz="4" w:space="0" w:color="auto"/>
              <w:right w:val="single" w:sz="4" w:space="0" w:color="auto"/>
            </w:tcBorders>
            <w:shd w:val="clear" w:color="auto" w:fill="auto"/>
            <w:noWrap/>
            <w:vAlign w:val="bottom"/>
            <w:hideMark/>
          </w:tcPr>
          <w:p w14:paraId="4D8167EA" w14:textId="77777777" w:rsidR="00D94FF1" w:rsidRPr="00D94FF1" w:rsidRDefault="00D94FF1" w:rsidP="00701F0C">
            <w:pPr>
              <w:jc w:val="center"/>
              <w:rPr>
                <w:rFonts w:ascii="Calibri" w:eastAsia="Times New Roman" w:hAnsi="Calibri" w:cs="Calibri"/>
                <w:color w:val="000000"/>
              </w:rPr>
            </w:pPr>
            <w:r w:rsidRPr="00D94FF1">
              <w:rPr>
                <w:rFonts w:ascii="Calibri" w:eastAsia="Times New Roman" w:hAnsi="Calibri" w:cs="Calibri"/>
                <w:color w:val="000000"/>
              </w:rPr>
              <w:t>9%</w:t>
            </w:r>
          </w:p>
        </w:tc>
        <w:tc>
          <w:tcPr>
            <w:tcW w:w="2815" w:type="dxa"/>
            <w:tcBorders>
              <w:top w:val="nil"/>
              <w:left w:val="nil"/>
              <w:bottom w:val="single" w:sz="4" w:space="0" w:color="auto"/>
              <w:right w:val="single" w:sz="4" w:space="0" w:color="auto"/>
            </w:tcBorders>
            <w:shd w:val="clear" w:color="auto" w:fill="auto"/>
            <w:noWrap/>
            <w:vAlign w:val="bottom"/>
            <w:hideMark/>
          </w:tcPr>
          <w:p w14:paraId="787C5DB6" w14:textId="77777777" w:rsidR="00D94FF1" w:rsidRPr="00D94FF1" w:rsidRDefault="00D94FF1" w:rsidP="00701F0C">
            <w:pPr>
              <w:jc w:val="center"/>
              <w:rPr>
                <w:rFonts w:ascii="Calibri" w:eastAsia="Times New Roman" w:hAnsi="Calibri" w:cs="Calibri"/>
                <w:color w:val="000000"/>
              </w:rPr>
            </w:pPr>
            <w:r w:rsidRPr="00D94FF1">
              <w:rPr>
                <w:rFonts w:ascii="Calibri" w:eastAsia="Times New Roman" w:hAnsi="Calibri" w:cs="Calibri"/>
                <w:color w:val="000000"/>
              </w:rPr>
              <w:t>9%</w:t>
            </w:r>
          </w:p>
        </w:tc>
      </w:tr>
      <w:tr w:rsidR="00D94FF1" w:rsidRPr="00D94FF1" w14:paraId="5F3E8C47" w14:textId="77777777" w:rsidTr="000A58E3">
        <w:trPr>
          <w:cantSplit/>
          <w:trHeight w:val="310"/>
          <w:jc w:val="center"/>
        </w:trPr>
        <w:tc>
          <w:tcPr>
            <w:tcW w:w="2415" w:type="dxa"/>
            <w:tcBorders>
              <w:top w:val="nil"/>
              <w:left w:val="single" w:sz="4" w:space="0" w:color="auto"/>
              <w:bottom w:val="single" w:sz="4" w:space="0" w:color="auto"/>
              <w:right w:val="single" w:sz="4" w:space="0" w:color="auto"/>
            </w:tcBorders>
            <w:shd w:val="clear" w:color="auto" w:fill="auto"/>
            <w:noWrap/>
            <w:vAlign w:val="bottom"/>
            <w:hideMark/>
          </w:tcPr>
          <w:p w14:paraId="3F9D97D9" w14:textId="77777777" w:rsidR="00D94FF1" w:rsidRPr="00D94FF1" w:rsidRDefault="00D94FF1" w:rsidP="00701F0C">
            <w:pPr>
              <w:rPr>
                <w:rFonts w:ascii="Calibri" w:eastAsia="Times New Roman" w:hAnsi="Calibri" w:cs="Calibri"/>
                <w:color w:val="000000"/>
              </w:rPr>
            </w:pPr>
            <w:r w:rsidRPr="00D94FF1">
              <w:rPr>
                <w:rFonts w:ascii="Calibri" w:eastAsia="Times New Roman" w:hAnsi="Calibri" w:cs="Calibri"/>
                <w:color w:val="000000"/>
              </w:rPr>
              <w:t>Middleboro</w:t>
            </w:r>
          </w:p>
        </w:tc>
        <w:tc>
          <w:tcPr>
            <w:tcW w:w="1160" w:type="dxa"/>
            <w:tcBorders>
              <w:top w:val="nil"/>
              <w:left w:val="nil"/>
              <w:bottom w:val="single" w:sz="4" w:space="0" w:color="auto"/>
              <w:right w:val="single" w:sz="4" w:space="0" w:color="auto"/>
            </w:tcBorders>
            <w:shd w:val="clear" w:color="auto" w:fill="auto"/>
            <w:noWrap/>
            <w:vAlign w:val="bottom"/>
            <w:hideMark/>
          </w:tcPr>
          <w:p w14:paraId="1BD73601" w14:textId="77777777" w:rsidR="00D94FF1" w:rsidRPr="00D94FF1" w:rsidRDefault="00D94FF1" w:rsidP="00701F0C">
            <w:pPr>
              <w:jc w:val="center"/>
              <w:rPr>
                <w:rFonts w:ascii="Calibri" w:eastAsia="Times New Roman" w:hAnsi="Calibri" w:cs="Calibri"/>
                <w:color w:val="000000"/>
              </w:rPr>
            </w:pPr>
            <w:r w:rsidRPr="00D94FF1">
              <w:rPr>
                <w:rFonts w:ascii="Calibri" w:eastAsia="Times New Roman" w:hAnsi="Calibri" w:cs="Calibri"/>
                <w:color w:val="000000"/>
              </w:rPr>
              <w:t>7%</w:t>
            </w:r>
          </w:p>
        </w:tc>
        <w:tc>
          <w:tcPr>
            <w:tcW w:w="2815" w:type="dxa"/>
            <w:tcBorders>
              <w:top w:val="nil"/>
              <w:left w:val="nil"/>
              <w:bottom w:val="single" w:sz="4" w:space="0" w:color="auto"/>
              <w:right w:val="single" w:sz="4" w:space="0" w:color="auto"/>
            </w:tcBorders>
            <w:shd w:val="clear" w:color="auto" w:fill="auto"/>
            <w:noWrap/>
            <w:vAlign w:val="bottom"/>
            <w:hideMark/>
          </w:tcPr>
          <w:p w14:paraId="2A3F737F" w14:textId="77777777" w:rsidR="00D94FF1" w:rsidRPr="00D94FF1" w:rsidRDefault="00D94FF1" w:rsidP="00701F0C">
            <w:pPr>
              <w:jc w:val="center"/>
              <w:rPr>
                <w:rFonts w:ascii="Calibri" w:eastAsia="Times New Roman" w:hAnsi="Calibri" w:cs="Calibri"/>
                <w:color w:val="000000"/>
              </w:rPr>
            </w:pPr>
            <w:r w:rsidRPr="00D94FF1">
              <w:rPr>
                <w:rFonts w:ascii="Calibri" w:eastAsia="Times New Roman" w:hAnsi="Calibri" w:cs="Calibri"/>
                <w:color w:val="000000"/>
              </w:rPr>
              <w:t>8%</w:t>
            </w:r>
          </w:p>
        </w:tc>
      </w:tr>
      <w:tr w:rsidR="00D94FF1" w:rsidRPr="00D94FF1" w14:paraId="3A1C6237" w14:textId="77777777" w:rsidTr="000A58E3">
        <w:trPr>
          <w:cantSplit/>
          <w:trHeight w:val="310"/>
          <w:jc w:val="center"/>
        </w:trPr>
        <w:tc>
          <w:tcPr>
            <w:tcW w:w="2415" w:type="dxa"/>
            <w:tcBorders>
              <w:top w:val="nil"/>
              <w:left w:val="single" w:sz="4" w:space="0" w:color="auto"/>
              <w:bottom w:val="single" w:sz="4" w:space="0" w:color="auto"/>
              <w:right w:val="single" w:sz="4" w:space="0" w:color="auto"/>
            </w:tcBorders>
            <w:shd w:val="clear" w:color="auto" w:fill="auto"/>
            <w:noWrap/>
            <w:vAlign w:val="bottom"/>
            <w:hideMark/>
          </w:tcPr>
          <w:p w14:paraId="7D986205" w14:textId="77777777" w:rsidR="00D94FF1" w:rsidRPr="00D94FF1" w:rsidRDefault="00D94FF1" w:rsidP="00701F0C">
            <w:pPr>
              <w:rPr>
                <w:rFonts w:ascii="Calibri" w:eastAsia="Times New Roman" w:hAnsi="Calibri" w:cs="Calibri"/>
                <w:color w:val="000000"/>
              </w:rPr>
            </w:pPr>
            <w:r w:rsidRPr="00D94FF1">
              <w:rPr>
                <w:rFonts w:ascii="Calibri" w:eastAsia="Times New Roman" w:hAnsi="Calibri" w:cs="Calibri"/>
                <w:color w:val="000000"/>
              </w:rPr>
              <w:t>Raynham</w:t>
            </w:r>
          </w:p>
        </w:tc>
        <w:tc>
          <w:tcPr>
            <w:tcW w:w="1160" w:type="dxa"/>
            <w:tcBorders>
              <w:top w:val="nil"/>
              <w:left w:val="nil"/>
              <w:bottom w:val="single" w:sz="4" w:space="0" w:color="auto"/>
              <w:right w:val="single" w:sz="4" w:space="0" w:color="auto"/>
            </w:tcBorders>
            <w:shd w:val="clear" w:color="auto" w:fill="auto"/>
            <w:noWrap/>
            <w:vAlign w:val="bottom"/>
            <w:hideMark/>
          </w:tcPr>
          <w:p w14:paraId="59F55F0A" w14:textId="77777777" w:rsidR="00D94FF1" w:rsidRPr="00D94FF1" w:rsidRDefault="00D94FF1" w:rsidP="00701F0C">
            <w:pPr>
              <w:jc w:val="center"/>
              <w:rPr>
                <w:rFonts w:ascii="Calibri" w:eastAsia="Times New Roman" w:hAnsi="Calibri" w:cs="Calibri"/>
                <w:color w:val="000000"/>
              </w:rPr>
            </w:pPr>
            <w:r w:rsidRPr="00D94FF1">
              <w:rPr>
                <w:rFonts w:ascii="Calibri" w:eastAsia="Times New Roman" w:hAnsi="Calibri" w:cs="Calibri"/>
                <w:color w:val="000000"/>
              </w:rPr>
              <w:t>6%</w:t>
            </w:r>
          </w:p>
        </w:tc>
        <w:tc>
          <w:tcPr>
            <w:tcW w:w="2815" w:type="dxa"/>
            <w:tcBorders>
              <w:top w:val="nil"/>
              <w:left w:val="nil"/>
              <w:bottom w:val="single" w:sz="4" w:space="0" w:color="auto"/>
              <w:right w:val="single" w:sz="4" w:space="0" w:color="auto"/>
            </w:tcBorders>
            <w:shd w:val="clear" w:color="auto" w:fill="auto"/>
            <w:noWrap/>
            <w:vAlign w:val="bottom"/>
            <w:hideMark/>
          </w:tcPr>
          <w:p w14:paraId="354BDAF9" w14:textId="77777777" w:rsidR="00D94FF1" w:rsidRPr="00D94FF1" w:rsidRDefault="00D94FF1" w:rsidP="00701F0C">
            <w:pPr>
              <w:jc w:val="center"/>
              <w:rPr>
                <w:rFonts w:ascii="Calibri" w:eastAsia="Times New Roman" w:hAnsi="Calibri" w:cs="Calibri"/>
                <w:color w:val="000000"/>
              </w:rPr>
            </w:pPr>
            <w:r w:rsidRPr="00D94FF1">
              <w:rPr>
                <w:rFonts w:ascii="Calibri" w:eastAsia="Times New Roman" w:hAnsi="Calibri" w:cs="Calibri"/>
                <w:color w:val="000000"/>
              </w:rPr>
              <w:t>6%</w:t>
            </w:r>
          </w:p>
        </w:tc>
      </w:tr>
      <w:tr w:rsidR="00D94FF1" w:rsidRPr="00D94FF1" w14:paraId="55C0B2E5" w14:textId="77777777" w:rsidTr="000A58E3">
        <w:trPr>
          <w:cantSplit/>
          <w:trHeight w:val="310"/>
          <w:jc w:val="center"/>
        </w:trPr>
        <w:tc>
          <w:tcPr>
            <w:tcW w:w="2415" w:type="dxa"/>
            <w:tcBorders>
              <w:top w:val="nil"/>
              <w:left w:val="single" w:sz="4" w:space="0" w:color="auto"/>
              <w:bottom w:val="single" w:sz="4" w:space="0" w:color="auto"/>
              <w:right w:val="single" w:sz="4" w:space="0" w:color="auto"/>
            </w:tcBorders>
            <w:shd w:val="clear" w:color="auto" w:fill="auto"/>
            <w:noWrap/>
            <w:vAlign w:val="bottom"/>
            <w:hideMark/>
          </w:tcPr>
          <w:p w14:paraId="6DF0B710" w14:textId="77777777" w:rsidR="00D94FF1" w:rsidRPr="00D94FF1" w:rsidRDefault="00D94FF1" w:rsidP="00701F0C">
            <w:pPr>
              <w:rPr>
                <w:rFonts w:ascii="Calibri" w:eastAsia="Times New Roman" w:hAnsi="Calibri" w:cs="Calibri"/>
                <w:color w:val="000000"/>
              </w:rPr>
            </w:pPr>
            <w:r w:rsidRPr="00D94FF1">
              <w:rPr>
                <w:rFonts w:ascii="Calibri" w:eastAsia="Times New Roman" w:hAnsi="Calibri" w:cs="Calibri"/>
                <w:color w:val="000000"/>
              </w:rPr>
              <w:t>East Bridgewater</w:t>
            </w:r>
          </w:p>
        </w:tc>
        <w:tc>
          <w:tcPr>
            <w:tcW w:w="1160" w:type="dxa"/>
            <w:tcBorders>
              <w:top w:val="nil"/>
              <w:left w:val="nil"/>
              <w:bottom w:val="single" w:sz="4" w:space="0" w:color="auto"/>
              <w:right w:val="single" w:sz="4" w:space="0" w:color="auto"/>
            </w:tcBorders>
            <w:shd w:val="clear" w:color="auto" w:fill="auto"/>
            <w:noWrap/>
            <w:vAlign w:val="bottom"/>
            <w:hideMark/>
          </w:tcPr>
          <w:p w14:paraId="46ABCDE8" w14:textId="77777777" w:rsidR="00D94FF1" w:rsidRPr="00D94FF1" w:rsidRDefault="00D94FF1" w:rsidP="00701F0C">
            <w:pPr>
              <w:jc w:val="center"/>
              <w:rPr>
                <w:rFonts w:ascii="Calibri" w:eastAsia="Times New Roman" w:hAnsi="Calibri" w:cs="Calibri"/>
                <w:color w:val="000000"/>
              </w:rPr>
            </w:pPr>
            <w:r w:rsidRPr="00D94FF1">
              <w:rPr>
                <w:rFonts w:ascii="Calibri" w:eastAsia="Times New Roman" w:hAnsi="Calibri" w:cs="Calibri"/>
                <w:color w:val="000000"/>
              </w:rPr>
              <w:t>4%</w:t>
            </w:r>
          </w:p>
        </w:tc>
        <w:tc>
          <w:tcPr>
            <w:tcW w:w="2815" w:type="dxa"/>
            <w:tcBorders>
              <w:top w:val="nil"/>
              <w:left w:val="nil"/>
              <w:bottom w:val="single" w:sz="4" w:space="0" w:color="auto"/>
              <w:right w:val="single" w:sz="4" w:space="0" w:color="auto"/>
            </w:tcBorders>
            <w:shd w:val="clear" w:color="auto" w:fill="auto"/>
            <w:noWrap/>
            <w:vAlign w:val="bottom"/>
            <w:hideMark/>
          </w:tcPr>
          <w:p w14:paraId="4807291A" w14:textId="77777777" w:rsidR="00D94FF1" w:rsidRPr="00D94FF1" w:rsidRDefault="00D94FF1" w:rsidP="00701F0C">
            <w:pPr>
              <w:jc w:val="center"/>
              <w:rPr>
                <w:rFonts w:ascii="Calibri" w:eastAsia="Times New Roman" w:hAnsi="Calibri" w:cs="Calibri"/>
                <w:color w:val="000000"/>
              </w:rPr>
            </w:pPr>
            <w:r w:rsidRPr="00D94FF1">
              <w:rPr>
                <w:rFonts w:ascii="Calibri" w:eastAsia="Times New Roman" w:hAnsi="Calibri" w:cs="Calibri"/>
                <w:color w:val="000000"/>
              </w:rPr>
              <w:t>4%</w:t>
            </w:r>
          </w:p>
        </w:tc>
      </w:tr>
      <w:tr w:rsidR="00D94FF1" w:rsidRPr="00D94FF1" w14:paraId="36D7DA40" w14:textId="77777777" w:rsidTr="000A58E3">
        <w:trPr>
          <w:cantSplit/>
          <w:trHeight w:val="310"/>
          <w:jc w:val="center"/>
        </w:trPr>
        <w:tc>
          <w:tcPr>
            <w:tcW w:w="2415" w:type="dxa"/>
            <w:tcBorders>
              <w:top w:val="nil"/>
              <w:left w:val="single" w:sz="4" w:space="0" w:color="auto"/>
              <w:bottom w:val="single" w:sz="4" w:space="0" w:color="auto"/>
              <w:right w:val="single" w:sz="4" w:space="0" w:color="auto"/>
            </w:tcBorders>
            <w:shd w:val="clear" w:color="auto" w:fill="auto"/>
            <w:noWrap/>
            <w:vAlign w:val="bottom"/>
            <w:hideMark/>
          </w:tcPr>
          <w:p w14:paraId="5C9BDCF9" w14:textId="77777777" w:rsidR="00D94FF1" w:rsidRPr="00D94FF1" w:rsidRDefault="00D94FF1" w:rsidP="00701F0C">
            <w:pPr>
              <w:rPr>
                <w:rFonts w:ascii="Calibri" w:eastAsia="Times New Roman" w:hAnsi="Calibri" w:cs="Calibri"/>
                <w:color w:val="000000"/>
              </w:rPr>
            </w:pPr>
            <w:r w:rsidRPr="00D94FF1">
              <w:rPr>
                <w:rFonts w:ascii="Calibri" w:eastAsia="Times New Roman" w:hAnsi="Calibri" w:cs="Calibri"/>
                <w:color w:val="000000"/>
              </w:rPr>
              <w:t>Lakeville</w:t>
            </w:r>
          </w:p>
        </w:tc>
        <w:tc>
          <w:tcPr>
            <w:tcW w:w="1160" w:type="dxa"/>
            <w:tcBorders>
              <w:top w:val="nil"/>
              <w:left w:val="nil"/>
              <w:bottom w:val="single" w:sz="4" w:space="0" w:color="auto"/>
              <w:right w:val="single" w:sz="4" w:space="0" w:color="auto"/>
            </w:tcBorders>
            <w:shd w:val="clear" w:color="auto" w:fill="auto"/>
            <w:noWrap/>
            <w:vAlign w:val="bottom"/>
            <w:hideMark/>
          </w:tcPr>
          <w:p w14:paraId="627917DE" w14:textId="77777777" w:rsidR="00D94FF1" w:rsidRPr="00D94FF1" w:rsidRDefault="00D94FF1" w:rsidP="00701F0C">
            <w:pPr>
              <w:jc w:val="center"/>
              <w:rPr>
                <w:rFonts w:ascii="Calibri" w:eastAsia="Times New Roman" w:hAnsi="Calibri" w:cs="Calibri"/>
                <w:color w:val="000000"/>
              </w:rPr>
            </w:pPr>
            <w:r w:rsidRPr="00D94FF1">
              <w:rPr>
                <w:rFonts w:ascii="Calibri" w:eastAsia="Times New Roman" w:hAnsi="Calibri" w:cs="Calibri"/>
                <w:color w:val="000000"/>
              </w:rPr>
              <w:t>4%</w:t>
            </w:r>
          </w:p>
        </w:tc>
        <w:tc>
          <w:tcPr>
            <w:tcW w:w="2815" w:type="dxa"/>
            <w:tcBorders>
              <w:top w:val="nil"/>
              <w:left w:val="nil"/>
              <w:bottom w:val="single" w:sz="4" w:space="0" w:color="auto"/>
              <w:right w:val="single" w:sz="4" w:space="0" w:color="auto"/>
            </w:tcBorders>
            <w:shd w:val="clear" w:color="auto" w:fill="auto"/>
            <w:noWrap/>
            <w:vAlign w:val="bottom"/>
            <w:hideMark/>
          </w:tcPr>
          <w:p w14:paraId="5A959090" w14:textId="77777777" w:rsidR="00D94FF1" w:rsidRPr="00D94FF1" w:rsidRDefault="00D94FF1" w:rsidP="00701F0C">
            <w:pPr>
              <w:jc w:val="center"/>
              <w:rPr>
                <w:rFonts w:ascii="Calibri" w:eastAsia="Times New Roman" w:hAnsi="Calibri" w:cs="Calibri"/>
                <w:color w:val="000000"/>
              </w:rPr>
            </w:pPr>
            <w:r w:rsidRPr="00D94FF1">
              <w:rPr>
                <w:rFonts w:ascii="Calibri" w:eastAsia="Times New Roman" w:hAnsi="Calibri" w:cs="Calibri"/>
                <w:color w:val="000000"/>
              </w:rPr>
              <w:t>4%</w:t>
            </w:r>
          </w:p>
        </w:tc>
      </w:tr>
      <w:tr w:rsidR="00D94FF1" w:rsidRPr="00D94FF1" w14:paraId="69F3B8E9" w14:textId="77777777" w:rsidTr="000A58E3">
        <w:trPr>
          <w:cantSplit/>
          <w:trHeight w:val="310"/>
          <w:jc w:val="center"/>
        </w:trPr>
        <w:tc>
          <w:tcPr>
            <w:tcW w:w="2415" w:type="dxa"/>
            <w:tcBorders>
              <w:top w:val="nil"/>
              <w:left w:val="single" w:sz="4" w:space="0" w:color="auto"/>
              <w:bottom w:val="single" w:sz="4" w:space="0" w:color="auto"/>
              <w:right w:val="single" w:sz="4" w:space="0" w:color="auto"/>
            </w:tcBorders>
            <w:shd w:val="clear" w:color="auto" w:fill="auto"/>
            <w:noWrap/>
            <w:vAlign w:val="bottom"/>
            <w:hideMark/>
          </w:tcPr>
          <w:p w14:paraId="11DC9F59" w14:textId="77777777" w:rsidR="00D94FF1" w:rsidRPr="00D94FF1" w:rsidRDefault="00D94FF1" w:rsidP="00701F0C">
            <w:pPr>
              <w:rPr>
                <w:rFonts w:ascii="Calibri" w:eastAsia="Times New Roman" w:hAnsi="Calibri" w:cs="Calibri"/>
                <w:color w:val="000000"/>
              </w:rPr>
            </w:pPr>
            <w:r w:rsidRPr="00D94FF1">
              <w:rPr>
                <w:rFonts w:ascii="Calibri" w:eastAsia="Times New Roman" w:hAnsi="Calibri" w:cs="Calibri"/>
                <w:color w:val="000000"/>
              </w:rPr>
              <w:t>West Bridgewater</w:t>
            </w:r>
          </w:p>
        </w:tc>
        <w:tc>
          <w:tcPr>
            <w:tcW w:w="1160" w:type="dxa"/>
            <w:tcBorders>
              <w:top w:val="nil"/>
              <w:left w:val="nil"/>
              <w:bottom w:val="single" w:sz="4" w:space="0" w:color="auto"/>
              <w:right w:val="single" w:sz="4" w:space="0" w:color="auto"/>
            </w:tcBorders>
            <w:shd w:val="clear" w:color="auto" w:fill="auto"/>
            <w:noWrap/>
            <w:vAlign w:val="bottom"/>
            <w:hideMark/>
          </w:tcPr>
          <w:p w14:paraId="57D9C17E" w14:textId="77777777" w:rsidR="00D94FF1" w:rsidRPr="00D94FF1" w:rsidRDefault="00D94FF1" w:rsidP="00701F0C">
            <w:pPr>
              <w:jc w:val="center"/>
              <w:rPr>
                <w:rFonts w:ascii="Calibri" w:eastAsia="Times New Roman" w:hAnsi="Calibri" w:cs="Calibri"/>
                <w:color w:val="000000"/>
              </w:rPr>
            </w:pPr>
            <w:r w:rsidRPr="00D94FF1">
              <w:rPr>
                <w:rFonts w:ascii="Calibri" w:eastAsia="Times New Roman" w:hAnsi="Calibri" w:cs="Calibri"/>
                <w:color w:val="000000"/>
              </w:rPr>
              <w:t>3%</w:t>
            </w:r>
          </w:p>
        </w:tc>
        <w:tc>
          <w:tcPr>
            <w:tcW w:w="2815" w:type="dxa"/>
            <w:tcBorders>
              <w:top w:val="nil"/>
              <w:left w:val="nil"/>
              <w:bottom w:val="single" w:sz="4" w:space="0" w:color="auto"/>
              <w:right w:val="single" w:sz="4" w:space="0" w:color="auto"/>
            </w:tcBorders>
            <w:shd w:val="clear" w:color="auto" w:fill="auto"/>
            <w:noWrap/>
            <w:vAlign w:val="bottom"/>
            <w:hideMark/>
          </w:tcPr>
          <w:p w14:paraId="57E0E666" w14:textId="77777777" w:rsidR="00D94FF1" w:rsidRPr="00D94FF1" w:rsidRDefault="00D94FF1" w:rsidP="00701F0C">
            <w:pPr>
              <w:jc w:val="center"/>
              <w:rPr>
                <w:rFonts w:ascii="Calibri" w:eastAsia="Times New Roman" w:hAnsi="Calibri" w:cs="Calibri"/>
                <w:color w:val="000000"/>
              </w:rPr>
            </w:pPr>
            <w:r w:rsidRPr="00D94FF1">
              <w:rPr>
                <w:rFonts w:ascii="Calibri" w:eastAsia="Times New Roman" w:hAnsi="Calibri" w:cs="Calibri"/>
                <w:color w:val="000000"/>
              </w:rPr>
              <w:t>4%</w:t>
            </w:r>
          </w:p>
        </w:tc>
      </w:tr>
      <w:tr w:rsidR="00D94FF1" w:rsidRPr="00D94FF1" w14:paraId="78CDE136" w14:textId="77777777" w:rsidTr="000A58E3">
        <w:trPr>
          <w:cantSplit/>
          <w:trHeight w:val="310"/>
          <w:jc w:val="center"/>
        </w:trPr>
        <w:tc>
          <w:tcPr>
            <w:tcW w:w="2415" w:type="dxa"/>
            <w:tcBorders>
              <w:top w:val="nil"/>
              <w:left w:val="single" w:sz="4" w:space="0" w:color="auto"/>
              <w:bottom w:val="single" w:sz="4" w:space="0" w:color="auto"/>
              <w:right w:val="single" w:sz="4" w:space="0" w:color="auto"/>
            </w:tcBorders>
            <w:shd w:val="clear" w:color="auto" w:fill="auto"/>
            <w:noWrap/>
            <w:vAlign w:val="bottom"/>
            <w:hideMark/>
          </w:tcPr>
          <w:p w14:paraId="4609A506" w14:textId="77777777" w:rsidR="00D94FF1" w:rsidRPr="00D94FF1" w:rsidRDefault="00D94FF1" w:rsidP="00701F0C">
            <w:pPr>
              <w:rPr>
                <w:rFonts w:ascii="Calibri" w:eastAsia="Times New Roman" w:hAnsi="Calibri" w:cs="Calibri"/>
                <w:color w:val="000000"/>
              </w:rPr>
            </w:pPr>
            <w:r w:rsidRPr="00D94FF1">
              <w:rPr>
                <w:rFonts w:ascii="Calibri" w:eastAsia="Times New Roman" w:hAnsi="Calibri" w:cs="Calibri"/>
                <w:color w:val="000000"/>
              </w:rPr>
              <w:t>North Easton</w:t>
            </w:r>
          </w:p>
        </w:tc>
        <w:tc>
          <w:tcPr>
            <w:tcW w:w="1160" w:type="dxa"/>
            <w:tcBorders>
              <w:top w:val="nil"/>
              <w:left w:val="nil"/>
              <w:bottom w:val="single" w:sz="4" w:space="0" w:color="auto"/>
              <w:right w:val="single" w:sz="4" w:space="0" w:color="auto"/>
            </w:tcBorders>
            <w:shd w:val="clear" w:color="auto" w:fill="auto"/>
            <w:noWrap/>
            <w:vAlign w:val="bottom"/>
            <w:hideMark/>
          </w:tcPr>
          <w:p w14:paraId="7B0CC3F9" w14:textId="77777777" w:rsidR="00D94FF1" w:rsidRPr="00D94FF1" w:rsidRDefault="00D94FF1" w:rsidP="00701F0C">
            <w:pPr>
              <w:jc w:val="center"/>
              <w:rPr>
                <w:rFonts w:ascii="Calibri" w:eastAsia="Times New Roman" w:hAnsi="Calibri" w:cs="Calibri"/>
                <w:color w:val="000000"/>
              </w:rPr>
            </w:pPr>
            <w:r w:rsidRPr="00D94FF1">
              <w:rPr>
                <w:rFonts w:ascii="Calibri" w:eastAsia="Times New Roman" w:hAnsi="Calibri" w:cs="Calibri"/>
                <w:color w:val="000000"/>
              </w:rPr>
              <w:t>2%</w:t>
            </w:r>
          </w:p>
        </w:tc>
        <w:tc>
          <w:tcPr>
            <w:tcW w:w="2815" w:type="dxa"/>
            <w:tcBorders>
              <w:top w:val="nil"/>
              <w:left w:val="nil"/>
              <w:bottom w:val="single" w:sz="4" w:space="0" w:color="auto"/>
              <w:right w:val="single" w:sz="4" w:space="0" w:color="auto"/>
            </w:tcBorders>
            <w:shd w:val="clear" w:color="auto" w:fill="auto"/>
            <w:noWrap/>
            <w:vAlign w:val="bottom"/>
            <w:hideMark/>
          </w:tcPr>
          <w:p w14:paraId="33C71DC5" w14:textId="77777777" w:rsidR="00D94FF1" w:rsidRPr="00D94FF1" w:rsidRDefault="00D94FF1" w:rsidP="00701F0C">
            <w:pPr>
              <w:jc w:val="center"/>
              <w:rPr>
                <w:rFonts w:ascii="Calibri" w:eastAsia="Times New Roman" w:hAnsi="Calibri" w:cs="Calibri"/>
                <w:color w:val="000000"/>
              </w:rPr>
            </w:pPr>
            <w:r w:rsidRPr="00D94FF1">
              <w:rPr>
                <w:rFonts w:ascii="Calibri" w:eastAsia="Times New Roman" w:hAnsi="Calibri" w:cs="Calibri"/>
                <w:color w:val="000000"/>
              </w:rPr>
              <w:t>3%</w:t>
            </w:r>
          </w:p>
        </w:tc>
      </w:tr>
      <w:tr w:rsidR="00D94FF1" w:rsidRPr="00D94FF1" w14:paraId="7A2CF3F5" w14:textId="77777777" w:rsidTr="000A58E3">
        <w:trPr>
          <w:cantSplit/>
          <w:trHeight w:val="310"/>
          <w:jc w:val="center"/>
        </w:trPr>
        <w:tc>
          <w:tcPr>
            <w:tcW w:w="2415" w:type="dxa"/>
            <w:tcBorders>
              <w:top w:val="nil"/>
              <w:left w:val="single" w:sz="4" w:space="0" w:color="auto"/>
              <w:bottom w:val="single" w:sz="4" w:space="0" w:color="auto"/>
              <w:right w:val="single" w:sz="4" w:space="0" w:color="auto"/>
            </w:tcBorders>
            <w:shd w:val="clear" w:color="auto" w:fill="auto"/>
            <w:noWrap/>
            <w:vAlign w:val="bottom"/>
            <w:hideMark/>
          </w:tcPr>
          <w:p w14:paraId="0D45BBDF" w14:textId="77777777" w:rsidR="00D94FF1" w:rsidRPr="00D94FF1" w:rsidRDefault="00D94FF1" w:rsidP="00701F0C">
            <w:pPr>
              <w:rPr>
                <w:rFonts w:ascii="Calibri" w:eastAsia="Times New Roman" w:hAnsi="Calibri" w:cs="Calibri"/>
                <w:color w:val="000000"/>
              </w:rPr>
            </w:pPr>
            <w:r w:rsidRPr="00D94FF1">
              <w:rPr>
                <w:rFonts w:ascii="Calibri" w:eastAsia="Times New Roman" w:hAnsi="Calibri" w:cs="Calibri"/>
                <w:color w:val="000000"/>
              </w:rPr>
              <w:t>Stoughton</w:t>
            </w:r>
          </w:p>
        </w:tc>
        <w:tc>
          <w:tcPr>
            <w:tcW w:w="1160" w:type="dxa"/>
            <w:tcBorders>
              <w:top w:val="nil"/>
              <w:left w:val="nil"/>
              <w:bottom w:val="single" w:sz="4" w:space="0" w:color="auto"/>
              <w:right w:val="single" w:sz="4" w:space="0" w:color="auto"/>
            </w:tcBorders>
            <w:shd w:val="clear" w:color="auto" w:fill="auto"/>
            <w:noWrap/>
            <w:vAlign w:val="bottom"/>
            <w:hideMark/>
          </w:tcPr>
          <w:p w14:paraId="4745192D" w14:textId="77777777" w:rsidR="00D94FF1" w:rsidRPr="00D94FF1" w:rsidRDefault="00D94FF1" w:rsidP="00701F0C">
            <w:pPr>
              <w:jc w:val="center"/>
              <w:rPr>
                <w:rFonts w:ascii="Calibri" w:eastAsia="Times New Roman" w:hAnsi="Calibri" w:cs="Calibri"/>
                <w:color w:val="000000"/>
              </w:rPr>
            </w:pPr>
            <w:r w:rsidRPr="00D94FF1">
              <w:rPr>
                <w:rFonts w:ascii="Calibri" w:eastAsia="Times New Roman" w:hAnsi="Calibri" w:cs="Calibri"/>
                <w:color w:val="000000"/>
              </w:rPr>
              <w:t>2%</w:t>
            </w:r>
          </w:p>
        </w:tc>
        <w:tc>
          <w:tcPr>
            <w:tcW w:w="2815" w:type="dxa"/>
            <w:tcBorders>
              <w:top w:val="nil"/>
              <w:left w:val="nil"/>
              <w:bottom w:val="single" w:sz="4" w:space="0" w:color="auto"/>
              <w:right w:val="single" w:sz="4" w:space="0" w:color="auto"/>
            </w:tcBorders>
            <w:shd w:val="clear" w:color="auto" w:fill="auto"/>
            <w:noWrap/>
            <w:vAlign w:val="bottom"/>
            <w:hideMark/>
          </w:tcPr>
          <w:p w14:paraId="40E3B1E8" w14:textId="77777777" w:rsidR="00D94FF1" w:rsidRPr="00D94FF1" w:rsidRDefault="00D94FF1" w:rsidP="00701F0C">
            <w:pPr>
              <w:jc w:val="center"/>
              <w:rPr>
                <w:rFonts w:ascii="Calibri" w:eastAsia="Times New Roman" w:hAnsi="Calibri" w:cs="Calibri"/>
                <w:color w:val="000000"/>
              </w:rPr>
            </w:pPr>
            <w:r w:rsidRPr="00D94FF1">
              <w:rPr>
                <w:rFonts w:ascii="Calibri" w:eastAsia="Times New Roman" w:hAnsi="Calibri" w:cs="Calibri"/>
                <w:color w:val="000000"/>
              </w:rPr>
              <w:t>3%</w:t>
            </w:r>
          </w:p>
        </w:tc>
      </w:tr>
      <w:tr w:rsidR="00D94FF1" w:rsidRPr="00D94FF1" w14:paraId="5B1D018C" w14:textId="77777777" w:rsidTr="000A58E3">
        <w:trPr>
          <w:cantSplit/>
          <w:trHeight w:val="310"/>
          <w:jc w:val="center"/>
        </w:trPr>
        <w:tc>
          <w:tcPr>
            <w:tcW w:w="2415" w:type="dxa"/>
            <w:tcBorders>
              <w:top w:val="nil"/>
              <w:left w:val="single" w:sz="4" w:space="0" w:color="auto"/>
              <w:bottom w:val="single" w:sz="4" w:space="0" w:color="auto"/>
              <w:right w:val="single" w:sz="4" w:space="0" w:color="auto"/>
            </w:tcBorders>
            <w:shd w:val="clear" w:color="auto" w:fill="auto"/>
            <w:noWrap/>
            <w:vAlign w:val="bottom"/>
            <w:hideMark/>
          </w:tcPr>
          <w:p w14:paraId="299806AD" w14:textId="77777777" w:rsidR="00D94FF1" w:rsidRPr="00D94FF1" w:rsidRDefault="00D94FF1" w:rsidP="00701F0C">
            <w:pPr>
              <w:rPr>
                <w:rFonts w:ascii="Calibri" w:eastAsia="Times New Roman" w:hAnsi="Calibri" w:cs="Calibri"/>
                <w:color w:val="000000"/>
              </w:rPr>
            </w:pPr>
            <w:r w:rsidRPr="00D94FF1">
              <w:rPr>
                <w:rFonts w:ascii="Calibri" w:eastAsia="Times New Roman" w:hAnsi="Calibri" w:cs="Calibri"/>
                <w:color w:val="000000"/>
              </w:rPr>
              <w:t>Whitman</w:t>
            </w:r>
          </w:p>
        </w:tc>
        <w:tc>
          <w:tcPr>
            <w:tcW w:w="1160" w:type="dxa"/>
            <w:tcBorders>
              <w:top w:val="nil"/>
              <w:left w:val="nil"/>
              <w:bottom w:val="single" w:sz="4" w:space="0" w:color="auto"/>
              <w:right w:val="single" w:sz="4" w:space="0" w:color="auto"/>
            </w:tcBorders>
            <w:shd w:val="clear" w:color="auto" w:fill="auto"/>
            <w:noWrap/>
            <w:vAlign w:val="bottom"/>
            <w:hideMark/>
          </w:tcPr>
          <w:p w14:paraId="4844DA50" w14:textId="77777777" w:rsidR="00D94FF1" w:rsidRPr="00D94FF1" w:rsidRDefault="00D94FF1" w:rsidP="00701F0C">
            <w:pPr>
              <w:jc w:val="center"/>
              <w:rPr>
                <w:rFonts w:ascii="Calibri" w:eastAsia="Times New Roman" w:hAnsi="Calibri" w:cs="Calibri"/>
                <w:color w:val="000000"/>
              </w:rPr>
            </w:pPr>
            <w:r w:rsidRPr="00D94FF1">
              <w:rPr>
                <w:rFonts w:ascii="Calibri" w:eastAsia="Times New Roman" w:hAnsi="Calibri" w:cs="Calibri"/>
                <w:color w:val="000000"/>
              </w:rPr>
              <w:t>4%</w:t>
            </w:r>
          </w:p>
        </w:tc>
        <w:tc>
          <w:tcPr>
            <w:tcW w:w="2815" w:type="dxa"/>
            <w:tcBorders>
              <w:top w:val="nil"/>
              <w:left w:val="nil"/>
              <w:bottom w:val="single" w:sz="4" w:space="0" w:color="auto"/>
              <w:right w:val="single" w:sz="4" w:space="0" w:color="auto"/>
            </w:tcBorders>
            <w:shd w:val="clear" w:color="auto" w:fill="auto"/>
            <w:noWrap/>
            <w:vAlign w:val="bottom"/>
            <w:hideMark/>
          </w:tcPr>
          <w:p w14:paraId="14780323" w14:textId="77777777" w:rsidR="00D94FF1" w:rsidRPr="00D94FF1" w:rsidRDefault="00D94FF1" w:rsidP="00701F0C">
            <w:pPr>
              <w:jc w:val="center"/>
              <w:rPr>
                <w:rFonts w:ascii="Calibri" w:eastAsia="Times New Roman" w:hAnsi="Calibri" w:cs="Calibri"/>
                <w:color w:val="000000"/>
              </w:rPr>
            </w:pPr>
            <w:r w:rsidRPr="00D94FF1">
              <w:rPr>
                <w:rFonts w:ascii="Calibri" w:eastAsia="Times New Roman" w:hAnsi="Calibri" w:cs="Calibri"/>
                <w:color w:val="000000"/>
              </w:rPr>
              <w:t>3%</w:t>
            </w:r>
          </w:p>
        </w:tc>
      </w:tr>
      <w:tr w:rsidR="00D94FF1" w:rsidRPr="00D94FF1" w14:paraId="6445CE11" w14:textId="77777777" w:rsidTr="000A58E3">
        <w:trPr>
          <w:cantSplit/>
          <w:trHeight w:val="310"/>
          <w:jc w:val="center"/>
        </w:trPr>
        <w:tc>
          <w:tcPr>
            <w:tcW w:w="2415" w:type="dxa"/>
            <w:tcBorders>
              <w:top w:val="nil"/>
              <w:left w:val="single" w:sz="4" w:space="0" w:color="auto"/>
              <w:bottom w:val="single" w:sz="4" w:space="0" w:color="auto"/>
              <w:right w:val="single" w:sz="4" w:space="0" w:color="auto"/>
            </w:tcBorders>
            <w:shd w:val="clear" w:color="auto" w:fill="auto"/>
            <w:noWrap/>
            <w:vAlign w:val="bottom"/>
            <w:hideMark/>
          </w:tcPr>
          <w:p w14:paraId="02D13BAB" w14:textId="77777777" w:rsidR="00D94FF1" w:rsidRPr="00D94FF1" w:rsidRDefault="00D94FF1" w:rsidP="00701F0C">
            <w:pPr>
              <w:rPr>
                <w:rFonts w:ascii="Calibri" w:eastAsia="Times New Roman" w:hAnsi="Calibri" w:cs="Calibri"/>
                <w:color w:val="000000"/>
              </w:rPr>
            </w:pPr>
            <w:r w:rsidRPr="00D94FF1">
              <w:rPr>
                <w:rFonts w:ascii="Calibri" w:eastAsia="Times New Roman" w:hAnsi="Calibri" w:cs="Calibri"/>
                <w:color w:val="000000"/>
              </w:rPr>
              <w:t>East Taunton</w:t>
            </w:r>
          </w:p>
        </w:tc>
        <w:tc>
          <w:tcPr>
            <w:tcW w:w="1160" w:type="dxa"/>
            <w:tcBorders>
              <w:top w:val="nil"/>
              <w:left w:val="nil"/>
              <w:bottom w:val="single" w:sz="4" w:space="0" w:color="auto"/>
              <w:right w:val="single" w:sz="4" w:space="0" w:color="auto"/>
            </w:tcBorders>
            <w:shd w:val="clear" w:color="auto" w:fill="auto"/>
            <w:noWrap/>
            <w:vAlign w:val="bottom"/>
            <w:hideMark/>
          </w:tcPr>
          <w:p w14:paraId="2FEAC080" w14:textId="77777777" w:rsidR="00D94FF1" w:rsidRPr="00D94FF1" w:rsidRDefault="00D94FF1" w:rsidP="00701F0C">
            <w:pPr>
              <w:jc w:val="center"/>
              <w:rPr>
                <w:rFonts w:ascii="Calibri" w:eastAsia="Times New Roman" w:hAnsi="Calibri" w:cs="Calibri"/>
                <w:color w:val="000000"/>
              </w:rPr>
            </w:pPr>
            <w:r w:rsidRPr="00D94FF1">
              <w:rPr>
                <w:rFonts w:ascii="Calibri" w:eastAsia="Times New Roman" w:hAnsi="Calibri" w:cs="Calibri"/>
                <w:color w:val="000000"/>
              </w:rPr>
              <w:t>2%</w:t>
            </w:r>
          </w:p>
        </w:tc>
        <w:tc>
          <w:tcPr>
            <w:tcW w:w="2815" w:type="dxa"/>
            <w:tcBorders>
              <w:top w:val="nil"/>
              <w:left w:val="nil"/>
              <w:bottom w:val="single" w:sz="4" w:space="0" w:color="auto"/>
              <w:right w:val="single" w:sz="4" w:space="0" w:color="auto"/>
            </w:tcBorders>
            <w:shd w:val="clear" w:color="auto" w:fill="auto"/>
            <w:noWrap/>
            <w:vAlign w:val="bottom"/>
            <w:hideMark/>
          </w:tcPr>
          <w:p w14:paraId="5BE7BCE0" w14:textId="77777777" w:rsidR="00D94FF1" w:rsidRPr="00D94FF1" w:rsidRDefault="00D94FF1" w:rsidP="00701F0C">
            <w:pPr>
              <w:jc w:val="center"/>
              <w:rPr>
                <w:rFonts w:ascii="Calibri" w:eastAsia="Times New Roman" w:hAnsi="Calibri" w:cs="Calibri"/>
                <w:color w:val="000000"/>
              </w:rPr>
            </w:pPr>
            <w:r w:rsidRPr="00D94FF1">
              <w:rPr>
                <w:rFonts w:ascii="Calibri" w:eastAsia="Times New Roman" w:hAnsi="Calibri" w:cs="Calibri"/>
                <w:color w:val="000000"/>
              </w:rPr>
              <w:t>2%</w:t>
            </w:r>
          </w:p>
        </w:tc>
      </w:tr>
      <w:tr w:rsidR="00D94FF1" w:rsidRPr="00D94FF1" w14:paraId="19F69B26" w14:textId="77777777" w:rsidTr="000A58E3">
        <w:trPr>
          <w:cantSplit/>
          <w:trHeight w:val="310"/>
          <w:jc w:val="center"/>
        </w:trPr>
        <w:tc>
          <w:tcPr>
            <w:tcW w:w="2415" w:type="dxa"/>
            <w:tcBorders>
              <w:top w:val="nil"/>
              <w:left w:val="single" w:sz="4" w:space="0" w:color="auto"/>
              <w:bottom w:val="single" w:sz="4" w:space="0" w:color="auto"/>
              <w:right w:val="single" w:sz="4" w:space="0" w:color="auto"/>
            </w:tcBorders>
            <w:shd w:val="clear" w:color="auto" w:fill="auto"/>
            <w:noWrap/>
            <w:vAlign w:val="bottom"/>
            <w:hideMark/>
          </w:tcPr>
          <w:p w14:paraId="64FF4335" w14:textId="77777777" w:rsidR="00D94FF1" w:rsidRPr="00D94FF1" w:rsidRDefault="00D94FF1" w:rsidP="00701F0C">
            <w:pPr>
              <w:rPr>
                <w:rFonts w:ascii="Calibri" w:eastAsia="Times New Roman" w:hAnsi="Calibri" w:cs="Calibri"/>
                <w:color w:val="000000"/>
              </w:rPr>
            </w:pPr>
            <w:r w:rsidRPr="00D94FF1">
              <w:rPr>
                <w:rFonts w:ascii="Calibri" w:eastAsia="Times New Roman" w:hAnsi="Calibri" w:cs="Calibri"/>
                <w:color w:val="000000"/>
              </w:rPr>
              <w:t>Norton</w:t>
            </w:r>
          </w:p>
        </w:tc>
        <w:tc>
          <w:tcPr>
            <w:tcW w:w="1160" w:type="dxa"/>
            <w:tcBorders>
              <w:top w:val="nil"/>
              <w:left w:val="nil"/>
              <w:bottom w:val="single" w:sz="4" w:space="0" w:color="auto"/>
              <w:right w:val="single" w:sz="4" w:space="0" w:color="auto"/>
            </w:tcBorders>
            <w:shd w:val="clear" w:color="auto" w:fill="auto"/>
            <w:noWrap/>
            <w:vAlign w:val="bottom"/>
            <w:hideMark/>
          </w:tcPr>
          <w:p w14:paraId="2FC22AB6" w14:textId="77777777" w:rsidR="00D94FF1" w:rsidRPr="00D94FF1" w:rsidRDefault="00D94FF1" w:rsidP="00701F0C">
            <w:pPr>
              <w:jc w:val="center"/>
              <w:rPr>
                <w:rFonts w:ascii="Calibri" w:eastAsia="Times New Roman" w:hAnsi="Calibri" w:cs="Calibri"/>
                <w:color w:val="000000"/>
              </w:rPr>
            </w:pPr>
            <w:r w:rsidRPr="00D94FF1">
              <w:rPr>
                <w:rFonts w:ascii="Calibri" w:eastAsia="Times New Roman" w:hAnsi="Calibri" w:cs="Calibri"/>
                <w:color w:val="000000"/>
              </w:rPr>
              <w:t>2%</w:t>
            </w:r>
          </w:p>
        </w:tc>
        <w:tc>
          <w:tcPr>
            <w:tcW w:w="2815" w:type="dxa"/>
            <w:tcBorders>
              <w:top w:val="nil"/>
              <w:left w:val="nil"/>
              <w:bottom w:val="single" w:sz="4" w:space="0" w:color="auto"/>
              <w:right w:val="single" w:sz="4" w:space="0" w:color="auto"/>
            </w:tcBorders>
            <w:shd w:val="clear" w:color="auto" w:fill="auto"/>
            <w:noWrap/>
            <w:vAlign w:val="bottom"/>
            <w:hideMark/>
          </w:tcPr>
          <w:p w14:paraId="46ED5585" w14:textId="77777777" w:rsidR="00D94FF1" w:rsidRPr="00D94FF1" w:rsidRDefault="00D94FF1" w:rsidP="00701F0C">
            <w:pPr>
              <w:jc w:val="center"/>
              <w:rPr>
                <w:rFonts w:ascii="Calibri" w:eastAsia="Times New Roman" w:hAnsi="Calibri" w:cs="Calibri"/>
                <w:color w:val="000000"/>
              </w:rPr>
            </w:pPr>
            <w:r w:rsidRPr="00D94FF1">
              <w:rPr>
                <w:rFonts w:ascii="Calibri" w:eastAsia="Times New Roman" w:hAnsi="Calibri" w:cs="Calibri"/>
                <w:color w:val="000000"/>
              </w:rPr>
              <w:t>2%</w:t>
            </w:r>
          </w:p>
        </w:tc>
      </w:tr>
      <w:tr w:rsidR="00D94FF1" w:rsidRPr="00D94FF1" w14:paraId="32462E5A" w14:textId="77777777" w:rsidTr="000A58E3">
        <w:trPr>
          <w:cantSplit/>
          <w:trHeight w:val="310"/>
          <w:jc w:val="center"/>
        </w:trPr>
        <w:tc>
          <w:tcPr>
            <w:tcW w:w="2415" w:type="dxa"/>
            <w:tcBorders>
              <w:top w:val="nil"/>
              <w:left w:val="single" w:sz="4" w:space="0" w:color="auto"/>
              <w:bottom w:val="single" w:sz="4" w:space="0" w:color="auto"/>
              <w:right w:val="single" w:sz="4" w:space="0" w:color="auto"/>
            </w:tcBorders>
            <w:shd w:val="clear" w:color="auto" w:fill="auto"/>
            <w:noWrap/>
            <w:vAlign w:val="bottom"/>
            <w:hideMark/>
          </w:tcPr>
          <w:p w14:paraId="24AAAD64" w14:textId="77777777" w:rsidR="00D94FF1" w:rsidRPr="00D94FF1" w:rsidRDefault="00D94FF1" w:rsidP="00701F0C">
            <w:pPr>
              <w:rPr>
                <w:rFonts w:ascii="Calibri" w:eastAsia="Times New Roman" w:hAnsi="Calibri" w:cs="Calibri"/>
                <w:color w:val="000000"/>
              </w:rPr>
            </w:pPr>
            <w:r w:rsidRPr="00D94FF1">
              <w:rPr>
                <w:rFonts w:ascii="Calibri" w:eastAsia="Times New Roman" w:hAnsi="Calibri" w:cs="Calibri"/>
                <w:color w:val="000000"/>
              </w:rPr>
              <w:t>South Easton</w:t>
            </w:r>
          </w:p>
        </w:tc>
        <w:tc>
          <w:tcPr>
            <w:tcW w:w="1160" w:type="dxa"/>
            <w:tcBorders>
              <w:top w:val="nil"/>
              <w:left w:val="nil"/>
              <w:bottom w:val="single" w:sz="4" w:space="0" w:color="auto"/>
              <w:right w:val="single" w:sz="4" w:space="0" w:color="auto"/>
            </w:tcBorders>
            <w:shd w:val="clear" w:color="auto" w:fill="auto"/>
            <w:noWrap/>
            <w:vAlign w:val="bottom"/>
            <w:hideMark/>
          </w:tcPr>
          <w:p w14:paraId="42CA8BBA" w14:textId="77777777" w:rsidR="00D94FF1" w:rsidRPr="00D94FF1" w:rsidRDefault="00D94FF1" w:rsidP="00701F0C">
            <w:pPr>
              <w:jc w:val="center"/>
              <w:rPr>
                <w:rFonts w:ascii="Calibri" w:eastAsia="Times New Roman" w:hAnsi="Calibri" w:cs="Calibri"/>
                <w:color w:val="000000"/>
              </w:rPr>
            </w:pPr>
            <w:r w:rsidRPr="00D94FF1">
              <w:rPr>
                <w:rFonts w:ascii="Calibri" w:eastAsia="Times New Roman" w:hAnsi="Calibri" w:cs="Calibri"/>
                <w:color w:val="000000"/>
              </w:rPr>
              <w:t>2%</w:t>
            </w:r>
          </w:p>
        </w:tc>
        <w:tc>
          <w:tcPr>
            <w:tcW w:w="2815" w:type="dxa"/>
            <w:tcBorders>
              <w:top w:val="nil"/>
              <w:left w:val="nil"/>
              <w:bottom w:val="single" w:sz="4" w:space="0" w:color="auto"/>
              <w:right w:val="single" w:sz="4" w:space="0" w:color="auto"/>
            </w:tcBorders>
            <w:shd w:val="clear" w:color="auto" w:fill="auto"/>
            <w:noWrap/>
            <w:vAlign w:val="bottom"/>
            <w:hideMark/>
          </w:tcPr>
          <w:p w14:paraId="6F5F3376" w14:textId="77777777" w:rsidR="00D94FF1" w:rsidRPr="00D94FF1" w:rsidRDefault="00D94FF1" w:rsidP="00701F0C">
            <w:pPr>
              <w:jc w:val="center"/>
              <w:rPr>
                <w:rFonts w:ascii="Calibri" w:eastAsia="Times New Roman" w:hAnsi="Calibri" w:cs="Calibri"/>
                <w:color w:val="000000"/>
              </w:rPr>
            </w:pPr>
            <w:r w:rsidRPr="00D94FF1">
              <w:rPr>
                <w:rFonts w:ascii="Calibri" w:eastAsia="Times New Roman" w:hAnsi="Calibri" w:cs="Calibri"/>
                <w:color w:val="000000"/>
              </w:rPr>
              <w:t>2%</w:t>
            </w:r>
          </w:p>
        </w:tc>
      </w:tr>
      <w:tr w:rsidR="00D94FF1" w:rsidRPr="00D94FF1" w14:paraId="3BF10A76" w14:textId="77777777" w:rsidTr="000A58E3">
        <w:trPr>
          <w:cantSplit/>
          <w:trHeight w:val="310"/>
          <w:jc w:val="center"/>
        </w:trPr>
        <w:tc>
          <w:tcPr>
            <w:tcW w:w="2415" w:type="dxa"/>
            <w:tcBorders>
              <w:top w:val="nil"/>
              <w:left w:val="single" w:sz="4" w:space="0" w:color="auto"/>
              <w:bottom w:val="single" w:sz="4" w:space="0" w:color="auto"/>
              <w:right w:val="single" w:sz="4" w:space="0" w:color="auto"/>
            </w:tcBorders>
            <w:shd w:val="clear" w:color="auto" w:fill="auto"/>
            <w:noWrap/>
            <w:vAlign w:val="bottom"/>
            <w:hideMark/>
          </w:tcPr>
          <w:p w14:paraId="496D0F88" w14:textId="77777777" w:rsidR="00D94FF1" w:rsidRPr="00D94FF1" w:rsidRDefault="00D94FF1" w:rsidP="00701F0C">
            <w:pPr>
              <w:rPr>
                <w:rFonts w:ascii="Calibri" w:eastAsia="Times New Roman" w:hAnsi="Calibri" w:cs="Calibri"/>
                <w:color w:val="000000"/>
              </w:rPr>
            </w:pPr>
            <w:r w:rsidRPr="00D94FF1">
              <w:rPr>
                <w:rFonts w:ascii="Calibri" w:eastAsia="Times New Roman" w:hAnsi="Calibri" w:cs="Calibri"/>
                <w:color w:val="000000"/>
              </w:rPr>
              <w:t>Hanson</w:t>
            </w:r>
          </w:p>
        </w:tc>
        <w:tc>
          <w:tcPr>
            <w:tcW w:w="1160" w:type="dxa"/>
            <w:tcBorders>
              <w:top w:val="nil"/>
              <w:left w:val="nil"/>
              <w:bottom w:val="single" w:sz="4" w:space="0" w:color="auto"/>
              <w:right w:val="single" w:sz="4" w:space="0" w:color="auto"/>
            </w:tcBorders>
            <w:shd w:val="clear" w:color="auto" w:fill="auto"/>
            <w:noWrap/>
            <w:vAlign w:val="bottom"/>
            <w:hideMark/>
          </w:tcPr>
          <w:p w14:paraId="77F9B044" w14:textId="77777777" w:rsidR="00D94FF1" w:rsidRPr="00D94FF1" w:rsidRDefault="00D94FF1" w:rsidP="00701F0C">
            <w:pPr>
              <w:jc w:val="center"/>
              <w:rPr>
                <w:rFonts w:ascii="Calibri" w:eastAsia="Times New Roman" w:hAnsi="Calibri" w:cs="Calibri"/>
                <w:color w:val="000000"/>
              </w:rPr>
            </w:pPr>
            <w:r w:rsidRPr="00D94FF1">
              <w:rPr>
                <w:rFonts w:ascii="Calibri" w:eastAsia="Times New Roman" w:hAnsi="Calibri" w:cs="Calibri"/>
                <w:color w:val="000000"/>
              </w:rPr>
              <w:t>2%</w:t>
            </w:r>
          </w:p>
        </w:tc>
        <w:tc>
          <w:tcPr>
            <w:tcW w:w="2815" w:type="dxa"/>
            <w:tcBorders>
              <w:top w:val="nil"/>
              <w:left w:val="nil"/>
              <w:bottom w:val="single" w:sz="4" w:space="0" w:color="auto"/>
              <w:right w:val="single" w:sz="4" w:space="0" w:color="auto"/>
            </w:tcBorders>
            <w:shd w:val="clear" w:color="auto" w:fill="auto"/>
            <w:noWrap/>
            <w:vAlign w:val="bottom"/>
            <w:hideMark/>
          </w:tcPr>
          <w:p w14:paraId="40EC1511" w14:textId="77777777" w:rsidR="00D94FF1" w:rsidRPr="00D94FF1" w:rsidRDefault="00D94FF1" w:rsidP="00701F0C">
            <w:pPr>
              <w:jc w:val="center"/>
              <w:rPr>
                <w:rFonts w:ascii="Calibri" w:eastAsia="Times New Roman" w:hAnsi="Calibri" w:cs="Calibri"/>
                <w:color w:val="000000"/>
              </w:rPr>
            </w:pPr>
            <w:r w:rsidRPr="00D94FF1">
              <w:rPr>
                <w:rFonts w:ascii="Calibri" w:eastAsia="Times New Roman" w:hAnsi="Calibri" w:cs="Calibri"/>
                <w:color w:val="000000"/>
              </w:rPr>
              <w:t>2%</w:t>
            </w:r>
          </w:p>
        </w:tc>
      </w:tr>
      <w:tr w:rsidR="00D94FF1" w:rsidRPr="00D94FF1" w14:paraId="7D545815" w14:textId="77777777" w:rsidTr="000A58E3">
        <w:trPr>
          <w:cantSplit/>
          <w:trHeight w:val="310"/>
          <w:jc w:val="center"/>
        </w:trPr>
        <w:tc>
          <w:tcPr>
            <w:tcW w:w="2415" w:type="dxa"/>
            <w:tcBorders>
              <w:top w:val="nil"/>
              <w:left w:val="single" w:sz="4" w:space="0" w:color="auto"/>
              <w:bottom w:val="single" w:sz="4" w:space="0" w:color="auto"/>
              <w:right w:val="single" w:sz="4" w:space="0" w:color="auto"/>
            </w:tcBorders>
            <w:shd w:val="clear" w:color="auto" w:fill="auto"/>
            <w:noWrap/>
            <w:vAlign w:val="bottom"/>
            <w:hideMark/>
          </w:tcPr>
          <w:p w14:paraId="292B302D" w14:textId="77777777" w:rsidR="00D94FF1" w:rsidRPr="00D94FF1" w:rsidRDefault="00D94FF1" w:rsidP="00701F0C">
            <w:pPr>
              <w:rPr>
                <w:rFonts w:ascii="Calibri" w:eastAsia="Times New Roman" w:hAnsi="Calibri" w:cs="Calibri"/>
                <w:color w:val="000000"/>
              </w:rPr>
            </w:pPr>
            <w:r w:rsidRPr="00D94FF1">
              <w:rPr>
                <w:rFonts w:ascii="Calibri" w:eastAsia="Times New Roman" w:hAnsi="Calibri" w:cs="Calibri"/>
                <w:color w:val="000000"/>
              </w:rPr>
              <w:t>Mansfield</w:t>
            </w:r>
          </w:p>
        </w:tc>
        <w:tc>
          <w:tcPr>
            <w:tcW w:w="1160" w:type="dxa"/>
            <w:tcBorders>
              <w:top w:val="nil"/>
              <w:left w:val="nil"/>
              <w:bottom w:val="single" w:sz="4" w:space="0" w:color="auto"/>
              <w:right w:val="single" w:sz="4" w:space="0" w:color="auto"/>
            </w:tcBorders>
            <w:shd w:val="clear" w:color="auto" w:fill="auto"/>
            <w:noWrap/>
            <w:vAlign w:val="bottom"/>
            <w:hideMark/>
          </w:tcPr>
          <w:p w14:paraId="78E409FB" w14:textId="77777777" w:rsidR="00D94FF1" w:rsidRPr="00D94FF1" w:rsidRDefault="00D94FF1" w:rsidP="00701F0C">
            <w:pPr>
              <w:jc w:val="center"/>
              <w:rPr>
                <w:rFonts w:ascii="Calibri" w:eastAsia="Times New Roman" w:hAnsi="Calibri" w:cs="Calibri"/>
                <w:color w:val="000000"/>
              </w:rPr>
            </w:pPr>
            <w:r w:rsidRPr="00D94FF1">
              <w:rPr>
                <w:rFonts w:ascii="Calibri" w:eastAsia="Times New Roman" w:hAnsi="Calibri" w:cs="Calibri"/>
                <w:color w:val="000000"/>
              </w:rPr>
              <w:t>2%</w:t>
            </w:r>
          </w:p>
        </w:tc>
        <w:tc>
          <w:tcPr>
            <w:tcW w:w="2815" w:type="dxa"/>
            <w:tcBorders>
              <w:top w:val="nil"/>
              <w:left w:val="nil"/>
              <w:bottom w:val="single" w:sz="4" w:space="0" w:color="auto"/>
              <w:right w:val="single" w:sz="4" w:space="0" w:color="auto"/>
            </w:tcBorders>
            <w:shd w:val="clear" w:color="auto" w:fill="auto"/>
            <w:noWrap/>
            <w:vAlign w:val="bottom"/>
            <w:hideMark/>
          </w:tcPr>
          <w:p w14:paraId="5F5FE801" w14:textId="77777777" w:rsidR="00D94FF1" w:rsidRPr="00D94FF1" w:rsidRDefault="00D94FF1" w:rsidP="00701F0C">
            <w:pPr>
              <w:jc w:val="center"/>
              <w:rPr>
                <w:rFonts w:ascii="Calibri" w:eastAsia="Times New Roman" w:hAnsi="Calibri" w:cs="Calibri"/>
                <w:color w:val="000000"/>
              </w:rPr>
            </w:pPr>
            <w:r w:rsidRPr="00D94FF1">
              <w:rPr>
                <w:rFonts w:ascii="Calibri" w:eastAsia="Times New Roman" w:hAnsi="Calibri" w:cs="Calibri"/>
                <w:color w:val="000000"/>
              </w:rPr>
              <w:t>2%</w:t>
            </w:r>
          </w:p>
        </w:tc>
      </w:tr>
      <w:tr w:rsidR="00D94FF1" w:rsidRPr="00D94FF1" w14:paraId="356F5B29" w14:textId="77777777" w:rsidTr="000A58E3">
        <w:trPr>
          <w:cantSplit/>
          <w:trHeight w:val="310"/>
          <w:jc w:val="center"/>
        </w:trPr>
        <w:tc>
          <w:tcPr>
            <w:tcW w:w="2415" w:type="dxa"/>
            <w:tcBorders>
              <w:top w:val="nil"/>
              <w:left w:val="single" w:sz="4" w:space="0" w:color="auto"/>
              <w:bottom w:val="single" w:sz="4" w:space="0" w:color="auto"/>
              <w:right w:val="single" w:sz="4" w:space="0" w:color="auto"/>
            </w:tcBorders>
            <w:shd w:val="clear" w:color="auto" w:fill="auto"/>
            <w:noWrap/>
            <w:vAlign w:val="bottom"/>
            <w:hideMark/>
          </w:tcPr>
          <w:p w14:paraId="27C42926" w14:textId="77777777" w:rsidR="00D94FF1" w:rsidRPr="00D94FF1" w:rsidRDefault="00D94FF1" w:rsidP="00701F0C">
            <w:pPr>
              <w:rPr>
                <w:rFonts w:ascii="Calibri" w:eastAsia="Times New Roman" w:hAnsi="Calibri" w:cs="Calibri"/>
                <w:color w:val="000000"/>
              </w:rPr>
            </w:pPr>
            <w:r w:rsidRPr="00D94FF1">
              <w:rPr>
                <w:rFonts w:ascii="Calibri" w:eastAsia="Times New Roman" w:hAnsi="Calibri" w:cs="Calibri"/>
                <w:color w:val="000000"/>
              </w:rPr>
              <w:t>Total PSA Towns (16)</w:t>
            </w:r>
          </w:p>
        </w:tc>
        <w:tc>
          <w:tcPr>
            <w:tcW w:w="1160" w:type="dxa"/>
            <w:tcBorders>
              <w:top w:val="nil"/>
              <w:left w:val="nil"/>
              <w:bottom w:val="single" w:sz="4" w:space="0" w:color="auto"/>
              <w:right w:val="single" w:sz="4" w:space="0" w:color="auto"/>
            </w:tcBorders>
            <w:shd w:val="clear" w:color="auto" w:fill="auto"/>
            <w:noWrap/>
            <w:vAlign w:val="bottom"/>
            <w:hideMark/>
          </w:tcPr>
          <w:p w14:paraId="2B6B52AD" w14:textId="77777777" w:rsidR="00D94FF1" w:rsidRPr="00D94FF1" w:rsidRDefault="00D94FF1" w:rsidP="00701F0C">
            <w:pPr>
              <w:jc w:val="center"/>
              <w:rPr>
                <w:rFonts w:ascii="Calibri" w:eastAsia="Times New Roman" w:hAnsi="Calibri" w:cs="Calibri"/>
                <w:color w:val="000000"/>
              </w:rPr>
            </w:pPr>
            <w:r w:rsidRPr="00D94FF1">
              <w:rPr>
                <w:rFonts w:ascii="Calibri" w:eastAsia="Times New Roman" w:hAnsi="Calibri" w:cs="Calibri"/>
                <w:color w:val="000000"/>
              </w:rPr>
              <w:t>74%</w:t>
            </w:r>
          </w:p>
        </w:tc>
        <w:tc>
          <w:tcPr>
            <w:tcW w:w="2815" w:type="dxa"/>
            <w:tcBorders>
              <w:top w:val="nil"/>
              <w:left w:val="nil"/>
              <w:bottom w:val="single" w:sz="4" w:space="0" w:color="auto"/>
              <w:right w:val="single" w:sz="4" w:space="0" w:color="auto"/>
            </w:tcBorders>
            <w:shd w:val="clear" w:color="auto" w:fill="auto"/>
            <w:noWrap/>
            <w:vAlign w:val="bottom"/>
            <w:hideMark/>
          </w:tcPr>
          <w:p w14:paraId="4F4F6F58" w14:textId="77777777" w:rsidR="00D94FF1" w:rsidRPr="00D94FF1" w:rsidRDefault="00D94FF1" w:rsidP="00701F0C">
            <w:pPr>
              <w:jc w:val="center"/>
              <w:rPr>
                <w:rFonts w:ascii="Calibri" w:eastAsia="Times New Roman" w:hAnsi="Calibri" w:cs="Calibri"/>
                <w:color w:val="000000"/>
              </w:rPr>
            </w:pPr>
            <w:r w:rsidRPr="00D94FF1">
              <w:rPr>
                <w:rFonts w:ascii="Calibri" w:eastAsia="Times New Roman" w:hAnsi="Calibri" w:cs="Calibri"/>
                <w:color w:val="000000"/>
              </w:rPr>
              <w:t>75%</w:t>
            </w:r>
          </w:p>
        </w:tc>
      </w:tr>
      <w:tr w:rsidR="00D94FF1" w:rsidRPr="00D94FF1" w14:paraId="6623DA93" w14:textId="77777777" w:rsidTr="000A58E3">
        <w:trPr>
          <w:cantSplit/>
          <w:trHeight w:val="310"/>
          <w:jc w:val="center"/>
        </w:trPr>
        <w:tc>
          <w:tcPr>
            <w:tcW w:w="2415" w:type="dxa"/>
            <w:tcBorders>
              <w:top w:val="nil"/>
              <w:left w:val="single" w:sz="4" w:space="0" w:color="auto"/>
              <w:bottom w:val="single" w:sz="4" w:space="0" w:color="auto"/>
              <w:right w:val="single" w:sz="4" w:space="0" w:color="auto"/>
            </w:tcBorders>
            <w:shd w:val="clear" w:color="auto" w:fill="auto"/>
            <w:noWrap/>
            <w:vAlign w:val="bottom"/>
            <w:hideMark/>
          </w:tcPr>
          <w:p w14:paraId="0C0905B8" w14:textId="77777777" w:rsidR="00D94FF1" w:rsidRPr="00D94FF1" w:rsidRDefault="00D94FF1" w:rsidP="00701F0C">
            <w:pPr>
              <w:rPr>
                <w:rFonts w:ascii="Calibri" w:eastAsia="Times New Roman" w:hAnsi="Calibri" w:cs="Calibri"/>
                <w:color w:val="000000"/>
              </w:rPr>
            </w:pPr>
            <w:r w:rsidRPr="00D94FF1">
              <w:rPr>
                <w:rFonts w:ascii="Calibri" w:eastAsia="Times New Roman" w:hAnsi="Calibri" w:cs="Calibri"/>
                <w:color w:val="000000"/>
              </w:rPr>
              <w:t>Other Towns</w:t>
            </w:r>
          </w:p>
        </w:tc>
        <w:tc>
          <w:tcPr>
            <w:tcW w:w="1160" w:type="dxa"/>
            <w:tcBorders>
              <w:top w:val="nil"/>
              <w:left w:val="nil"/>
              <w:bottom w:val="single" w:sz="4" w:space="0" w:color="auto"/>
              <w:right w:val="single" w:sz="4" w:space="0" w:color="auto"/>
            </w:tcBorders>
            <w:shd w:val="clear" w:color="auto" w:fill="auto"/>
            <w:noWrap/>
            <w:vAlign w:val="bottom"/>
            <w:hideMark/>
          </w:tcPr>
          <w:p w14:paraId="512D24CE" w14:textId="77777777" w:rsidR="00D94FF1" w:rsidRPr="00D94FF1" w:rsidRDefault="00D94FF1" w:rsidP="00701F0C">
            <w:pPr>
              <w:jc w:val="center"/>
              <w:rPr>
                <w:rFonts w:ascii="Calibri" w:eastAsia="Times New Roman" w:hAnsi="Calibri" w:cs="Calibri"/>
                <w:color w:val="000000"/>
              </w:rPr>
            </w:pPr>
            <w:r w:rsidRPr="00D94FF1">
              <w:rPr>
                <w:rFonts w:ascii="Calibri" w:eastAsia="Times New Roman" w:hAnsi="Calibri" w:cs="Calibri"/>
                <w:color w:val="000000"/>
              </w:rPr>
              <w:t>26%</w:t>
            </w:r>
          </w:p>
        </w:tc>
        <w:tc>
          <w:tcPr>
            <w:tcW w:w="2815" w:type="dxa"/>
            <w:tcBorders>
              <w:top w:val="nil"/>
              <w:left w:val="nil"/>
              <w:bottom w:val="single" w:sz="4" w:space="0" w:color="auto"/>
              <w:right w:val="single" w:sz="4" w:space="0" w:color="auto"/>
            </w:tcBorders>
            <w:shd w:val="clear" w:color="auto" w:fill="auto"/>
            <w:noWrap/>
            <w:vAlign w:val="bottom"/>
            <w:hideMark/>
          </w:tcPr>
          <w:p w14:paraId="4BE9DF2F" w14:textId="77777777" w:rsidR="00D94FF1" w:rsidRPr="00D94FF1" w:rsidRDefault="00D94FF1" w:rsidP="00701F0C">
            <w:pPr>
              <w:jc w:val="center"/>
              <w:rPr>
                <w:rFonts w:ascii="Calibri" w:eastAsia="Times New Roman" w:hAnsi="Calibri" w:cs="Calibri"/>
                <w:color w:val="000000"/>
              </w:rPr>
            </w:pPr>
            <w:r w:rsidRPr="00D94FF1">
              <w:rPr>
                <w:rFonts w:ascii="Calibri" w:eastAsia="Times New Roman" w:hAnsi="Calibri" w:cs="Calibri"/>
                <w:color w:val="000000"/>
              </w:rPr>
              <w:t>25%</w:t>
            </w:r>
          </w:p>
        </w:tc>
      </w:tr>
      <w:tr w:rsidR="00D94FF1" w:rsidRPr="00D94FF1" w14:paraId="3C5E0B35" w14:textId="77777777" w:rsidTr="000A58E3">
        <w:trPr>
          <w:cantSplit/>
          <w:trHeight w:val="310"/>
          <w:jc w:val="center"/>
        </w:trPr>
        <w:tc>
          <w:tcPr>
            <w:tcW w:w="2415" w:type="dxa"/>
            <w:tcBorders>
              <w:top w:val="nil"/>
              <w:left w:val="single" w:sz="4" w:space="0" w:color="auto"/>
              <w:bottom w:val="single" w:sz="4" w:space="0" w:color="auto"/>
              <w:right w:val="single" w:sz="4" w:space="0" w:color="auto"/>
            </w:tcBorders>
            <w:shd w:val="clear" w:color="auto" w:fill="auto"/>
            <w:noWrap/>
            <w:vAlign w:val="bottom"/>
            <w:hideMark/>
          </w:tcPr>
          <w:p w14:paraId="088524B4" w14:textId="77777777" w:rsidR="00D94FF1" w:rsidRPr="00D94FF1" w:rsidRDefault="00D94FF1" w:rsidP="00701F0C">
            <w:pPr>
              <w:rPr>
                <w:rFonts w:ascii="Calibri" w:eastAsia="Times New Roman" w:hAnsi="Calibri" w:cs="Calibri"/>
                <w:color w:val="000000"/>
              </w:rPr>
            </w:pPr>
            <w:r w:rsidRPr="00D94FF1">
              <w:rPr>
                <w:rFonts w:ascii="Calibri" w:eastAsia="Times New Roman" w:hAnsi="Calibri" w:cs="Calibri"/>
                <w:color w:val="000000"/>
              </w:rPr>
              <w:t>Total Towns (109)</w:t>
            </w:r>
          </w:p>
        </w:tc>
        <w:tc>
          <w:tcPr>
            <w:tcW w:w="1160" w:type="dxa"/>
            <w:tcBorders>
              <w:top w:val="nil"/>
              <w:left w:val="nil"/>
              <w:bottom w:val="single" w:sz="4" w:space="0" w:color="auto"/>
              <w:right w:val="single" w:sz="4" w:space="0" w:color="auto"/>
            </w:tcBorders>
            <w:shd w:val="clear" w:color="auto" w:fill="auto"/>
            <w:noWrap/>
            <w:vAlign w:val="bottom"/>
            <w:hideMark/>
          </w:tcPr>
          <w:p w14:paraId="76DDC50F" w14:textId="77777777" w:rsidR="00D94FF1" w:rsidRPr="00D94FF1" w:rsidRDefault="00D94FF1" w:rsidP="00701F0C">
            <w:pPr>
              <w:jc w:val="center"/>
              <w:rPr>
                <w:rFonts w:ascii="Calibri" w:eastAsia="Times New Roman" w:hAnsi="Calibri" w:cs="Calibri"/>
                <w:color w:val="000000"/>
              </w:rPr>
            </w:pPr>
            <w:r w:rsidRPr="00D94FF1">
              <w:rPr>
                <w:rFonts w:ascii="Calibri" w:eastAsia="Times New Roman" w:hAnsi="Calibri" w:cs="Calibri"/>
                <w:color w:val="000000"/>
              </w:rPr>
              <w:t>100%</w:t>
            </w:r>
          </w:p>
        </w:tc>
        <w:tc>
          <w:tcPr>
            <w:tcW w:w="2815" w:type="dxa"/>
            <w:tcBorders>
              <w:top w:val="nil"/>
              <w:left w:val="nil"/>
              <w:bottom w:val="single" w:sz="4" w:space="0" w:color="auto"/>
              <w:right w:val="single" w:sz="4" w:space="0" w:color="auto"/>
            </w:tcBorders>
            <w:shd w:val="clear" w:color="auto" w:fill="auto"/>
            <w:noWrap/>
            <w:vAlign w:val="bottom"/>
            <w:hideMark/>
          </w:tcPr>
          <w:p w14:paraId="34DDCF14" w14:textId="77777777" w:rsidR="00D94FF1" w:rsidRPr="00D94FF1" w:rsidRDefault="00D94FF1" w:rsidP="00701F0C">
            <w:pPr>
              <w:jc w:val="center"/>
              <w:rPr>
                <w:rFonts w:ascii="Calibri" w:eastAsia="Times New Roman" w:hAnsi="Calibri" w:cs="Calibri"/>
                <w:color w:val="000000"/>
              </w:rPr>
            </w:pPr>
            <w:r w:rsidRPr="00D94FF1">
              <w:rPr>
                <w:rFonts w:ascii="Calibri" w:eastAsia="Times New Roman" w:hAnsi="Calibri" w:cs="Calibri"/>
                <w:color w:val="000000"/>
              </w:rPr>
              <w:t>100%</w:t>
            </w:r>
          </w:p>
        </w:tc>
      </w:tr>
    </w:tbl>
    <w:p w14:paraId="7EE0BB07" w14:textId="77777777" w:rsidR="00D94FF1" w:rsidRPr="00D94FF1" w:rsidRDefault="00D94FF1" w:rsidP="00D94FF1">
      <w:pPr>
        <w:spacing w:after="160"/>
        <w:rPr>
          <w:rFonts w:ascii="Calibri" w:eastAsia="Aptos" w:hAnsi="Calibri" w:cs="Calibri"/>
          <w:b/>
          <w:bCs/>
        </w:rPr>
      </w:pPr>
    </w:p>
    <w:p w14:paraId="0E740663" w14:textId="77777777" w:rsidR="00D94FF1" w:rsidRDefault="00D94FF1" w:rsidP="00D94FF1">
      <w:pPr>
        <w:spacing w:after="160"/>
        <w:rPr>
          <w:rFonts w:ascii="Calibri" w:eastAsia="Aptos" w:hAnsi="Calibri" w:cs="Calibri"/>
        </w:rPr>
      </w:pPr>
      <w:r w:rsidRPr="00D94FF1">
        <w:rPr>
          <w:rFonts w:ascii="Calibri" w:eastAsia="Aptos" w:hAnsi="Calibri" w:cs="Calibri"/>
          <w:b/>
          <w:bCs/>
          <w:u w:val="single"/>
        </w:rPr>
        <w:t>Payer Mix.</w:t>
      </w:r>
      <w:r w:rsidRPr="00D94FF1">
        <w:rPr>
          <w:rFonts w:ascii="Calibri" w:eastAsia="Aptos" w:hAnsi="Calibri" w:cs="Calibri"/>
          <w:b/>
          <w:bCs/>
        </w:rPr>
        <w:t xml:space="preserve"> </w:t>
      </w:r>
      <w:r w:rsidRPr="00D94FF1">
        <w:rPr>
          <w:rFonts w:ascii="Calibri" w:eastAsia="Aptos" w:hAnsi="Calibri" w:cs="Calibri"/>
        </w:rPr>
        <w:t>In 2024, 64% of the Applicant's cases were paid by commercial payers, 28% by Medicare, 7% by Medicaid, and 1% by other payers, including VA plans and self-pay. (Table 4)</w:t>
      </w:r>
    </w:p>
    <w:p w14:paraId="1425CDC6" w14:textId="77777777" w:rsidR="00D94FF1" w:rsidRPr="00D94FF1" w:rsidRDefault="00D94FF1" w:rsidP="00D94FF1">
      <w:pPr>
        <w:spacing w:after="160"/>
        <w:jc w:val="center"/>
        <w:rPr>
          <w:rFonts w:ascii="Calibri" w:eastAsia="Aptos" w:hAnsi="Calibri" w:cs="Calibri"/>
          <w:b/>
          <w:bCs/>
        </w:rPr>
      </w:pPr>
      <w:r w:rsidRPr="00D94FF1">
        <w:rPr>
          <w:rFonts w:ascii="Calibri" w:eastAsia="Aptos" w:hAnsi="Calibri" w:cs="Calibri"/>
          <w:b/>
          <w:bCs/>
        </w:rPr>
        <w:t>Table 4: Payer Mix FY 21-24 January-May</w:t>
      </w:r>
    </w:p>
    <w:tbl>
      <w:tblPr>
        <w:tblW w:w="7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7"/>
        <w:gridCol w:w="1000"/>
        <w:gridCol w:w="1000"/>
        <w:gridCol w:w="960"/>
        <w:gridCol w:w="1653"/>
      </w:tblGrid>
      <w:tr w:rsidR="00D94FF1" w:rsidRPr="00D94FF1" w14:paraId="44F74417" w14:textId="77777777" w:rsidTr="000A58E3">
        <w:trPr>
          <w:cantSplit/>
          <w:trHeight w:val="310"/>
          <w:tblHeader/>
          <w:jc w:val="center"/>
        </w:trPr>
        <w:tc>
          <w:tcPr>
            <w:tcW w:w="3217" w:type="dxa"/>
            <w:shd w:val="clear" w:color="auto" w:fill="D9FFFF"/>
            <w:noWrap/>
            <w:vAlign w:val="bottom"/>
            <w:hideMark/>
          </w:tcPr>
          <w:p w14:paraId="0953D530" w14:textId="77777777" w:rsidR="00D94FF1" w:rsidRPr="00D94FF1" w:rsidRDefault="00D94FF1" w:rsidP="00D94FF1">
            <w:pPr>
              <w:rPr>
                <w:rFonts w:ascii="Calibri" w:eastAsia="Times New Roman" w:hAnsi="Calibri" w:cs="Calibri"/>
                <w:b/>
                <w:bCs/>
                <w:color w:val="000000"/>
              </w:rPr>
            </w:pPr>
            <w:r w:rsidRPr="00D94FF1">
              <w:rPr>
                <w:rFonts w:ascii="Calibri" w:eastAsia="Times New Roman" w:hAnsi="Calibri" w:cs="Calibri"/>
                <w:b/>
                <w:bCs/>
              </w:rPr>
              <w:t>Payor Type</w:t>
            </w:r>
          </w:p>
        </w:tc>
        <w:tc>
          <w:tcPr>
            <w:tcW w:w="1000" w:type="dxa"/>
            <w:shd w:val="clear" w:color="auto" w:fill="D9FFFF"/>
            <w:noWrap/>
            <w:vAlign w:val="bottom"/>
            <w:hideMark/>
          </w:tcPr>
          <w:p w14:paraId="70264503" w14:textId="77777777" w:rsidR="00D94FF1" w:rsidRPr="00D94FF1" w:rsidRDefault="00D94FF1" w:rsidP="00D94FF1">
            <w:pPr>
              <w:jc w:val="right"/>
              <w:rPr>
                <w:rFonts w:ascii="Calibri" w:eastAsia="Times New Roman" w:hAnsi="Calibri" w:cs="Calibri"/>
                <w:b/>
                <w:bCs/>
                <w:color w:val="000000"/>
              </w:rPr>
            </w:pPr>
            <w:r w:rsidRPr="00D94FF1">
              <w:rPr>
                <w:rFonts w:ascii="Calibri" w:eastAsia="Times New Roman" w:hAnsi="Calibri" w:cs="Calibri"/>
                <w:b/>
                <w:bCs/>
              </w:rPr>
              <w:t>2021</w:t>
            </w:r>
          </w:p>
        </w:tc>
        <w:tc>
          <w:tcPr>
            <w:tcW w:w="1000" w:type="dxa"/>
            <w:shd w:val="clear" w:color="auto" w:fill="D9FFFF"/>
            <w:noWrap/>
            <w:vAlign w:val="bottom"/>
            <w:hideMark/>
          </w:tcPr>
          <w:p w14:paraId="0732753C" w14:textId="77777777" w:rsidR="00D94FF1" w:rsidRPr="00D94FF1" w:rsidRDefault="00D94FF1" w:rsidP="00D94FF1">
            <w:pPr>
              <w:jc w:val="right"/>
              <w:rPr>
                <w:rFonts w:ascii="Calibri" w:eastAsia="Times New Roman" w:hAnsi="Calibri" w:cs="Calibri"/>
                <w:b/>
                <w:bCs/>
                <w:color w:val="000000"/>
              </w:rPr>
            </w:pPr>
            <w:r w:rsidRPr="00D94FF1">
              <w:rPr>
                <w:rFonts w:ascii="Calibri" w:eastAsia="Times New Roman" w:hAnsi="Calibri" w:cs="Calibri"/>
                <w:b/>
                <w:bCs/>
              </w:rPr>
              <w:t>2022</w:t>
            </w:r>
          </w:p>
        </w:tc>
        <w:tc>
          <w:tcPr>
            <w:tcW w:w="960" w:type="dxa"/>
            <w:shd w:val="clear" w:color="auto" w:fill="D9FFFF"/>
            <w:noWrap/>
            <w:vAlign w:val="bottom"/>
            <w:hideMark/>
          </w:tcPr>
          <w:p w14:paraId="35C83D10" w14:textId="77777777" w:rsidR="00D94FF1" w:rsidRPr="00D94FF1" w:rsidRDefault="00D94FF1" w:rsidP="00D94FF1">
            <w:pPr>
              <w:jc w:val="right"/>
              <w:rPr>
                <w:rFonts w:ascii="Calibri" w:eastAsia="Times New Roman" w:hAnsi="Calibri" w:cs="Calibri"/>
                <w:b/>
                <w:bCs/>
                <w:color w:val="000000"/>
              </w:rPr>
            </w:pPr>
            <w:r w:rsidRPr="00D94FF1">
              <w:rPr>
                <w:rFonts w:ascii="Calibri" w:eastAsia="Times New Roman" w:hAnsi="Calibri" w:cs="Calibri"/>
                <w:b/>
                <w:bCs/>
              </w:rPr>
              <w:t>2023</w:t>
            </w:r>
          </w:p>
        </w:tc>
        <w:tc>
          <w:tcPr>
            <w:tcW w:w="1653" w:type="dxa"/>
            <w:shd w:val="clear" w:color="auto" w:fill="D9FFFF"/>
            <w:noWrap/>
            <w:vAlign w:val="bottom"/>
            <w:hideMark/>
          </w:tcPr>
          <w:p w14:paraId="5DDB667A" w14:textId="77777777" w:rsidR="00D94FF1" w:rsidRPr="00D94FF1" w:rsidRDefault="00D94FF1" w:rsidP="00D94FF1">
            <w:pPr>
              <w:rPr>
                <w:rFonts w:ascii="Calibri" w:eastAsia="Times New Roman" w:hAnsi="Calibri" w:cs="Calibri"/>
                <w:b/>
                <w:bCs/>
                <w:color w:val="000000"/>
              </w:rPr>
            </w:pPr>
            <w:r w:rsidRPr="00D94FF1">
              <w:rPr>
                <w:rFonts w:ascii="Calibri" w:eastAsia="Times New Roman" w:hAnsi="Calibri" w:cs="Calibri"/>
                <w:b/>
                <w:bCs/>
              </w:rPr>
              <w:t xml:space="preserve">2024 Jan-May </w:t>
            </w:r>
          </w:p>
        </w:tc>
      </w:tr>
      <w:tr w:rsidR="00D94FF1" w:rsidRPr="00D94FF1" w14:paraId="53F4B556" w14:textId="77777777" w:rsidTr="000A58E3">
        <w:trPr>
          <w:cantSplit/>
          <w:trHeight w:val="310"/>
          <w:jc w:val="center"/>
        </w:trPr>
        <w:tc>
          <w:tcPr>
            <w:tcW w:w="3217" w:type="dxa"/>
            <w:shd w:val="clear" w:color="auto" w:fill="auto"/>
            <w:noWrap/>
            <w:vAlign w:val="bottom"/>
            <w:hideMark/>
          </w:tcPr>
          <w:p w14:paraId="5CFC042A" w14:textId="77777777" w:rsidR="00D94FF1" w:rsidRPr="00D94FF1" w:rsidRDefault="00D94FF1" w:rsidP="00D94FF1">
            <w:pPr>
              <w:rPr>
                <w:rFonts w:ascii="Calibri" w:eastAsia="Times New Roman" w:hAnsi="Calibri" w:cs="Calibri"/>
                <w:color w:val="000000"/>
              </w:rPr>
            </w:pPr>
            <w:r w:rsidRPr="00D94FF1">
              <w:rPr>
                <w:rFonts w:ascii="Calibri" w:eastAsia="Times New Roman" w:hAnsi="Calibri" w:cs="Calibri"/>
                <w:color w:val="000000"/>
              </w:rPr>
              <w:t>Commercial</w:t>
            </w:r>
          </w:p>
        </w:tc>
        <w:tc>
          <w:tcPr>
            <w:tcW w:w="1000" w:type="dxa"/>
            <w:shd w:val="clear" w:color="auto" w:fill="auto"/>
            <w:noWrap/>
            <w:vAlign w:val="bottom"/>
            <w:hideMark/>
          </w:tcPr>
          <w:p w14:paraId="4B38A8FB" w14:textId="77777777" w:rsidR="00D94FF1" w:rsidRPr="00D94FF1" w:rsidRDefault="00D94FF1" w:rsidP="00D94FF1">
            <w:pPr>
              <w:jc w:val="right"/>
              <w:rPr>
                <w:rFonts w:ascii="Calibri" w:eastAsia="Times New Roman" w:hAnsi="Calibri" w:cs="Calibri"/>
                <w:color w:val="000000"/>
              </w:rPr>
            </w:pPr>
            <w:r w:rsidRPr="00D94FF1">
              <w:rPr>
                <w:rFonts w:ascii="Calibri" w:eastAsia="Times New Roman" w:hAnsi="Calibri" w:cs="Calibri"/>
                <w:color w:val="000000"/>
              </w:rPr>
              <w:t>64%</w:t>
            </w:r>
          </w:p>
        </w:tc>
        <w:tc>
          <w:tcPr>
            <w:tcW w:w="1000" w:type="dxa"/>
            <w:shd w:val="clear" w:color="auto" w:fill="auto"/>
            <w:noWrap/>
            <w:vAlign w:val="bottom"/>
            <w:hideMark/>
          </w:tcPr>
          <w:p w14:paraId="57B78A56" w14:textId="77777777" w:rsidR="00D94FF1" w:rsidRPr="00D94FF1" w:rsidRDefault="00D94FF1" w:rsidP="00D94FF1">
            <w:pPr>
              <w:jc w:val="right"/>
              <w:rPr>
                <w:rFonts w:ascii="Calibri" w:eastAsia="Times New Roman" w:hAnsi="Calibri" w:cs="Calibri"/>
                <w:color w:val="000000"/>
              </w:rPr>
            </w:pPr>
            <w:r w:rsidRPr="00D94FF1">
              <w:rPr>
                <w:rFonts w:ascii="Calibri" w:eastAsia="Times New Roman" w:hAnsi="Calibri" w:cs="Calibri"/>
                <w:color w:val="000000"/>
              </w:rPr>
              <w:t>63%</w:t>
            </w:r>
          </w:p>
        </w:tc>
        <w:tc>
          <w:tcPr>
            <w:tcW w:w="960" w:type="dxa"/>
            <w:shd w:val="clear" w:color="auto" w:fill="auto"/>
            <w:noWrap/>
            <w:vAlign w:val="bottom"/>
            <w:hideMark/>
          </w:tcPr>
          <w:p w14:paraId="3742E753" w14:textId="77777777" w:rsidR="00D94FF1" w:rsidRPr="00D94FF1" w:rsidRDefault="00D94FF1" w:rsidP="00D94FF1">
            <w:pPr>
              <w:jc w:val="right"/>
              <w:rPr>
                <w:rFonts w:ascii="Calibri" w:eastAsia="Times New Roman" w:hAnsi="Calibri" w:cs="Calibri"/>
                <w:color w:val="000000"/>
              </w:rPr>
            </w:pPr>
            <w:r w:rsidRPr="00D94FF1">
              <w:rPr>
                <w:rFonts w:ascii="Calibri" w:eastAsia="Times New Roman" w:hAnsi="Calibri" w:cs="Calibri"/>
                <w:color w:val="000000"/>
              </w:rPr>
              <w:t>61%</w:t>
            </w:r>
          </w:p>
        </w:tc>
        <w:tc>
          <w:tcPr>
            <w:tcW w:w="1653" w:type="dxa"/>
            <w:shd w:val="clear" w:color="auto" w:fill="auto"/>
            <w:noWrap/>
            <w:vAlign w:val="bottom"/>
            <w:hideMark/>
          </w:tcPr>
          <w:p w14:paraId="1CB12C14" w14:textId="77777777" w:rsidR="00D94FF1" w:rsidRPr="00D94FF1" w:rsidRDefault="00D94FF1" w:rsidP="00D94FF1">
            <w:pPr>
              <w:jc w:val="right"/>
              <w:rPr>
                <w:rFonts w:ascii="Calibri" w:eastAsia="Times New Roman" w:hAnsi="Calibri" w:cs="Calibri"/>
                <w:color w:val="000000"/>
              </w:rPr>
            </w:pPr>
            <w:r w:rsidRPr="00D94FF1">
              <w:rPr>
                <w:rFonts w:ascii="Calibri" w:eastAsia="Times New Roman" w:hAnsi="Calibri" w:cs="Calibri"/>
                <w:color w:val="000000"/>
              </w:rPr>
              <w:t>64%</w:t>
            </w:r>
          </w:p>
        </w:tc>
      </w:tr>
      <w:tr w:rsidR="00D94FF1" w:rsidRPr="00D94FF1" w14:paraId="2FD6D6AC" w14:textId="77777777" w:rsidTr="000A58E3">
        <w:trPr>
          <w:cantSplit/>
          <w:trHeight w:val="310"/>
          <w:jc w:val="center"/>
        </w:trPr>
        <w:tc>
          <w:tcPr>
            <w:tcW w:w="3217" w:type="dxa"/>
            <w:shd w:val="clear" w:color="auto" w:fill="auto"/>
            <w:noWrap/>
            <w:vAlign w:val="bottom"/>
            <w:hideMark/>
          </w:tcPr>
          <w:p w14:paraId="6DDD7550" w14:textId="77777777" w:rsidR="00D94FF1" w:rsidRPr="00D94FF1" w:rsidRDefault="00D94FF1" w:rsidP="00D94FF1">
            <w:pPr>
              <w:rPr>
                <w:rFonts w:ascii="Calibri" w:eastAsia="Times New Roman" w:hAnsi="Calibri" w:cs="Calibri"/>
                <w:color w:val="000000"/>
              </w:rPr>
            </w:pPr>
            <w:r w:rsidRPr="00D94FF1">
              <w:rPr>
                <w:rFonts w:ascii="Calibri" w:eastAsia="Times New Roman" w:hAnsi="Calibri" w:cs="Calibri"/>
                <w:color w:val="000000"/>
              </w:rPr>
              <w:t>Medicare</w:t>
            </w:r>
          </w:p>
        </w:tc>
        <w:tc>
          <w:tcPr>
            <w:tcW w:w="1000" w:type="dxa"/>
            <w:shd w:val="clear" w:color="auto" w:fill="auto"/>
            <w:noWrap/>
            <w:vAlign w:val="bottom"/>
            <w:hideMark/>
          </w:tcPr>
          <w:p w14:paraId="63EA6C6E" w14:textId="77777777" w:rsidR="00D94FF1" w:rsidRPr="00D94FF1" w:rsidRDefault="00D94FF1" w:rsidP="00D94FF1">
            <w:pPr>
              <w:jc w:val="right"/>
              <w:rPr>
                <w:rFonts w:ascii="Calibri" w:eastAsia="Times New Roman" w:hAnsi="Calibri" w:cs="Calibri"/>
                <w:color w:val="000000"/>
              </w:rPr>
            </w:pPr>
            <w:r w:rsidRPr="00D94FF1">
              <w:rPr>
                <w:rFonts w:ascii="Calibri" w:eastAsia="Times New Roman" w:hAnsi="Calibri" w:cs="Calibri"/>
                <w:color w:val="000000"/>
              </w:rPr>
              <w:t>28%</w:t>
            </w:r>
          </w:p>
        </w:tc>
        <w:tc>
          <w:tcPr>
            <w:tcW w:w="1000" w:type="dxa"/>
            <w:shd w:val="clear" w:color="auto" w:fill="auto"/>
            <w:noWrap/>
            <w:vAlign w:val="bottom"/>
            <w:hideMark/>
          </w:tcPr>
          <w:p w14:paraId="334EA73B" w14:textId="77777777" w:rsidR="00D94FF1" w:rsidRPr="00D94FF1" w:rsidRDefault="00D94FF1" w:rsidP="00D94FF1">
            <w:pPr>
              <w:jc w:val="right"/>
              <w:rPr>
                <w:rFonts w:ascii="Calibri" w:eastAsia="Times New Roman" w:hAnsi="Calibri" w:cs="Calibri"/>
                <w:color w:val="000000"/>
              </w:rPr>
            </w:pPr>
            <w:r w:rsidRPr="00D94FF1">
              <w:rPr>
                <w:rFonts w:ascii="Calibri" w:eastAsia="Times New Roman" w:hAnsi="Calibri" w:cs="Calibri"/>
                <w:color w:val="000000"/>
              </w:rPr>
              <w:t>28%</w:t>
            </w:r>
          </w:p>
        </w:tc>
        <w:tc>
          <w:tcPr>
            <w:tcW w:w="960" w:type="dxa"/>
            <w:shd w:val="clear" w:color="auto" w:fill="auto"/>
            <w:noWrap/>
            <w:vAlign w:val="bottom"/>
            <w:hideMark/>
          </w:tcPr>
          <w:p w14:paraId="6B725228" w14:textId="77777777" w:rsidR="00D94FF1" w:rsidRPr="00D94FF1" w:rsidRDefault="00D94FF1" w:rsidP="00D94FF1">
            <w:pPr>
              <w:jc w:val="right"/>
              <w:rPr>
                <w:rFonts w:ascii="Calibri" w:eastAsia="Times New Roman" w:hAnsi="Calibri" w:cs="Calibri"/>
                <w:color w:val="000000"/>
              </w:rPr>
            </w:pPr>
            <w:r w:rsidRPr="00D94FF1">
              <w:rPr>
                <w:rFonts w:ascii="Calibri" w:eastAsia="Times New Roman" w:hAnsi="Calibri" w:cs="Calibri"/>
                <w:color w:val="000000"/>
              </w:rPr>
              <w:t>28%</w:t>
            </w:r>
          </w:p>
        </w:tc>
        <w:tc>
          <w:tcPr>
            <w:tcW w:w="1653" w:type="dxa"/>
            <w:shd w:val="clear" w:color="auto" w:fill="auto"/>
            <w:noWrap/>
            <w:vAlign w:val="bottom"/>
            <w:hideMark/>
          </w:tcPr>
          <w:p w14:paraId="1BC6AC90" w14:textId="77777777" w:rsidR="00D94FF1" w:rsidRPr="00D94FF1" w:rsidRDefault="00D94FF1" w:rsidP="00D94FF1">
            <w:pPr>
              <w:jc w:val="right"/>
              <w:rPr>
                <w:rFonts w:ascii="Calibri" w:eastAsia="Times New Roman" w:hAnsi="Calibri" w:cs="Calibri"/>
                <w:color w:val="000000"/>
              </w:rPr>
            </w:pPr>
            <w:r w:rsidRPr="00D94FF1">
              <w:rPr>
                <w:rFonts w:ascii="Calibri" w:eastAsia="Times New Roman" w:hAnsi="Calibri" w:cs="Calibri"/>
                <w:color w:val="000000"/>
              </w:rPr>
              <w:t>28%</w:t>
            </w:r>
          </w:p>
        </w:tc>
      </w:tr>
      <w:tr w:rsidR="00D94FF1" w:rsidRPr="00D94FF1" w14:paraId="2F3F6E0C" w14:textId="77777777" w:rsidTr="000A58E3">
        <w:trPr>
          <w:cantSplit/>
          <w:trHeight w:val="310"/>
          <w:jc w:val="center"/>
        </w:trPr>
        <w:tc>
          <w:tcPr>
            <w:tcW w:w="3217" w:type="dxa"/>
            <w:shd w:val="clear" w:color="auto" w:fill="auto"/>
            <w:noWrap/>
            <w:vAlign w:val="bottom"/>
            <w:hideMark/>
          </w:tcPr>
          <w:p w14:paraId="5FF64D77" w14:textId="77777777" w:rsidR="00D94FF1" w:rsidRPr="00D94FF1" w:rsidRDefault="00D94FF1" w:rsidP="00D94FF1">
            <w:pPr>
              <w:rPr>
                <w:rFonts w:ascii="Calibri" w:eastAsia="Times New Roman" w:hAnsi="Calibri" w:cs="Calibri"/>
                <w:color w:val="000000"/>
              </w:rPr>
            </w:pPr>
            <w:r w:rsidRPr="00D94FF1">
              <w:rPr>
                <w:rFonts w:ascii="Calibri" w:eastAsia="Times New Roman" w:hAnsi="Calibri" w:cs="Calibri"/>
                <w:color w:val="000000"/>
              </w:rPr>
              <w:t>Medicaid</w:t>
            </w:r>
          </w:p>
        </w:tc>
        <w:tc>
          <w:tcPr>
            <w:tcW w:w="1000" w:type="dxa"/>
            <w:shd w:val="clear" w:color="auto" w:fill="auto"/>
            <w:noWrap/>
            <w:vAlign w:val="bottom"/>
            <w:hideMark/>
          </w:tcPr>
          <w:p w14:paraId="0706A4ED" w14:textId="77777777" w:rsidR="00D94FF1" w:rsidRPr="00D94FF1" w:rsidRDefault="00D94FF1" w:rsidP="00D94FF1">
            <w:pPr>
              <w:jc w:val="right"/>
              <w:rPr>
                <w:rFonts w:ascii="Calibri" w:eastAsia="Times New Roman" w:hAnsi="Calibri" w:cs="Calibri"/>
                <w:color w:val="000000"/>
              </w:rPr>
            </w:pPr>
            <w:r w:rsidRPr="00D94FF1">
              <w:rPr>
                <w:rFonts w:ascii="Calibri" w:eastAsia="Times New Roman" w:hAnsi="Calibri" w:cs="Calibri"/>
                <w:color w:val="000000"/>
              </w:rPr>
              <w:t>7%</w:t>
            </w:r>
          </w:p>
        </w:tc>
        <w:tc>
          <w:tcPr>
            <w:tcW w:w="1000" w:type="dxa"/>
            <w:shd w:val="clear" w:color="auto" w:fill="auto"/>
            <w:noWrap/>
            <w:vAlign w:val="bottom"/>
            <w:hideMark/>
          </w:tcPr>
          <w:p w14:paraId="24F1D1A5" w14:textId="77777777" w:rsidR="00D94FF1" w:rsidRPr="00D94FF1" w:rsidRDefault="00D94FF1" w:rsidP="00D94FF1">
            <w:pPr>
              <w:jc w:val="right"/>
              <w:rPr>
                <w:rFonts w:ascii="Calibri" w:eastAsia="Times New Roman" w:hAnsi="Calibri" w:cs="Calibri"/>
                <w:color w:val="000000"/>
              </w:rPr>
            </w:pPr>
            <w:r w:rsidRPr="00D94FF1">
              <w:rPr>
                <w:rFonts w:ascii="Calibri" w:eastAsia="Times New Roman" w:hAnsi="Calibri" w:cs="Calibri"/>
                <w:color w:val="000000"/>
              </w:rPr>
              <w:t>8%</w:t>
            </w:r>
          </w:p>
        </w:tc>
        <w:tc>
          <w:tcPr>
            <w:tcW w:w="960" w:type="dxa"/>
            <w:shd w:val="clear" w:color="auto" w:fill="auto"/>
            <w:noWrap/>
            <w:vAlign w:val="bottom"/>
            <w:hideMark/>
          </w:tcPr>
          <w:p w14:paraId="6C046D99" w14:textId="77777777" w:rsidR="00D94FF1" w:rsidRPr="00D94FF1" w:rsidRDefault="00D94FF1" w:rsidP="00D94FF1">
            <w:pPr>
              <w:jc w:val="right"/>
              <w:rPr>
                <w:rFonts w:ascii="Calibri" w:eastAsia="Times New Roman" w:hAnsi="Calibri" w:cs="Calibri"/>
                <w:color w:val="000000"/>
              </w:rPr>
            </w:pPr>
            <w:r w:rsidRPr="00D94FF1">
              <w:rPr>
                <w:rFonts w:ascii="Calibri" w:eastAsia="Times New Roman" w:hAnsi="Calibri" w:cs="Calibri"/>
                <w:color w:val="000000"/>
              </w:rPr>
              <w:t>11%</w:t>
            </w:r>
          </w:p>
        </w:tc>
        <w:tc>
          <w:tcPr>
            <w:tcW w:w="1653" w:type="dxa"/>
            <w:shd w:val="clear" w:color="auto" w:fill="auto"/>
            <w:noWrap/>
            <w:vAlign w:val="bottom"/>
            <w:hideMark/>
          </w:tcPr>
          <w:p w14:paraId="00ED6B71" w14:textId="77777777" w:rsidR="00D94FF1" w:rsidRPr="00D94FF1" w:rsidRDefault="00D94FF1" w:rsidP="00D94FF1">
            <w:pPr>
              <w:jc w:val="right"/>
              <w:rPr>
                <w:rFonts w:ascii="Calibri" w:eastAsia="Times New Roman" w:hAnsi="Calibri" w:cs="Calibri"/>
                <w:color w:val="000000"/>
              </w:rPr>
            </w:pPr>
            <w:r w:rsidRPr="00D94FF1">
              <w:rPr>
                <w:rFonts w:ascii="Calibri" w:eastAsia="Times New Roman" w:hAnsi="Calibri" w:cs="Calibri"/>
                <w:color w:val="000000"/>
              </w:rPr>
              <w:t>7%</w:t>
            </w:r>
          </w:p>
        </w:tc>
      </w:tr>
      <w:tr w:rsidR="00D94FF1" w:rsidRPr="00D94FF1" w14:paraId="39C55960" w14:textId="77777777" w:rsidTr="000A58E3">
        <w:trPr>
          <w:cantSplit/>
          <w:trHeight w:val="310"/>
          <w:jc w:val="center"/>
        </w:trPr>
        <w:tc>
          <w:tcPr>
            <w:tcW w:w="3217" w:type="dxa"/>
            <w:shd w:val="clear" w:color="auto" w:fill="auto"/>
            <w:noWrap/>
            <w:vAlign w:val="bottom"/>
            <w:hideMark/>
          </w:tcPr>
          <w:p w14:paraId="2F6D8B58" w14:textId="77777777" w:rsidR="00D94FF1" w:rsidRPr="00D94FF1" w:rsidRDefault="00D94FF1" w:rsidP="00D94FF1">
            <w:pPr>
              <w:rPr>
                <w:rFonts w:ascii="Calibri" w:eastAsia="Times New Roman" w:hAnsi="Calibri" w:cs="Calibri"/>
                <w:color w:val="000000"/>
              </w:rPr>
            </w:pPr>
            <w:r w:rsidRPr="00D94FF1">
              <w:rPr>
                <w:rFonts w:ascii="Calibri" w:eastAsia="Times New Roman" w:hAnsi="Calibri" w:cs="Calibri"/>
                <w:color w:val="000000"/>
              </w:rPr>
              <w:lastRenderedPageBreak/>
              <w:t>Other (incl. VA and Self Pay)</w:t>
            </w:r>
          </w:p>
        </w:tc>
        <w:tc>
          <w:tcPr>
            <w:tcW w:w="1000" w:type="dxa"/>
            <w:shd w:val="clear" w:color="auto" w:fill="auto"/>
            <w:noWrap/>
            <w:vAlign w:val="bottom"/>
            <w:hideMark/>
          </w:tcPr>
          <w:p w14:paraId="18876ACD" w14:textId="77777777" w:rsidR="00D94FF1" w:rsidRPr="00D94FF1" w:rsidRDefault="00D94FF1" w:rsidP="00D94FF1">
            <w:pPr>
              <w:jc w:val="right"/>
              <w:rPr>
                <w:rFonts w:ascii="Calibri" w:eastAsia="Times New Roman" w:hAnsi="Calibri" w:cs="Calibri"/>
                <w:color w:val="000000"/>
              </w:rPr>
            </w:pPr>
            <w:r w:rsidRPr="00D94FF1">
              <w:rPr>
                <w:rFonts w:ascii="Calibri" w:eastAsia="Times New Roman" w:hAnsi="Calibri" w:cs="Calibri"/>
                <w:color w:val="000000"/>
              </w:rPr>
              <w:t>1%</w:t>
            </w:r>
          </w:p>
        </w:tc>
        <w:tc>
          <w:tcPr>
            <w:tcW w:w="1000" w:type="dxa"/>
            <w:shd w:val="clear" w:color="auto" w:fill="auto"/>
            <w:noWrap/>
            <w:vAlign w:val="bottom"/>
            <w:hideMark/>
          </w:tcPr>
          <w:p w14:paraId="1E1902AB" w14:textId="77777777" w:rsidR="00D94FF1" w:rsidRPr="00D94FF1" w:rsidRDefault="00D94FF1" w:rsidP="00D94FF1">
            <w:pPr>
              <w:jc w:val="right"/>
              <w:rPr>
                <w:rFonts w:ascii="Calibri" w:eastAsia="Times New Roman" w:hAnsi="Calibri" w:cs="Calibri"/>
                <w:color w:val="000000"/>
              </w:rPr>
            </w:pPr>
            <w:r w:rsidRPr="00D94FF1">
              <w:rPr>
                <w:rFonts w:ascii="Calibri" w:eastAsia="Times New Roman" w:hAnsi="Calibri" w:cs="Calibri"/>
                <w:color w:val="000000"/>
              </w:rPr>
              <w:t>1%</w:t>
            </w:r>
          </w:p>
        </w:tc>
        <w:tc>
          <w:tcPr>
            <w:tcW w:w="960" w:type="dxa"/>
            <w:shd w:val="clear" w:color="auto" w:fill="auto"/>
            <w:noWrap/>
            <w:vAlign w:val="bottom"/>
            <w:hideMark/>
          </w:tcPr>
          <w:p w14:paraId="40882131" w14:textId="77777777" w:rsidR="00D94FF1" w:rsidRPr="00D94FF1" w:rsidRDefault="00D94FF1" w:rsidP="00D94FF1">
            <w:pPr>
              <w:jc w:val="right"/>
              <w:rPr>
                <w:rFonts w:ascii="Calibri" w:eastAsia="Times New Roman" w:hAnsi="Calibri" w:cs="Calibri"/>
                <w:color w:val="000000"/>
              </w:rPr>
            </w:pPr>
            <w:r w:rsidRPr="00D94FF1">
              <w:rPr>
                <w:rFonts w:ascii="Calibri" w:eastAsia="Times New Roman" w:hAnsi="Calibri" w:cs="Calibri"/>
                <w:color w:val="000000"/>
              </w:rPr>
              <w:t>1%</w:t>
            </w:r>
          </w:p>
        </w:tc>
        <w:tc>
          <w:tcPr>
            <w:tcW w:w="1653" w:type="dxa"/>
            <w:shd w:val="clear" w:color="auto" w:fill="auto"/>
            <w:noWrap/>
            <w:vAlign w:val="bottom"/>
            <w:hideMark/>
          </w:tcPr>
          <w:p w14:paraId="416E266F" w14:textId="77777777" w:rsidR="00D94FF1" w:rsidRPr="00D94FF1" w:rsidRDefault="00D94FF1" w:rsidP="00D94FF1">
            <w:pPr>
              <w:jc w:val="right"/>
              <w:rPr>
                <w:rFonts w:ascii="Calibri" w:eastAsia="Times New Roman" w:hAnsi="Calibri" w:cs="Calibri"/>
                <w:color w:val="000000"/>
              </w:rPr>
            </w:pPr>
            <w:r w:rsidRPr="00D94FF1">
              <w:rPr>
                <w:rFonts w:ascii="Calibri" w:eastAsia="Times New Roman" w:hAnsi="Calibri" w:cs="Calibri"/>
                <w:color w:val="000000"/>
              </w:rPr>
              <w:t>1%</w:t>
            </w:r>
          </w:p>
        </w:tc>
      </w:tr>
      <w:tr w:rsidR="00D94FF1" w:rsidRPr="00D94FF1" w14:paraId="23E62F98" w14:textId="77777777" w:rsidTr="000A58E3">
        <w:trPr>
          <w:cantSplit/>
          <w:trHeight w:val="310"/>
          <w:jc w:val="center"/>
        </w:trPr>
        <w:tc>
          <w:tcPr>
            <w:tcW w:w="3217" w:type="dxa"/>
            <w:shd w:val="clear" w:color="auto" w:fill="auto"/>
            <w:noWrap/>
            <w:vAlign w:val="bottom"/>
            <w:hideMark/>
          </w:tcPr>
          <w:p w14:paraId="630284AD" w14:textId="33797A29" w:rsidR="00D94FF1" w:rsidRPr="00D94FF1" w:rsidRDefault="00D94FF1" w:rsidP="00D94FF1">
            <w:pPr>
              <w:rPr>
                <w:rFonts w:ascii="Calibri" w:eastAsia="Times New Roman" w:hAnsi="Calibri" w:cs="Calibri"/>
                <w:color w:val="000000"/>
              </w:rPr>
            </w:pPr>
            <w:r w:rsidRPr="00D94FF1">
              <w:rPr>
                <w:rFonts w:ascii="Calibri" w:eastAsia="Times New Roman" w:hAnsi="Calibri" w:cs="Calibri"/>
              </w:rPr>
              <w:t>Total</w:t>
            </w:r>
          </w:p>
        </w:tc>
        <w:tc>
          <w:tcPr>
            <w:tcW w:w="1000" w:type="dxa"/>
            <w:shd w:val="clear" w:color="auto" w:fill="auto"/>
            <w:noWrap/>
            <w:vAlign w:val="bottom"/>
            <w:hideMark/>
          </w:tcPr>
          <w:p w14:paraId="72A8C1A7" w14:textId="77777777" w:rsidR="00D94FF1" w:rsidRPr="00D94FF1" w:rsidRDefault="00D94FF1" w:rsidP="00D94FF1">
            <w:pPr>
              <w:jc w:val="right"/>
              <w:rPr>
                <w:rFonts w:ascii="Calibri" w:eastAsia="Times New Roman" w:hAnsi="Calibri" w:cs="Calibri"/>
                <w:color w:val="000000"/>
              </w:rPr>
            </w:pPr>
            <w:r w:rsidRPr="00D94FF1">
              <w:rPr>
                <w:rFonts w:ascii="Calibri" w:eastAsia="Times New Roman" w:hAnsi="Calibri" w:cs="Calibri"/>
              </w:rPr>
              <w:t>100%</w:t>
            </w:r>
          </w:p>
        </w:tc>
        <w:tc>
          <w:tcPr>
            <w:tcW w:w="1000" w:type="dxa"/>
            <w:shd w:val="clear" w:color="auto" w:fill="auto"/>
            <w:noWrap/>
            <w:vAlign w:val="bottom"/>
            <w:hideMark/>
          </w:tcPr>
          <w:p w14:paraId="4F1A1795" w14:textId="77777777" w:rsidR="00D94FF1" w:rsidRPr="00D94FF1" w:rsidRDefault="00D94FF1" w:rsidP="00D94FF1">
            <w:pPr>
              <w:jc w:val="right"/>
              <w:rPr>
                <w:rFonts w:ascii="Calibri" w:eastAsia="Times New Roman" w:hAnsi="Calibri" w:cs="Calibri"/>
                <w:color w:val="000000"/>
              </w:rPr>
            </w:pPr>
            <w:r w:rsidRPr="00D94FF1">
              <w:rPr>
                <w:rFonts w:ascii="Calibri" w:eastAsia="Times New Roman" w:hAnsi="Calibri" w:cs="Calibri"/>
              </w:rPr>
              <w:t>100%</w:t>
            </w:r>
          </w:p>
        </w:tc>
        <w:tc>
          <w:tcPr>
            <w:tcW w:w="960" w:type="dxa"/>
            <w:shd w:val="clear" w:color="auto" w:fill="auto"/>
            <w:noWrap/>
            <w:vAlign w:val="bottom"/>
            <w:hideMark/>
          </w:tcPr>
          <w:p w14:paraId="370788F8" w14:textId="77777777" w:rsidR="00D94FF1" w:rsidRPr="00D94FF1" w:rsidRDefault="00D94FF1" w:rsidP="00D94FF1">
            <w:pPr>
              <w:jc w:val="right"/>
              <w:rPr>
                <w:rFonts w:ascii="Calibri" w:eastAsia="Times New Roman" w:hAnsi="Calibri" w:cs="Calibri"/>
                <w:color w:val="000000"/>
              </w:rPr>
            </w:pPr>
            <w:r w:rsidRPr="00D94FF1">
              <w:rPr>
                <w:rFonts w:ascii="Calibri" w:eastAsia="Times New Roman" w:hAnsi="Calibri" w:cs="Calibri"/>
              </w:rPr>
              <w:t>100%</w:t>
            </w:r>
          </w:p>
        </w:tc>
        <w:tc>
          <w:tcPr>
            <w:tcW w:w="1653" w:type="dxa"/>
            <w:shd w:val="clear" w:color="auto" w:fill="auto"/>
            <w:noWrap/>
            <w:vAlign w:val="bottom"/>
            <w:hideMark/>
          </w:tcPr>
          <w:p w14:paraId="371E63C4" w14:textId="77777777" w:rsidR="00D94FF1" w:rsidRPr="00D94FF1" w:rsidRDefault="00D94FF1" w:rsidP="00D94FF1">
            <w:pPr>
              <w:jc w:val="right"/>
              <w:rPr>
                <w:rFonts w:ascii="Calibri" w:eastAsia="Times New Roman" w:hAnsi="Calibri" w:cs="Calibri"/>
                <w:color w:val="000000"/>
              </w:rPr>
            </w:pPr>
            <w:r w:rsidRPr="00D94FF1">
              <w:rPr>
                <w:rFonts w:ascii="Calibri" w:eastAsia="Times New Roman" w:hAnsi="Calibri" w:cs="Calibri"/>
              </w:rPr>
              <w:t>100%</w:t>
            </w:r>
          </w:p>
        </w:tc>
      </w:tr>
    </w:tbl>
    <w:p w14:paraId="4CEEE372" w14:textId="77777777" w:rsidR="00D94FF1" w:rsidRDefault="00D94FF1" w:rsidP="00685C18"/>
    <w:p w14:paraId="71952509" w14:textId="0090C757" w:rsidR="00AC68E5" w:rsidRDefault="00AC68E5" w:rsidP="003964D0">
      <w:pPr>
        <w:pStyle w:val="Heading1"/>
        <w:spacing w:before="0" w:line="240" w:lineRule="auto"/>
        <w:rPr>
          <w:rFonts w:asciiTheme="minorHAnsi" w:eastAsia="Calibri" w:hAnsiTheme="minorHAnsi" w:cstheme="minorHAnsi"/>
        </w:rPr>
      </w:pPr>
      <w:bookmarkStart w:id="27" w:name="_Toc17731309"/>
      <w:bookmarkStart w:id="28" w:name="_Toc18922398"/>
      <w:bookmarkStart w:id="29" w:name="_Toc157428827"/>
      <w:bookmarkStart w:id="30" w:name="_Toc187325895"/>
      <w:bookmarkEnd w:id="17"/>
      <w:bookmarkEnd w:id="18"/>
      <w:bookmarkEnd w:id="19"/>
      <w:bookmarkEnd w:id="20"/>
      <w:bookmarkEnd w:id="21"/>
      <w:bookmarkEnd w:id="22"/>
      <w:r w:rsidRPr="008409FF">
        <w:rPr>
          <w:rFonts w:asciiTheme="minorHAnsi" w:eastAsia="Calibri" w:hAnsiTheme="minorHAnsi" w:cstheme="minorHAnsi"/>
        </w:rPr>
        <w:t>Factor 1</w:t>
      </w:r>
      <w:r w:rsidR="00B85B1D" w:rsidRPr="008409FF">
        <w:rPr>
          <w:rFonts w:asciiTheme="minorHAnsi" w:eastAsia="Calibri" w:hAnsiTheme="minorHAnsi" w:cstheme="minorHAnsi"/>
        </w:rPr>
        <w:t>a</w:t>
      </w:r>
      <w:r w:rsidRPr="008409FF">
        <w:rPr>
          <w:rFonts w:asciiTheme="minorHAnsi" w:eastAsia="Calibri" w:hAnsiTheme="minorHAnsi" w:cstheme="minorHAnsi"/>
        </w:rPr>
        <w:t>: Patient Panel Need</w:t>
      </w:r>
      <w:bookmarkEnd w:id="27"/>
      <w:bookmarkEnd w:id="28"/>
      <w:bookmarkEnd w:id="29"/>
      <w:bookmarkEnd w:id="30"/>
    </w:p>
    <w:p w14:paraId="02CDD5E3" w14:textId="77777777" w:rsidR="00915552" w:rsidRDefault="00915552" w:rsidP="00915552"/>
    <w:p w14:paraId="6AF88C12" w14:textId="4D0B9630" w:rsidR="00362B3B" w:rsidRPr="00362B3B" w:rsidRDefault="00362B3B" w:rsidP="00A06911">
      <w:pPr>
        <w:spacing w:after="160"/>
        <w:rPr>
          <w:rFonts w:eastAsia="Aptos"/>
        </w:rPr>
      </w:pPr>
      <w:r w:rsidRPr="00362B3B">
        <w:rPr>
          <w:rFonts w:eastAsia="Aptos"/>
        </w:rPr>
        <w:t xml:space="preserve">The Applicant states the Proposed Project has been developed to respond to increased need </w:t>
      </w:r>
      <w:r w:rsidR="003D5772">
        <w:rPr>
          <w:rFonts w:eastAsia="Aptos"/>
        </w:rPr>
        <w:t>for</w:t>
      </w:r>
      <w:r w:rsidR="00D57B31">
        <w:rPr>
          <w:rFonts w:eastAsia="Aptos"/>
        </w:rPr>
        <w:t xml:space="preserve"> </w:t>
      </w:r>
      <w:r w:rsidR="00B15F29">
        <w:rPr>
          <w:rFonts w:eastAsia="Aptos"/>
        </w:rPr>
        <w:t xml:space="preserve">patients to access surgical care in </w:t>
      </w:r>
      <w:r w:rsidRPr="00362B3B">
        <w:rPr>
          <w:rFonts w:eastAsia="Aptos"/>
        </w:rPr>
        <w:t>ASCs</w:t>
      </w:r>
      <w:r w:rsidR="00D57B31">
        <w:rPr>
          <w:rFonts w:eastAsia="Aptos"/>
        </w:rPr>
        <w:t xml:space="preserve">. </w:t>
      </w:r>
      <w:r w:rsidRPr="00362B3B">
        <w:rPr>
          <w:rFonts w:eastAsia="Aptos"/>
        </w:rPr>
        <w:t xml:space="preserve">The Applicant attributes need for the Proposed Project to the following: </w:t>
      </w:r>
    </w:p>
    <w:p w14:paraId="5C228406" w14:textId="6253A964" w:rsidR="00362B3B" w:rsidRPr="00362B3B" w:rsidRDefault="00362B3B" w:rsidP="00A06911">
      <w:pPr>
        <w:numPr>
          <w:ilvl w:val="0"/>
          <w:numId w:val="5"/>
        </w:numPr>
        <w:rPr>
          <w:rFonts w:eastAsia="Aptos"/>
        </w:rPr>
      </w:pPr>
      <w:r w:rsidRPr="00362B3B">
        <w:rPr>
          <w:rFonts w:eastAsia="Aptos"/>
        </w:rPr>
        <w:t xml:space="preserve">The </w:t>
      </w:r>
      <w:r w:rsidR="00D57B31">
        <w:rPr>
          <w:rFonts w:eastAsia="Aptos"/>
        </w:rPr>
        <w:t>O</w:t>
      </w:r>
      <w:r w:rsidRPr="00362B3B">
        <w:rPr>
          <w:rFonts w:eastAsia="Aptos"/>
        </w:rPr>
        <w:t xml:space="preserve">verall Procedure Volume Growth </w:t>
      </w:r>
    </w:p>
    <w:p w14:paraId="332FD331" w14:textId="77777777" w:rsidR="00362B3B" w:rsidRPr="00362B3B" w:rsidRDefault="00362B3B" w:rsidP="00A06911">
      <w:pPr>
        <w:numPr>
          <w:ilvl w:val="0"/>
          <w:numId w:val="5"/>
        </w:numPr>
        <w:rPr>
          <w:rFonts w:eastAsia="Aptos"/>
        </w:rPr>
      </w:pPr>
      <w:r w:rsidRPr="00362B3B">
        <w:rPr>
          <w:rFonts w:eastAsia="Aptos"/>
        </w:rPr>
        <w:t>Increased Incidence of Colon Cancer</w:t>
      </w:r>
    </w:p>
    <w:p w14:paraId="4CC5BFB0" w14:textId="77777777" w:rsidR="00362B3B" w:rsidRPr="00362B3B" w:rsidRDefault="00362B3B" w:rsidP="00A06911">
      <w:pPr>
        <w:numPr>
          <w:ilvl w:val="0"/>
          <w:numId w:val="5"/>
        </w:numPr>
        <w:rPr>
          <w:rFonts w:eastAsia="Aptos"/>
        </w:rPr>
      </w:pPr>
      <w:r w:rsidRPr="00362B3B">
        <w:rPr>
          <w:rFonts w:eastAsia="Aptos"/>
        </w:rPr>
        <w:t>Growth in the Aging Population</w:t>
      </w:r>
    </w:p>
    <w:p w14:paraId="5957A850" w14:textId="77777777" w:rsidR="00362B3B" w:rsidRPr="00362B3B" w:rsidRDefault="00362B3B" w:rsidP="00A06911">
      <w:pPr>
        <w:numPr>
          <w:ilvl w:val="0"/>
          <w:numId w:val="5"/>
        </w:numPr>
        <w:rPr>
          <w:rFonts w:eastAsia="Aptos"/>
        </w:rPr>
      </w:pPr>
      <w:r w:rsidRPr="00362B3B">
        <w:rPr>
          <w:rFonts w:eastAsia="Aptos"/>
        </w:rPr>
        <w:t>Need to Expand Upon the Limited ASC Supply in Massachusetts</w:t>
      </w:r>
    </w:p>
    <w:p w14:paraId="12E0FC0D" w14:textId="77777777" w:rsidR="00362B3B" w:rsidRPr="00362B3B" w:rsidRDefault="00362B3B" w:rsidP="001E0969">
      <w:pPr>
        <w:spacing w:after="160"/>
        <w:ind w:left="720"/>
        <w:rPr>
          <w:rFonts w:ascii="Aptos" w:eastAsia="Aptos" w:hAnsi="Aptos" w:cs="Aptos"/>
        </w:rPr>
      </w:pPr>
    </w:p>
    <w:p w14:paraId="5C324348" w14:textId="77777777" w:rsidR="00362B3B" w:rsidRPr="00362B3B" w:rsidRDefault="00362B3B" w:rsidP="00362B3B">
      <w:pPr>
        <w:numPr>
          <w:ilvl w:val="0"/>
          <w:numId w:val="24"/>
        </w:numPr>
        <w:spacing w:after="160" w:line="259" w:lineRule="auto"/>
        <w:contextualSpacing/>
        <w:rPr>
          <w:rFonts w:ascii="Aptos" w:eastAsia="Aptos" w:hAnsi="Aptos" w:cs="Aptos"/>
          <w:b/>
          <w:bCs/>
        </w:rPr>
      </w:pPr>
      <w:r w:rsidRPr="00362B3B">
        <w:rPr>
          <w:rFonts w:ascii="Aptos" w:eastAsia="Aptos" w:hAnsi="Aptos" w:cs="Aptos"/>
          <w:b/>
          <w:bCs/>
        </w:rPr>
        <w:t>The Overall Procedure Volume Growth at the existing ASC</w:t>
      </w:r>
    </w:p>
    <w:p w14:paraId="19331A9E" w14:textId="71599663" w:rsidR="00362B3B" w:rsidRDefault="00362B3B" w:rsidP="00362B3B">
      <w:pPr>
        <w:spacing w:after="160" w:line="259" w:lineRule="auto"/>
        <w:rPr>
          <w:rFonts w:ascii="Calibri" w:eastAsia="Aptos" w:hAnsi="Calibri" w:cs="Calibri"/>
        </w:rPr>
      </w:pPr>
      <w:r w:rsidRPr="03C54183">
        <w:rPr>
          <w:rFonts w:ascii="Calibri" w:eastAsia="Aptos" w:hAnsi="Calibri" w:cs="Calibri"/>
        </w:rPr>
        <w:t>Table 5 below shows the procedure volume distribution by age and by year since 2019. Staff calculated changes in volume for two time-frames – from 2019 (pre-</w:t>
      </w:r>
      <w:r w:rsidR="00C03673" w:rsidRPr="03C54183">
        <w:rPr>
          <w:rFonts w:ascii="Calibri" w:eastAsia="Aptos" w:hAnsi="Calibri" w:cs="Calibri"/>
        </w:rPr>
        <w:t>COVID-19 pandemic</w:t>
      </w:r>
      <w:r w:rsidRPr="03C54183">
        <w:rPr>
          <w:rFonts w:ascii="Calibri" w:eastAsia="Aptos" w:hAnsi="Calibri" w:cs="Calibri"/>
        </w:rPr>
        <w:t>) and from 2022</w:t>
      </w:r>
      <w:r w:rsidR="4B91BC44" w:rsidRPr="03C54183">
        <w:rPr>
          <w:rFonts w:ascii="Calibri" w:eastAsia="Aptos" w:hAnsi="Calibri" w:cs="Calibri"/>
        </w:rPr>
        <w:t xml:space="preserve"> to the Applicant’s annualized 2024 volume</w:t>
      </w:r>
      <w:r w:rsidRPr="03C54183">
        <w:rPr>
          <w:rFonts w:ascii="Calibri" w:eastAsia="Aptos" w:hAnsi="Calibri" w:cs="Calibri"/>
        </w:rPr>
        <w:t xml:space="preserve">. </w:t>
      </w:r>
    </w:p>
    <w:p w14:paraId="4EF4F686" w14:textId="1B6B31B3" w:rsidR="00A06911" w:rsidRPr="00362B3B" w:rsidRDefault="00A06911" w:rsidP="002A5C4E">
      <w:pPr>
        <w:spacing w:line="259" w:lineRule="auto"/>
        <w:jc w:val="center"/>
        <w:rPr>
          <w:rFonts w:ascii="Calibri" w:eastAsia="Aptos" w:hAnsi="Calibri" w:cs="Calibri"/>
          <w:b/>
          <w:bCs/>
        </w:rPr>
      </w:pPr>
      <w:r w:rsidRPr="00A11C9E">
        <w:rPr>
          <w:rFonts w:ascii="Calibri" w:eastAsia="Aptos" w:hAnsi="Calibri" w:cs="Calibri"/>
          <w:b/>
          <w:bCs/>
        </w:rPr>
        <w:t xml:space="preserve">Table 5: </w:t>
      </w:r>
      <w:r w:rsidR="009E5518" w:rsidRPr="00A11C9E">
        <w:rPr>
          <w:rFonts w:ascii="Calibri" w:eastAsia="Aptos" w:hAnsi="Calibri" w:cs="Calibri"/>
          <w:b/>
          <w:bCs/>
        </w:rPr>
        <w:t xml:space="preserve">FY 19-24 </w:t>
      </w:r>
      <w:r w:rsidR="00D52331" w:rsidRPr="00A11C9E">
        <w:rPr>
          <w:rFonts w:ascii="Calibri" w:eastAsia="Aptos" w:hAnsi="Calibri" w:cs="Calibri"/>
          <w:b/>
          <w:bCs/>
        </w:rPr>
        <w:t xml:space="preserve">Procedures by </w:t>
      </w:r>
      <w:r w:rsidR="009E5518" w:rsidRPr="00A11C9E">
        <w:rPr>
          <w:rFonts w:ascii="Calibri" w:eastAsia="Aptos" w:hAnsi="Calibri" w:cs="Calibri"/>
          <w:b/>
          <w:bCs/>
        </w:rPr>
        <w:t>Age Cohorts</w:t>
      </w:r>
    </w:p>
    <w:tbl>
      <w:tblPr>
        <w:tblpPr w:leftFromText="180" w:rightFromText="180" w:vertAnchor="text" w:horzAnchor="margin" w:tblpXSpec="center" w:tblpY="56"/>
        <w:tblW w:w="11296" w:type="dxa"/>
        <w:tblLook w:val="04A0" w:firstRow="1" w:lastRow="0" w:firstColumn="1" w:lastColumn="0" w:noHBand="0" w:noVBand="1"/>
      </w:tblPr>
      <w:tblGrid>
        <w:gridCol w:w="782"/>
        <w:gridCol w:w="711"/>
        <w:gridCol w:w="6"/>
        <w:gridCol w:w="708"/>
        <w:gridCol w:w="711"/>
        <w:gridCol w:w="6"/>
        <w:gridCol w:w="708"/>
        <w:gridCol w:w="717"/>
        <w:gridCol w:w="708"/>
        <w:gridCol w:w="717"/>
        <w:gridCol w:w="708"/>
        <w:gridCol w:w="711"/>
        <w:gridCol w:w="6"/>
        <w:gridCol w:w="708"/>
        <w:gridCol w:w="959"/>
        <w:gridCol w:w="1172"/>
        <w:gridCol w:w="893"/>
        <w:gridCol w:w="893"/>
      </w:tblGrid>
      <w:tr w:rsidR="000A58E3" w:rsidRPr="00362B3B" w14:paraId="46B4B898" w14:textId="77777777" w:rsidTr="000A58E3">
        <w:trPr>
          <w:cantSplit/>
          <w:trHeight w:val="340"/>
          <w:tblHeader/>
        </w:trPr>
        <w:tc>
          <w:tcPr>
            <w:tcW w:w="741" w:type="dxa"/>
            <w:tcBorders>
              <w:top w:val="single" w:sz="8" w:space="0" w:color="auto"/>
              <w:left w:val="single" w:sz="8" w:space="0" w:color="auto"/>
              <w:bottom w:val="single" w:sz="8" w:space="0" w:color="000000"/>
              <w:right w:val="single" w:sz="8" w:space="0" w:color="auto"/>
            </w:tcBorders>
            <w:shd w:val="clear" w:color="auto" w:fill="D9FFFF"/>
            <w:hideMark/>
          </w:tcPr>
          <w:p w14:paraId="5A33F34B" w14:textId="77777777" w:rsidR="000A58E3" w:rsidRPr="00362B3B" w:rsidRDefault="000A58E3" w:rsidP="000A58E3">
            <w:pPr>
              <w:jc w:val="center"/>
              <w:rPr>
                <w:rFonts w:ascii="Calibri" w:eastAsia="Times New Roman" w:hAnsi="Calibri" w:cs="Calibri"/>
                <w:b/>
                <w:bCs/>
                <w:color w:val="000000"/>
                <w:sz w:val="22"/>
                <w:szCs w:val="22"/>
              </w:rPr>
            </w:pPr>
            <w:r w:rsidRPr="00362B3B">
              <w:rPr>
                <w:rFonts w:ascii="Calibri" w:eastAsia="Times New Roman" w:hAnsi="Calibri" w:cs="Calibri"/>
                <w:b/>
                <w:bCs/>
                <w:color w:val="000000"/>
                <w:sz w:val="22"/>
                <w:szCs w:val="22"/>
              </w:rPr>
              <w:t>Age Range</w:t>
            </w:r>
          </w:p>
        </w:tc>
        <w:tc>
          <w:tcPr>
            <w:tcW w:w="674" w:type="dxa"/>
            <w:tcBorders>
              <w:top w:val="single" w:sz="8" w:space="0" w:color="auto"/>
              <w:left w:val="nil"/>
              <w:bottom w:val="single" w:sz="8" w:space="0" w:color="auto"/>
              <w:right w:val="single" w:sz="8" w:space="0" w:color="000000"/>
            </w:tcBorders>
            <w:shd w:val="clear" w:color="auto" w:fill="D9FFFF"/>
            <w:noWrap/>
            <w:hideMark/>
          </w:tcPr>
          <w:p w14:paraId="416E8E93" w14:textId="77777777" w:rsidR="000A58E3" w:rsidRPr="00362B3B" w:rsidRDefault="000A58E3" w:rsidP="000A58E3">
            <w:pPr>
              <w:jc w:val="center"/>
              <w:rPr>
                <w:rFonts w:ascii="Calibri" w:eastAsia="Times New Roman" w:hAnsi="Calibri" w:cs="Calibri"/>
                <w:b/>
                <w:bCs/>
                <w:color w:val="000000"/>
                <w:sz w:val="22"/>
                <w:szCs w:val="22"/>
              </w:rPr>
            </w:pPr>
            <w:r w:rsidRPr="00362B3B">
              <w:rPr>
                <w:rFonts w:ascii="Calibri" w:eastAsia="Times New Roman" w:hAnsi="Calibri" w:cs="Calibri"/>
                <w:b/>
                <w:bCs/>
                <w:color w:val="000000"/>
                <w:sz w:val="22"/>
                <w:szCs w:val="22"/>
              </w:rPr>
              <w:t>2019</w:t>
            </w:r>
          </w:p>
        </w:tc>
        <w:tc>
          <w:tcPr>
            <w:tcW w:w="677" w:type="dxa"/>
            <w:gridSpan w:val="2"/>
            <w:tcBorders>
              <w:top w:val="single" w:sz="8" w:space="0" w:color="auto"/>
              <w:left w:val="nil"/>
              <w:bottom w:val="single" w:sz="8" w:space="0" w:color="auto"/>
              <w:right w:val="single" w:sz="8" w:space="0" w:color="000000"/>
            </w:tcBorders>
            <w:shd w:val="clear" w:color="auto" w:fill="D9FFFF"/>
          </w:tcPr>
          <w:p w14:paraId="16095D7D" w14:textId="20CD3F8F" w:rsidR="000A58E3" w:rsidRPr="00362B3B" w:rsidRDefault="000A58E3" w:rsidP="000A58E3">
            <w:pPr>
              <w:jc w:val="center"/>
              <w:rPr>
                <w:rFonts w:ascii="Calibri" w:eastAsia="Times New Roman" w:hAnsi="Calibri" w:cs="Calibri"/>
                <w:b/>
                <w:bCs/>
                <w:color w:val="000000"/>
                <w:sz w:val="22"/>
                <w:szCs w:val="22"/>
              </w:rPr>
            </w:pPr>
            <w:r w:rsidRPr="00362B3B">
              <w:rPr>
                <w:rFonts w:ascii="Calibri" w:eastAsia="Times New Roman" w:hAnsi="Calibri" w:cs="Calibri"/>
                <w:b/>
                <w:bCs/>
                <w:color w:val="000000"/>
                <w:sz w:val="22"/>
                <w:szCs w:val="22"/>
              </w:rPr>
              <w:t>2019</w:t>
            </w:r>
          </w:p>
        </w:tc>
        <w:tc>
          <w:tcPr>
            <w:tcW w:w="674" w:type="dxa"/>
            <w:tcBorders>
              <w:top w:val="single" w:sz="8" w:space="0" w:color="auto"/>
              <w:left w:val="nil"/>
              <w:bottom w:val="single" w:sz="8" w:space="0" w:color="auto"/>
              <w:right w:val="single" w:sz="8" w:space="0" w:color="000000"/>
            </w:tcBorders>
            <w:shd w:val="clear" w:color="auto" w:fill="D9FFFF"/>
            <w:noWrap/>
            <w:hideMark/>
          </w:tcPr>
          <w:p w14:paraId="0C5C167A" w14:textId="77777777" w:rsidR="000A58E3" w:rsidRPr="00362B3B" w:rsidRDefault="000A58E3" w:rsidP="000A58E3">
            <w:pPr>
              <w:jc w:val="center"/>
              <w:rPr>
                <w:rFonts w:ascii="Calibri" w:eastAsia="Times New Roman" w:hAnsi="Calibri" w:cs="Calibri"/>
                <w:b/>
                <w:bCs/>
                <w:color w:val="000000"/>
                <w:sz w:val="22"/>
                <w:szCs w:val="22"/>
              </w:rPr>
            </w:pPr>
            <w:r w:rsidRPr="00362B3B">
              <w:rPr>
                <w:rFonts w:ascii="Calibri" w:eastAsia="Times New Roman" w:hAnsi="Calibri" w:cs="Calibri"/>
                <w:b/>
                <w:bCs/>
                <w:color w:val="000000"/>
                <w:sz w:val="22"/>
                <w:szCs w:val="22"/>
              </w:rPr>
              <w:t>2020</w:t>
            </w:r>
          </w:p>
        </w:tc>
        <w:tc>
          <w:tcPr>
            <w:tcW w:w="677" w:type="dxa"/>
            <w:gridSpan w:val="2"/>
            <w:tcBorders>
              <w:top w:val="single" w:sz="8" w:space="0" w:color="auto"/>
              <w:left w:val="nil"/>
              <w:bottom w:val="single" w:sz="8" w:space="0" w:color="auto"/>
              <w:right w:val="single" w:sz="8" w:space="0" w:color="000000"/>
            </w:tcBorders>
            <w:shd w:val="clear" w:color="auto" w:fill="D9FFFF"/>
          </w:tcPr>
          <w:p w14:paraId="005444B4" w14:textId="04C4068E" w:rsidR="000A58E3" w:rsidRPr="00362B3B" w:rsidRDefault="000A58E3" w:rsidP="000A58E3">
            <w:pPr>
              <w:jc w:val="center"/>
              <w:rPr>
                <w:rFonts w:ascii="Calibri" w:eastAsia="Times New Roman" w:hAnsi="Calibri" w:cs="Calibri"/>
                <w:b/>
                <w:bCs/>
                <w:color w:val="000000"/>
                <w:sz w:val="22"/>
                <w:szCs w:val="22"/>
              </w:rPr>
            </w:pPr>
            <w:r w:rsidRPr="00362B3B">
              <w:rPr>
                <w:rFonts w:ascii="Calibri" w:eastAsia="Times New Roman" w:hAnsi="Calibri" w:cs="Calibri"/>
                <w:b/>
                <w:bCs/>
                <w:color w:val="000000"/>
                <w:sz w:val="22"/>
                <w:szCs w:val="22"/>
              </w:rPr>
              <w:t>2020</w:t>
            </w:r>
          </w:p>
        </w:tc>
        <w:tc>
          <w:tcPr>
            <w:tcW w:w="680" w:type="dxa"/>
            <w:tcBorders>
              <w:top w:val="single" w:sz="8" w:space="0" w:color="auto"/>
              <w:left w:val="nil"/>
              <w:bottom w:val="single" w:sz="8" w:space="0" w:color="auto"/>
              <w:right w:val="single" w:sz="8" w:space="0" w:color="000000"/>
            </w:tcBorders>
            <w:shd w:val="clear" w:color="auto" w:fill="D9FFFF"/>
            <w:noWrap/>
            <w:hideMark/>
          </w:tcPr>
          <w:p w14:paraId="7CA58D3A" w14:textId="77777777" w:rsidR="000A58E3" w:rsidRPr="00362B3B" w:rsidRDefault="000A58E3" w:rsidP="000A58E3">
            <w:pPr>
              <w:jc w:val="center"/>
              <w:rPr>
                <w:rFonts w:ascii="Calibri" w:eastAsia="Times New Roman" w:hAnsi="Calibri" w:cs="Calibri"/>
                <w:b/>
                <w:bCs/>
                <w:color w:val="000000"/>
                <w:sz w:val="22"/>
                <w:szCs w:val="22"/>
              </w:rPr>
            </w:pPr>
            <w:r w:rsidRPr="00362B3B">
              <w:rPr>
                <w:rFonts w:ascii="Calibri" w:eastAsia="Times New Roman" w:hAnsi="Calibri" w:cs="Calibri"/>
                <w:b/>
                <w:bCs/>
                <w:color w:val="000000"/>
                <w:sz w:val="22"/>
                <w:szCs w:val="22"/>
              </w:rPr>
              <w:t>2021</w:t>
            </w:r>
          </w:p>
        </w:tc>
        <w:tc>
          <w:tcPr>
            <w:tcW w:w="671" w:type="dxa"/>
            <w:tcBorders>
              <w:top w:val="single" w:sz="8" w:space="0" w:color="auto"/>
              <w:left w:val="nil"/>
              <w:bottom w:val="single" w:sz="8" w:space="0" w:color="auto"/>
              <w:right w:val="single" w:sz="8" w:space="0" w:color="000000"/>
            </w:tcBorders>
            <w:shd w:val="clear" w:color="auto" w:fill="D9FFFF"/>
          </w:tcPr>
          <w:p w14:paraId="3BDC5B06" w14:textId="48BB7FCD" w:rsidR="000A58E3" w:rsidRPr="00362B3B" w:rsidRDefault="000A58E3" w:rsidP="000A58E3">
            <w:pPr>
              <w:jc w:val="center"/>
              <w:rPr>
                <w:rFonts w:ascii="Calibri" w:eastAsia="Times New Roman" w:hAnsi="Calibri" w:cs="Calibri"/>
                <w:b/>
                <w:bCs/>
                <w:color w:val="000000"/>
                <w:sz w:val="22"/>
                <w:szCs w:val="22"/>
              </w:rPr>
            </w:pPr>
            <w:r w:rsidRPr="00362B3B">
              <w:rPr>
                <w:rFonts w:ascii="Calibri" w:eastAsia="Times New Roman" w:hAnsi="Calibri" w:cs="Calibri"/>
                <w:b/>
                <w:bCs/>
                <w:color w:val="000000"/>
                <w:sz w:val="22"/>
                <w:szCs w:val="22"/>
              </w:rPr>
              <w:t>2021</w:t>
            </w:r>
          </w:p>
        </w:tc>
        <w:tc>
          <w:tcPr>
            <w:tcW w:w="680" w:type="dxa"/>
            <w:tcBorders>
              <w:top w:val="single" w:sz="8" w:space="0" w:color="auto"/>
              <w:left w:val="nil"/>
              <w:bottom w:val="single" w:sz="8" w:space="0" w:color="auto"/>
              <w:right w:val="single" w:sz="8" w:space="0" w:color="000000"/>
            </w:tcBorders>
            <w:shd w:val="clear" w:color="auto" w:fill="D9FFFF"/>
            <w:noWrap/>
            <w:hideMark/>
          </w:tcPr>
          <w:p w14:paraId="4BE20215" w14:textId="77777777" w:rsidR="000A58E3" w:rsidRPr="00362B3B" w:rsidRDefault="000A58E3" w:rsidP="000A58E3">
            <w:pPr>
              <w:jc w:val="center"/>
              <w:rPr>
                <w:rFonts w:ascii="Calibri" w:eastAsia="Times New Roman" w:hAnsi="Calibri" w:cs="Calibri"/>
                <w:b/>
                <w:bCs/>
                <w:color w:val="000000"/>
                <w:sz w:val="22"/>
                <w:szCs w:val="22"/>
              </w:rPr>
            </w:pPr>
            <w:r w:rsidRPr="00362B3B">
              <w:rPr>
                <w:rFonts w:ascii="Calibri" w:eastAsia="Times New Roman" w:hAnsi="Calibri" w:cs="Calibri"/>
                <w:b/>
                <w:bCs/>
                <w:color w:val="000000"/>
                <w:sz w:val="22"/>
                <w:szCs w:val="22"/>
              </w:rPr>
              <w:t>2022</w:t>
            </w:r>
          </w:p>
        </w:tc>
        <w:tc>
          <w:tcPr>
            <w:tcW w:w="671" w:type="dxa"/>
            <w:tcBorders>
              <w:top w:val="single" w:sz="8" w:space="0" w:color="auto"/>
              <w:left w:val="nil"/>
              <w:bottom w:val="single" w:sz="8" w:space="0" w:color="auto"/>
              <w:right w:val="single" w:sz="8" w:space="0" w:color="000000"/>
            </w:tcBorders>
            <w:shd w:val="clear" w:color="auto" w:fill="D9FFFF"/>
          </w:tcPr>
          <w:p w14:paraId="0F9CC06A" w14:textId="3392C7D7" w:rsidR="000A58E3" w:rsidRPr="00362B3B" w:rsidRDefault="000A58E3" w:rsidP="000A58E3">
            <w:pPr>
              <w:jc w:val="center"/>
              <w:rPr>
                <w:rFonts w:ascii="Calibri" w:eastAsia="Times New Roman" w:hAnsi="Calibri" w:cs="Calibri"/>
                <w:b/>
                <w:bCs/>
                <w:color w:val="000000"/>
                <w:sz w:val="22"/>
                <w:szCs w:val="22"/>
              </w:rPr>
            </w:pPr>
            <w:r w:rsidRPr="00362B3B">
              <w:rPr>
                <w:rFonts w:ascii="Calibri" w:eastAsia="Times New Roman" w:hAnsi="Calibri" w:cs="Calibri"/>
                <w:b/>
                <w:bCs/>
                <w:color w:val="000000"/>
                <w:sz w:val="22"/>
                <w:szCs w:val="22"/>
              </w:rPr>
              <w:t>2022</w:t>
            </w:r>
          </w:p>
        </w:tc>
        <w:tc>
          <w:tcPr>
            <w:tcW w:w="688" w:type="dxa"/>
            <w:tcBorders>
              <w:top w:val="single" w:sz="8" w:space="0" w:color="auto"/>
              <w:left w:val="nil"/>
              <w:bottom w:val="single" w:sz="8" w:space="0" w:color="auto"/>
              <w:right w:val="single" w:sz="8" w:space="0" w:color="000000"/>
            </w:tcBorders>
            <w:shd w:val="clear" w:color="auto" w:fill="D9FFFF"/>
            <w:noWrap/>
            <w:hideMark/>
          </w:tcPr>
          <w:p w14:paraId="5F677F10" w14:textId="77777777" w:rsidR="000A58E3" w:rsidRPr="00362B3B" w:rsidRDefault="000A58E3" w:rsidP="000A58E3">
            <w:pPr>
              <w:jc w:val="center"/>
              <w:rPr>
                <w:rFonts w:ascii="Calibri" w:eastAsia="Times New Roman" w:hAnsi="Calibri" w:cs="Calibri"/>
                <w:b/>
                <w:bCs/>
                <w:color w:val="000000"/>
                <w:sz w:val="22"/>
                <w:szCs w:val="22"/>
              </w:rPr>
            </w:pPr>
            <w:r w:rsidRPr="00362B3B">
              <w:rPr>
                <w:rFonts w:ascii="Calibri" w:eastAsia="Times New Roman" w:hAnsi="Calibri" w:cs="Calibri"/>
                <w:b/>
                <w:bCs/>
                <w:color w:val="000000"/>
                <w:sz w:val="22"/>
                <w:szCs w:val="22"/>
              </w:rPr>
              <w:t>2023</w:t>
            </w:r>
          </w:p>
        </w:tc>
        <w:tc>
          <w:tcPr>
            <w:tcW w:w="687" w:type="dxa"/>
            <w:gridSpan w:val="2"/>
            <w:tcBorders>
              <w:top w:val="single" w:sz="8" w:space="0" w:color="auto"/>
              <w:left w:val="nil"/>
              <w:bottom w:val="single" w:sz="8" w:space="0" w:color="auto"/>
              <w:right w:val="single" w:sz="8" w:space="0" w:color="000000"/>
            </w:tcBorders>
            <w:shd w:val="clear" w:color="auto" w:fill="D9FFFF"/>
          </w:tcPr>
          <w:p w14:paraId="0B8E4C19" w14:textId="5A45E79C" w:rsidR="000A58E3" w:rsidRPr="00362B3B" w:rsidRDefault="000A58E3" w:rsidP="000A58E3">
            <w:pPr>
              <w:jc w:val="center"/>
              <w:rPr>
                <w:rFonts w:ascii="Calibri" w:eastAsia="Times New Roman" w:hAnsi="Calibri" w:cs="Calibri"/>
                <w:b/>
                <w:bCs/>
                <w:color w:val="000000"/>
                <w:sz w:val="22"/>
                <w:szCs w:val="22"/>
              </w:rPr>
            </w:pPr>
            <w:r w:rsidRPr="00362B3B">
              <w:rPr>
                <w:rFonts w:ascii="Calibri" w:eastAsia="Times New Roman" w:hAnsi="Calibri" w:cs="Calibri"/>
                <w:b/>
                <w:bCs/>
                <w:color w:val="000000"/>
                <w:sz w:val="22"/>
                <w:szCs w:val="22"/>
              </w:rPr>
              <w:t>2023</w:t>
            </w:r>
          </w:p>
        </w:tc>
        <w:tc>
          <w:tcPr>
            <w:tcW w:w="909" w:type="dxa"/>
            <w:tcBorders>
              <w:top w:val="single" w:sz="8" w:space="0" w:color="auto"/>
              <w:left w:val="nil"/>
              <w:bottom w:val="single" w:sz="8" w:space="0" w:color="auto"/>
              <w:right w:val="single" w:sz="8" w:space="0" w:color="000000"/>
            </w:tcBorders>
            <w:shd w:val="clear" w:color="auto" w:fill="D9FFFF"/>
            <w:noWrap/>
            <w:hideMark/>
          </w:tcPr>
          <w:p w14:paraId="0C6D75DD" w14:textId="77777777" w:rsidR="000A58E3" w:rsidRPr="000A58E3" w:rsidRDefault="000A58E3" w:rsidP="000A58E3">
            <w:pPr>
              <w:jc w:val="center"/>
              <w:rPr>
                <w:rFonts w:ascii="Calibri" w:eastAsia="Times New Roman" w:hAnsi="Calibri" w:cs="Calibri"/>
                <w:b/>
                <w:bCs/>
                <w:color w:val="000000"/>
                <w:sz w:val="16"/>
                <w:szCs w:val="16"/>
              </w:rPr>
            </w:pPr>
            <w:r w:rsidRPr="000A58E3">
              <w:rPr>
                <w:rFonts w:ascii="Calibri" w:eastAsia="Times New Roman" w:hAnsi="Calibri" w:cs="Calibri"/>
                <w:b/>
                <w:bCs/>
                <w:color w:val="000000"/>
                <w:sz w:val="16"/>
                <w:szCs w:val="16"/>
              </w:rPr>
              <w:t>2024 Annualized</w:t>
            </w:r>
          </w:p>
        </w:tc>
        <w:tc>
          <w:tcPr>
            <w:tcW w:w="1172" w:type="dxa"/>
            <w:tcBorders>
              <w:top w:val="single" w:sz="8" w:space="0" w:color="auto"/>
              <w:left w:val="nil"/>
              <w:bottom w:val="single" w:sz="8" w:space="0" w:color="auto"/>
              <w:right w:val="single" w:sz="8" w:space="0" w:color="000000"/>
            </w:tcBorders>
            <w:shd w:val="clear" w:color="auto" w:fill="D9FFFF"/>
          </w:tcPr>
          <w:p w14:paraId="6D0A074A" w14:textId="38AF0DDB" w:rsidR="000A58E3" w:rsidRPr="000A58E3" w:rsidRDefault="000A58E3" w:rsidP="000A58E3">
            <w:pPr>
              <w:jc w:val="center"/>
              <w:rPr>
                <w:rFonts w:ascii="Calibri" w:eastAsia="Times New Roman" w:hAnsi="Calibri" w:cs="Calibri"/>
                <w:b/>
                <w:bCs/>
                <w:color w:val="000000"/>
                <w:sz w:val="16"/>
                <w:szCs w:val="16"/>
              </w:rPr>
            </w:pPr>
            <w:r w:rsidRPr="000A58E3">
              <w:rPr>
                <w:rFonts w:ascii="Calibri" w:eastAsia="Times New Roman" w:hAnsi="Calibri" w:cs="Calibri"/>
                <w:b/>
                <w:bCs/>
                <w:color w:val="000000"/>
                <w:sz w:val="16"/>
                <w:szCs w:val="16"/>
              </w:rPr>
              <w:t>2024 Annualized</w:t>
            </w:r>
          </w:p>
        </w:tc>
        <w:tc>
          <w:tcPr>
            <w:tcW w:w="847" w:type="dxa"/>
            <w:tcBorders>
              <w:top w:val="single" w:sz="8" w:space="0" w:color="auto"/>
              <w:left w:val="single" w:sz="8" w:space="0" w:color="auto"/>
              <w:bottom w:val="single" w:sz="8" w:space="0" w:color="000000"/>
              <w:right w:val="single" w:sz="8" w:space="0" w:color="auto"/>
            </w:tcBorders>
            <w:shd w:val="clear" w:color="auto" w:fill="D9FFFF"/>
            <w:hideMark/>
          </w:tcPr>
          <w:p w14:paraId="34C6822B" w14:textId="77777777" w:rsidR="000A58E3" w:rsidRPr="00362B3B" w:rsidRDefault="000A58E3" w:rsidP="000A58E3">
            <w:pPr>
              <w:jc w:val="center"/>
              <w:rPr>
                <w:rFonts w:ascii="Calibri" w:eastAsia="Times New Roman" w:hAnsi="Calibri" w:cs="Calibri"/>
                <w:b/>
                <w:bCs/>
                <w:color w:val="000000"/>
                <w:sz w:val="22"/>
                <w:szCs w:val="22"/>
              </w:rPr>
            </w:pPr>
            <w:r w:rsidRPr="00362B3B">
              <w:rPr>
                <w:rFonts w:ascii="Calibri" w:eastAsia="Times New Roman" w:hAnsi="Calibri" w:cs="Calibri"/>
                <w:b/>
                <w:bCs/>
                <w:color w:val="000000"/>
                <w:sz w:val="22"/>
                <w:szCs w:val="22"/>
              </w:rPr>
              <w:t>Change from 2019</w:t>
            </w:r>
          </w:p>
        </w:tc>
        <w:tc>
          <w:tcPr>
            <w:tcW w:w="847" w:type="dxa"/>
            <w:tcBorders>
              <w:top w:val="single" w:sz="8" w:space="0" w:color="auto"/>
              <w:left w:val="single" w:sz="8" w:space="0" w:color="auto"/>
              <w:bottom w:val="single" w:sz="8" w:space="0" w:color="000000"/>
              <w:right w:val="single" w:sz="8" w:space="0" w:color="auto"/>
            </w:tcBorders>
            <w:shd w:val="clear" w:color="auto" w:fill="D9FFFF"/>
            <w:hideMark/>
          </w:tcPr>
          <w:p w14:paraId="3E7C6ED5" w14:textId="77777777" w:rsidR="000A58E3" w:rsidRPr="00362B3B" w:rsidRDefault="000A58E3" w:rsidP="000A58E3">
            <w:pPr>
              <w:jc w:val="center"/>
              <w:rPr>
                <w:rFonts w:ascii="Calibri" w:eastAsia="Times New Roman" w:hAnsi="Calibri" w:cs="Calibri"/>
                <w:b/>
                <w:bCs/>
                <w:color w:val="000000"/>
                <w:sz w:val="22"/>
                <w:szCs w:val="22"/>
              </w:rPr>
            </w:pPr>
            <w:r w:rsidRPr="00362B3B">
              <w:rPr>
                <w:rFonts w:ascii="Calibri" w:eastAsia="Times New Roman" w:hAnsi="Calibri" w:cs="Calibri"/>
                <w:b/>
                <w:bCs/>
                <w:color w:val="000000"/>
                <w:sz w:val="22"/>
                <w:szCs w:val="22"/>
              </w:rPr>
              <w:t>Change from 2022</w:t>
            </w:r>
          </w:p>
        </w:tc>
      </w:tr>
      <w:tr w:rsidR="000A58E3" w:rsidRPr="00362B3B" w14:paraId="79EA4A29" w14:textId="77777777" w:rsidTr="000A58E3">
        <w:trPr>
          <w:cantSplit/>
          <w:trHeight w:val="340"/>
          <w:tblHeader/>
        </w:trPr>
        <w:tc>
          <w:tcPr>
            <w:tcW w:w="741" w:type="dxa"/>
            <w:tcBorders>
              <w:top w:val="single" w:sz="8" w:space="0" w:color="auto"/>
              <w:left w:val="single" w:sz="8" w:space="0" w:color="auto"/>
              <w:bottom w:val="single" w:sz="8" w:space="0" w:color="000000"/>
              <w:right w:val="single" w:sz="8" w:space="0" w:color="auto"/>
            </w:tcBorders>
            <w:shd w:val="clear" w:color="auto" w:fill="D9FFFF"/>
            <w:vAlign w:val="center"/>
            <w:hideMark/>
          </w:tcPr>
          <w:p w14:paraId="1E1A898B" w14:textId="77777777" w:rsidR="000A58E3" w:rsidRPr="00362B3B" w:rsidRDefault="000A58E3" w:rsidP="000A58E3">
            <w:pPr>
              <w:rPr>
                <w:rFonts w:ascii="Calibri" w:eastAsia="Times New Roman" w:hAnsi="Calibri" w:cs="Calibri"/>
                <w:b/>
                <w:bCs/>
                <w:color w:val="000000"/>
                <w:sz w:val="22"/>
                <w:szCs w:val="22"/>
              </w:rPr>
            </w:pPr>
          </w:p>
        </w:tc>
        <w:tc>
          <w:tcPr>
            <w:tcW w:w="680" w:type="dxa"/>
            <w:gridSpan w:val="2"/>
            <w:tcBorders>
              <w:top w:val="nil"/>
              <w:left w:val="nil"/>
              <w:bottom w:val="single" w:sz="8" w:space="0" w:color="auto"/>
              <w:right w:val="single" w:sz="8" w:space="0" w:color="auto"/>
            </w:tcBorders>
            <w:shd w:val="clear" w:color="000000" w:fill="D9FFFF"/>
            <w:noWrap/>
            <w:hideMark/>
          </w:tcPr>
          <w:p w14:paraId="7B1B69AB" w14:textId="77777777" w:rsidR="000A58E3" w:rsidRPr="00362B3B" w:rsidRDefault="000A58E3" w:rsidP="000A58E3">
            <w:pPr>
              <w:jc w:val="center"/>
              <w:rPr>
                <w:rFonts w:ascii="Calibri" w:eastAsia="Times New Roman" w:hAnsi="Calibri" w:cs="Calibri"/>
                <w:b/>
                <w:bCs/>
                <w:color w:val="000000"/>
                <w:sz w:val="22"/>
                <w:szCs w:val="22"/>
              </w:rPr>
            </w:pPr>
            <w:r w:rsidRPr="00362B3B">
              <w:rPr>
                <w:rFonts w:ascii="Calibri" w:eastAsia="Times New Roman" w:hAnsi="Calibri" w:cs="Calibri"/>
                <w:b/>
                <w:bCs/>
                <w:color w:val="000000"/>
                <w:sz w:val="22"/>
                <w:szCs w:val="22"/>
              </w:rPr>
              <w:t>#</w:t>
            </w:r>
          </w:p>
        </w:tc>
        <w:tc>
          <w:tcPr>
            <w:tcW w:w="671" w:type="dxa"/>
            <w:tcBorders>
              <w:top w:val="nil"/>
              <w:left w:val="nil"/>
              <w:bottom w:val="single" w:sz="8" w:space="0" w:color="auto"/>
              <w:right w:val="single" w:sz="8" w:space="0" w:color="auto"/>
            </w:tcBorders>
            <w:shd w:val="clear" w:color="000000" w:fill="D9FFFF"/>
            <w:noWrap/>
            <w:hideMark/>
          </w:tcPr>
          <w:p w14:paraId="65B1AC98" w14:textId="77777777" w:rsidR="000A58E3" w:rsidRPr="00362B3B" w:rsidRDefault="000A58E3" w:rsidP="000A58E3">
            <w:pPr>
              <w:jc w:val="center"/>
              <w:rPr>
                <w:rFonts w:ascii="Calibri" w:eastAsia="Times New Roman" w:hAnsi="Calibri" w:cs="Calibri"/>
                <w:b/>
                <w:bCs/>
                <w:color w:val="000000"/>
                <w:sz w:val="22"/>
                <w:szCs w:val="22"/>
              </w:rPr>
            </w:pPr>
            <w:r w:rsidRPr="00362B3B">
              <w:rPr>
                <w:rFonts w:ascii="Calibri" w:eastAsia="Times New Roman" w:hAnsi="Calibri" w:cs="Calibri"/>
                <w:b/>
                <w:bCs/>
                <w:color w:val="000000"/>
                <w:sz w:val="22"/>
                <w:szCs w:val="22"/>
              </w:rPr>
              <w:t>%</w:t>
            </w:r>
          </w:p>
        </w:tc>
        <w:tc>
          <w:tcPr>
            <w:tcW w:w="680" w:type="dxa"/>
            <w:gridSpan w:val="2"/>
            <w:tcBorders>
              <w:top w:val="nil"/>
              <w:left w:val="nil"/>
              <w:bottom w:val="single" w:sz="8" w:space="0" w:color="auto"/>
              <w:right w:val="single" w:sz="8" w:space="0" w:color="auto"/>
            </w:tcBorders>
            <w:shd w:val="clear" w:color="000000" w:fill="D9FFFF"/>
            <w:noWrap/>
            <w:hideMark/>
          </w:tcPr>
          <w:p w14:paraId="6C373D93" w14:textId="77777777" w:rsidR="000A58E3" w:rsidRPr="00362B3B" w:rsidRDefault="000A58E3" w:rsidP="000A58E3">
            <w:pPr>
              <w:jc w:val="center"/>
              <w:rPr>
                <w:rFonts w:ascii="Calibri" w:eastAsia="Times New Roman" w:hAnsi="Calibri" w:cs="Calibri"/>
                <w:b/>
                <w:bCs/>
                <w:color w:val="000000"/>
                <w:sz w:val="22"/>
                <w:szCs w:val="22"/>
              </w:rPr>
            </w:pPr>
            <w:r w:rsidRPr="00362B3B">
              <w:rPr>
                <w:rFonts w:ascii="Calibri" w:eastAsia="Times New Roman" w:hAnsi="Calibri" w:cs="Calibri"/>
                <w:b/>
                <w:bCs/>
                <w:color w:val="000000"/>
                <w:sz w:val="22"/>
                <w:szCs w:val="22"/>
              </w:rPr>
              <w:t>#</w:t>
            </w:r>
          </w:p>
        </w:tc>
        <w:tc>
          <w:tcPr>
            <w:tcW w:w="671" w:type="dxa"/>
            <w:tcBorders>
              <w:top w:val="nil"/>
              <w:left w:val="nil"/>
              <w:bottom w:val="single" w:sz="8" w:space="0" w:color="auto"/>
              <w:right w:val="single" w:sz="8" w:space="0" w:color="auto"/>
            </w:tcBorders>
            <w:shd w:val="clear" w:color="000000" w:fill="D9FFFF"/>
            <w:noWrap/>
            <w:hideMark/>
          </w:tcPr>
          <w:p w14:paraId="1E4221FF" w14:textId="77777777" w:rsidR="000A58E3" w:rsidRPr="00362B3B" w:rsidRDefault="000A58E3" w:rsidP="000A58E3">
            <w:pPr>
              <w:jc w:val="center"/>
              <w:rPr>
                <w:rFonts w:ascii="Calibri" w:eastAsia="Times New Roman" w:hAnsi="Calibri" w:cs="Calibri"/>
                <w:b/>
                <w:bCs/>
                <w:color w:val="000000"/>
                <w:sz w:val="22"/>
                <w:szCs w:val="22"/>
              </w:rPr>
            </w:pPr>
            <w:r w:rsidRPr="00362B3B">
              <w:rPr>
                <w:rFonts w:ascii="Calibri" w:eastAsia="Times New Roman" w:hAnsi="Calibri" w:cs="Calibri"/>
                <w:b/>
                <w:bCs/>
                <w:color w:val="000000"/>
                <w:sz w:val="22"/>
                <w:szCs w:val="22"/>
              </w:rPr>
              <w:t>%</w:t>
            </w:r>
          </w:p>
        </w:tc>
        <w:tc>
          <w:tcPr>
            <w:tcW w:w="680" w:type="dxa"/>
            <w:tcBorders>
              <w:top w:val="nil"/>
              <w:left w:val="nil"/>
              <w:bottom w:val="single" w:sz="8" w:space="0" w:color="auto"/>
              <w:right w:val="single" w:sz="8" w:space="0" w:color="auto"/>
            </w:tcBorders>
            <w:shd w:val="clear" w:color="000000" w:fill="D9FFFF"/>
            <w:noWrap/>
            <w:hideMark/>
          </w:tcPr>
          <w:p w14:paraId="6A1EF532" w14:textId="77777777" w:rsidR="000A58E3" w:rsidRPr="00362B3B" w:rsidRDefault="000A58E3" w:rsidP="000A58E3">
            <w:pPr>
              <w:jc w:val="center"/>
              <w:rPr>
                <w:rFonts w:ascii="Calibri" w:eastAsia="Times New Roman" w:hAnsi="Calibri" w:cs="Calibri"/>
                <w:b/>
                <w:bCs/>
                <w:color w:val="000000"/>
                <w:sz w:val="22"/>
                <w:szCs w:val="22"/>
              </w:rPr>
            </w:pPr>
            <w:r w:rsidRPr="00362B3B">
              <w:rPr>
                <w:rFonts w:ascii="Calibri" w:eastAsia="Times New Roman" w:hAnsi="Calibri" w:cs="Calibri"/>
                <w:b/>
                <w:bCs/>
                <w:color w:val="000000"/>
                <w:sz w:val="22"/>
                <w:szCs w:val="22"/>
              </w:rPr>
              <w:t>#</w:t>
            </w:r>
          </w:p>
        </w:tc>
        <w:tc>
          <w:tcPr>
            <w:tcW w:w="671" w:type="dxa"/>
            <w:tcBorders>
              <w:top w:val="nil"/>
              <w:left w:val="nil"/>
              <w:bottom w:val="single" w:sz="8" w:space="0" w:color="auto"/>
              <w:right w:val="single" w:sz="8" w:space="0" w:color="auto"/>
            </w:tcBorders>
            <w:shd w:val="clear" w:color="000000" w:fill="D9FFFF"/>
            <w:noWrap/>
            <w:hideMark/>
          </w:tcPr>
          <w:p w14:paraId="40B17CE5" w14:textId="77777777" w:rsidR="000A58E3" w:rsidRPr="00362B3B" w:rsidRDefault="000A58E3" w:rsidP="000A58E3">
            <w:pPr>
              <w:jc w:val="center"/>
              <w:rPr>
                <w:rFonts w:ascii="Calibri" w:eastAsia="Times New Roman" w:hAnsi="Calibri" w:cs="Calibri"/>
                <w:b/>
                <w:bCs/>
                <w:color w:val="000000"/>
                <w:sz w:val="22"/>
                <w:szCs w:val="22"/>
              </w:rPr>
            </w:pPr>
            <w:r w:rsidRPr="00362B3B">
              <w:rPr>
                <w:rFonts w:ascii="Calibri" w:eastAsia="Times New Roman" w:hAnsi="Calibri" w:cs="Calibri"/>
                <w:b/>
                <w:bCs/>
                <w:color w:val="000000"/>
                <w:sz w:val="22"/>
                <w:szCs w:val="22"/>
              </w:rPr>
              <w:t>%</w:t>
            </w:r>
          </w:p>
        </w:tc>
        <w:tc>
          <w:tcPr>
            <w:tcW w:w="680" w:type="dxa"/>
            <w:tcBorders>
              <w:top w:val="nil"/>
              <w:left w:val="nil"/>
              <w:bottom w:val="single" w:sz="8" w:space="0" w:color="auto"/>
              <w:right w:val="single" w:sz="8" w:space="0" w:color="auto"/>
            </w:tcBorders>
            <w:shd w:val="clear" w:color="000000" w:fill="D9FFFF"/>
            <w:noWrap/>
            <w:hideMark/>
          </w:tcPr>
          <w:p w14:paraId="74112F16" w14:textId="77777777" w:rsidR="000A58E3" w:rsidRPr="00362B3B" w:rsidRDefault="000A58E3" w:rsidP="000A58E3">
            <w:pPr>
              <w:jc w:val="center"/>
              <w:rPr>
                <w:rFonts w:ascii="Calibri" w:eastAsia="Times New Roman" w:hAnsi="Calibri" w:cs="Calibri"/>
                <w:b/>
                <w:bCs/>
                <w:color w:val="000000"/>
                <w:sz w:val="22"/>
                <w:szCs w:val="22"/>
              </w:rPr>
            </w:pPr>
            <w:r w:rsidRPr="00362B3B">
              <w:rPr>
                <w:rFonts w:ascii="Calibri" w:eastAsia="Times New Roman" w:hAnsi="Calibri" w:cs="Calibri"/>
                <w:b/>
                <w:bCs/>
                <w:color w:val="000000"/>
                <w:sz w:val="22"/>
                <w:szCs w:val="22"/>
              </w:rPr>
              <w:t>#</w:t>
            </w:r>
          </w:p>
        </w:tc>
        <w:tc>
          <w:tcPr>
            <w:tcW w:w="671" w:type="dxa"/>
            <w:tcBorders>
              <w:top w:val="nil"/>
              <w:left w:val="nil"/>
              <w:bottom w:val="single" w:sz="8" w:space="0" w:color="auto"/>
              <w:right w:val="single" w:sz="8" w:space="0" w:color="auto"/>
            </w:tcBorders>
            <w:shd w:val="clear" w:color="000000" w:fill="D9FFFF"/>
            <w:noWrap/>
            <w:hideMark/>
          </w:tcPr>
          <w:p w14:paraId="52484D49" w14:textId="77777777" w:rsidR="000A58E3" w:rsidRPr="00362B3B" w:rsidRDefault="000A58E3" w:rsidP="000A58E3">
            <w:pPr>
              <w:jc w:val="center"/>
              <w:rPr>
                <w:rFonts w:ascii="Calibri" w:eastAsia="Times New Roman" w:hAnsi="Calibri" w:cs="Calibri"/>
                <w:b/>
                <w:bCs/>
                <w:color w:val="000000"/>
                <w:sz w:val="22"/>
                <w:szCs w:val="22"/>
              </w:rPr>
            </w:pPr>
            <w:r w:rsidRPr="00362B3B">
              <w:rPr>
                <w:rFonts w:ascii="Calibri" w:eastAsia="Times New Roman" w:hAnsi="Calibri" w:cs="Calibri"/>
                <w:b/>
                <w:bCs/>
                <w:color w:val="000000"/>
                <w:sz w:val="22"/>
                <w:szCs w:val="22"/>
              </w:rPr>
              <w:t>%</w:t>
            </w:r>
          </w:p>
        </w:tc>
        <w:tc>
          <w:tcPr>
            <w:tcW w:w="694" w:type="dxa"/>
            <w:gridSpan w:val="2"/>
            <w:tcBorders>
              <w:top w:val="nil"/>
              <w:left w:val="nil"/>
              <w:bottom w:val="single" w:sz="8" w:space="0" w:color="auto"/>
              <w:right w:val="single" w:sz="8" w:space="0" w:color="auto"/>
            </w:tcBorders>
            <w:shd w:val="clear" w:color="000000" w:fill="D9FFFF"/>
            <w:noWrap/>
            <w:hideMark/>
          </w:tcPr>
          <w:p w14:paraId="3AC9D1BF" w14:textId="77777777" w:rsidR="000A58E3" w:rsidRPr="00362B3B" w:rsidRDefault="000A58E3" w:rsidP="000A58E3">
            <w:pPr>
              <w:jc w:val="center"/>
              <w:rPr>
                <w:rFonts w:ascii="Calibri" w:eastAsia="Times New Roman" w:hAnsi="Calibri" w:cs="Calibri"/>
                <w:b/>
                <w:bCs/>
                <w:color w:val="000000"/>
                <w:sz w:val="22"/>
                <w:szCs w:val="22"/>
              </w:rPr>
            </w:pPr>
            <w:r w:rsidRPr="00362B3B">
              <w:rPr>
                <w:rFonts w:ascii="Calibri" w:eastAsia="Times New Roman" w:hAnsi="Calibri" w:cs="Calibri"/>
                <w:b/>
                <w:bCs/>
                <w:color w:val="000000"/>
                <w:sz w:val="22"/>
                <w:szCs w:val="22"/>
              </w:rPr>
              <w:t>#</w:t>
            </w:r>
          </w:p>
        </w:tc>
        <w:tc>
          <w:tcPr>
            <w:tcW w:w="682" w:type="dxa"/>
            <w:tcBorders>
              <w:top w:val="nil"/>
              <w:left w:val="nil"/>
              <w:bottom w:val="single" w:sz="8" w:space="0" w:color="auto"/>
              <w:right w:val="single" w:sz="8" w:space="0" w:color="auto"/>
            </w:tcBorders>
            <w:shd w:val="clear" w:color="000000" w:fill="D9FFFF"/>
            <w:noWrap/>
            <w:hideMark/>
          </w:tcPr>
          <w:p w14:paraId="6B805943" w14:textId="77777777" w:rsidR="000A58E3" w:rsidRPr="00362B3B" w:rsidRDefault="000A58E3" w:rsidP="000A58E3">
            <w:pPr>
              <w:jc w:val="center"/>
              <w:rPr>
                <w:rFonts w:ascii="Calibri" w:eastAsia="Times New Roman" w:hAnsi="Calibri" w:cs="Calibri"/>
                <w:b/>
                <w:bCs/>
                <w:color w:val="000000"/>
                <w:sz w:val="22"/>
                <w:szCs w:val="22"/>
              </w:rPr>
            </w:pPr>
            <w:r w:rsidRPr="00362B3B">
              <w:rPr>
                <w:rFonts w:ascii="Calibri" w:eastAsia="Times New Roman" w:hAnsi="Calibri" w:cs="Calibri"/>
                <w:b/>
                <w:bCs/>
                <w:color w:val="000000"/>
                <w:sz w:val="22"/>
                <w:szCs w:val="22"/>
              </w:rPr>
              <w:t>%</w:t>
            </w:r>
          </w:p>
        </w:tc>
        <w:tc>
          <w:tcPr>
            <w:tcW w:w="909" w:type="dxa"/>
            <w:tcBorders>
              <w:top w:val="nil"/>
              <w:left w:val="nil"/>
              <w:bottom w:val="single" w:sz="8" w:space="0" w:color="auto"/>
              <w:right w:val="single" w:sz="8" w:space="0" w:color="auto"/>
            </w:tcBorders>
            <w:shd w:val="clear" w:color="000000" w:fill="D9FFFF"/>
            <w:noWrap/>
            <w:hideMark/>
          </w:tcPr>
          <w:p w14:paraId="35ED471E" w14:textId="77777777" w:rsidR="000A58E3" w:rsidRPr="00362B3B" w:rsidRDefault="000A58E3" w:rsidP="000A58E3">
            <w:pPr>
              <w:jc w:val="center"/>
              <w:rPr>
                <w:rFonts w:ascii="Calibri" w:eastAsia="Times New Roman" w:hAnsi="Calibri" w:cs="Calibri"/>
                <w:b/>
                <w:bCs/>
                <w:color w:val="000000"/>
                <w:sz w:val="22"/>
                <w:szCs w:val="22"/>
              </w:rPr>
            </w:pPr>
            <w:r w:rsidRPr="00362B3B">
              <w:rPr>
                <w:rFonts w:ascii="Calibri" w:eastAsia="Times New Roman" w:hAnsi="Calibri" w:cs="Calibri"/>
                <w:b/>
                <w:bCs/>
                <w:color w:val="000000"/>
                <w:sz w:val="22"/>
                <w:szCs w:val="22"/>
              </w:rPr>
              <w:t>#</w:t>
            </w:r>
          </w:p>
        </w:tc>
        <w:tc>
          <w:tcPr>
            <w:tcW w:w="1172" w:type="dxa"/>
            <w:tcBorders>
              <w:top w:val="nil"/>
              <w:left w:val="nil"/>
              <w:bottom w:val="single" w:sz="8" w:space="0" w:color="auto"/>
              <w:right w:val="single" w:sz="8" w:space="0" w:color="auto"/>
            </w:tcBorders>
            <w:shd w:val="clear" w:color="000000" w:fill="D9FFFF"/>
            <w:noWrap/>
            <w:hideMark/>
          </w:tcPr>
          <w:p w14:paraId="6ACE1367" w14:textId="77777777" w:rsidR="000A58E3" w:rsidRPr="00362B3B" w:rsidRDefault="000A58E3" w:rsidP="000A58E3">
            <w:pPr>
              <w:jc w:val="center"/>
              <w:rPr>
                <w:rFonts w:ascii="Calibri" w:eastAsia="Times New Roman" w:hAnsi="Calibri" w:cs="Calibri"/>
                <w:b/>
                <w:bCs/>
                <w:color w:val="000000"/>
                <w:sz w:val="22"/>
                <w:szCs w:val="22"/>
              </w:rPr>
            </w:pPr>
            <w:r w:rsidRPr="00362B3B">
              <w:rPr>
                <w:rFonts w:ascii="Calibri" w:eastAsia="Times New Roman" w:hAnsi="Calibri" w:cs="Calibri"/>
                <w:b/>
                <w:bCs/>
                <w:color w:val="000000"/>
                <w:sz w:val="22"/>
                <w:szCs w:val="22"/>
              </w:rPr>
              <w:t>%</w:t>
            </w:r>
          </w:p>
        </w:tc>
        <w:tc>
          <w:tcPr>
            <w:tcW w:w="847" w:type="dxa"/>
            <w:tcBorders>
              <w:top w:val="single" w:sz="8" w:space="0" w:color="auto"/>
              <w:left w:val="single" w:sz="8" w:space="0" w:color="auto"/>
              <w:bottom w:val="single" w:sz="8" w:space="0" w:color="000000"/>
              <w:right w:val="single" w:sz="8" w:space="0" w:color="auto"/>
            </w:tcBorders>
            <w:shd w:val="clear" w:color="auto" w:fill="D9FFFF"/>
            <w:vAlign w:val="center"/>
            <w:hideMark/>
          </w:tcPr>
          <w:p w14:paraId="7ECB3786" w14:textId="77777777" w:rsidR="000A58E3" w:rsidRPr="00362B3B" w:rsidRDefault="000A58E3" w:rsidP="000A58E3">
            <w:pPr>
              <w:rPr>
                <w:rFonts w:ascii="Calibri" w:eastAsia="Times New Roman" w:hAnsi="Calibri" w:cs="Calibri"/>
                <w:b/>
                <w:bCs/>
                <w:color w:val="000000"/>
                <w:sz w:val="22"/>
                <w:szCs w:val="22"/>
              </w:rPr>
            </w:pPr>
          </w:p>
        </w:tc>
        <w:tc>
          <w:tcPr>
            <w:tcW w:w="847" w:type="dxa"/>
            <w:tcBorders>
              <w:top w:val="single" w:sz="8" w:space="0" w:color="auto"/>
              <w:left w:val="single" w:sz="8" w:space="0" w:color="auto"/>
              <w:bottom w:val="single" w:sz="8" w:space="0" w:color="000000"/>
              <w:right w:val="single" w:sz="8" w:space="0" w:color="auto"/>
            </w:tcBorders>
            <w:shd w:val="clear" w:color="auto" w:fill="D9FFFF"/>
            <w:vAlign w:val="center"/>
            <w:hideMark/>
          </w:tcPr>
          <w:p w14:paraId="551DF91A" w14:textId="77777777" w:rsidR="000A58E3" w:rsidRPr="00362B3B" w:rsidRDefault="000A58E3" w:rsidP="000A58E3">
            <w:pPr>
              <w:rPr>
                <w:rFonts w:ascii="Calibri" w:eastAsia="Times New Roman" w:hAnsi="Calibri" w:cs="Calibri"/>
                <w:b/>
                <w:bCs/>
                <w:color w:val="000000"/>
                <w:sz w:val="22"/>
                <w:szCs w:val="22"/>
              </w:rPr>
            </w:pPr>
          </w:p>
        </w:tc>
      </w:tr>
      <w:tr w:rsidR="000A58E3" w:rsidRPr="00362B3B" w14:paraId="4886FC11" w14:textId="77777777" w:rsidTr="000A58E3">
        <w:trPr>
          <w:cantSplit/>
          <w:trHeight w:val="340"/>
        </w:trPr>
        <w:tc>
          <w:tcPr>
            <w:tcW w:w="741" w:type="dxa"/>
            <w:tcBorders>
              <w:top w:val="nil"/>
              <w:left w:val="single" w:sz="8" w:space="0" w:color="auto"/>
              <w:bottom w:val="single" w:sz="8" w:space="0" w:color="auto"/>
              <w:right w:val="single" w:sz="8" w:space="0" w:color="auto"/>
            </w:tcBorders>
            <w:shd w:val="clear" w:color="auto" w:fill="auto"/>
            <w:noWrap/>
            <w:hideMark/>
          </w:tcPr>
          <w:p w14:paraId="2C2C006E" w14:textId="77777777" w:rsidR="000A58E3" w:rsidRPr="00362B3B" w:rsidRDefault="000A58E3" w:rsidP="000A58E3">
            <w:pPr>
              <w:rPr>
                <w:rFonts w:ascii="Calibri" w:eastAsia="Times New Roman" w:hAnsi="Calibri" w:cs="Calibri"/>
                <w:b/>
                <w:bCs/>
                <w:color w:val="000000"/>
                <w:sz w:val="22"/>
                <w:szCs w:val="22"/>
              </w:rPr>
            </w:pPr>
            <w:r w:rsidRPr="00362B3B">
              <w:rPr>
                <w:rFonts w:ascii="Calibri" w:eastAsia="Times New Roman" w:hAnsi="Calibri" w:cs="Calibri"/>
                <w:b/>
                <w:bCs/>
                <w:color w:val="000000"/>
                <w:sz w:val="22"/>
                <w:szCs w:val="22"/>
              </w:rPr>
              <w:t xml:space="preserve">0-44 </w:t>
            </w:r>
          </w:p>
        </w:tc>
        <w:tc>
          <w:tcPr>
            <w:tcW w:w="680" w:type="dxa"/>
            <w:gridSpan w:val="2"/>
            <w:tcBorders>
              <w:top w:val="nil"/>
              <w:left w:val="nil"/>
              <w:bottom w:val="single" w:sz="8" w:space="0" w:color="auto"/>
              <w:right w:val="single" w:sz="8" w:space="0" w:color="auto"/>
            </w:tcBorders>
            <w:shd w:val="clear" w:color="auto" w:fill="auto"/>
            <w:noWrap/>
            <w:hideMark/>
          </w:tcPr>
          <w:p w14:paraId="2F19476A" w14:textId="77777777" w:rsidR="000A58E3" w:rsidRPr="00362B3B" w:rsidRDefault="000A58E3" w:rsidP="000A58E3">
            <w:pPr>
              <w:jc w:val="right"/>
              <w:rPr>
                <w:rFonts w:ascii="Calibri" w:eastAsia="Times New Roman" w:hAnsi="Calibri" w:cs="Calibri"/>
                <w:color w:val="000000"/>
                <w:sz w:val="22"/>
                <w:szCs w:val="22"/>
              </w:rPr>
            </w:pPr>
            <w:r w:rsidRPr="00362B3B">
              <w:rPr>
                <w:rFonts w:ascii="Calibri" w:eastAsia="Times New Roman" w:hAnsi="Calibri" w:cs="Calibri"/>
                <w:color w:val="000000"/>
                <w:sz w:val="22"/>
                <w:szCs w:val="22"/>
              </w:rPr>
              <w:t>894</w:t>
            </w:r>
          </w:p>
        </w:tc>
        <w:tc>
          <w:tcPr>
            <w:tcW w:w="671" w:type="dxa"/>
            <w:tcBorders>
              <w:top w:val="nil"/>
              <w:left w:val="nil"/>
              <w:bottom w:val="single" w:sz="8" w:space="0" w:color="auto"/>
              <w:right w:val="single" w:sz="8" w:space="0" w:color="auto"/>
            </w:tcBorders>
            <w:shd w:val="clear" w:color="auto" w:fill="auto"/>
            <w:noWrap/>
            <w:hideMark/>
          </w:tcPr>
          <w:p w14:paraId="77D583F9" w14:textId="77777777" w:rsidR="000A58E3" w:rsidRPr="00362B3B" w:rsidRDefault="000A58E3" w:rsidP="000A58E3">
            <w:pPr>
              <w:jc w:val="right"/>
              <w:rPr>
                <w:rFonts w:ascii="Calibri" w:eastAsia="Times New Roman" w:hAnsi="Calibri" w:cs="Calibri"/>
                <w:color w:val="000000"/>
                <w:sz w:val="22"/>
                <w:szCs w:val="22"/>
              </w:rPr>
            </w:pPr>
            <w:r w:rsidRPr="00362B3B">
              <w:rPr>
                <w:rFonts w:ascii="Calibri" w:eastAsia="Times New Roman" w:hAnsi="Calibri" w:cs="Calibri"/>
                <w:color w:val="000000"/>
                <w:sz w:val="22"/>
                <w:szCs w:val="22"/>
              </w:rPr>
              <w:t>15%</w:t>
            </w:r>
          </w:p>
        </w:tc>
        <w:tc>
          <w:tcPr>
            <w:tcW w:w="680" w:type="dxa"/>
            <w:gridSpan w:val="2"/>
            <w:tcBorders>
              <w:top w:val="nil"/>
              <w:left w:val="nil"/>
              <w:bottom w:val="single" w:sz="8" w:space="0" w:color="auto"/>
              <w:right w:val="single" w:sz="8" w:space="0" w:color="auto"/>
            </w:tcBorders>
            <w:shd w:val="clear" w:color="auto" w:fill="auto"/>
            <w:noWrap/>
            <w:hideMark/>
          </w:tcPr>
          <w:p w14:paraId="5534D8D3" w14:textId="77777777" w:rsidR="000A58E3" w:rsidRPr="00362B3B" w:rsidRDefault="000A58E3" w:rsidP="000A58E3">
            <w:pPr>
              <w:jc w:val="right"/>
              <w:rPr>
                <w:rFonts w:ascii="Calibri" w:eastAsia="Times New Roman" w:hAnsi="Calibri" w:cs="Calibri"/>
                <w:color w:val="000000"/>
                <w:sz w:val="22"/>
                <w:szCs w:val="22"/>
              </w:rPr>
            </w:pPr>
            <w:r w:rsidRPr="00362B3B">
              <w:rPr>
                <w:rFonts w:ascii="Calibri" w:eastAsia="Times New Roman" w:hAnsi="Calibri" w:cs="Calibri"/>
                <w:color w:val="000000"/>
                <w:sz w:val="22"/>
                <w:szCs w:val="22"/>
              </w:rPr>
              <w:t>688</w:t>
            </w:r>
          </w:p>
        </w:tc>
        <w:tc>
          <w:tcPr>
            <w:tcW w:w="671" w:type="dxa"/>
            <w:tcBorders>
              <w:top w:val="nil"/>
              <w:left w:val="nil"/>
              <w:bottom w:val="single" w:sz="8" w:space="0" w:color="auto"/>
              <w:right w:val="single" w:sz="8" w:space="0" w:color="auto"/>
            </w:tcBorders>
            <w:shd w:val="clear" w:color="auto" w:fill="auto"/>
            <w:noWrap/>
            <w:hideMark/>
          </w:tcPr>
          <w:p w14:paraId="676EE9BF" w14:textId="77777777" w:rsidR="000A58E3" w:rsidRPr="00362B3B" w:rsidRDefault="000A58E3" w:rsidP="000A58E3">
            <w:pPr>
              <w:jc w:val="right"/>
              <w:rPr>
                <w:rFonts w:ascii="Calibri" w:eastAsia="Times New Roman" w:hAnsi="Calibri" w:cs="Calibri"/>
                <w:color w:val="000000"/>
                <w:sz w:val="22"/>
                <w:szCs w:val="22"/>
              </w:rPr>
            </w:pPr>
            <w:r w:rsidRPr="00362B3B">
              <w:rPr>
                <w:rFonts w:ascii="Calibri" w:eastAsia="Times New Roman" w:hAnsi="Calibri" w:cs="Calibri"/>
                <w:color w:val="000000"/>
                <w:sz w:val="22"/>
                <w:szCs w:val="22"/>
              </w:rPr>
              <w:t>16%</w:t>
            </w:r>
          </w:p>
        </w:tc>
        <w:tc>
          <w:tcPr>
            <w:tcW w:w="680" w:type="dxa"/>
            <w:tcBorders>
              <w:top w:val="nil"/>
              <w:left w:val="nil"/>
              <w:bottom w:val="single" w:sz="8" w:space="0" w:color="auto"/>
              <w:right w:val="single" w:sz="8" w:space="0" w:color="auto"/>
            </w:tcBorders>
            <w:shd w:val="clear" w:color="auto" w:fill="auto"/>
            <w:noWrap/>
            <w:hideMark/>
          </w:tcPr>
          <w:p w14:paraId="250A2F16" w14:textId="77777777" w:rsidR="000A58E3" w:rsidRPr="00362B3B" w:rsidRDefault="000A58E3" w:rsidP="000A58E3">
            <w:pPr>
              <w:jc w:val="right"/>
              <w:rPr>
                <w:rFonts w:ascii="Calibri" w:eastAsia="Times New Roman" w:hAnsi="Calibri" w:cs="Calibri"/>
                <w:color w:val="000000"/>
                <w:sz w:val="22"/>
                <w:szCs w:val="22"/>
              </w:rPr>
            </w:pPr>
            <w:r w:rsidRPr="00362B3B">
              <w:rPr>
                <w:rFonts w:ascii="Calibri" w:eastAsia="Times New Roman" w:hAnsi="Calibri" w:cs="Calibri"/>
                <w:color w:val="000000"/>
                <w:sz w:val="22"/>
                <w:szCs w:val="22"/>
              </w:rPr>
              <w:t>1,131</w:t>
            </w:r>
          </w:p>
        </w:tc>
        <w:tc>
          <w:tcPr>
            <w:tcW w:w="671" w:type="dxa"/>
            <w:tcBorders>
              <w:top w:val="nil"/>
              <w:left w:val="nil"/>
              <w:bottom w:val="single" w:sz="8" w:space="0" w:color="auto"/>
              <w:right w:val="single" w:sz="8" w:space="0" w:color="auto"/>
            </w:tcBorders>
            <w:shd w:val="clear" w:color="auto" w:fill="auto"/>
            <w:noWrap/>
            <w:hideMark/>
          </w:tcPr>
          <w:p w14:paraId="12BD2BA6" w14:textId="77777777" w:rsidR="000A58E3" w:rsidRPr="00362B3B" w:rsidRDefault="000A58E3" w:rsidP="000A58E3">
            <w:pPr>
              <w:jc w:val="right"/>
              <w:rPr>
                <w:rFonts w:ascii="Calibri" w:eastAsia="Times New Roman" w:hAnsi="Calibri" w:cs="Calibri"/>
                <w:color w:val="000000"/>
                <w:sz w:val="22"/>
                <w:szCs w:val="22"/>
              </w:rPr>
            </w:pPr>
            <w:r w:rsidRPr="00362B3B">
              <w:rPr>
                <w:rFonts w:ascii="Calibri" w:eastAsia="Times New Roman" w:hAnsi="Calibri" w:cs="Calibri"/>
                <w:color w:val="000000"/>
                <w:sz w:val="22"/>
                <w:szCs w:val="22"/>
              </w:rPr>
              <w:t>18%</w:t>
            </w:r>
          </w:p>
        </w:tc>
        <w:tc>
          <w:tcPr>
            <w:tcW w:w="680" w:type="dxa"/>
            <w:tcBorders>
              <w:top w:val="nil"/>
              <w:left w:val="nil"/>
              <w:bottom w:val="single" w:sz="8" w:space="0" w:color="auto"/>
              <w:right w:val="single" w:sz="8" w:space="0" w:color="auto"/>
            </w:tcBorders>
            <w:shd w:val="clear" w:color="auto" w:fill="auto"/>
            <w:noWrap/>
            <w:hideMark/>
          </w:tcPr>
          <w:p w14:paraId="7E402BCF" w14:textId="77777777" w:rsidR="000A58E3" w:rsidRPr="00362B3B" w:rsidRDefault="000A58E3" w:rsidP="000A58E3">
            <w:pPr>
              <w:jc w:val="right"/>
              <w:rPr>
                <w:rFonts w:ascii="Calibri" w:eastAsia="Times New Roman" w:hAnsi="Calibri" w:cs="Calibri"/>
                <w:color w:val="000000"/>
                <w:sz w:val="22"/>
                <w:szCs w:val="22"/>
              </w:rPr>
            </w:pPr>
            <w:r w:rsidRPr="00362B3B">
              <w:rPr>
                <w:rFonts w:ascii="Calibri" w:eastAsia="Times New Roman" w:hAnsi="Calibri" w:cs="Calibri"/>
                <w:color w:val="000000"/>
                <w:sz w:val="22"/>
                <w:szCs w:val="22"/>
              </w:rPr>
              <w:t>955</w:t>
            </w:r>
          </w:p>
        </w:tc>
        <w:tc>
          <w:tcPr>
            <w:tcW w:w="671" w:type="dxa"/>
            <w:tcBorders>
              <w:top w:val="nil"/>
              <w:left w:val="nil"/>
              <w:bottom w:val="single" w:sz="8" w:space="0" w:color="auto"/>
              <w:right w:val="single" w:sz="8" w:space="0" w:color="auto"/>
            </w:tcBorders>
            <w:shd w:val="clear" w:color="auto" w:fill="auto"/>
            <w:noWrap/>
            <w:hideMark/>
          </w:tcPr>
          <w:p w14:paraId="7EDDA05A" w14:textId="77777777" w:rsidR="000A58E3" w:rsidRPr="00362B3B" w:rsidRDefault="000A58E3" w:rsidP="000A58E3">
            <w:pPr>
              <w:jc w:val="right"/>
              <w:rPr>
                <w:rFonts w:ascii="Calibri" w:eastAsia="Times New Roman" w:hAnsi="Calibri" w:cs="Calibri"/>
                <w:color w:val="000000"/>
                <w:sz w:val="22"/>
                <w:szCs w:val="22"/>
              </w:rPr>
            </w:pPr>
            <w:r w:rsidRPr="00362B3B">
              <w:rPr>
                <w:rFonts w:ascii="Calibri" w:eastAsia="Times New Roman" w:hAnsi="Calibri" w:cs="Calibri"/>
                <w:color w:val="000000"/>
                <w:sz w:val="22"/>
                <w:szCs w:val="22"/>
              </w:rPr>
              <w:t>16%</w:t>
            </w:r>
          </w:p>
        </w:tc>
        <w:tc>
          <w:tcPr>
            <w:tcW w:w="694" w:type="dxa"/>
            <w:gridSpan w:val="2"/>
            <w:tcBorders>
              <w:top w:val="nil"/>
              <w:left w:val="nil"/>
              <w:bottom w:val="single" w:sz="8" w:space="0" w:color="auto"/>
              <w:right w:val="single" w:sz="8" w:space="0" w:color="auto"/>
            </w:tcBorders>
            <w:shd w:val="clear" w:color="auto" w:fill="auto"/>
            <w:noWrap/>
            <w:hideMark/>
          </w:tcPr>
          <w:p w14:paraId="175D9C27" w14:textId="77777777" w:rsidR="000A58E3" w:rsidRPr="00362B3B" w:rsidRDefault="000A58E3" w:rsidP="000A58E3">
            <w:pPr>
              <w:jc w:val="right"/>
              <w:rPr>
                <w:rFonts w:ascii="Calibri" w:eastAsia="Times New Roman" w:hAnsi="Calibri" w:cs="Calibri"/>
                <w:color w:val="000000"/>
                <w:sz w:val="22"/>
                <w:szCs w:val="22"/>
              </w:rPr>
            </w:pPr>
            <w:r w:rsidRPr="00362B3B">
              <w:rPr>
                <w:rFonts w:ascii="Calibri" w:eastAsia="Times New Roman" w:hAnsi="Calibri" w:cs="Calibri"/>
                <w:color w:val="000000"/>
                <w:sz w:val="22"/>
                <w:szCs w:val="22"/>
              </w:rPr>
              <w:t>792</w:t>
            </w:r>
          </w:p>
        </w:tc>
        <w:tc>
          <w:tcPr>
            <w:tcW w:w="682" w:type="dxa"/>
            <w:tcBorders>
              <w:top w:val="nil"/>
              <w:left w:val="nil"/>
              <w:bottom w:val="single" w:sz="8" w:space="0" w:color="auto"/>
              <w:right w:val="single" w:sz="8" w:space="0" w:color="auto"/>
            </w:tcBorders>
            <w:shd w:val="clear" w:color="auto" w:fill="auto"/>
            <w:noWrap/>
            <w:hideMark/>
          </w:tcPr>
          <w:p w14:paraId="7D3C3697" w14:textId="77777777" w:rsidR="000A58E3" w:rsidRPr="00362B3B" w:rsidRDefault="000A58E3" w:rsidP="000A58E3">
            <w:pPr>
              <w:jc w:val="right"/>
              <w:rPr>
                <w:rFonts w:ascii="Calibri" w:eastAsia="Times New Roman" w:hAnsi="Calibri" w:cs="Calibri"/>
                <w:color w:val="000000"/>
                <w:sz w:val="22"/>
                <w:szCs w:val="22"/>
              </w:rPr>
            </w:pPr>
            <w:r w:rsidRPr="00362B3B">
              <w:rPr>
                <w:rFonts w:ascii="Calibri" w:eastAsia="Times New Roman" w:hAnsi="Calibri" w:cs="Calibri"/>
                <w:color w:val="000000"/>
                <w:sz w:val="22"/>
                <w:szCs w:val="22"/>
              </w:rPr>
              <w:t>12%</w:t>
            </w:r>
          </w:p>
        </w:tc>
        <w:tc>
          <w:tcPr>
            <w:tcW w:w="909" w:type="dxa"/>
            <w:tcBorders>
              <w:top w:val="nil"/>
              <w:left w:val="nil"/>
              <w:bottom w:val="single" w:sz="8" w:space="0" w:color="auto"/>
              <w:right w:val="single" w:sz="8" w:space="0" w:color="auto"/>
            </w:tcBorders>
            <w:shd w:val="clear" w:color="auto" w:fill="auto"/>
            <w:noWrap/>
            <w:hideMark/>
          </w:tcPr>
          <w:p w14:paraId="0A07486D" w14:textId="77777777" w:rsidR="000A58E3" w:rsidRPr="00362B3B" w:rsidRDefault="000A58E3" w:rsidP="000A58E3">
            <w:pPr>
              <w:jc w:val="right"/>
              <w:rPr>
                <w:rFonts w:ascii="Calibri" w:eastAsia="Times New Roman" w:hAnsi="Calibri" w:cs="Calibri"/>
                <w:color w:val="000000"/>
                <w:sz w:val="22"/>
                <w:szCs w:val="22"/>
              </w:rPr>
            </w:pPr>
            <w:r w:rsidRPr="00362B3B">
              <w:rPr>
                <w:rFonts w:ascii="Calibri" w:eastAsia="Times New Roman" w:hAnsi="Calibri" w:cs="Calibri"/>
                <w:color w:val="000000"/>
                <w:sz w:val="22"/>
                <w:szCs w:val="22"/>
              </w:rPr>
              <w:t>835</w:t>
            </w:r>
          </w:p>
        </w:tc>
        <w:tc>
          <w:tcPr>
            <w:tcW w:w="1172" w:type="dxa"/>
            <w:tcBorders>
              <w:top w:val="nil"/>
              <w:left w:val="nil"/>
              <w:bottom w:val="single" w:sz="8" w:space="0" w:color="auto"/>
              <w:right w:val="single" w:sz="8" w:space="0" w:color="auto"/>
            </w:tcBorders>
            <w:shd w:val="clear" w:color="auto" w:fill="auto"/>
            <w:noWrap/>
            <w:hideMark/>
          </w:tcPr>
          <w:p w14:paraId="547243F4" w14:textId="77777777" w:rsidR="000A58E3" w:rsidRPr="00362B3B" w:rsidRDefault="000A58E3" w:rsidP="000A58E3">
            <w:pPr>
              <w:jc w:val="right"/>
              <w:rPr>
                <w:rFonts w:ascii="Calibri" w:eastAsia="Times New Roman" w:hAnsi="Calibri" w:cs="Calibri"/>
                <w:color w:val="000000"/>
                <w:sz w:val="22"/>
                <w:szCs w:val="22"/>
              </w:rPr>
            </w:pPr>
            <w:r w:rsidRPr="00362B3B">
              <w:rPr>
                <w:rFonts w:ascii="Calibri" w:eastAsia="Times New Roman" w:hAnsi="Calibri" w:cs="Calibri"/>
                <w:color w:val="000000"/>
                <w:sz w:val="22"/>
                <w:szCs w:val="22"/>
              </w:rPr>
              <w:t>12%</w:t>
            </w:r>
          </w:p>
        </w:tc>
        <w:tc>
          <w:tcPr>
            <w:tcW w:w="847" w:type="dxa"/>
            <w:tcBorders>
              <w:top w:val="nil"/>
              <w:left w:val="nil"/>
              <w:bottom w:val="single" w:sz="8" w:space="0" w:color="auto"/>
              <w:right w:val="single" w:sz="8" w:space="0" w:color="auto"/>
            </w:tcBorders>
            <w:shd w:val="clear" w:color="auto" w:fill="auto"/>
            <w:noWrap/>
            <w:hideMark/>
          </w:tcPr>
          <w:p w14:paraId="3EA5D6FC" w14:textId="77777777" w:rsidR="000A58E3" w:rsidRPr="00362B3B" w:rsidRDefault="000A58E3" w:rsidP="000A58E3">
            <w:pPr>
              <w:jc w:val="right"/>
              <w:rPr>
                <w:rFonts w:ascii="Calibri" w:eastAsia="Times New Roman" w:hAnsi="Calibri" w:cs="Calibri"/>
                <w:color w:val="000000"/>
                <w:sz w:val="22"/>
                <w:szCs w:val="22"/>
              </w:rPr>
            </w:pPr>
            <w:r w:rsidRPr="00362B3B">
              <w:rPr>
                <w:rFonts w:ascii="Calibri" w:eastAsia="Times New Roman" w:hAnsi="Calibri" w:cs="Calibri"/>
                <w:color w:val="000000"/>
                <w:sz w:val="22"/>
                <w:szCs w:val="22"/>
              </w:rPr>
              <w:t>-7%</w:t>
            </w:r>
          </w:p>
        </w:tc>
        <w:tc>
          <w:tcPr>
            <w:tcW w:w="847" w:type="dxa"/>
            <w:tcBorders>
              <w:top w:val="nil"/>
              <w:left w:val="nil"/>
              <w:bottom w:val="single" w:sz="8" w:space="0" w:color="auto"/>
              <w:right w:val="single" w:sz="8" w:space="0" w:color="auto"/>
            </w:tcBorders>
            <w:shd w:val="clear" w:color="auto" w:fill="auto"/>
            <w:noWrap/>
            <w:hideMark/>
          </w:tcPr>
          <w:p w14:paraId="7B35583C" w14:textId="77777777" w:rsidR="000A58E3" w:rsidRPr="00362B3B" w:rsidRDefault="000A58E3" w:rsidP="000A58E3">
            <w:pPr>
              <w:jc w:val="right"/>
              <w:rPr>
                <w:rFonts w:ascii="Calibri" w:eastAsia="Times New Roman" w:hAnsi="Calibri" w:cs="Calibri"/>
                <w:color w:val="000000"/>
                <w:sz w:val="22"/>
                <w:szCs w:val="22"/>
              </w:rPr>
            </w:pPr>
            <w:r w:rsidRPr="00362B3B">
              <w:rPr>
                <w:rFonts w:ascii="Calibri" w:eastAsia="Times New Roman" w:hAnsi="Calibri" w:cs="Calibri"/>
                <w:color w:val="000000"/>
                <w:sz w:val="22"/>
                <w:szCs w:val="22"/>
              </w:rPr>
              <w:t>-13%</w:t>
            </w:r>
          </w:p>
        </w:tc>
      </w:tr>
      <w:tr w:rsidR="000A58E3" w:rsidRPr="00362B3B" w14:paraId="0ECD0F06" w14:textId="77777777" w:rsidTr="000A58E3">
        <w:trPr>
          <w:cantSplit/>
          <w:trHeight w:val="340"/>
        </w:trPr>
        <w:tc>
          <w:tcPr>
            <w:tcW w:w="741" w:type="dxa"/>
            <w:tcBorders>
              <w:top w:val="nil"/>
              <w:left w:val="single" w:sz="8" w:space="0" w:color="auto"/>
              <w:bottom w:val="single" w:sz="8" w:space="0" w:color="auto"/>
              <w:right w:val="single" w:sz="8" w:space="0" w:color="auto"/>
            </w:tcBorders>
            <w:shd w:val="clear" w:color="auto" w:fill="auto"/>
            <w:noWrap/>
            <w:hideMark/>
          </w:tcPr>
          <w:p w14:paraId="7D810531" w14:textId="77777777" w:rsidR="000A58E3" w:rsidRPr="00362B3B" w:rsidRDefault="000A58E3" w:rsidP="000A58E3">
            <w:pPr>
              <w:rPr>
                <w:rFonts w:ascii="Calibri" w:eastAsia="Times New Roman" w:hAnsi="Calibri" w:cs="Calibri"/>
                <w:b/>
                <w:bCs/>
                <w:color w:val="000000"/>
                <w:sz w:val="22"/>
                <w:szCs w:val="22"/>
              </w:rPr>
            </w:pPr>
            <w:r w:rsidRPr="00362B3B">
              <w:rPr>
                <w:rFonts w:ascii="Calibri" w:eastAsia="Times New Roman" w:hAnsi="Calibri" w:cs="Calibri"/>
                <w:b/>
                <w:bCs/>
                <w:color w:val="000000"/>
                <w:sz w:val="22"/>
                <w:szCs w:val="22"/>
              </w:rPr>
              <w:t xml:space="preserve">45-49 </w:t>
            </w:r>
          </w:p>
        </w:tc>
        <w:tc>
          <w:tcPr>
            <w:tcW w:w="680" w:type="dxa"/>
            <w:gridSpan w:val="2"/>
            <w:tcBorders>
              <w:top w:val="nil"/>
              <w:left w:val="nil"/>
              <w:bottom w:val="single" w:sz="8" w:space="0" w:color="auto"/>
              <w:right w:val="single" w:sz="8" w:space="0" w:color="auto"/>
            </w:tcBorders>
            <w:shd w:val="clear" w:color="auto" w:fill="auto"/>
            <w:noWrap/>
            <w:hideMark/>
          </w:tcPr>
          <w:p w14:paraId="59B13404" w14:textId="77777777" w:rsidR="000A58E3" w:rsidRPr="00362B3B" w:rsidRDefault="000A58E3" w:rsidP="000A58E3">
            <w:pPr>
              <w:jc w:val="right"/>
              <w:rPr>
                <w:rFonts w:ascii="Calibri" w:eastAsia="Times New Roman" w:hAnsi="Calibri" w:cs="Calibri"/>
                <w:color w:val="000000"/>
                <w:sz w:val="22"/>
                <w:szCs w:val="22"/>
              </w:rPr>
            </w:pPr>
            <w:r w:rsidRPr="00362B3B">
              <w:rPr>
                <w:rFonts w:ascii="Calibri" w:eastAsia="Times New Roman" w:hAnsi="Calibri" w:cs="Calibri"/>
                <w:color w:val="000000"/>
                <w:sz w:val="22"/>
                <w:szCs w:val="22"/>
              </w:rPr>
              <w:t>383</w:t>
            </w:r>
          </w:p>
        </w:tc>
        <w:tc>
          <w:tcPr>
            <w:tcW w:w="671" w:type="dxa"/>
            <w:tcBorders>
              <w:top w:val="nil"/>
              <w:left w:val="nil"/>
              <w:bottom w:val="single" w:sz="8" w:space="0" w:color="auto"/>
              <w:right w:val="single" w:sz="8" w:space="0" w:color="auto"/>
            </w:tcBorders>
            <w:shd w:val="clear" w:color="auto" w:fill="auto"/>
            <w:noWrap/>
            <w:hideMark/>
          </w:tcPr>
          <w:p w14:paraId="7E256A2C" w14:textId="77777777" w:rsidR="000A58E3" w:rsidRPr="00362B3B" w:rsidRDefault="000A58E3" w:rsidP="000A58E3">
            <w:pPr>
              <w:jc w:val="right"/>
              <w:rPr>
                <w:rFonts w:ascii="Calibri" w:eastAsia="Times New Roman" w:hAnsi="Calibri" w:cs="Calibri"/>
                <w:color w:val="000000"/>
                <w:sz w:val="22"/>
                <w:szCs w:val="22"/>
              </w:rPr>
            </w:pPr>
            <w:r w:rsidRPr="00362B3B">
              <w:rPr>
                <w:rFonts w:ascii="Calibri" w:eastAsia="Times New Roman" w:hAnsi="Calibri" w:cs="Calibri"/>
                <w:color w:val="000000"/>
                <w:sz w:val="22"/>
                <w:szCs w:val="22"/>
              </w:rPr>
              <w:t>6%</w:t>
            </w:r>
          </w:p>
        </w:tc>
        <w:tc>
          <w:tcPr>
            <w:tcW w:w="680" w:type="dxa"/>
            <w:gridSpan w:val="2"/>
            <w:tcBorders>
              <w:top w:val="nil"/>
              <w:left w:val="nil"/>
              <w:bottom w:val="single" w:sz="8" w:space="0" w:color="auto"/>
              <w:right w:val="single" w:sz="8" w:space="0" w:color="auto"/>
            </w:tcBorders>
            <w:shd w:val="clear" w:color="auto" w:fill="auto"/>
            <w:noWrap/>
            <w:hideMark/>
          </w:tcPr>
          <w:p w14:paraId="7C670953" w14:textId="77777777" w:rsidR="000A58E3" w:rsidRPr="00362B3B" w:rsidRDefault="000A58E3" w:rsidP="000A58E3">
            <w:pPr>
              <w:jc w:val="right"/>
              <w:rPr>
                <w:rFonts w:ascii="Calibri" w:eastAsia="Times New Roman" w:hAnsi="Calibri" w:cs="Calibri"/>
                <w:color w:val="000000"/>
                <w:sz w:val="22"/>
                <w:szCs w:val="22"/>
              </w:rPr>
            </w:pPr>
            <w:r w:rsidRPr="00362B3B">
              <w:rPr>
                <w:rFonts w:ascii="Calibri" w:eastAsia="Times New Roman" w:hAnsi="Calibri" w:cs="Calibri"/>
                <w:color w:val="000000"/>
                <w:sz w:val="22"/>
                <w:szCs w:val="22"/>
              </w:rPr>
              <w:t>241</w:t>
            </w:r>
          </w:p>
        </w:tc>
        <w:tc>
          <w:tcPr>
            <w:tcW w:w="671" w:type="dxa"/>
            <w:tcBorders>
              <w:top w:val="nil"/>
              <w:left w:val="nil"/>
              <w:bottom w:val="single" w:sz="8" w:space="0" w:color="auto"/>
              <w:right w:val="single" w:sz="8" w:space="0" w:color="auto"/>
            </w:tcBorders>
            <w:shd w:val="clear" w:color="auto" w:fill="auto"/>
            <w:noWrap/>
            <w:hideMark/>
          </w:tcPr>
          <w:p w14:paraId="17DDB25C" w14:textId="77777777" w:rsidR="000A58E3" w:rsidRPr="00362B3B" w:rsidRDefault="000A58E3" w:rsidP="000A58E3">
            <w:pPr>
              <w:jc w:val="right"/>
              <w:rPr>
                <w:rFonts w:ascii="Calibri" w:eastAsia="Times New Roman" w:hAnsi="Calibri" w:cs="Calibri"/>
                <w:color w:val="000000"/>
                <w:sz w:val="22"/>
                <w:szCs w:val="22"/>
              </w:rPr>
            </w:pPr>
            <w:r w:rsidRPr="00362B3B">
              <w:rPr>
                <w:rFonts w:ascii="Calibri" w:eastAsia="Times New Roman" w:hAnsi="Calibri" w:cs="Calibri"/>
                <w:color w:val="000000"/>
                <w:sz w:val="22"/>
                <w:szCs w:val="22"/>
              </w:rPr>
              <w:t>5%</w:t>
            </w:r>
          </w:p>
        </w:tc>
        <w:tc>
          <w:tcPr>
            <w:tcW w:w="680" w:type="dxa"/>
            <w:tcBorders>
              <w:top w:val="nil"/>
              <w:left w:val="nil"/>
              <w:bottom w:val="single" w:sz="8" w:space="0" w:color="auto"/>
              <w:right w:val="single" w:sz="8" w:space="0" w:color="auto"/>
            </w:tcBorders>
            <w:shd w:val="clear" w:color="auto" w:fill="auto"/>
            <w:noWrap/>
            <w:hideMark/>
          </w:tcPr>
          <w:p w14:paraId="2F103AFB" w14:textId="77777777" w:rsidR="000A58E3" w:rsidRPr="00362B3B" w:rsidRDefault="000A58E3" w:rsidP="000A58E3">
            <w:pPr>
              <w:jc w:val="right"/>
              <w:rPr>
                <w:rFonts w:ascii="Calibri" w:eastAsia="Times New Roman" w:hAnsi="Calibri" w:cs="Calibri"/>
                <w:color w:val="000000"/>
                <w:sz w:val="22"/>
                <w:szCs w:val="22"/>
              </w:rPr>
            </w:pPr>
            <w:r w:rsidRPr="00362B3B">
              <w:rPr>
                <w:rFonts w:ascii="Calibri" w:eastAsia="Times New Roman" w:hAnsi="Calibri" w:cs="Calibri"/>
                <w:color w:val="000000"/>
                <w:sz w:val="22"/>
                <w:szCs w:val="22"/>
              </w:rPr>
              <w:t>423</w:t>
            </w:r>
          </w:p>
        </w:tc>
        <w:tc>
          <w:tcPr>
            <w:tcW w:w="671" w:type="dxa"/>
            <w:tcBorders>
              <w:top w:val="nil"/>
              <w:left w:val="nil"/>
              <w:bottom w:val="single" w:sz="8" w:space="0" w:color="auto"/>
              <w:right w:val="single" w:sz="8" w:space="0" w:color="auto"/>
            </w:tcBorders>
            <w:shd w:val="clear" w:color="auto" w:fill="auto"/>
            <w:noWrap/>
            <w:hideMark/>
          </w:tcPr>
          <w:p w14:paraId="1CB37492" w14:textId="77777777" w:rsidR="000A58E3" w:rsidRPr="00362B3B" w:rsidRDefault="000A58E3" w:rsidP="000A58E3">
            <w:pPr>
              <w:jc w:val="right"/>
              <w:rPr>
                <w:rFonts w:ascii="Calibri" w:eastAsia="Times New Roman" w:hAnsi="Calibri" w:cs="Calibri"/>
                <w:color w:val="000000"/>
                <w:sz w:val="22"/>
                <w:szCs w:val="22"/>
              </w:rPr>
            </w:pPr>
            <w:r w:rsidRPr="00362B3B">
              <w:rPr>
                <w:rFonts w:ascii="Calibri" w:eastAsia="Times New Roman" w:hAnsi="Calibri" w:cs="Calibri"/>
                <w:color w:val="000000"/>
                <w:sz w:val="22"/>
                <w:szCs w:val="22"/>
              </w:rPr>
              <w:t>7%</w:t>
            </w:r>
          </w:p>
        </w:tc>
        <w:tc>
          <w:tcPr>
            <w:tcW w:w="680" w:type="dxa"/>
            <w:tcBorders>
              <w:top w:val="nil"/>
              <w:left w:val="nil"/>
              <w:bottom w:val="single" w:sz="8" w:space="0" w:color="auto"/>
              <w:right w:val="single" w:sz="8" w:space="0" w:color="auto"/>
            </w:tcBorders>
            <w:shd w:val="clear" w:color="auto" w:fill="auto"/>
            <w:noWrap/>
            <w:hideMark/>
          </w:tcPr>
          <w:p w14:paraId="2B8BC029" w14:textId="77777777" w:rsidR="000A58E3" w:rsidRPr="00362B3B" w:rsidRDefault="000A58E3" w:rsidP="000A58E3">
            <w:pPr>
              <w:jc w:val="right"/>
              <w:rPr>
                <w:rFonts w:ascii="Calibri" w:eastAsia="Times New Roman" w:hAnsi="Calibri" w:cs="Calibri"/>
                <w:color w:val="000000"/>
                <w:sz w:val="22"/>
                <w:szCs w:val="22"/>
              </w:rPr>
            </w:pPr>
            <w:r w:rsidRPr="00362B3B">
              <w:rPr>
                <w:rFonts w:ascii="Calibri" w:eastAsia="Times New Roman" w:hAnsi="Calibri" w:cs="Calibri"/>
                <w:color w:val="000000"/>
                <w:sz w:val="22"/>
                <w:szCs w:val="22"/>
              </w:rPr>
              <w:t>620</w:t>
            </w:r>
          </w:p>
        </w:tc>
        <w:tc>
          <w:tcPr>
            <w:tcW w:w="671" w:type="dxa"/>
            <w:tcBorders>
              <w:top w:val="nil"/>
              <w:left w:val="nil"/>
              <w:bottom w:val="single" w:sz="8" w:space="0" w:color="auto"/>
              <w:right w:val="single" w:sz="8" w:space="0" w:color="auto"/>
            </w:tcBorders>
            <w:shd w:val="clear" w:color="auto" w:fill="auto"/>
            <w:noWrap/>
            <w:hideMark/>
          </w:tcPr>
          <w:p w14:paraId="2B57A46F" w14:textId="77777777" w:rsidR="000A58E3" w:rsidRPr="00362B3B" w:rsidRDefault="000A58E3" w:rsidP="000A58E3">
            <w:pPr>
              <w:jc w:val="right"/>
              <w:rPr>
                <w:rFonts w:ascii="Calibri" w:eastAsia="Times New Roman" w:hAnsi="Calibri" w:cs="Calibri"/>
                <w:color w:val="000000"/>
                <w:sz w:val="22"/>
                <w:szCs w:val="22"/>
              </w:rPr>
            </w:pPr>
            <w:r w:rsidRPr="00362B3B">
              <w:rPr>
                <w:rFonts w:ascii="Calibri" w:eastAsia="Times New Roman" w:hAnsi="Calibri" w:cs="Calibri"/>
                <w:color w:val="000000"/>
                <w:sz w:val="22"/>
                <w:szCs w:val="22"/>
              </w:rPr>
              <w:t>10%</w:t>
            </w:r>
          </w:p>
        </w:tc>
        <w:tc>
          <w:tcPr>
            <w:tcW w:w="694" w:type="dxa"/>
            <w:gridSpan w:val="2"/>
            <w:tcBorders>
              <w:top w:val="nil"/>
              <w:left w:val="nil"/>
              <w:bottom w:val="single" w:sz="8" w:space="0" w:color="auto"/>
              <w:right w:val="single" w:sz="8" w:space="0" w:color="auto"/>
            </w:tcBorders>
            <w:shd w:val="clear" w:color="auto" w:fill="auto"/>
            <w:noWrap/>
            <w:hideMark/>
          </w:tcPr>
          <w:p w14:paraId="5C4C115C" w14:textId="77777777" w:rsidR="000A58E3" w:rsidRPr="00362B3B" w:rsidRDefault="000A58E3" w:rsidP="000A58E3">
            <w:pPr>
              <w:jc w:val="right"/>
              <w:rPr>
                <w:rFonts w:ascii="Calibri" w:eastAsia="Times New Roman" w:hAnsi="Calibri" w:cs="Calibri"/>
                <w:color w:val="000000"/>
                <w:sz w:val="22"/>
                <w:szCs w:val="22"/>
              </w:rPr>
            </w:pPr>
            <w:r w:rsidRPr="00362B3B">
              <w:rPr>
                <w:rFonts w:ascii="Calibri" w:eastAsia="Times New Roman" w:hAnsi="Calibri" w:cs="Calibri"/>
                <w:color w:val="000000"/>
                <w:sz w:val="22"/>
                <w:szCs w:val="22"/>
              </w:rPr>
              <w:t>1,031</w:t>
            </w:r>
          </w:p>
        </w:tc>
        <w:tc>
          <w:tcPr>
            <w:tcW w:w="682" w:type="dxa"/>
            <w:tcBorders>
              <w:top w:val="nil"/>
              <w:left w:val="nil"/>
              <w:bottom w:val="single" w:sz="8" w:space="0" w:color="auto"/>
              <w:right w:val="single" w:sz="8" w:space="0" w:color="auto"/>
            </w:tcBorders>
            <w:shd w:val="clear" w:color="auto" w:fill="auto"/>
            <w:noWrap/>
            <w:hideMark/>
          </w:tcPr>
          <w:p w14:paraId="6D42EADC" w14:textId="77777777" w:rsidR="000A58E3" w:rsidRPr="00362B3B" w:rsidRDefault="000A58E3" w:rsidP="000A58E3">
            <w:pPr>
              <w:jc w:val="right"/>
              <w:rPr>
                <w:rFonts w:ascii="Calibri" w:eastAsia="Times New Roman" w:hAnsi="Calibri" w:cs="Calibri"/>
                <w:color w:val="000000"/>
                <w:sz w:val="22"/>
                <w:szCs w:val="22"/>
              </w:rPr>
            </w:pPr>
            <w:r w:rsidRPr="00362B3B">
              <w:rPr>
                <w:rFonts w:ascii="Calibri" w:eastAsia="Times New Roman" w:hAnsi="Calibri" w:cs="Calibri"/>
                <w:color w:val="000000"/>
                <w:sz w:val="22"/>
                <w:szCs w:val="22"/>
              </w:rPr>
              <w:t>16%</w:t>
            </w:r>
          </w:p>
        </w:tc>
        <w:tc>
          <w:tcPr>
            <w:tcW w:w="909" w:type="dxa"/>
            <w:tcBorders>
              <w:top w:val="nil"/>
              <w:left w:val="nil"/>
              <w:bottom w:val="single" w:sz="8" w:space="0" w:color="auto"/>
              <w:right w:val="single" w:sz="8" w:space="0" w:color="auto"/>
            </w:tcBorders>
            <w:shd w:val="clear" w:color="auto" w:fill="auto"/>
            <w:noWrap/>
            <w:hideMark/>
          </w:tcPr>
          <w:p w14:paraId="3B38DE1A" w14:textId="77777777" w:rsidR="000A58E3" w:rsidRPr="00362B3B" w:rsidRDefault="000A58E3" w:rsidP="000A58E3">
            <w:pPr>
              <w:jc w:val="right"/>
              <w:rPr>
                <w:rFonts w:ascii="Calibri" w:eastAsia="Times New Roman" w:hAnsi="Calibri" w:cs="Calibri"/>
                <w:color w:val="000000"/>
                <w:sz w:val="22"/>
                <w:szCs w:val="22"/>
              </w:rPr>
            </w:pPr>
            <w:r w:rsidRPr="00362B3B">
              <w:rPr>
                <w:rFonts w:ascii="Calibri" w:eastAsia="Times New Roman" w:hAnsi="Calibri" w:cs="Calibri"/>
                <w:color w:val="000000"/>
                <w:sz w:val="22"/>
                <w:szCs w:val="22"/>
              </w:rPr>
              <w:t>867</w:t>
            </w:r>
          </w:p>
        </w:tc>
        <w:tc>
          <w:tcPr>
            <w:tcW w:w="1172" w:type="dxa"/>
            <w:tcBorders>
              <w:top w:val="nil"/>
              <w:left w:val="nil"/>
              <w:bottom w:val="single" w:sz="8" w:space="0" w:color="auto"/>
              <w:right w:val="single" w:sz="8" w:space="0" w:color="auto"/>
            </w:tcBorders>
            <w:shd w:val="clear" w:color="auto" w:fill="auto"/>
            <w:noWrap/>
            <w:hideMark/>
          </w:tcPr>
          <w:p w14:paraId="0FAD5FBE" w14:textId="77777777" w:rsidR="000A58E3" w:rsidRPr="00362B3B" w:rsidRDefault="000A58E3" w:rsidP="000A58E3">
            <w:pPr>
              <w:jc w:val="right"/>
              <w:rPr>
                <w:rFonts w:ascii="Calibri" w:eastAsia="Times New Roman" w:hAnsi="Calibri" w:cs="Calibri"/>
                <w:color w:val="000000"/>
                <w:sz w:val="22"/>
                <w:szCs w:val="22"/>
              </w:rPr>
            </w:pPr>
            <w:r w:rsidRPr="00362B3B">
              <w:rPr>
                <w:rFonts w:ascii="Calibri" w:eastAsia="Times New Roman" w:hAnsi="Calibri" w:cs="Calibri"/>
                <w:color w:val="000000"/>
                <w:sz w:val="22"/>
                <w:szCs w:val="22"/>
              </w:rPr>
              <w:t>13%</w:t>
            </w:r>
          </w:p>
        </w:tc>
        <w:tc>
          <w:tcPr>
            <w:tcW w:w="847" w:type="dxa"/>
            <w:tcBorders>
              <w:top w:val="nil"/>
              <w:left w:val="nil"/>
              <w:bottom w:val="single" w:sz="8" w:space="0" w:color="auto"/>
              <w:right w:val="single" w:sz="8" w:space="0" w:color="auto"/>
            </w:tcBorders>
            <w:shd w:val="clear" w:color="auto" w:fill="auto"/>
            <w:noWrap/>
            <w:hideMark/>
          </w:tcPr>
          <w:p w14:paraId="093EBCC4" w14:textId="77777777" w:rsidR="000A58E3" w:rsidRPr="00362B3B" w:rsidRDefault="000A58E3" w:rsidP="000A58E3">
            <w:pPr>
              <w:jc w:val="right"/>
              <w:rPr>
                <w:rFonts w:ascii="Calibri" w:eastAsia="Times New Roman" w:hAnsi="Calibri" w:cs="Calibri"/>
                <w:color w:val="000000"/>
                <w:sz w:val="22"/>
                <w:szCs w:val="22"/>
              </w:rPr>
            </w:pPr>
            <w:r w:rsidRPr="00362B3B">
              <w:rPr>
                <w:rFonts w:ascii="Calibri" w:eastAsia="Times New Roman" w:hAnsi="Calibri" w:cs="Calibri"/>
                <w:color w:val="000000"/>
                <w:sz w:val="22"/>
                <w:szCs w:val="22"/>
              </w:rPr>
              <w:t>126%</w:t>
            </w:r>
          </w:p>
        </w:tc>
        <w:tc>
          <w:tcPr>
            <w:tcW w:w="847" w:type="dxa"/>
            <w:tcBorders>
              <w:top w:val="nil"/>
              <w:left w:val="nil"/>
              <w:bottom w:val="single" w:sz="8" w:space="0" w:color="auto"/>
              <w:right w:val="single" w:sz="8" w:space="0" w:color="auto"/>
            </w:tcBorders>
            <w:shd w:val="clear" w:color="auto" w:fill="auto"/>
            <w:noWrap/>
            <w:hideMark/>
          </w:tcPr>
          <w:p w14:paraId="46DC5C48" w14:textId="77777777" w:rsidR="000A58E3" w:rsidRPr="00362B3B" w:rsidRDefault="000A58E3" w:rsidP="000A58E3">
            <w:pPr>
              <w:jc w:val="right"/>
              <w:rPr>
                <w:rFonts w:ascii="Calibri" w:eastAsia="Times New Roman" w:hAnsi="Calibri" w:cs="Calibri"/>
                <w:color w:val="000000"/>
                <w:sz w:val="22"/>
                <w:szCs w:val="22"/>
              </w:rPr>
            </w:pPr>
            <w:r w:rsidRPr="00362B3B">
              <w:rPr>
                <w:rFonts w:ascii="Calibri" w:eastAsia="Times New Roman" w:hAnsi="Calibri" w:cs="Calibri"/>
                <w:color w:val="000000"/>
                <w:sz w:val="22"/>
                <w:szCs w:val="22"/>
              </w:rPr>
              <w:t>40%</w:t>
            </w:r>
          </w:p>
        </w:tc>
      </w:tr>
      <w:tr w:rsidR="000A58E3" w:rsidRPr="00362B3B" w14:paraId="001E27B2" w14:textId="77777777" w:rsidTr="000A58E3">
        <w:trPr>
          <w:cantSplit/>
          <w:trHeight w:val="340"/>
        </w:trPr>
        <w:tc>
          <w:tcPr>
            <w:tcW w:w="741" w:type="dxa"/>
            <w:tcBorders>
              <w:top w:val="nil"/>
              <w:left w:val="single" w:sz="8" w:space="0" w:color="auto"/>
              <w:bottom w:val="single" w:sz="8" w:space="0" w:color="auto"/>
              <w:right w:val="single" w:sz="8" w:space="0" w:color="auto"/>
            </w:tcBorders>
            <w:shd w:val="clear" w:color="auto" w:fill="auto"/>
            <w:noWrap/>
            <w:hideMark/>
          </w:tcPr>
          <w:p w14:paraId="6BC61CFD" w14:textId="77777777" w:rsidR="000A58E3" w:rsidRPr="00362B3B" w:rsidRDefault="000A58E3" w:rsidP="000A58E3">
            <w:pPr>
              <w:rPr>
                <w:rFonts w:ascii="Calibri" w:eastAsia="Times New Roman" w:hAnsi="Calibri" w:cs="Calibri"/>
                <w:b/>
                <w:bCs/>
                <w:color w:val="000000"/>
                <w:sz w:val="22"/>
                <w:szCs w:val="22"/>
              </w:rPr>
            </w:pPr>
            <w:r w:rsidRPr="00362B3B">
              <w:rPr>
                <w:rFonts w:ascii="Calibri" w:eastAsia="Times New Roman" w:hAnsi="Calibri" w:cs="Calibri"/>
                <w:b/>
                <w:bCs/>
                <w:color w:val="000000"/>
                <w:sz w:val="22"/>
                <w:szCs w:val="22"/>
              </w:rPr>
              <w:t xml:space="preserve">50-69 </w:t>
            </w:r>
          </w:p>
        </w:tc>
        <w:tc>
          <w:tcPr>
            <w:tcW w:w="680" w:type="dxa"/>
            <w:gridSpan w:val="2"/>
            <w:tcBorders>
              <w:top w:val="nil"/>
              <w:left w:val="nil"/>
              <w:bottom w:val="single" w:sz="8" w:space="0" w:color="auto"/>
              <w:right w:val="single" w:sz="8" w:space="0" w:color="auto"/>
            </w:tcBorders>
            <w:shd w:val="clear" w:color="auto" w:fill="auto"/>
            <w:noWrap/>
            <w:hideMark/>
          </w:tcPr>
          <w:p w14:paraId="2A52FE83" w14:textId="77777777" w:rsidR="000A58E3" w:rsidRPr="00362B3B" w:rsidRDefault="000A58E3" w:rsidP="000A58E3">
            <w:pPr>
              <w:jc w:val="right"/>
              <w:rPr>
                <w:rFonts w:ascii="Calibri" w:eastAsia="Times New Roman" w:hAnsi="Calibri" w:cs="Calibri"/>
                <w:color w:val="000000"/>
                <w:sz w:val="22"/>
                <w:szCs w:val="22"/>
              </w:rPr>
            </w:pPr>
            <w:r w:rsidRPr="00362B3B">
              <w:rPr>
                <w:rFonts w:ascii="Calibri" w:eastAsia="Times New Roman" w:hAnsi="Calibri" w:cs="Calibri"/>
                <w:color w:val="000000"/>
                <w:sz w:val="22"/>
                <w:szCs w:val="22"/>
              </w:rPr>
              <w:t>3,805</w:t>
            </w:r>
          </w:p>
        </w:tc>
        <w:tc>
          <w:tcPr>
            <w:tcW w:w="671" w:type="dxa"/>
            <w:tcBorders>
              <w:top w:val="nil"/>
              <w:left w:val="nil"/>
              <w:bottom w:val="single" w:sz="8" w:space="0" w:color="auto"/>
              <w:right w:val="single" w:sz="8" w:space="0" w:color="auto"/>
            </w:tcBorders>
            <w:shd w:val="clear" w:color="auto" w:fill="auto"/>
            <w:noWrap/>
            <w:hideMark/>
          </w:tcPr>
          <w:p w14:paraId="4CFAB0F2" w14:textId="77777777" w:rsidR="000A58E3" w:rsidRPr="00362B3B" w:rsidRDefault="000A58E3" w:rsidP="000A58E3">
            <w:pPr>
              <w:jc w:val="right"/>
              <w:rPr>
                <w:rFonts w:ascii="Calibri" w:eastAsia="Times New Roman" w:hAnsi="Calibri" w:cs="Calibri"/>
                <w:color w:val="000000"/>
                <w:sz w:val="22"/>
                <w:szCs w:val="22"/>
              </w:rPr>
            </w:pPr>
            <w:r w:rsidRPr="00362B3B">
              <w:rPr>
                <w:rFonts w:ascii="Calibri" w:eastAsia="Times New Roman" w:hAnsi="Calibri" w:cs="Calibri"/>
                <w:color w:val="000000"/>
                <w:sz w:val="22"/>
                <w:szCs w:val="22"/>
              </w:rPr>
              <w:t>63%</w:t>
            </w:r>
          </w:p>
        </w:tc>
        <w:tc>
          <w:tcPr>
            <w:tcW w:w="680" w:type="dxa"/>
            <w:gridSpan w:val="2"/>
            <w:tcBorders>
              <w:top w:val="nil"/>
              <w:left w:val="nil"/>
              <w:bottom w:val="single" w:sz="8" w:space="0" w:color="auto"/>
              <w:right w:val="single" w:sz="8" w:space="0" w:color="auto"/>
            </w:tcBorders>
            <w:shd w:val="clear" w:color="auto" w:fill="auto"/>
            <w:noWrap/>
            <w:hideMark/>
          </w:tcPr>
          <w:p w14:paraId="48630716" w14:textId="77777777" w:rsidR="000A58E3" w:rsidRPr="00362B3B" w:rsidRDefault="000A58E3" w:rsidP="000A58E3">
            <w:pPr>
              <w:jc w:val="right"/>
              <w:rPr>
                <w:rFonts w:ascii="Calibri" w:eastAsia="Times New Roman" w:hAnsi="Calibri" w:cs="Calibri"/>
                <w:color w:val="000000"/>
                <w:sz w:val="22"/>
                <w:szCs w:val="22"/>
              </w:rPr>
            </w:pPr>
            <w:r w:rsidRPr="00362B3B">
              <w:rPr>
                <w:rFonts w:ascii="Calibri" w:eastAsia="Times New Roman" w:hAnsi="Calibri" w:cs="Calibri"/>
                <w:color w:val="000000"/>
                <w:sz w:val="22"/>
                <w:szCs w:val="22"/>
              </w:rPr>
              <w:t>2,795</w:t>
            </w:r>
          </w:p>
        </w:tc>
        <w:tc>
          <w:tcPr>
            <w:tcW w:w="671" w:type="dxa"/>
            <w:tcBorders>
              <w:top w:val="nil"/>
              <w:left w:val="nil"/>
              <w:bottom w:val="single" w:sz="8" w:space="0" w:color="auto"/>
              <w:right w:val="single" w:sz="8" w:space="0" w:color="auto"/>
            </w:tcBorders>
            <w:shd w:val="clear" w:color="auto" w:fill="auto"/>
            <w:noWrap/>
            <w:hideMark/>
          </w:tcPr>
          <w:p w14:paraId="1A13A24C" w14:textId="77777777" w:rsidR="000A58E3" w:rsidRPr="00362B3B" w:rsidRDefault="000A58E3" w:rsidP="000A58E3">
            <w:pPr>
              <w:jc w:val="right"/>
              <w:rPr>
                <w:rFonts w:ascii="Calibri" w:eastAsia="Times New Roman" w:hAnsi="Calibri" w:cs="Calibri"/>
                <w:color w:val="000000"/>
                <w:sz w:val="22"/>
                <w:szCs w:val="22"/>
              </w:rPr>
            </w:pPr>
            <w:r w:rsidRPr="00362B3B">
              <w:rPr>
                <w:rFonts w:ascii="Calibri" w:eastAsia="Times New Roman" w:hAnsi="Calibri" w:cs="Calibri"/>
                <w:color w:val="000000"/>
                <w:sz w:val="22"/>
                <w:szCs w:val="22"/>
              </w:rPr>
              <w:t>63%</w:t>
            </w:r>
          </w:p>
        </w:tc>
        <w:tc>
          <w:tcPr>
            <w:tcW w:w="680" w:type="dxa"/>
            <w:tcBorders>
              <w:top w:val="nil"/>
              <w:left w:val="nil"/>
              <w:bottom w:val="single" w:sz="8" w:space="0" w:color="auto"/>
              <w:right w:val="single" w:sz="8" w:space="0" w:color="auto"/>
            </w:tcBorders>
            <w:shd w:val="clear" w:color="auto" w:fill="auto"/>
            <w:noWrap/>
            <w:hideMark/>
          </w:tcPr>
          <w:p w14:paraId="7E460623" w14:textId="77777777" w:rsidR="000A58E3" w:rsidRPr="00362B3B" w:rsidRDefault="000A58E3" w:rsidP="000A58E3">
            <w:pPr>
              <w:jc w:val="right"/>
              <w:rPr>
                <w:rFonts w:ascii="Calibri" w:eastAsia="Times New Roman" w:hAnsi="Calibri" w:cs="Calibri"/>
                <w:color w:val="000000"/>
                <w:sz w:val="22"/>
                <w:szCs w:val="22"/>
              </w:rPr>
            </w:pPr>
            <w:r w:rsidRPr="00362B3B">
              <w:rPr>
                <w:rFonts w:ascii="Calibri" w:eastAsia="Times New Roman" w:hAnsi="Calibri" w:cs="Calibri"/>
                <w:color w:val="000000"/>
                <w:sz w:val="22"/>
                <w:szCs w:val="22"/>
              </w:rPr>
              <w:t>3,631</w:t>
            </w:r>
          </w:p>
        </w:tc>
        <w:tc>
          <w:tcPr>
            <w:tcW w:w="671" w:type="dxa"/>
            <w:tcBorders>
              <w:top w:val="nil"/>
              <w:left w:val="nil"/>
              <w:bottom w:val="single" w:sz="8" w:space="0" w:color="auto"/>
              <w:right w:val="single" w:sz="8" w:space="0" w:color="auto"/>
            </w:tcBorders>
            <w:shd w:val="clear" w:color="auto" w:fill="auto"/>
            <w:noWrap/>
            <w:hideMark/>
          </w:tcPr>
          <w:p w14:paraId="5F666652" w14:textId="77777777" w:rsidR="000A58E3" w:rsidRPr="00362B3B" w:rsidRDefault="000A58E3" w:rsidP="000A58E3">
            <w:pPr>
              <w:jc w:val="right"/>
              <w:rPr>
                <w:rFonts w:ascii="Calibri" w:eastAsia="Times New Roman" w:hAnsi="Calibri" w:cs="Calibri"/>
                <w:color w:val="000000"/>
                <w:sz w:val="22"/>
                <w:szCs w:val="22"/>
              </w:rPr>
            </w:pPr>
            <w:r w:rsidRPr="00362B3B">
              <w:rPr>
                <w:rFonts w:ascii="Calibri" w:eastAsia="Times New Roman" w:hAnsi="Calibri" w:cs="Calibri"/>
                <w:color w:val="000000"/>
                <w:sz w:val="22"/>
                <w:szCs w:val="22"/>
              </w:rPr>
              <w:t>59%</w:t>
            </w:r>
          </w:p>
        </w:tc>
        <w:tc>
          <w:tcPr>
            <w:tcW w:w="680" w:type="dxa"/>
            <w:tcBorders>
              <w:top w:val="nil"/>
              <w:left w:val="nil"/>
              <w:bottom w:val="single" w:sz="8" w:space="0" w:color="auto"/>
              <w:right w:val="single" w:sz="8" w:space="0" w:color="auto"/>
            </w:tcBorders>
            <w:shd w:val="clear" w:color="auto" w:fill="auto"/>
            <w:noWrap/>
            <w:hideMark/>
          </w:tcPr>
          <w:p w14:paraId="7670507F" w14:textId="77777777" w:rsidR="000A58E3" w:rsidRPr="00362B3B" w:rsidRDefault="000A58E3" w:rsidP="000A58E3">
            <w:pPr>
              <w:jc w:val="right"/>
              <w:rPr>
                <w:rFonts w:ascii="Calibri" w:eastAsia="Times New Roman" w:hAnsi="Calibri" w:cs="Calibri"/>
                <w:color w:val="000000"/>
                <w:sz w:val="22"/>
                <w:szCs w:val="22"/>
              </w:rPr>
            </w:pPr>
            <w:r w:rsidRPr="00362B3B">
              <w:rPr>
                <w:rFonts w:ascii="Calibri" w:eastAsia="Times New Roman" w:hAnsi="Calibri" w:cs="Calibri"/>
                <w:color w:val="000000"/>
                <w:sz w:val="22"/>
                <w:szCs w:val="22"/>
              </w:rPr>
              <w:t>3,440</w:t>
            </w:r>
          </w:p>
        </w:tc>
        <w:tc>
          <w:tcPr>
            <w:tcW w:w="671" w:type="dxa"/>
            <w:tcBorders>
              <w:top w:val="nil"/>
              <w:left w:val="nil"/>
              <w:bottom w:val="single" w:sz="8" w:space="0" w:color="auto"/>
              <w:right w:val="single" w:sz="8" w:space="0" w:color="auto"/>
            </w:tcBorders>
            <w:shd w:val="clear" w:color="auto" w:fill="auto"/>
            <w:noWrap/>
            <w:hideMark/>
          </w:tcPr>
          <w:p w14:paraId="4DCD09E1" w14:textId="77777777" w:rsidR="000A58E3" w:rsidRPr="00362B3B" w:rsidRDefault="000A58E3" w:rsidP="000A58E3">
            <w:pPr>
              <w:jc w:val="right"/>
              <w:rPr>
                <w:rFonts w:ascii="Calibri" w:eastAsia="Times New Roman" w:hAnsi="Calibri" w:cs="Calibri"/>
                <w:color w:val="000000"/>
                <w:sz w:val="22"/>
                <w:szCs w:val="22"/>
              </w:rPr>
            </w:pPr>
            <w:r w:rsidRPr="00362B3B">
              <w:rPr>
                <w:rFonts w:ascii="Calibri" w:eastAsia="Times New Roman" w:hAnsi="Calibri" w:cs="Calibri"/>
                <w:color w:val="000000"/>
                <w:sz w:val="22"/>
                <w:szCs w:val="22"/>
              </w:rPr>
              <w:t>57%</w:t>
            </w:r>
          </w:p>
        </w:tc>
        <w:tc>
          <w:tcPr>
            <w:tcW w:w="694" w:type="dxa"/>
            <w:gridSpan w:val="2"/>
            <w:tcBorders>
              <w:top w:val="nil"/>
              <w:left w:val="nil"/>
              <w:bottom w:val="single" w:sz="8" w:space="0" w:color="auto"/>
              <w:right w:val="single" w:sz="8" w:space="0" w:color="auto"/>
            </w:tcBorders>
            <w:shd w:val="clear" w:color="auto" w:fill="auto"/>
            <w:noWrap/>
            <w:hideMark/>
          </w:tcPr>
          <w:p w14:paraId="4E00CC63" w14:textId="77777777" w:rsidR="000A58E3" w:rsidRPr="00362B3B" w:rsidRDefault="000A58E3" w:rsidP="000A58E3">
            <w:pPr>
              <w:jc w:val="right"/>
              <w:rPr>
                <w:rFonts w:ascii="Calibri" w:eastAsia="Times New Roman" w:hAnsi="Calibri" w:cs="Calibri"/>
                <w:color w:val="000000"/>
                <w:sz w:val="22"/>
                <w:szCs w:val="22"/>
              </w:rPr>
            </w:pPr>
            <w:r w:rsidRPr="00362B3B">
              <w:rPr>
                <w:rFonts w:ascii="Calibri" w:eastAsia="Times New Roman" w:hAnsi="Calibri" w:cs="Calibri"/>
                <w:color w:val="000000"/>
                <w:sz w:val="22"/>
                <w:szCs w:val="22"/>
              </w:rPr>
              <w:t>3,696</w:t>
            </w:r>
          </w:p>
        </w:tc>
        <w:tc>
          <w:tcPr>
            <w:tcW w:w="682" w:type="dxa"/>
            <w:tcBorders>
              <w:top w:val="nil"/>
              <w:left w:val="nil"/>
              <w:bottom w:val="single" w:sz="8" w:space="0" w:color="auto"/>
              <w:right w:val="single" w:sz="8" w:space="0" w:color="auto"/>
            </w:tcBorders>
            <w:shd w:val="clear" w:color="auto" w:fill="auto"/>
            <w:noWrap/>
            <w:hideMark/>
          </w:tcPr>
          <w:p w14:paraId="0FADCF07" w14:textId="77777777" w:rsidR="000A58E3" w:rsidRPr="00362B3B" w:rsidRDefault="000A58E3" w:rsidP="000A58E3">
            <w:pPr>
              <w:jc w:val="right"/>
              <w:rPr>
                <w:rFonts w:ascii="Calibri" w:eastAsia="Times New Roman" w:hAnsi="Calibri" w:cs="Calibri"/>
                <w:color w:val="000000"/>
                <w:sz w:val="22"/>
                <w:szCs w:val="22"/>
              </w:rPr>
            </w:pPr>
            <w:r w:rsidRPr="00362B3B">
              <w:rPr>
                <w:rFonts w:ascii="Calibri" w:eastAsia="Times New Roman" w:hAnsi="Calibri" w:cs="Calibri"/>
                <w:color w:val="000000"/>
                <w:sz w:val="22"/>
                <w:szCs w:val="22"/>
              </w:rPr>
              <w:t>56%</w:t>
            </w:r>
          </w:p>
        </w:tc>
        <w:tc>
          <w:tcPr>
            <w:tcW w:w="909" w:type="dxa"/>
            <w:tcBorders>
              <w:top w:val="nil"/>
              <w:left w:val="nil"/>
              <w:bottom w:val="single" w:sz="8" w:space="0" w:color="auto"/>
              <w:right w:val="single" w:sz="8" w:space="0" w:color="auto"/>
            </w:tcBorders>
            <w:shd w:val="clear" w:color="auto" w:fill="auto"/>
            <w:noWrap/>
            <w:hideMark/>
          </w:tcPr>
          <w:p w14:paraId="19EC09F3" w14:textId="77777777" w:rsidR="000A58E3" w:rsidRPr="00362B3B" w:rsidRDefault="000A58E3" w:rsidP="000A58E3">
            <w:pPr>
              <w:jc w:val="right"/>
              <w:rPr>
                <w:rFonts w:ascii="Calibri" w:eastAsia="Times New Roman" w:hAnsi="Calibri" w:cs="Calibri"/>
                <w:color w:val="000000"/>
                <w:sz w:val="22"/>
                <w:szCs w:val="22"/>
              </w:rPr>
            </w:pPr>
            <w:r w:rsidRPr="00362B3B">
              <w:rPr>
                <w:rFonts w:ascii="Calibri" w:eastAsia="Times New Roman" w:hAnsi="Calibri" w:cs="Calibri"/>
                <w:color w:val="000000"/>
                <w:sz w:val="22"/>
                <w:szCs w:val="22"/>
              </w:rPr>
              <w:t>3,813</w:t>
            </w:r>
          </w:p>
        </w:tc>
        <w:tc>
          <w:tcPr>
            <w:tcW w:w="1172" w:type="dxa"/>
            <w:tcBorders>
              <w:top w:val="nil"/>
              <w:left w:val="nil"/>
              <w:bottom w:val="single" w:sz="8" w:space="0" w:color="auto"/>
              <w:right w:val="single" w:sz="8" w:space="0" w:color="auto"/>
            </w:tcBorders>
            <w:shd w:val="clear" w:color="auto" w:fill="auto"/>
            <w:noWrap/>
            <w:hideMark/>
          </w:tcPr>
          <w:p w14:paraId="0F4670EB" w14:textId="77777777" w:rsidR="000A58E3" w:rsidRPr="00362B3B" w:rsidRDefault="000A58E3" w:rsidP="000A58E3">
            <w:pPr>
              <w:jc w:val="right"/>
              <w:rPr>
                <w:rFonts w:ascii="Calibri" w:eastAsia="Times New Roman" w:hAnsi="Calibri" w:cs="Calibri"/>
                <w:color w:val="000000"/>
                <w:sz w:val="22"/>
                <w:szCs w:val="22"/>
              </w:rPr>
            </w:pPr>
            <w:r w:rsidRPr="00362B3B">
              <w:rPr>
                <w:rFonts w:ascii="Calibri" w:eastAsia="Times New Roman" w:hAnsi="Calibri" w:cs="Calibri"/>
                <w:color w:val="000000"/>
                <w:sz w:val="22"/>
                <w:szCs w:val="22"/>
              </w:rPr>
              <w:t>56%</w:t>
            </w:r>
          </w:p>
        </w:tc>
        <w:tc>
          <w:tcPr>
            <w:tcW w:w="847" w:type="dxa"/>
            <w:tcBorders>
              <w:top w:val="nil"/>
              <w:left w:val="nil"/>
              <w:bottom w:val="single" w:sz="8" w:space="0" w:color="auto"/>
              <w:right w:val="single" w:sz="8" w:space="0" w:color="auto"/>
            </w:tcBorders>
            <w:shd w:val="clear" w:color="auto" w:fill="auto"/>
            <w:noWrap/>
            <w:hideMark/>
          </w:tcPr>
          <w:p w14:paraId="1C669F58" w14:textId="77777777" w:rsidR="000A58E3" w:rsidRPr="00362B3B" w:rsidRDefault="000A58E3" w:rsidP="000A58E3">
            <w:pPr>
              <w:jc w:val="right"/>
              <w:rPr>
                <w:rFonts w:ascii="Calibri" w:eastAsia="Times New Roman" w:hAnsi="Calibri" w:cs="Calibri"/>
                <w:color w:val="000000"/>
                <w:sz w:val="22"/>
                <w:szCs w:val="22"/>
              </w:rPr>
            </w:pPr>
            <w:r w:rsidRPr="00362B3B">
              <w:rPr>
                <w:rFonts w:ascii="Calibri" w:eastAsia="Times New Roman" w:hAnsi="Calibri" w:cs="Calibri"/>
                <w:color w:val="000000"/>
                <w:sz w:val="22"/>
                <w:szCs w:val="22"/>
              </w:rPr>
              <w:t>0%</w:t>
            </w:r>
          </w:p>
        </w:tc>
        <w:tc>
          <w:tcPr>
            <w:tcW w:w="847" w:type="dxa"/>
            <w:tcBorders>
              <w:top w:val="nil"/>
              <w:left w:val="nil"/>
              <w:bottom w:val="single" w:sz="8" w:space="0" w:color="auto"/>
              <w:right w:val="single" w:sz="8" w:space="0" w:color="auto"/>
            </w:tcBorders>
            <w:shd w:val="clear" w:color="auto" w:fill="auto"/>
            <w:noWrap/>
            <w:hideMark/>
          </w:tcPr>
          <w:p w14:paraId="27FBC0BF" w14:textId="77777777" w:rsidR="000A58E3" w:rsidRPr="00362B3B" w:rsidRDefault="000A58E3" w:rsidP="000A58E3">
            <w:pPr>
              <w:jc w:val="right"/>
              <w:rPr>
                <w:rFonts w:ascii="Calibri" w:eastAsia="Times New Roman" w:hAnsi="Calibri" w:cs="Calibri"/>
                <w:color w:val="000000"/>
                <w:sz w:val="22"/>
                <w:szCs w:val="22"/>
              </w:rPr>
            </w:pPr>
            <w:r w:rsidRPr="00362B3B">
              <w:rPr>
                <w:rFonts w:ascii="Calibri" w:eastAsia="Times New Roman" w:hAnsi="Calibri" w:cs="Calibri"/>
                <w:color w:val="000000"/>
                <w:sz w:val="22"/>
                <w:szCs w:val="22"/>
              </w:rPr>
              <w:t>11%</w:t>
            </w:r>
          </w:p>
        </w:tc>
      </w:tr>
      <w:tr w:rsidR="000A58E3" w:rsidRPr="00362B3B" w14:paraId="31CF6062" w14:textId="77777777" w:rsidTr="000A58E3">
        <w:trPr>
          <w:cantSplit/>
          <w:trHeight w:val="340"/>
        </w:trPr>
        <w:tc>
          <w:tcPr>
            <w:tcW w:w="741" w:type="dxa"/>
            <w:tcBorders>
              <w:top w:val="nil"/>
              <w:left w:val="single" w:sz="8" w:space="0" w:color="auto"/>
              <w:bottom w:val="single" w:sz="8" w:space="0" w:color="auto"/>
              <w:right w:val="single" w:sz="8" w:space="0" w:color="auto"/>
            </w:tcBorders>
            <w:shd w:val="clear" w:color="auto" w:fill="auto"/>
            <w:noWrap/>
            <w:hideMark/>
          </w:tcPr>
          <w:p w14:paraId="1FE59602" w14:textId="77777777" w:rsidR="000A58E3" w:rsidRPr="00362B3B" w:rsidRDefault="000A58E3" w:rsidP="000A58E3">
            <w:pPr>
              <w:rPr>
                <w:rFonts w:ascii="Calibri" w:eastAsia="Times New Roman" w:hAnsi="Calibri" w:cs="Calibri"/>
                <w:b/>
                <w:bCs/>
                <w:color w:val="000000"/>
                <w:sz w:val="22"/>
                <w:szCs w:val="22"/>
              </w:rPr>
            </w:pPr>
            <w:r w:rsidRPr="00362B3B">
              <w:rPr>
                <w:rFonts w:ascii="Calibri" w:eastAsia="Times New Roman" w:hAnsi="Calibri" w:cs="Calibri"/>
                <w:b/>
                <w:bCs/>
                <w:color w:val="000000"/>
                <w:sz w:val="22"/>
                <w:szCs w:val="22"/>
              </w:rPr>
              <w:t xml:space="preserve">70+ </w:t>
            </w:r>
          </w:p>
        </w:tc>
        <w:tc>
          <w:tcPr>
            <w:tcW w:w="680" w:type="dxa"/>
            <w:gridSpan w:val="2"/>
            <w:tcBorders>
              <w:top w:val="nil"/>
              <w:left w:val="nil"/>
              <w:bottom w:val="single" w:sz="8" w:space="0" w:color="auto"/>
              <w:right w:val="single" w:sz="8" w:space="0" w:color="auto"/>
            </w:tcBorders>
            <w:shd w:val="clear" w:color="auto" w:fill="auto"/>
            <w:noWrap/>
            <w:hideMark/>
          </w:tcPr>
          <w:p w14:paraId="45B88300" w14:textId="77777777" w:rsidR="000A58E3" w:rsidRPr="00362B3B" w:rsidRDefault="000A58E3" w:rsidP="000A58E3">
            <w:pPr>
              <w:jc w:val="right"/>
              <w:rPr>
                <w:rFonts w:ascii="Calibri" w:eastAsia="Times New Roman" w:hAnsi="Calibri" w:cs="Calibri"/>
                <w:color w:val="000000"/>
                <w:sz w:val="22"/>
                <w:szCs w:val="22"/>
              </w:rPr>
            </w:pPr>
            <w:r w:rsidRPr="00362B3B">
              <w:rPr>
                <w:rFonts w:ascii="Calibri" w:eastAsia="Times New Roman" w:hAnsi="Calibri" w:cs="Calibri"/>
                <w:color w:val="000000"/>
                <w:sz w:val="22"/>
                <w:szCs w:val="22"/>
              </w:rPr>
              <w:t>933</w:t>
            </w:r>
          </w:p>
        </w:tc>
        <w:tc>
          <w:tcPr>
            <w:tcW w:w="671" w:type="dxa"/>
            <w:tcBorders>
              <w:top w:val="nil"/>
              <w:left w:val="nil"/>
              <w:bottom w:val="single" w:sz="8" w:space="0" w:color="auto"/>
              <w:right w:val="single" w:sz="8" w:space="0" w:color="auto"/>
            </w:tcBorders>
            <w:shd w:val="clear" w:color="auto" w:fill="auto"/>
            <w:noWrap/>
            <w:hideMark/>
          </w:tcPr>
          <w:p w14:paraId="528668AC" w14:textId="77777777" w:rsidR="000A58E3" w:rsidRPr="00362B3B" w:rsidRDefault="000A58E3" w:rsidP="000A58E3">
            <w:pPr>
              <w:jc w:val="right"/>
              <w:rPr>
                <w:rFonts w:ascii="Calibri" w:eastAsia="Times New Roman" w:hAnsi="Calibri" w:cs="Calibri"/>
                <w:color w:val="000000"/>
                <w:sz w:val="22"/>
                <w:szCs w:val="22"/>
              </w:rPr>
            </w:pPr>
            <w:r w:rsidRPr="00362B3B">
              <w:rPr>
                <w:rFonts w:ascii="Calibri" w:eastAsia="Times New Roman" w:hAnsi="Calibri" w:cs="Calibri"/>
                <w:color w:val="000000"/>
                <w:sz w:val="22"/>
                <w:szCs w:val="22"/>
              </w:rPr>
              <w:t>16%</w:t>
            </w:r>
          </w:p>
        </w:tc>
        <w:tc>
          <w:tcPr>
            <w:tcW w:w="680" w:type="dxa"/>
            <w:gridSpan w:val="2"/>
            <w:tcBorders>
              <w:top w:val="nil"/>
              <w:left w:val="nil"/>
              <w:bottom w:val="single" w:sz="8" w:space="0" w:color="auto"/>
              <w:right w:val="single" w:sz="8" w:space="0" w:color="auto"/>
            </w:tcBorders>
            <w:shd w:val="clear" w:color="auto" w:fill="auto"/>
            <w:noWrap/>
            <w:hideMark/>
          </w:tcPr>
          <w:p w14:paraId="096A67E1" w14:textId="77777777" w:rsidR="000A58E3" w:rsidRPr="00362B3B" w:rsidRDefault="000A58E3" w:rsidP="000A58E3">
            <w:pPr>
              <w:jc w:val="right"/>
              <w:rPr>
                <w:rFonts w:ascii="Calibri" w:eastAsia="Times New Roman" w:hAnsi="Calibri" w:cs="Calibri"/>
                <w:color w:val="000000"/>
                <w:sz w:val="22"/>
                <w:szCs w:val="22"/>
              </w:rPr>
            </w:pPr>
            <w:r w:rsidRPr="00362B3B">
              <w:rPr>
                <w:rFonts w:ascii="Calibri" w:eastAsia="Times New Roman" w:hAnsi="Calibri" w:cs="Calibri"/>
                <w:color w:val="000000"/>
                <w:sz w:val="22"/>
                <w:szCs w:val="22"/>
              </w:rPr>
              <w:t>690</w:t>
            </w:r>
          </w:p>
        </w:tc>
        <w:tc>
          <w:tcPr>
            <w:tcW w:w="671" w:type="dxa"/>
            <w:tcBorders>
              <w:top w:val="nil"/>
              <w:left w:val="nil"/>
              <w:bottom w:val="single" w:sz="8" w:space="0" w:color="auto"/>
              <w:right w:val="single" w:sz="8" w:space="0" w:color="auto"/>
            </w:tcBorders>
            <w:shd w:val="clear" w:color="auto" w:fill="auto"/>
            <w:noWrap/>
            <w:hideMark/>
          </w:tcPr>
          <w:p w14:paraId="521FCA99" w14:textId="77777777" w:rsidR="000A58E3" w:rsidRPr="00362B3B" w:rsidRDefault="000A58E3" w:rsidP="000A58E3">
            <w:pPr>
              <w:jc w:val="right"/>
              <w:rPr>
                <w:rFonts w:ascii="Calibri" w:eastAsia="Times New Roman" w:hAnsi="Calibri" w:cs="Calibri"/>
                <w:color w:val="000000"/>
                <w:sz w:val="22"/>
                <w:szCs w:val="22"/>
              </w:rPr>
            </w:pPr>
            <w:r w:rsidRPr="00362B3B">
              <w:rPr>
                <w:rFonts w:ascii="Calibri" w:eastAsia="Times New Roman" w:hAnsi="Calibri" w:cs="Calibri"/>
                <w:color w:val="000000"/>
                <w:sz w:val="22"/>
                <w:szCs w:val="22"/>
              </w:rPr>
              <w:t>16%</w:t>
            </w:r>
          </w:p>
        </w:tc>
        <w:tc>
          <w:tcPr>
            <w:tcW w:w="680" w:type="dxa"/>
            <w:tcBorders>
              <w:top w:val="nil"/>
              <w:left w:val="nil"/>
              <w:bottom w:val="single" w:sz="8" w:space="0" w:color="auto"/>
              <w:right w:val="single" w:sz="8" w:space="0" w:color="auto"/>
            </w:tcBorders>
            <w:shd w:val="clear" w:color="auto" w:fill="auto"/>
            <w:noWrap/>
            <w:hideMark/>
          </w:tcPr>
          <w:p w14:paraId="28AC41B3" w14:textId="77777777" w:rsidR="000A58E3" w:rsidRPr="00362B3B" w:rsidRDefault="000A58E3" w:rsidP="000A58E3">
            <w:pPr>
              <w:jc w:val="right"/>
              <w:rPr>
                <w:rFonts w:ascii="Calibri" w:eastAsia="Times New Roman" w:hAnsi="Calibri" w:cs="Calibri"/>
                <w:color w:val="000000"/>
                <w:sz w:val="22"/>
                <w:szCs w:val="22"/>
              </w:rPr>
            </w:pPr>
            <w:r w:rsidRPr="00362B3B">
              <w:rPr>
                <w:rFonts w:ascii="Calibri" w:eastAsia="Times New Roman" w:hAnsi="Calibri" w:cs="Calibri"/>
                <w:color w:val="000000"/>
                <w:sz w:val="22"/>
                <w:szCs w:val="22"/>
              </w:rPr>
              <w:t>981</w:t>
            </w:r>
          </w:p>
        </w:tc>
        <w:tc>
          <w:tcPr>
            <w:tcW w:w="671" w:type="dxa"/>
            <w:tcBorders>
              <w:top w:val="nil"/>
              <w:left w:val="nil"/>
              <w:bottom w:val="single" w:sz="8" w:space="0" w:color="auto"/>
              <w:right w:val="single" w:sz="8" w:space="0" w:color="auto"/>
            </w:tcBorders>
            <w:shd w:val="clear" w:color="auto" w:fill="auto"/>
            <w:noWrap/>
            <w:hideMark/>
          </w:tcPr>
          <w:p w14:paraId="73613C00" w14:textId="77777777" w:rsidR="000A58E3" w:rsidRPr="00362B3B" w:rsidRDefault="000A58E3" w:rsidP="000A58E3">
            <w:pPr>
              <w:jc w:val="right"/>
              <w:rPr>
                <w:rFonts w:ascii="Calibri" w:eastAsia="Times New Roman" w:hAnsi="Calibri" w:cs="Calibri"/>
                <w:color w:val="000000"/>
                <w:sz w:val="22"/>
                <w:szCs w:val="22"/>
              </w:rPr>
            </w:pPr>
            <w:r w:rsidRPr="00362B3B">
              <w:rPr>
                <w:rFonts w:ascii="Calibri" w:eastAsia="Times New Roman" w:hAnsi="Calibri" w:cs="Calibri"/>
                <w:color w:val="000000"/>
                <w:sz w:val="22"/>
                <w:szCs w:val="22"/>
              </w:rPr>
              <w:t>16%</w:t>
            </w:r>
          </w:p>
        </w:tc>
        <w:tc>
          <w:tcPr>
            <w:tcW w:w="680" w:type="dxa"/>
            <w:tcBorders>
              <w:top w:val="nil"/>
              <w:left w:val="nil"/>
              <w:bottom w:val="single" w:sz="8" w:space="0" w:color="auto"/>
              <w:right w:val="single" w:sz="8" w:space="0" w:color="auto"/>
            </w:tcBorders>
            <w:shd w:val="clear" w:color="auto" w:fill="auto"/>
            <w:noWrap/>
            <w:hideMark/>
          </w:tcPr>
          <w:p w14:paraId="7447D33E" w14:textId="77777777" w:rsidR="000A58E3" w:rsidRPr="00362B3B" w:rsidRDefault="000A58E3" w:rsidP="000A58E3">
            <w:pPr>
              <w:jc w:val="right"/>
              <w:rPr>
                <w:rFonts w:ascii="Calibri" w:eastAsia="Times New Roman" w:hAnsi="Calibri" w:cs="Calibri"/>
                <w:color w:val="000000"/>
                <w:sz w:val="22"/>
                <w:szCs w:val="22"/>
              </w:rPr>
            </w:pPr>
            <w:r w:rsidRPr="00362B3B">
              <w:rPr>
                <w:rFonts w:ascii="Calibri" w:eastAsia="Times New Roman" w:hAnsi="Calibri" w:cs="Calibri"/>
                <w:color w:val="000000"/>
                <w:sz w:val="22"/>
                <w:szCs w:val="22"/>
              </w:rPr>
              <w:t>1,005</w:t>
            </w:r>
          </w:p>
        </w:tc>
        <w:tc>
          <w:tcPr>
            <w:tcW w:w="671" w:type="dxa"/>
            <w:tcBorders>
              <w:top w:val="nil"/>
              <w:left w:val="nil"/>
              <w:bottom w:val="single" w:sz="8" w:space="0" w:color="auto"/>
              <w:right w:val="single" w:sz="8" w:space="0" w:color="auto"/>
            </w:tcBorders>
            <w:shd w:val="clear" w:color="auto" w:fill="auto"/>
            <w:noWrap/>
            <w:hideMark/>
          </w:tcPr>
          <w:p w14:paraId="027FEC7C" w14:textId="77777777" w:rsidR="000A58E3" w:rsidRPr="00362B3B" w:rsidRDefault="000A58E3" w:rsidP="000A58E3">
            <w:pPr>
              <w:jc w:val="right"/>
              <w:rPr>
                <w:rFonts w:ascii="Calibri" w:eastAsia="Times New Roman" w:hAnsi="Calibri" w:cs="Calibri"/>
                <w:color w:val="000000"/>
                <w:sz w:val="22"/>
                <w:szCs w:val="22"/>
              </w:rPr>
            </w:pPr>
            <w:r w:rsidRPr="00362B3B">
              <w:rPr>
                <w:rFonts w:ascii="Calibri" w:eastAsia="Times New Roman" w:hAnsi="Calibri" w:cs="Calibri"/>
                <w:color w:val="000000"/>
                <w:sz w:val="22"/>
                <w:szCs w:val="22"/>
              </w:rPr>
              <w:t>17%</w:t>
            </w:r>
          </w:p>
        </w:tc>
        <w:tc>
          <w:tcPr>
            <w:tcW w:w="694" w:type="dxa"/>
            <w:gridSpan w:val="2"/>
            <w:tcBorders>
              <w:top w:val="nil"/>
              <w:left w:val="nil"/>
              <w:bottom w:val="single" w:sz="8" w:space="0" w:color="auto"/>
              <w:right w:val="single" w:sz="8" w:space="0" w:color="auto"/>
            </w:tcBorders>
            <w:shd w:val="clear" w:color="auto" w:fill="auto"/>
            <w:noWrap/>
            <w:hideMark/>
          </w:tcPr>
          <w:p w14:paraId="00A00760" w14:textId="77777777" w:rsidR="000A58E3" w:rsidRPr="00362B3B" w:rsidRDefault="000A58E3" w:rsidP="000A58E3">
            <w:pPr>
              <w:jc w:val="right"/>
              <w:rPr>
                <w:rFonts w:ascii="Calibri" w:eastAsia="Times New Roman" w:hAnsi="Calibri" w:cs="Calibri"/>
                <w:color w:val="000000"/>
                <w:sz w:val="22"/>
                <w:szCs w:val="22"/>
              </w:rPr>
            </w:pPr>
            <w:r w:rsidRPr="00362B3B">
              <w:rPr>
                <w:rFonts w:ascii="Calibri" w:eastAsia="Times New Roman" w:hAnsi="Calibri" w:cs="Calibri"/>
                <w:color w:val="000000"/>
                <w:sz w:val="22"/>
                <w:szCs w:val="22"/>
              </w:rPr>
              <w:t>1,072</w:t>
            </w:r>
          </w:p>
        </w:tc>
        <w:tc>
          <w:tcPr>
            <w:tcW w:w="682" w:type="dxa"/>
            <w:tcBorders>
              <w:top w:val="nil"/>
              <w:left w:val="nil"/>
              <w:bottom w:val="single" w:sz="8" w:space="0" w:color="auto"/>
              <w:right w:val="single" w:sz="8" w:space="0" w:color="auto"/>
            </w:tcBorders>
            <w:shd w:val="clear" w:color="auto" w:fill="auto"/>
            <w:noWrap/>
            <w:hideMark/>
          </w:tcPr>
          <w:p w14:paraId="16479571" w14:textId="77777777" w:rsidR="000A58E3" w:rsidRPr="00362B3B" w:rsidRDefault="000A58E3" w:rsidP="000A58E3">
            <w:pPr>
              <w:jc w:val="right"/>
              <w:rPr>
                <w:rFonts w:ascii="Calibri" w:eastAsia="Times New Roman" w:hAnsi="Calibri" w:cs="Calibri"/>
                <w:color w:val="000000"/>
                <w:sz w:val="22"/>
                <w:szCs w:val="22"/>
              </w:rPr>
            </w:pPr>
            <w:r w:rsidRPr="00362B3B">
              <w:rPr>
                <w:rFonts w:ascii="Calibri" w:eastAsia="Times New Roman" w:hAnsi="Calibri" w:cs="Calibri"/>
                <w:color w:val="000000"/>
                <w:sz w:val="22"/>
                <w:szCs w:val="22"/>
              </w:rPr>
              <w:t>16%</w:t>
            </w:r>
          </w:p>
        </w:tc>
        <w:tc>
          <w:tcPr>
            <w:tcW w:w="909" w:type="dxa"/>
            <w:tcBorders>
              <w:top w:val="nil"/>
              <w:left w:val="nil"/>
              <w:bottom w:val="single" w:sz="8" w:space="0" w:color="auto"/>
              <w:right w:val="single" w:sz="8" w:space="0" w:color="auto"/>
            </w:tcBorders>
            <w:shd w:val="clear" w:color="auto" w:fill="auto"/>
            <w:noWrap/>
            <w:hideMark/>
          </w:tcPr>
          <w:p w14:paraId="533CD6ED" w14:textId="77777777" w:rsidR="000A58E3" w:rsidRPr="00362B3B" w:rsidRDefault="000A58E3" w:rsidP="000A58E3">
            <w:pPr>
              <w:jc w:val="right"/>
              <w:rPr>
                <w:rFonts w:ascii="Calibri" w:eastAsia="Times New Roman" w:hAnsi="Calibri" w:cs="Calibri"/>
                <w:color w:val="000000"/>
                <w:sz w:val="22"/>
                <w:szCs w:val="22"/>
              </w:rPr>
            </w:pPr>
            <w:r w:rsidRPr="00362B3B">
              <w:rPr>
                <w:rFonts w:ascii="Calibri" w:eastAsia="Times New Roman" w:hAnsi="Calibri" w:cs="Calibri"/>
                <w:color w:val="000000"/>
                <w:sz w:val="22"/>
                <w:szCs w:val="22"/>
              </w:rPr>
              <w:t>1,352</w:t>
            </w:r>
          </w:p>
        </w:tc>
        <w:tc>
          <w:tcPr>
            <w:tcW w:w="1172" w:type="dxa"/>
            <w:tcBorders>
              <w:top w:val="nil"/>
              <w:left w:val="nil"/>
              <w:bottom w:val="single" w:sz="8" w:space="0" w:color="auto"/>
              <w:right w:val="single" w:sz="8" w:space="0" w:color="auto"/>
            </w:tcBorders>
            <w:shd w:val="clear" w:color="auto" w:fill="auto"/>
            <w:noWrap/>
            <w:hideMark/>
          </w:tcPr>
          <w:p w14:paraId="600E28BB" w14:textId="77777777" w:rsidR="000A58E3" w:rsidRPr="00362B3B" w:rsidRDefault="000A58E3" w:rsidP="000A58E3">
            <w:pPr>
              <w:jc w:val="right"/>
              <w:rPr>
                <w:rFonts w:ascii="Calibri" w:eastAsia="Times New Roman" w:hAnsi="Calibri" w:cs="Calibri"/>
                <w:color w:val="000000"/>
                <w:sz w:val="22"/>
                <w:szCs w:val="22"/>
              </w:rPr>
            </w:pPr>
            <w:r w:rsidRPr="00362B3B">
              <w:rPr>
                <w:rFonts w:ascii="Calibri" w:eastAsia="Times New Roman" w:hAnsi="Calibri" w:cs="Calibri"/>
                <w:color w:val="000000"/>
                <w:sz w:val="22"/>
                <w:szCs w:val="22"/>
              </w:rPr>
              <w:t>20%</w:t>
            </w:r>
          </w:p>
        </w:tc>
        <w:tc>
          <w:tcPr>
            <w:tcW w:w="847" w:type="dxa"/>
            <w:tcBorders>
              <w:top w:val="nil"/>
              <w:left w:val="nil"/>
              <w:bottom w:val="single" w:sz="8" w:space="0" w:color="auto"/>
              <w:right w:val="single" w:sz="8" w:space="0" w:color="auto"/>
            </w:tcBorders>
            <w:shd w:val="clear" w:color="auto" w:fill="auto"/>
            <w:noWrap/>
            <w:hideMark/>
          </w:tcPr>
          <w:p w14:paraId="1A3D69CC" w14:textId="77777777" w:rsidR="000A58E3" w:rsidRPr="00362B3B" w:rsidRDefault="000A58E3" w:rsidP="000A58E3">
            <w:pPr>
              <w:jc w:val="right"/>
              <w:rPr>
                <w:rFonts w:ascii="Calibri" w:eastAsia="Times New Roman" w:hAnsi="Calibri" w:cs="Calibri"/>
                <w:color w:val="000000"/>
                <w:sz w:val="22"/>
                <w:szCs w:val="22"/>
              </w:rPr>
            </w:pPr>
            <w:r w:rsidRPr="00362B3B">
              <w:rPr>
                <w:rFonts w:ascii="Calibri" w:eastAsia="Times New Roman" w:hAnsi="Calibri" w:cs="Calibri"/>
                <w:color w:val="000000"/>
                <w:sz w:val="22"/>
                <w:szCs w:val="22"/>
              </w:rPr>
              <w:t>45%</w:t>
            </w:r>
          </w:p>
        </w:tc>
        <w:tc>
          <w:tcPr>
            <w:tcW w:w="847" w:type="dxa"/>
            <w:tcBorders>
              <w:top w:val="nil"/>
              <w:left w:val="nil"/>
              <w:bottom w:val="single" w:sz="8" w:space="0" w:color="auto"/>
              <w:right w:val="single" w:sz="8" w:space="0" w:color="auto"/>
            </w:tcBorders>
            <w:shd w:val="clear" w:color="auto" w:fill="auto"/>
            <w:noWrap/>
            <w:hideMark/>
          </w:tcPr>
          <w:p w14:paraId="4110851C" w14:textId="77777777" w:rsidR="000A58E3" w:rsidRPr="00362B3B" w:rsidRDefault="000A58E3" w:rsidP="000A58E3">
            <w:pPr>
              <w:jc w:val="right"/>
              <w:rPr>
                <w:rFonts w:ascii="Calibri" w:eastAsia="Times New Roman" w:hAnsi="Calibri" w:cs="Calibri"/>
                <w:color w:val="000000"/>
                <w:sz w:val="22"/>
                <w:szCs w:val="22"/>
              </w:rPr>
            </w:pPr>
            <w:r w:rsidRPr="00362B3B">
              <w:rPr>
                <w:rFonts w:ascii="Calibri" w:eastAsia="Times New Roman" w:hAnsi="Calibri" w:cs="Calibri"/>
                <w:color w:val="000000"/>
                <w:sz w:val="22"/>
                <w:szCs w:val="22"/>
              </w:rPr>
              <w:t>35%</w:t>
            </w:r>
          </w:p>
        </w:tc>
      </w:tr>
      <w:tr w:rsidR="000A58E3" w:rsidRPr="00362B3B" w14:paraId="012C9518" w14:textId="77777777" w:rsidTr="000A58E3">
        <w:trPr>
          <w:cantSplit/>
          <w:trHeight w:val="340"/>
        </w:trPr>
        <w:tc>
          <w:tcPr>
            <w:tcW w:w="741" w:type="dxa"/>
            <w:tcBorders>
              <w:top w:val="nil"/>
              <w:left w:val="single" w:sz="8" w:space="0" w:color="auto"/>
              <w:bottom w:val="single" w:sz="8" w:space="0" w:color="auto"/>
              <w:right w:val="single" w:sz="8" w:space="0" w:color="auto"/>
            </w:tcBorders>
            <w:shd w:val="clear" w:color="auto" w:fill="auto"/>
            <w:noWrap/>
            <w:hideMark/>
          </w:tcPr>
          <w:p w14:paraId="7BB167F0" w14:textId="77777777" w:rsidR="000A58E3" w:rsidRPr="00362B3B" w:rsidRDefault="000A58E3" w:rsidP="000A58E3">
            <w:pPr>
              <w:rPr>
                <w:rFonts w:ascii="Calibri" w:eastAsia="Times New Roman" w:hAnsi="Calibri" w:cs="Calibri"/>
                <w:b/>
                <w:bCs/>
                <w:color w:val="000000"/>
                <w:sz w:val="22"/>
                <w:szCs w:val="22"/>
              </w:rPr>
            </w:pPr>
            <w:r w:rsidRPr="00362B3B">
              <w:rPr>
                <w:rFonts w:ascii="Calibri" w:eastAsia="Times New Roman" w:hAnsi="Calibri" w:cs="Calibri"/>
                <w:b/>
                <w:bCs/>
                <w:color w:val="000000"/>
                <w:sz w:val="22"/>
                <w:szCs w:val="22"/>
              </w:rPr>
              <w:t>Total</w:t>
            </w:r>
          </w:p>
        </w:tc>
        <w:tc>
          <w:tcPr>
            <w:tcW w:w="680" w:type="dxa"/>
            <w:gridSpan w:val="2"/>
            <w:tcBorders>
              <w:top w:val="nil"/>
              <w:left w:val="nil"/>
              <w:bottom w:val="single" w:sz="8" w:space="0" w:color="auto"/>
              <w:right w:val="single" w:sz="8" w:space="0" w:color="auto"/>
            </w:tcBorders>
            <w:shd w:val="clear" w:color="auto" w:fill="auto"/>
            <w:noWrap/>
            <w:hideMark/>
          </w:tcPr>
          <w:p w14:paraId="5FED684F" w14:textId="77777777" w:rsidR="000A58E3" w:rsidRPr="00362B3B" w:rsidRDefault="000A58E3" w:rsidP="000A58E3">
            <w:pPr>
              <w:jc w:val="right"/>
              <w:rPr>
                <w:rFonts w:ascii="Calibri" w:eastAsia="Times New Roman" w:hAnsi="Calibri" w:cs="Calibri"/>
                <w:color w:val="000000"/>
                <w:sz w:val="22"/>
                <w:szCs w:val="22"/>
              </w:rPr>
            </w:pPr>
            <w:r w:rsidRPr="00362B3B">
              <w:rPr>
                <w:rFonts w:ascii="Calibri" w:eastAsia="Times New Roman" w:hAnsi="Calibri" w:cs="Calibri"/>
                <w:color w:val="000000"/>
                <w:sz w:val="22"/>
                <w:szCs w:val="22"/>
              </w:rPr>
              <w:t>6,015</w:t>
            </w:r>
          </w:p>
        </w:tc>
        <w:tc>
          <w:tcPr>
            <w:tcW w:w="671" w:type="dxa"/>
            <w:tcBorders>
              <w:top w:val="nil"/>
              <w:left w:val="nil"/>
              <w:bottom w:val="single" w:sz="8" w:space="0" w:color="auto"/>
              <w:right w:val="single" w:sz="8" w:space="0" w:color="auto"/>
            </w:tcBorders>
            <w:shd w:val="clear" w:color="auto" w:fill="auto"/>
            <w:noWrap/>
            <w:hideMark/>
          </w:tcPr>
          <w:p w14:paraId="31C77DEF" w14:textId="77777777" w:rsidR="000A58E3" w:rsidRPr="00362B3B" w:rsidRDefault="000A58E3" w:rsidP="000A58E3">
            <w:pPr>
              <w:jc w:val="right"/>
              <w:rPr>
                <w:rFonts w:ascii="Calibri" w:eastAsia="Times New Roman" w:hAnsi="Calibri" w:cs="Calibri"/>
                <w:color w:val="000000"/>
                <w:sz w:val="22"/>
                <w:szCs w:val="22"/>
              </w:rPr>
            </w:pPr>
            <w:r w:rsidRPr="00362B3B">
              <w:rPr>
                <w:rFonts w:ascii="Calibri" w:eastAsia="Times New Roman" w:hAnsi="Calibri" w:cs="Calibri"/>
                <w:color w:val="000000"/>
                <w:sz w:val="22"/>
                <w:szCs w:val="22"/>
              </w:rPr>
              <w:t>100%</w:t>
            </w:r>
          </w:p>
        </w:tc>
        <w:tc>
          <w:tcPr>
            <w:tcW w:w="680" w:type="dxa"/>
            <w:gridSpan w:val="2"/>
            <w:tcBorders>
              <w:top w:val="nil"/>
              <w:left w:val="nil"/>
              <w:bottom w:val="single" w:sz="8" w:space="0" w:color="auto"/>
              <w:right w:val="single" w:sz="8" w:space="0" w:color="auto"/>
            </w:tcBorders>
            <w:shd w:val="clear" w:color="auto" w:fill="auto"/>
            <w:noWrap/>
            <w:hideMark/>
          </w:tcPr>
          <w:p w14:paraId="4D370E7E" w14:textId="77777777" w:rsidR="000A58E3" w:rsidRPr="00362B3B" w:rsidRDefault="000A58E3" w:rsidP="000A58E3">
            <w:pPr>
              <w:jc w:val="right"/>
              <w:rPr>
                <w:rFonts w:ascii="Calibri" w:eastAsia="Times New Roman" w:hAnsi="Calibri" w:cs="Calibri"/>
                <w:color w:val="000000"/>
                <w:sz w:val="22"/>
                <w:szCs w:val="22"/>
              </w:rPr>
            </w:pPr>
            <w:r w:rsidRPr="00362B3B">
              <w:rPr>
                <w:rFonts w:ascii="Calibri" w:eastAsia="Times New Roman" w:hAnsi="Calibri" w:cs="Calibri"/>
                <w:color w:val="000000"/>
                <w:sz w:val="22"/>
                <w:szCs w:val="22"/>
              </w:rPr>
              <w:t>4,414</w:t>
            </w:r>
          </w:p>
        </w:tc>
        <w:tc>
          <w:tcPr>
            <w:tcW w:w="671" w:type="dxa"/>
            <w:tcBorders>
              <w:top w:val="nil"/>
              <w:left w:val="nil"/>
              <w:bottom w:val="single" w:sz="8" w:space="0" w:color="auto"/>
              <w:right w:val="single" w:sz="8" w:space="0" w:color="auto"/>
            </w:tcBorders>
            <w:shd w:val="clear" w:color="auto" w:fill="auto"/>
            <w:noWrap/>
            <w:hideMark/>
          </w:tcPr>
          <w:p w14:paraId="5433DB5A" w14:textId="77777777" w:rsidR="000A58E3" w:rsidRPr="00362B3B" w:rsidRDefault="000A58E3" w:rsidP="000A58E3">
            <w:pPr>
              <w:jc w:val="right"/>
              <w:rPr>
                <w:rFonts w:ascii="Calibri" w:eastAsia="Times New Roman" w:hAnsi="Calibri" w:cs="Calibri"/>
                <w:color w:val="000000"/>
                <w:sz w:val="22"/>
                <w:szCs w:val="22"/>
              </w:rPr>
            </w:pPr>
            <w:r w:rsidRPr="00362B3B">
              <w:rPr>
                <w:rFonts w:ascii="Calibri" w:eastAsia="Times New Roman" w:hAnsi="Calibri" w:cs="Calibri"/>
                <w:color w:val="000000"/>
                <w:sz w:val="22"/>
                <w:szCs w:val="22"/>
              </w:rPr>
              <w:t>100%</w:t>
            </w:r>
          </w:p>
        </w:tc>
        <w:tc>
          <w:tcPr>
            <w:tcW w:w="680" w:type="dxa"/>
            <w:tcBorders>
              <w:top w:val="nil"/>
              <w:left w:val="nil"/>
              <w:bottom w:val="single" w:sz="8" w:space="0" w:color="auto"/>
              <w:right w:val="single" w:sz="8" w:space="0" w:color="auto"/>
            </w:tcBorders>
            <w:shd w:val="clear" w:color="auto" w:fill="auto"/>
            <w:noWrap/>
            <w:hideMark/>
          </w:tcPr>
          <w:p w14:paraId="6472F4E5" w14:textId="77777777" w:rsidR="000A58E3" w:rsidRPr="00362B3B" w:rsidRDefault="000A58E3" w:rsidP="000A58E3">
            <w:pPr>
              <w:jc w:val="right"/>
              <w:rPr>
                <w:rFonts w:ascii="Calibri" w:eastAsia="Times New Roman" w:hAnsi="Calibri" w:cs="Calibri"/>
                <w:color w:val="000000"/>
                <w:sz w:val="22"/>
                <w:szCs w:val="22"/>
              </w:rPr>
            </w:pPr>
            <w:r w:rsidRPr="00362B3B">
              <w:rPr>
                <w:rFonts w:ascii="Calibri" w:eastAsia="Times New Roman" w:hAnsi="Calibri" w:cs="Calibri"/>
                <w:color w:val="000000"/>
                <w:sz w:val="22"/>
                <w:szCs w:val="22"/>
              </w:rPr>
              <w:t>6,166</w:t>
            </w:r>
          </w:p>
        </w:tc>
        <w:tc>
          <w:tcPr>
            <w:tcW w:w="671" w:type="dxa"/>
            <w:tcBorders>
              <w:top w:val="nil"/>
              <w:left w:val="nil"/>
              <w:bottom w:val="single" w:sz="8" w:space="0" w:color="auto"/>
              <w:right w:val="single" w:sz="8" w:space="0" w:color="auto"/>
            </w:tcBorders>
            <w:shd w:val="clear" w:color="auto" w:fill="auto"/>
            <w:noWrap/>
            <w:hideMark/>
          </w:tcPr>
          <w:p w14:paraId="2929CFEE" w14:textId="77777777" w:rsidR="000A58E3" w:rsidRPr="00362B3B" w:rsidRDefault="000A58E3" w:rsidP="000A58E3">
            <w:pPr>
              <w:jc w:val="right"/>
              <w:rPr>
                <w:rFonts w:ascii="Calibri" w:eastAsia="Times New Roman" w:hAnsi="Calibri" w:cs="Calibri"/>
                <w:color w:val="000000"/>
                <w:sz w:val="22"/>
                <w:szCs w:val="22"/>
              </w:rPr>
            </w:pPr>
            <w:r w:rsidRPr="00362B3B">
              <w:rPr>
                <w:rFonts w:ascii="Calibri" w:eastAsia="Times New Roman" w:hAnsi="Calibri" w:cs="Calibri"/>
                <w:color w:val="000000"/>
                <w:sz w:val="22"/>
                <w:szCs w:val="22"/>
              </w:rPr>
              <w:t>100%</w:t>
            </w:r>
          </w:p>
        </w:tc>
        <w:tc>
          <w:tcPr>
            <w:tcW w:w="680" w:type="dxa"/>
            <w:tcBorders>
              <w:top w:val="nil"/>
              <w:left w:val="nil"/>
              <w:bottom w:val="single" w:sz="8" w:space="0" w:color="auto"/>
              <w:right w:val="single" w:sz="8" w:space="0" w:color="auto"/>
            </w:tcBorders>
            <w:shd w:val="clear" w:color="auto" w:fill="auto"/>
            <w:noWrap/>
            <w:hideMark/>
          </w:tcPr>
          <w:p w14:paraId="441AB607" w14:textId="77777777" w:rsidR="000A58E3" w:rsidRPr="00362B3B" w:rsidRDefault="000A58E3" w:rsidP="000A58E3">
            <w:pPr>
              <w:jc w:val="right"/>
              <w:rPr>
                <w:rFonts w:ascii="Calibri" w:eastAsia="Times New Roman" w:hAnsi="Calibri" w:cs="Calibri"/>
                <w:color w:val="000000"/>
                <w:sz w:val="22"/>
                <w:szCs w:val="22"/>
              </w:rPr>
            </w:pPr>
            <w:r w:rsidRPr="00362B3B">
              <w:rPr>
                <w:rFonts w:ascii="Calibri" w:eastAsia="Times New Roman" w:hAnsi="Calibri" w:cs="Calibri"/>
                <w:color w:val="000000"/>
                <w:sz w:val="22"/>
                <w:szCs w:val="22"/>
              </w:rPr>
              <w:t>6,020</w:t>
            </w:r>
          </w:p>
        </w:tc>
        <w:tc>
          <w:tcPr>
            <w:tcW w:w="671" w:type="dxa"/>
            <w:tcBorders>
              <w:top w:val="nil"/>
              <w:left w:val="nil"/>
              <w:bottom w:val="single" w:sz="8" w:space="0" w:color="auto"/>
              <w:right w:val="single" w:sz="8" w:space="0" w:color="auto"/>
            </w:tcBorders>
            <w:shd w:val="clear" w:color="auto" w:fill="auto"/>
            <w:noWrap/>
            <w:hideMark/>
          </w:tcPr>
          <w:p w14:paraId="4FC5F8D8" w14:textId="77777777" w:rsidR="000A58E3" w:rsidRPr="00362B3B" w:rsidRDefault="000A58E3" w:rsidP="000A58E3">
            <w:pPr>
              <w:jc w:val="right"/>
              <w:rPr>
                <w:rFonts w:ascii="Calibri" w:eastAsia="Times New Roman" w:hAnsi="Calibri" w:cs="Calibri"/>
                <w:color w:val="000000"/>
                <w:sz w:val="22"/>
                <w:szCs w:val="22"/>
              </w:rPr>
            </w:pPr>
            <w:r w:rsidRPr="00362B3B">
              <w:rPr>
                <w:rFonts w:ascii="Calibri" w:eastAsia="Times New Roman" w:hAnsi="Calibri" w:cs="Calibri"/>
                <w:color w:val="000000"/>
                <w:sz w:val="22"/>
                <w:szCs w:val="22"/>
              </w:rPr>
              <w:t>100%</w:t>
            </w:r>
          </w:p>
        </w:tc>
        <w:tc>
          <w:tcPr>
            <w:tcW w:w="694" w:type="dxa"/>
            <w:gridSpan w:val="2"/>
            <w:tcBorders>
              <w:top w:val="nil"/>
              <w:left w:val="nil"/>
              <w:bottom w:val="single" w:sz="8" w:space="0" w:color="auto"/>
              <w:right w:val="single" w:sz="8" w:space="0" w:color="auto"/>
            </w:tcBorders>
            <w:shd w:val="clear" w:color="auto" w:fill="auto"/>
            <w:noWrap/>
            <w:hideMark/>
          </w:tcPr>
          <w:p w14:paraId="78E84930" w14:textId="77777777" w:rsidR="000A58E3" w:rsidRPr="00362B3B" w:rsidRDefault="000A58E3" w:rsidP="000A58E3">
            <w:pPr>
              <w:jc w:val="right"/>
              <w:rPr>
                <w:rFonts w:ascii="Calibri" w:eastAsia="Times New Roman" w:hAnsi="Calibri" w:cs="Calibri"/>
                <w:color w:val="000000"/>
                <w:sz w:val="22"/>
                <w:szCs w:val="22"/>
              </w:rPr>
            </w:pPr>
            <w:r w:rsidRPr="00362B3B">
              <w:rPr>
                <w:rFonts w:ascii="Calibri" w:eastAsia="Times New Roman" w:hAnsi="Calibri" w:cs="Calibri"/>
                <w:color w:val="000000"/>
                <w:sz w:val="22"/>
                <w:szCs w:val="22"/>
              </w:rPr>
              <w:t>6,591</w:t>
            </w:r>
          </w:p>
        </w:tc>
        <w:tc>
          <w:tcPr>
            <w:tcW w:w="682" w:type="dxa"/>
            <w:tcBorders>
              <w:top w:val="nil"/>
              <w:left w:val="nil"/>
              <w:bottom w:val="single" w:sz="8" w:space="0" w:color="auto"/>
              <w:right w:val="single" w:sz="8" w:space="0" w:color="auto"/>
            </w:tcBorders>
            <w:shd w:val="clear" w:color="auto" w:fill="auto"/>
            <w:noWrap/>
            <w:hideMark/>
          </w:tcPr>
          <w:p w14:paraId="024CA4A9" w14:textId="77777777" w:rsidR="000A58E3" w:rsidRPr="00362B3B" w:rsidRDefault="000A58E3" w:rsidP="000A58E3">
            <w:pPr>
              <w:jc w:val="right"/>
              <w:rPr>
                <w:rFonts w:ascii="Calibri" w:eastAsia="Times New Roman" w:hAnsi="Calibri" w:cs="Calibri"/>
                <w:color w:val="000000"/>
                <w:sz w:val="22"/>
                <w:szCs w:val="22"/>
              </w:rPr>
            </w:pPr>
            <w:r w:rsidRPr="00362B3B">
              <w:rPr>
                <w:rFonts w:ascii="Calibri" w:eastAsia="Times New Roman" w:hAnsi="Calibri" w:cs="Calibri"/>
                <w:color w:val="000000"/>
                <w:sz w:val="22"/>
                <w:szCs w:val="22"/>
              </w:rPr>
              <w:t>100%</w:t>
            </w:r>
          </w:p>
        </w:tc>
        <w:tc>
          <w:tcPr>
            <w:tcW w:w="909" w:type="dxa"/>
            <w:tcBorders>
              <w:top w:val="nil"/>
              <w:left w:val="nil"/>
              <w:bottom w:val="single" w:sz="8" w:space="0" w:color="auto"/>
              <w:right w:val="single" w:sz="8" w:space="0" w:color="auto"/>
            </w:tcBorders>
            <w:shd w:val="clear" w:color="auto" w:fill="auto"/>
            <w:noWrap/>
            <w:hideMark/>
          </w:tcPr>
          <w:p w14:paraId="5155A25D" w14:textId="77777777" w:rsidR="000A58E3" w:rsidRPr="00362B3B" w:rsidRDefault="000A58E3" w:rsidP="000A58E3">
            <w:pPr>
              <w:jc w:val="right"/>
              <w:rPr>
                <w:rFonts w:ascii="Calibri" w:eastAsia="Times New Roman" w:hAnsi="Calibri" w:cs="Calibri"/>
                <w:color w:val="000000"/>
                <w:sz w:val="22"/>
                <w:szCs w:val="22"/>
              </w:rPr>
            </w:pPr>
            <w:r w:rsidRPr="00362B3B">
              <w:rPr>
                <w:rFonts w:ascii="Calibri" w:eastAsia="Times New Roman" w:hAnsi="Calibri" w:cs="Calibri"/>
                <w:color w:val="000000"/>
                <w:sz w:val="22"/>
                <w:szCs w:val="22"/>
              </w:rPr>
              <w:t>6,867</w:t>
            </w:r>
          </w:p>
        </w:tc>
        <w:tc>
          <w:tcPr>
            <w:tcW w:w="1172" w:type="dxa"/>
            <w:tcBorders>
              <w:top w:val="nil"/>
              <w:left w:val="nil"/>
              <w:bottom w:val="single" w:sz="8" w:space="0" w:color="auto"/>
              <w:right w:val="single" w:sz="8" w:space="0" w:color="auto"/>
            </w:tcBorders>
            <w:shd w:val="clear" w:color="auto" w:fill="auto"/>
            <w:noWrap/>
            <w:hideMark/>
          </w:tcPr>
          <w:p w14:paraId="5D42A1C0" w14:textId="77777777" w:rsidR="000A58E3" w:rsidRPr="00362B3B" w:rsidRDefault="000A58E3" w:rsidP="000A58E3">
            <w:pPr>
              <w:jc w:val="right"/>
              <w:rPr>
                <w:rFonts w:ascii="Calibri" w:eastAsia="Times New Roman" w:hAnsi="Calibri" w:cs="Calibri"/>
                <w:color w:val="000000"/>
                <w:sz w:val="22"/>
                <w:szCs w:val="22"/>
              </w:rPr>
            </w:pPr>
            <w:r w:rsidRPr="00362B3B">
              <w:rPr>
                <w:rFonts w:ascii="Calibri" w:eastAsia="Times New Roman" w:hAnsi="Calibri" w:cs="Calibri"/>
                <w:color w:val="000000"/>
                <w:sz w:val="22"/>
                <w:szCs w:val="22"/>
              </w:rPr>
              <w:t>100%</w:t>
            </w:r>
          </w:p>
        </w:tc>
        <w:tc>
          <w:tcPr>
            <w:tcW w:w="847" w:type="dxa"/>
            <w:tcBorders>
              <w:top w:val="nil"/>
              <w:left w:val="nil"/>
              <w:bottom w:val="single" w:sz="8" w:space="0" w:color="auto"/>
              <w:right w:val="single" w:sz="8" w:space="0" w:color="auto"/>
            </w:tcBorders>
            <w:shd w:val="clear" w:color="auto" w:fill="auto"/>
            <w:noWrap/>
            <w:hideMark/>
          </w:tcPr>
          <w:p w14:paraId="60443D08" w14:textId="77777777" w:rsidR="000A58E3" w:rsidRPr="00362B3B" w:rsidRDefault="000A58E3" w:rsidP="000A58E3">
            <w:pPr>
              <w:jc w:val="right"/>
              <w:rPr>
                <w:rFonts w:ascii="Calibri" w:eastAsia="Times New Roman" w:hAnsi="Calibri" w:cs="Calibri"/>
                <w:b/>
                <w:bCs/>
                <w:color w:val="000000"/>
                <w:sz w:val="22"/>
                <w:szCs w:val="22"/>
              </w:rPr>
            </w:pPr>
            <w:r w:rsidRPr="00362B3B">
              <w:rPr>
                <w:rFonts w:ascii="Calibri" w:eastAsia="Times New Roman" w:hAnsi="Calibri" w:cs="Calibri"/>
                <w:b/>
                <w:bCs/>
                <w:color w:val="000000"/>
                <w:sz w:val="22"/>
                <w:szCs w:val="22"/>
              </w:rPr>
              <w:t>14%</w:t>
            </w:r>
          </w:p>
        </w:tc>
        <w:tc>
          <w:tcPr>
            <w:tcW w:w="847" w:type="dxa"/>
            <w:tcBorders>
              <w:top w:val="nil"/>
              <w:left w:val="nil"/>
              <w:bottom w:val="single" w:sz="8" w:space="0" w:color="auto"/>
              <w:right w:val="single" w:sz="8" w:space="0" w:color="auto"/>
            </w:tcBorders>
            <w:shd w:val="clear" w:color="auto" w:fill="auto"/>
            <w:noWrap/>
            <w:hideMark/>
          </w:tcPr>
          <w:p w14:paraId="34E64688" w14:textId="77777777" w:rsidR="000A58E3" w:rsidRPr="00362B3B" w:rsidRDefault="000A58E3" w:rsidP="000A58E3">
            <w:pPr>
              <w:jc w:val="right"/>
              <w:rPr>
                <w:rFonts w:ascii="Calibri" w:eastAsia="Times New Roman" w:hAnsi="Calibri" w:cs="Calibri"/>
                <w:b/>
                <w:bCs/>
                <w:color w:val="000000"/>
                <w:sz w:val="22"/>
                <w:szCs w:val="22"/>
              </w:rPr>
            </w:pPr>
            <w:r w:rsidRPr="00362B3B">
              <w:rPr>
                <w:rFonts w:ascii="Calibri" w:eastAsia="Times New Roman" w:hAnsi="Calibri" w:cs="Calibri"/>
                <w:b/>
                <w:bCs/>
                <w:color w:val="000000"/>
                <w:sz w:val="22"/>
                <w:szCs w:val="22"/>
              </w:rPr>
              <w:t>14%</w:t>
            </w:r>
          </w:p>
        </w:tc>
      </w:tr>
    </w:tbl>
    <w:p w14:paraId="35D2164A" w14:textId="77777777" w:rsidR="00644F0A" w:rsidRDefault="00644F0A" w:rsidP="00362B3B">
      <w:pPr>
        <w:spacing w:after="160"/>
        <w:rPr>
          <w:rFonts w:ascii="Calibri" w:eastAsia="Aptos" w:hAnsi="Calibri" w:cs="Calibri"/>
        </w:rPr>
      </w:pPr>
    </w:p>
    <w:p w14:paraId="4B6619F6" w14:textId="70ED8638" w:rsidR="00362B3B" w:rsidRPr="00362B3B" w:rsidRDefault="00A11C9E" w:rsidP="00362B3B">
      <w:pPr>
        <w:spacing w:after="160"/>
        <w:rPr>
          <w:rFonts w:ascii="Calibri" w:eastAsia="Aptos" w:hAnsi="Calibri" w:cs="Calibri"/>
        </w:rPr>
      </w:pPr>
      <w:r>
        <w:rPr>
          <w:rFonts w:ascii="Calibri" w:eastAsia="Aptos" w:hAnsi="Calibri" w:cs="Calibri"/>
        </w:rPr>
        <w:t>O</w:t>
      </w:r>
      <w:r w:rsidR="00362B3B" w:rsidRPr="00362B3B">
        <w:rPr>
          <w:rFonts w:ascii="Calibri" w:eastAsia="Aptos" w:hAnsi="Calibri" w:cs="Calibri"/>
        </w:rPr>
        <w:t xml:space="preserve">verall, for both </w:t>
      </w:r>
      <w:proofErr w:type="gramStart"/>
      <w:r w:rsidR="00362B3B" w:rsidRPr="00362B3B">
        <w:rPr>
          <w:rFonts w:ascii="Calibri" w:eastAsia="Aptos" w:hAnsi="Calibri" w:cs="Calibri"/>
        </w:rPr>
        <w:t>time-frames</w:t>
      </w:r>
      <w:proofErr w:type="gramEnd"/>
      <w:r w:rsidR="00362B3B" w:rsidRPr="00362B3B">
        <w:rPr>
          <w:rFonts w:ascii="Calibri" w:eastAsia="Aptos" w:hAnsi="Calibri" w:cs="Calibri"/>
        </w:rPr>
        <w:t xml:space="preserve"> there was an increase</w:t>
      </w:r>
      <w:r w:rsidR="005851B5">
        <w:rPr>
          <w:rFonts w:ascii="Calibri" w:eastAsia="Aptos" w:hAnsi="Calibri" w:cs="Calibri"/>
        </w:rPr>
        <w:t xml:space="preserve"> in procedure volume</w:t>
      </w:r>
      <w:r w:rsidR="00362B3B" w:rsidRPr="00362B3B">
        <w:rPr>
          <w:rFonts w:ascii="Calibri" w:eastAsia="Aptos" w:hAnsi="Calibri" w:cs="Calibri"/>
        </w:rPr>
        <w:t xml:space="preserve"> of ~14%. From FY 2022, the largest volume growth, 40% and 35%, occurred in the 45-49 and in the 70+ age cohorts, respectively. The 0-44 age cohort experienced declines over both time periods, while the other age cohort, the 50–69-year-old, regained their pre-pandemic volume. </w:t>
      </w:r>
    </w:p>
    <w:p w14:paraId="0A9CAF12" w14:textId="663FAF2E" w:rsidR="002A5C4E" w:rsidRPr="00362B3B" w:rsidRDefault="008D3A0D" w:rsidP="00362B3B">
      <w:pPr>
        <w:rPr>
          <w:rFonts w:ascii="Calibri" w:eastAsia="Aptos" w:hAnsi="Calibri" w:cs="Calibri"/>
        </w:rPr>
      </w:pPr>
      <w:r w:rsidRPr="257749C5">
        <w:rPr>
          <w:rFonts w:ascii="Calibri" w:eastAsia="Aptos" w:hAnsi="Calibri" w:cs="Calibri"/>
        </w:rPr>
        <w:t>The Applicant asserts that e</w:t>
      </w:r>
      <w:r w:rsidR="00362B3B" w:rsidRPr="257749C5">
        <w:rPr>
          <w:rFonts w:ascii="Calibri" w:eastAsia="Aptos" w:hAnsi="Calibri" w:cs="Calibri"/>
        </w:rPr>
        <w:t xml:space="preserve">ven before the New Physicians began treating patients at the Applicant’s ASC in early 2024, utilization </w:t>
      </w:r>
      <w:r w:rsidR="001646E0" w:rsidRPr="257749C5">
        <w:rPr>
          <w:rFonts w:ascii="Calibri" w:eastAsia="Aptos" w:hAnsi="Calibri" w:cs="Calibri"/>
        </w:rPr>
        <w:t xml:space="preserve">of the facility </w:t>
      </w:r>
      <w:r w:rsidR="00362B3B" w:rsidRPr="257749C5">
        <w:rPr>
          <w:rFonts w:ascii="Calibri" w:eastAsia="Aptos" w:hAnsi="Calibri" w:cs="Calibri"/>
        </w:rPr>
        <w:t>was approaching or exceeding 100%</w:t>
      </w:r>
      <w:r w:rsidR="00531D38" w:rsidRPr="257749C5">
        <w:rPr>
          <w:rFonts w:ascii="Calibri" w:eastAsia="Aptos" w:hAnsi="Calibri" w:cs="Calibri"/>
        </w:rPr>
        <w:t xml:space="preserve"> capacity</w:t>
      </w:r>
      <w:r w:rsidR="00362B3B" w:rsidRPr="257749C5">
        <w:rPr>
          <w:rFonts w:ascii="Calibri" w:eastAsia="Aptos" w:hAnsi="Calibri" w:cs="Calibri"/>
        </w:rPr>
        <w:t xml:space="preserve">. In response to staff inquiry about how the Applicant calculated capacity, the Applicant stated it is based on </w:t>
      </w:r>
      <w:r w:rsidR="002A5C4E" w:rsidRPr="257749C5">
        <w:rPr>
          <w:rFonts w:ascii="Calibri" w:eastAsia="Aptos" w:hAnsi="Calibri" w:cs="Calibri"/>
        </w:rPr>
        <w:t>the following:</w:t>
      </w:r>
    </w:p>
    <w:p w14:paraId="6785F5A3" w14:textId="185606F8" w:rsidR="257749C5" w:rsidRDefault="257749C5" w:rsidP="257749C5">
      <w:pPr>
        <w:rPr>
          <w:rFonts w:ascii="Calibri" w:eastAsia="Aptos" w:hAnsi="Calibri" w:cs="Calibri"/>
        </w:rPr>
      </w:pPr>
    </w:p>
    <w:p w14:paraId="522F911E" w14:textId="644C4371" w:rsidR="00362B3B" w:rsidRPr="00362B3B" w:rsidRDefault="00362B3B" w:rsidP="00701F0C">
      <w:pPr>
        <w:pStyle w:val="ListParagraph"/>
        <w:numPr>
          <w:ilvl w:val="0"/>
          <w:numId w:val="25"/>
        </w:numPr>
        <w:spacing w:after="0" w:line="240" w:lineRule="auto"/>
        <w:rPr>
          <w:rFonts w:ascii="Calibri" w:eastAsia="Times New Roman" w:hAnsi="Calibri" w:cs="Calibri"/>
          <w:sz w:val="24"/>
          <w:szCs w:val="24"/>
        </w:rPr>
      </w:pPr>
      <w:r w:rsidRPr="257749C5">
        <w:rPr>
          <w:rFonts w:ascii="Calibri" w:eastAsia="Times New Roman" w:hAnsi="Calibri" w:cs="Calibri"/>
          <w:sz w:val="24"/>
          <w:szCs w:val="24"/>
        </w:rPr>
        <w:t>30-minute time slots per patient</w:t>
      </w:r>
      <w:r w:rsidR="0C570F85" w:rsidRPr="257749C5">
        <w:rPr>
          <w:rFonts w:ascii="Calibri" w:eastAsia="Times New Roman" w:hAnsi="Calibri" w:cs="Calibri"/>
          <w:sz w:val="24"/>
          <w:szCs w:val="24"/>
        </w:rPr>
        <w:t>;</w:t>
      </w:r>
    </w:p>
    <w:p w14:paraId="3994E654" w14:textId="7C44E4C7" w:rsidR="00362B3B" w:rsidRPr="00362B3B" w:rsidRDefault="00362B3B" w:rsidP="00701F0C">
      <w:pPr>
        <w:pStyle w:val="ListParagraph"/>
        <w:numPr>
          <w:ilvl w:val="0"/>
          <w:numId w:val="25"/>
        </w:numPr>
        <w:spacing w:after="0" w:line="240" w:lineRule="auto"/>
        <w:rPr>
          <w:rFonts w:ascii="Calibri" w:eastAsia="Times New Roman" w:hAnsi="Calibri" w:cs="Calibri"/>
          <w:sz w:val="24"/>
          <w:szCs w:val="24"/>
        </w:rPr>
      </w:pPr>
      <w:r w:rsidRPr="257749C5">
        <w:rPr>
          <w:rFonts w:ascii="Calibri" w:eastAsia="Times New Roman" w:hAnsi="Calibri" w:cs="Calibri"/>
          <w:sz w:val="24"/>
          <w:szCs w:val="24"/>
        </w:rPr>
        <w:lastRenderedPageBreak/>
        <w:t>8 minutes for cleaning turnaround time</w:t>
      </w:r>
      <w:r w:rsidR="74780A59" w:rsidRPr="257749C5">
        <w:rPr>
          <w:rFonts w:ascii="Calibri" w:eastAsia="Times New Roman" w:hAnsi="Calibri" w:cs="Calibri"/>
          <w:sz w:val="24"/>
          <w:szCs w:val="24"/>
        </w:rPr>
        <w:t>;</w:t>
      </w:r>
      <w:r w:rsidRPr="257749C5">
        <w:rPr>
          <w:rFonts w:ascii="Calibri" w:eastAsia="Times New Roman" w:hAnsi="Calibri" w:cs="Calibri"/>
          <w:sz w:val="24"/>
          <w:szCs w:val="24"/>
        </w:rPr>
        <w:t xml:space="preserve"> </w:t>
      </w:r>
    </w:p>
    <w:p w14:paraId="4D447C82" w14:textId="31934FC4" w:rsidR="00362B3B" w:rsidRPr="00362B3B" w:rsidRDefault="00362B3B" w:rsidP="00701F0C">
      <w:pPr>
        <w:pStyle w:val="ListParagraph"/>
        <w:numPr>
          <w:ilvl w:val="0"/>
          <w:numId w:val="25"/>
        </w:numPr>
        <w:spacing w:after="0" w:line="240" w:lineRule="auto"/>
        <w:rPr>
          <w:rFonts w:ascii="Calibri" w:eastAsia="Times New Roman" w:hAnsi="Calibri" w:cs="Calibri"/>
          <w:sz w:val="24"/>
          <w:szCs w:val="24"/>
        </w:rPr>
      </w:pPr>
      <w:r w:rsidRPr="257749C5">
        <w:rPr>
          <w:rFonts w:ascii="Calibri" w:eastAsia="Times New Roman" w:hAnsi="Calibri" w:cs="Calibri"/>
          <w:sz w:val="24"/>
          <w:szCs w:val="24"/>
        </w:rPr>
        <w:t>Monday through Friday</w:t>
      </w:r>
      <w:r w:rsidR="55814720" w:rsidRPr="257749C5">
        <w:rPr>
          <w:rFonts w:ascii="Calibri" w:eastAsia="Times New Roman" w:hAnsi="Calibri" w:cs="Calibri"/>
          <w:sz w:val="24"/>
          <w:szCs w:val="24"/>
        </w:rPr>
        <w:t>;</w:t>
      </w:r>
    </w:p>
    <w:p w14:paraId="74B21D21" w14:textId="1EF84A0C" w:rsidR="00362B3B" w:rsidRPr="00362B3B" w:rsidRDefault="00362B3B" w:rsidP="00701F0C">
      <w:pPr>
        <w:pStyle w:val="ListParagraph"/>
        <w:numPr>
          <w:ilvl w:val="0"/>
          <w:numId w:val="25"/>
        </w:numPr>
        <w:spacing w:after="0" w:line="240" w:lineRule="auto"/>
        <w:rPr>
          <w:rFonts w:ascii="Calibri" w:eastAsia="Times New Roman" w:hAnsi="Calibri" w:cs="Calibri"/>
          <w:sz w:val="24"/>
          <w:szCs w:val="24"/>
        </w:rPr>
      </w:pPr>
      <w:r w:rsidRPr="257749C5">
        <w:rPr>
          <w:rFonts w:ascii="Calibri" w:eastAsia="Times New Roman" w:hAnsi="Calibri" w:cs="Calibri"/>
          <w:sz w:val="24"/>
          <w:szCs w:val="24"/>
        </w:rPr>
        <w:t>for 8 hours per day</w:t>
      </w:r>
      <w:r w:rsidR="0F5B3373" w:rsidRPr="257749C5">
        <w:rPr>
          <w:rFonts w:ascii="Calibri" w:eastAsia="Times New Roman" w:hAnsi="Calibri" w:cs="Calibri"/>
          <w:sz w:val="24"/>
          <w:szCs w:val="24"/>
        </w:rPr>
        <w:t>;</w:t>
      </w:r>
      <w:r w:rsidRPr="257749C5">
        <w:rPr>
          <w:rFonts w:ascii="Calibri" w:eastAsia="Times New Roman" w:hAnsi="Calibri" w:cs="Calibri"/>
          <w:sz w:val="24"/>
          <w:szCs w:val="24"/>
        </w:rPr>
        <w:t xml:space="preserve"> </w:t>
      </w:r>
    </w:p>
    <w:p w14:paraId="70146A67" w14:textId="77777777" w:rsidR="00362B3B" w:rsidRPr="00362B3B" w:rsidRDefault="00362B3B" w:rsidP="00701F0C">
      <w:pPr>
        <w:numPr>
          <w:ilvl w:val="0"/>
          <w:numId w:val="25"/>
        </w:numPr>
        <w:contextualSpacing/>
        <w:rPr>
          <w:rFonts w:ascii="Calibri" w:eastAsia="Times New Roman" w:hAnsi="Calibri" w:cs="Calibri"/>
        </w:rPr>
      </w:pPr>
      <w:r w:rsidRPr="257749C5">
        <w:rPr>
          <w:rFonts w:ascii="Calibri" w:eastAsia="Times New Roman" w:hAnsi="Calibri" w:cs="Calibri"/>
        </w:rPr>
        <w:t xml:space="preserve">excluding 10 holidays.  </w:t>
      </w:r>
    </w:p>
    <w:p w14:paraId="5A42F584" w14:textId="77777777" w:rsidR="00362B3B" w:rsidRPr="00362B3B" w:rsidRDefault="00362B3B" w:rsidP="00362B3B">
      <w:pPr>
        <w:rPr>
          <w:rFonts w:ascii="Calibri" w:eastAsia="Times New Roman" w:hAnsi="Calibri" w:cs="Calibri"/>
        </w:rPr>
      </w:pPr>
    </w:p>
    <w:p w14:paraId="55D1ABC8" w14:textId="09ABE87C" w:rsidR="00362B3B" w:rsidRDefault="00362B3B" w:rsidP="00362B3B">
      <w:pPr>
        <w:rPr>
          <w:rFonts w:ascii="Calibri" w:eastAsia="Times New Roman" w:hAnsi="Calibri" w:cs="Calibri"/>
        </w:rPr>
      </w:pPr>
      <w:r w:rsidRPr="00362B3B">
        <w:rPr>
          <w:rFonts w:ascii="Calibri" w:eastAsia="Times New Roman" w:hAnsi="Calibri" w:cs="Calibri"/>
        </w:rPr>
        <w:t xml:space="preserve">As a result of these assumptions, the Applicant determined the maximum booking slots for each room is 3,183 in a year (6,366 for 2 rooms), resulting in the following utilization rate calculations for CY2019 through CY2024, as detailed in </w:t>
      </w:r>
      <w:r w:rsidR="00C93F2E">
        <w:rPr>
          <w:rFonts w:ascii="Calibri" w:eastAsia="Times New Roman" w:hAnsi="Calibri" w:cs="Calibri"/>
        </w:rPr>
        <w:t>T</w:t>
      </w:r>
      <w:r w:rsidRPr="00362B3B">
        <w:rPr>
          <w:rFonts w:ascii="Calibri" w:eastAsia="Times New Roman" w:hAnsi="Calibri" w:cs="Calibri"/>
        </w:rPr>
        <w:t xml:space="preserve">able </w:t>
      </w:r>
      <w:r w:rsidR="00C93F2E">
        <w:rPr>
          <w:rFonts w:ascii="Calibri" w:eastAsia="Times New Roman" w:hAnsi="Calibri" w:cs="Calibri"/>
        </w:rPr>
        <w:t>6</w:t>
      </w:r>
      <w:r w:rsidRPr="00362B3B">
        <w:rPr>
          <w:rFonts w:ascii="Calibri" w:eastAsia="Times New Roman" w:hAnsi="Calibri" w:cs="Calibri"/>
        </w:rPr>
        <w:t xml:space="preserve">.  </w:t>
      </w:r>
    </w:p>
    <w:p w14:paraId="32C2E99F" w14:textId="77777777" w:rsidR="00C93F2E" w:rsidRDefault="00C93F2E" w:rsidP="00362B3B">
      <w:pPr>
        <w:rPr>
          <w:rFonts w:ascii="Calibri" w:eastAsia="Times New Roman" w:hAnsi="Calibri" w:cs="Calibri"/>
        </w:rPr>
      </w:pPr>
    </w:p>
    <w:p w14:paraId="012A1002" w14:textId="4EAE93D5" w:rsidR="00C93F2E" w:rsidRPr="00362B3B" w:rsidRDefault="00C93F2E" w:rsidP="00C93F2E">
      <w:pPr>
        <w:jc w:val="center"/>
        <w:rPr>
          <w:rFonts w:ascii="Calibri" w:eastAsia="Times New Roman" w:hAnsi="Calibri" w:cs="Calibri"/>
          <w:b/>
          <w:bCs/>
        </w:rPr>
      </w:pPr>
      <w:r w:rsidRPr="00C93F2E">
        <w:rPr>
          <w:rFonts w:ascii="Calibri" w:eastAsia="Times New Roman" w:hAnsi="Calibri" w:cs="Calibri"/>
          <w:b/>
          <w:bCs/>
        </w:rPr>
        <w:t xml:space="preserve">Table 6: </w:t>
      </w:r>
      <w:r>
        <w:rPr>
          <w:rFonts w:ascii="Calibri" w:eastAsia="Times New Roman" w:hAnsi="Calibri" w:cs="Calibri"/>
          <w:b/>
          <w:bCs/>
        </w:rPr>
        <w:t xml:space="preserve">Annual </w:t>
      </w:r>
      <w:r w:rsidRPr="00C93F2E">
        <w:rPr>
          <w:rFonts w:ascii="Calibri" w:eastAsia="Times New Roman" w:hAnsi="Calibri" w:cs="Calibri"/>
          <w:b/>
          <w:bCs/>
        </w:rPr>
        <w:t>Utilization Rate</w:t>
      </w:r>
      <w:r>
        <w:rPr>
          <w:rFonts w:ascii="Calibri" w:eastAsia="Times New Roman" w:hAnsi="Calibri" w:cs="Calibri"/>
          <w:b/>
          <w:bCs/>
        </w:rPr>
        <w:t>s</w:t>
      </w:r>
      <w:r w:rsidRPr="00C93F2E">
        <w:rPr>
          <w:rFonts w:ascii="Calibri" w:eastAsia="Times New Roman" w:hAnsi="Calibri" w:cs="Calibri"/>
          <w:b/>
          <w:bCs/>
        </w:rPr>
        <w:t xml:space="preserve"> of W. Bridgewater Endoscopy Center</w:t>
      </w:r>
    </w:p>
    <w:p w14:paraId="67B807E6" w14:textId="77777777" w:rsidR="00362B3B" w:rsidRPr="00362B3B" w:rsidRDefault="00362B3B" w:rsidP="00362B3B">
      <w:pPr>
        <w:rPr>
          <w:rFonts w:ascii="Calibri" w:eastAsia="Times New Roman" w:hAnsi="Calibri" w:cs="Calibri"/>
        </w:rPr>
      </w:pPr>
    </w:p>
    <w:tbl>
      <w:tblPr>
        <w:tblStyle w:val="TableGrid"/>
        <w:tblW w:w="0" w:type="auto"/>
        <w:jc w:val="center"/>
        <w:tblLook w:val="04A0" w:firstRow="1" w:lastRow="0" w:firstColumn="1" w:lastColumn="0" w:noHBand="0" w:noVBand="1"/>
      </w:tblPr>
      <w:tblGrid>
        <w:gridCol w:w="2970"/>
        <w:gridCol w:w="2790"/>
        <w:gridCol w:w="2430"/>
      </w:tblGrid>
      <w:tr w:rsidR="00362B3B" w:rsidRPr="00362B3B" w14:paraId="64E61BB6" w14:textId="77777777" w:rsidTr="00B350A5">
        <w:trPr>
          <w:cantSplit/>
          <w:tblHeader/>
          <w:jc w:val="center"/>
        </w:trPr>
        <w:tc>
          <w:tcPr>
            <w:tcW w:w="2970" w:type="dxa"/>
            <w:shd w:val="clear" w:color="auto" w:fill="D9FFFF"/>
          </w:tcPr>
          <w:p w14:paraId="1A13E025" w14:textId="77777777" w:rsidR="00362B3B" w:rsidRPr="00362B3B" w:rsidRDefault="00362B3B" w:rsidP="00362B3B">
            <w:pPr>
              <w:jc w:val="center"/>
              <w:rPr>
                <w:rFonts w:ascii="Calibri" w:eastAsia="Times New Roman" w:hAnsi="Calibri" w:cs="Calibri"/>
                <w:b/>
                <w:bCs/>
              </w:rPr>
            </w:pPr>
            <w:r w:rsidRPr="00362B3B">
              <w:rPr>
                <w:rFonts w:ascii="Calibri" w:eastAsia="Times New Roman" w:hAnsi="Calibri" w:cs="Calibri"/>
                <w:b/>
                <w:bCs/>
              </w:rPr>
              <w:t>Calendar Year</w:t>
            </w:r>
          </w:p>
        </w:tc>
        <w:tc>
          <w:tcPr>
            <w:tcW w:w="2790" w:type="dxa"/>
            <w:shd w:val="clear" w:color="auto" w:fill="D9FFFF"/>
          </w:tcPr>
          <w:p w14:paraId="078A99E7" w14:textId="77777777" w:rsidR="00362B3B" w:rsidRPr="00362B3B" w:rsidRDefault="00362B3B" w:rsidP="00362B3B">
            <w:pPr>
              <w:ind w:left="-110" w:right="-110"/>
              <w:jc w:val="center"/>
              <w:rPr>
                <w:rFonts w:ascii="Calibri" w:eastAsia="Times New Roman" w:hAnsi="Calibri" w:cs="Calibri"/>
                <w:b/>
                <w:bCs/>
              </w:rPr>
            </w:pPr>
            <w:r w:rsidRPr="00362B3B">
              <w:rPr>
                <w:rFonts w:ascii="Calibri" w:eastAsia="Times New Roman" w:hAnsi="Calibri" w:cs="Calibri"/>
                <w:b/>
                <w:bCs/>
              </w:rPr>
              <w:t>Procedures (see Table XX)</w:t>
            </w:r>
          </w:p>
        </w:tc>
        <w:tc>
          <w:tcPr>
            <w:tcW w:w="2430" w:type="dxa"/>
            <w:shd w:val="clear" w:color="auto" w:fill="D9FFFF"/>
          </w:tcPr>
          <w:p w14:paraId="6B3ED7B5" w14:textId="77777777" w:rsidR="00362B3B" w:rsidRPr="00362B3B" w:rsidRDefault="00362B3B" w:rsidP="00362B3B">
            <w:pPr>
              <w:jc w:val="center"/>
              <w:rPr>
                <w:rFonts w:ascii="Calibri" w:eastAsia="Times New Roman" w:hAnsi="Calibri" w:cs="Calibri"/>
                <w:b/>
                <w:bCs/>
              </w:rPr>
            </w:pPr>
            <w:r w:rsidRPr="00362B3B">
              <w:rPr>
                <w:rFonts w:ascii="Calibri" w:eastAsia="Times New Roman" w:hAnsi="Calibri" w:cs="Calibri"/>
                <w:b/>
                <w:bCs/>
              </w:rPr>
              <w:t>Utilization (2 rooms)</w:t>
            </w:r>
          </w:p>
        </w:tc>
      </w:tr>
      <w:tr w:rsidR="00362B3B" w:rsidRPr="00362B3B" w14:paraId="2DBCD341" w14:textId="77777777" w:rsidTr="00B350A5">
        <w:trPr>
          <w:cantSplit/>
          <w:jc w:val="center"/>
        </w:trPr>
        <w:tc>
          <w:tcPr>
            <w:tcW w:w="2970" w:type="dxa"/>
          </w:tcPr>
          <w:p w14:paraId="6AC1F0C1" w14:textId="77777777" w:rsidR="00362B3B" w:rsidRPr="00362B3B" w:rsidRDefault="00362B3B" w:rsidP="00362B3B">
            <w:pPr>
              <w:rPr>
                <w:rFonts w:ascii="Calibri" w:eastAsia="Times New Roman" w:hAnsi="Calibri" w:cs="Calibri"/>
              </w:rPr>
            </w:pPr>
            <w:r w:rsidRPr="00362B3B">
              <w:rPr>
                <w:rFonts w:ascii="Calibri" w:eastAsia="Times New Roman" w:hAnsi="Calibri" w:cs="Calibri"/>
              </w:rPr>
              <w:t>CY2019 Actual</w:t>
            </w:r>
          </w:p>
        </w:tc>
        <w:tc>
          <w:tcPr>
            <w:tcW w:w="2790" w:type="dxa"/>
          </w:tcPr>
          <w:p w14:paraId="2D3DFB93" w14:textId="77777777" w:rsidR="00362B3B" w:rsidRPr="00362B3B" w:rsidRDefault="00362B3B" w:rsidP="00362B3B">
            <w:pPr>
              <w:jc w:val="center"/>
              <w:rPr>
                <w:rFonts w:ascii="Calibri" w:eastAsia="Times New Roman" w:hAnsi="Calibri" w:cs="Calibri"/>
              </w:rPr>
            </w:pPr>
            <w:r w:rsidRPr="00362B3B">
              <w:rPr>
                <w:rFonts w:ascii="Calibri" w:eastAsia="Times New Roman" w:hAnsi="Calibri" w:cs="Calibri"/>
              </w:rPr>
              <w:t>6,015</w:t>
            </w:r>
          </w:p>
        </w:tc>
        <w:tc>
          <w:tcPr>
            <w:tcW w:w="2430" w:type="dxa"/>
          </w:tcPr>
          <w:p w14:paraId="3DE8F99D" w14:textId="77777777" w:rsidR="00362B3B" w:rsidRPr="00362B3B" w:rsidRDefault="00362B3B" w:rsidP="00362B3B">
            <w:pPr>
              <w:jc w:val="center"/>
              <w:rPr>
                <w:rFonts w:ascii="Calibri" w:eastAsia="Times New Roman" w:hAnsi="Calibri" w:cs="Calibri"/>
              </w:rPr>
            </w:pPr>
            <w:r w:rsidRPr="00362B3B">
              <w:rPr>
                <w:rFonts w:ascii="Calibri" w:eastAsia="Times New Roman" w:hAnsi="Calibri" w:cs="Calibri"/>
              </w:rPr>
              <w:t>94%</w:t>
            </w:r>
          </w:p>
        </w:tc>
      </w:tr>
      <w:tr w:rsidR="00362B3B" w:rsidRPr="00362B3B" w14:paraId="358E98A9" w14:textId="77777777" w:rsidTr="00B350A5">
        <w:trPr>
          <w:cantSplit/>
          <w:jc w:val="center"/>
        </w:trPr>
        <w:tc>
          <w:tcPr>
            <w:tcW w:w="2970" w:type="dxa"/>
          </w:tcPr>
          <w:p w14:paraId="40012893" w14:textId="77777777" w:rsidR="00362B3B" w:rsidRPr="00362B3B" w:rsidRDefault="00362B3B" w:rsidP="00362B3B">
            <w:pPr>
              <w:rPr>
                <w:rFonts w:ascii="Calibri" w:eastAsia="Times New Roman" w:hAnsi="Calibri" w:cs="Calibri"/>
              </w:rPr>
            </w:pPr>
            <w:r w:rsidRPr="00362B3B">
              <w:rPr>
                <w:rFonts w:ascii="Calibri" w:eastAsia="Times New Roman" w:hAnsi="Calibri" w:cs="Calibri"/>
              </w:rPr>
              <w:t>CY2020 Actual</w:t>
            </w:r>
          </w:p>
        </w:tc>
        <w:tc>
          <w:tcPr>
            <w:tcW w:w="2790" w:type="dxa"/>
          </w:tcPr>
          <w:p w14:paraId="077E5F94" w14:textId="77777777" w:rsidR="00362B3B" w:rsidRPr="00362B3B" w:rsidRDefault="00362B3B" w:rsidP="00362B3B">
            <w:pPr>
              <w:jc w:val="center"/>
              <w:rPr>
                <w:rFonts w:ascii="Calibri" w:eastAsia="Times New Roman" w:hAnsi="Calibri" w:cs="Calibri"/>
              </w:rPr>
            </w:pPr>
            <w:r w:rsidRPr="00362B3B">
              <w:rPr>
                <w:rFonts w:ascii="Calibri" w:eastAsia="Times New Roman" w:hAnsi="Calibri" w:cs="Calibri"/>
              </w:rPr>
              <w:t>4,414</w:t>
            </w:r>
          </w:p>
        </w:tc>
        <w:tc>
          <w:tcPr>
            <w:tcW w:w="2430" w:type="dxa"/>
          </w:tcPr>
          <w:p w14:paraId="162571E2" w14:textId="77777777" w:rsidR="00362B3B" w:rsidRPr="00362B3B" w:rsidRDefault="00362B3B" w:rsidP="00362B3B">
            <w:pPr>
              <w:jc w:val="center"/>
              <w:rPr>
                <w:rFonts w:ascii="Calibri" w:eastAsia="Times New Roman" w:hAnsi="Calibri" w:cs="Calibri"/>
              </w:rPr>
            </w:pPr>
            <w:r w:rsidRPr="00362B3B">
              <w:rPr>
                <w:rFonts w:ascii="Calibri" w:eastAsia="Times New Roman" w:hAnsi="Calibri" w:cs="Calibri"/>
              </w:rPr>
              <w:t>69%</w:t>
            </w:r>
          </w:p>
        </w:tc>
      </w:tr>
      <w:tr w:rsidR="00362B3B" w:rsidRPr="00362B3B" w14:paraId="2C6EDB60" w14:textId="77777777" w:rsidTr="00B350A5">
        <w:trPr>
          <w:cantSplit/>
          <w:jc w:val="center"/>
        </w:trPr>
        <w:tc>
          <w:tcPr>
            <w:tcW w:w="2970" w:type="dxa"/>
          </w:tcPr>
          <w:p w14:paraId="3A834FA8" w14:textId="77777777" w:rsidR="00362B3B" w:rsidRPr="00362B3B" w:rsidRDefault="00362B3B" w:rsidP="00362B3B">
            <w:pPr>
              <w:rPr>
                <w:rFonts w:ascii="Calibri" w:eastAsia="Times New Roman" w:hAnsi="Calibri" w:cs="Calibri"/>
              </w:rPr>
            </w:pPr>
            <w:r w:rsidRPr="00362B3B">
              <w:rPr>
                <w:rFonts w:ascii="Calibri" w:eastAsia="Times New Roman" w:hAnsi="Calibri" w:cs="Calibri"/>
              </w:rPr>
              <w:t>CY2021 Actual</w:t>
            </w:r>
          </w:p>
        </w:tc>
        <w:tc>
          <w:tcPr>
            <w:tcW w:w="2790" w:type="dxa"/>
          </w:tcPr>
          <w:p w14:paraId="5A93A5B7" w14:textId="77777777" w:rsidR="00362B3B" w:rsidRPr="00362B3B" w:rsidRDefault="00362B3B" w:rsidP="00362B3B">
            <w:pPr>
              <w:jc w:val="center"/>
              <w:rPr>
                <w:rFonts w:ascii="Calibri" w:eastAsia="Times New Roman" w:hAnsi="Calibri" w:cs="Calibri"/>
              </w:rPr>
            </w:pPr>
            <w:r w:rsidRPr="00362B3B">
              <w:rPr>
                <w:rFonts w:ascii="Calibri" w:eastAsia="Times New Roman" w:hAnsi="Calibri" w:cs="Calibri"/>
              </w:rPr>
              <w:t>6,166</w:t>
            </w:r>
          </w:p>
        </w:tc>
        <w:tc>
          <w:tcPr>
            <w:tcW w:w="2430" w:type="dxa"/>
          </w:tcPr>
          <w:p w14:paraId="6D493478" w14:textId="77777777" w:rsidR="00362B3B" w:rsidRPr="00362B3B" w:rsidRDefault="00362B3B" w:rsidP="00362B3B">
            <w:pPr>
              <w:jc w:val="center"/>
              <w:rPr>
                <w:rFonts w:ascii="Calibri" w:eastAsia="Times New Roman" w:hAnsi="Calibri" w:cs="Calibri"/>
              </w:rPr>
            </w:pPr>
            <w:r w:rsidRPr="00362B3B">
              <w:rPr>
                <w:rFonts w:ascii="Calibri" w:eastAsia="Times New Roman" w:hAnsi="Calibri" w:cs="Calibri"/>
              </w:rPr>
              <w:t>97%</w:t>
            </w:r>
          </w:p>
        </w:tc>
      </w:tr>
      <w:tr w:rsidR="00362B3B" w:rsidRPr="00362B3B" w14:paraId="7B527578" w14:textId="77777777" w:rsidTr="00B350A5">
        <w:trPr>
          <w:cantSplit/>
          <w:jc w:val="center"/>
        </w:trPr>
        <w:tc>
          <w:tcPr>
            <w:tcW w:w="2970" w:type="dxa"/>
          </w:tcPr>
          <w:p w14:paraId="33E2CE6A" w14:textId="77777777" w:rsidR="00362B3B" w:rsidRPr="00362B3B" w:rsidRDefault="00362B3B" w:rsidP="00362B3B">
            <w:pPr>
              <w:rPr>
                <w:rFonts w:ascii="Calibri" w:eastAsia="Times New Roman" w:hAnsi="Calibri" w:cs="Calibri"/>
              </w:rPr>
            </w:pPr>
            <w:r w:rsidRPr="00362B3B">
              <w:rPr>
                <w:rFonts w:ascii="Calibri" w:eastAsia="Times New Roman" w:hAnsi="Calibri" w:cs="Calibri"/>
              </w:rPr>
              <w:t>CY2022 Actual</w:t>
            </w:r>
          </w:p>
        </w:tc>
        <w:tc>
          <w:tcPr>
            <w:tcW w:w="2790" w:type="dxa"/>
          </w:tcPr>
          <w:p w14:paraId="1F157880" w14:textId="77777777" w:rsidR="00362B3B" w:rsidRPr="00362B3B" w:rsidRDefault="00362B3B" w:rsidP="00362B3B">
            <w:pPr>
              <w:jc w:val="center"/>
              <w:rPr>
                <w:rFonts w:ascii="Calibri" w:eastAsia="Times New Roman" w:hAnsi="Calibri" w:cs="Calibri"/>
              </w:rPr>
            </w:pPr>
            <w:r w:rsidRPr="00362B3B">
              <w:rPr>
                <w:rFonts w:ascii="Calibri" w:eastAsia="Times New Roman" w:hAnsi="Calibri" w:cs="Calibri"/>
              </w:rPr>
              <w:t>6,020</w:t>
            </w:r>
          </w:p>
        </w:tc>
        <w:tc>
          <w:tcPr>
            <w:tcW w:w="2430" w:type="dxa"/>
          </w:tcPr>
          <w:p w14:paraId="15BC7EA0" w14:textId="77777777" w:rsidR="00362B3B" w:rsidRPr="00362B3B" w:rsidRDefault="00362B3B" w:rsidP="00362B3B">
            <w:pPr>
              <w:jc w:val="center"/>
              <w:rPr>
                <w:rFonts w:ascii="Calibri" w:eastAsia="Times New Roman" w:hAnsi="Calibri" w:cs="Calibri"/>
              </w:rPr>
            </w:pPr>
            <w:r w:rsidRPr="00362B3B">
              <w:rPr>
                <w:rFonts w:ascii="Calibri" w:eastAsia="Times New Roman" w:hAnsi="Calibri" w:cs="Calibri"/>
              </w:rPr>
              <w:t>95%</w:t>
            </w:r>
          </w:p>
        </w:tc>
      </w:tr>
      <w:tr w:rsidR="00362B3B" w:rsidRPr="00362B3B" w14:paraId="3F63178A" w14:textId="77777777" w:rsidTr="00B350A5">
        <w:trPr>
          <w:cantSplit/>
          <w:jc w:val="center"/>
        </w:trPr>
        <w:tc>
          <w:tcPr>
            <w:tcW w:w="2970" w:type="dxa"/>
          </w:tcPr>
          <w:p w14:paraId="25718963" w14:textId="77777777" w:rsidR="00362B3B" w:rsidRPr="00362B3B" w:rsidRDefault="00362B3B" w:rsidP="00362B3B">
            <w:pPr>
              <w:rPr>
                <w:rFonts w:ascii="Calibri" w:eastAsia="Times New Roman" w:hAnsi="Calibri" w:cs="Calibri"/>
              </w:rPr>
            </w:pPr>
            <w:r w:rsidRPr="00362B3B">
              <w:rPr>
                <w:rFonts w:ascii="Calibri" w:eastAsia="Times New Roman" w:hAnsi="Calibri" w:cs="Calibri"/>
              </w:rPr>
              <w:t>CY2023 Actual</w:t>
            </w:r>
          </w:p>
        </w:tc>
        <w:tc>
          <w:tcPr>
            <w:tcW w:w="2790" w:type="dxa"/>
          </w:tcPr>
          <w:p w14:paraId="0FB05A22" w14:textId="77777777" w:rsidR="00362B3B" w:rsidRPr="00362B3B" w:rsidRDefault="00362B3B" w:rsidP="00362B3B">
            <w:pPr>
              <w:jc w:val="center"/>
              <w:rPr>
                <w:rFonts w:ascii="Calibri" w:eastAsia="Times New Roman" w:hAnsi="Calibri" w:cs="Calibri"/>
              </w:rPr>
            </w:pPr>
            <w:r w:rsidRPr="00362B3B">
              <w:rPr>
                <w:rFonts w:ascii="Calibri" w:eastAsia="Times New Roman" w:hAnsi="Calibri" w:cs="Calibri"/>
              </w:rPr>
              <w:t>6,591</w:t>
            </w:r>
          </w:p>
        </w:tc>
        <w:tc>
          <w:tcPr>
            <w:tcW w:w="2430" w:type="dxa"/>
          </w:tcPr>
          <w:p w14:paraId="7B7E828B" w14:textId="77777777" w:rsidR="00362B3B" w:rsidRPr="00362B3B" w:rsidRDefault="00362B3B" w:rsidP="00362B3B">
            <w:pPr>
              <w:jc w:val="center"/>
              <w:rPr>
                <w:rFonts w:ascii="Calibri" w:eastAsia="Times New Roman" w:hAnsi="Calibri" w:cs="Calibri"/>
              </w:rPr>
            </w:pPr>
            <w:r w:rsidRPr="00362B3B">
              <w:rPr>
                <w:rFonts w:ascii="Calibri" w:eastAsia="Times New Roman" w:hAnsi="Calibri" w:cs="Calibri"/>
              </w:rPr>
              <w:t>104%</w:t>
            </w:r>
          </w:p>
        </w:tc>
      </w:tr>
      <w:tr w:rsidR="00362B3B" w:rsidRPr="00362B3B" w14:paraId="446CE994" w14:textId="77777777" w:rsidTr="00B350A5">
        <w:trPr>
          <w:cantSplit/>
          <w:jc w:val="center"/>
        </w:trPr>
        <w:tc>
          <w:tcPr>
            <w:tcW w:w="2970" w:type="dxa"/>
          </w:tcPr>
          <w:p w14:paraId="578AEB83" w14:textId="77777777" w:rsidR="00362B3B" w:rsidRPr="00362B3B" w:rsidRDefault="00362B3B" w:rsidP="00362B3B">
            <w:pPr>
              <w:rPr>
                <w:rFonts w:ascii="Calibri" w:eastAsia="Times New Roman" w:hAnsi="Calibri" w:cs="Calibri"/>
              </w:rPr>
            </w:pPr>
            <w:r w:rsidRPr="00362B3B">
              <w:rPr>
                <w:rFonts w:ascii="Calibri" w:eastAsia="Times New Roman" w:hAnsi="Calibri" w:cs="Calibri"/>
              </w:rPr>
              <w:t>CY2024 Jan-May annualized</w:t>
            </w:r>
          </w:p>
        </w:tc>
        <w:tc>
          <w:tcPr>
            <w:tcW w:w="2790" w:type="dxa"/>
          </w:tcPr>
          <w:p w14:paraId="0779ED64" w14:textId="77777777" w:rsidR="00362B3B" w:rsidRPr="00362B3B" w:rsidRDefault="00362B3B" w:rsidP="00362B3B">
            <w:pPr>
              <w:jc w:val="center"/>
              <w:rPr>
                <w:rFonts w:ascii="Calibri" w:eastAsia="Times New Roman" w:hAnsi="Calibri" w:cs="Calibri"/>
              </w:rPr>
            </w:pPr>
            <w:r w:rsidRPr="00362B3B">
              <w:rPr>
                <w:rFonts w:ascii="Calibri" w:eastAsia="Times New Roman" w:hAnsi="Calibri" w:cs="Calibri"/>
              </w:rPr>
              <w:t>6,867</w:t>
            </w:r>
          </w:p>
        </w:tc>
        <w:tc>
          <w:tcPr>
            <w:tcW w:w="2430" w:type="dxa"/>
          </w:tcPr>
          <w:p w14:paraId="6B94BEE9" w14:textId="77777777" w:rsidR="00362B3B" w:rsidRPr="00362B3B" w:rsidRDefault="00362B3B" w:rsidP="00362B3B">
            <w:pPr>
              <w:jc w:val="center"/>
              <w:rPr>
                <w:rFonts w:ascii="Calibri" w:eastAsia="Times New Roman" w:hAnsi="Calibri" w:cs="Calibri"/>
              </w:rPr>
            </w:pPr>
            <w:r w:rsidRPr="00362B3B">
              <w:rPr>
                <w:rFonts w:ascii="Calibri" w:eastAsia="Times New Roman" w:hAnsi="Calibri" w:cs="Calibri"/>
              </w:rPr>
              <w:t>108%</w:t>
            </w:r>
          </w:p>
        </w:tc>
      </w:tr>
    </w:tbl>
    <w:p w14:paraId="2149B333" w14:textId="77777777" w:rsidR="00362B3B" w:rsidRPr="00362B3B" w:rsidRDefault="00362B3B" w:rsidP="00362B3B">
      <w:pPr>
        <w:rPr>
          <w:rFonts w:ascii="Calibri" w:eastAsia="Times New Roman" w:hAnsi="Calibri" w:cs="Calibri"/>
        </w:rPr>
      </w:pPr>
    </w:p>
    <w:p w14:paraId="7BC92D0C" w14:textId="04728CF8" w:rsidR="00EB2A9B" w:rsidRDefault="00362B3B" w:rsidP="00EB2A9B">
      <w:pPr>
        <w:rPr>
          <w:rFonts w:ascii="Calibri" w:eastAsia="Times New Roman" w:hAnsi="Calibri" w:cs="Calibri"/>
        </w:rPr>
      </w:pPr>
      <w:r w:rsidRPr="03C54183">
        <w:rPr>
          <w:rFonts w:ascii="Calibri" w:eastAsia="Times New Roman" w:hAnsi="Calibri" w:cs="Calibri"/>
        </w:rPr>
        <w:t xml:space="preserve">Table </w:t>
      </w:r>
      <w:r w:rsidR="00A06911" w:rsidRPr="03C54183">
        <w:rPr>
          <w:rFonts w:ascii="Calibri" w:eastAsia="Times New Roman" w:hAnsi="Calibri" w:cs="Calibri"/>
        </w:rPr>
        <w:t>6</w:t>
      </w:r>
      <w:r w:rsidRPr="03C54183">
        <w:rPr>
          <w:rFonts w:ascii="Calibri" w:eastAsia="Times New Roman" w:hAnsi="Calibri" w:cs="Calibri"/>
        </w:rPr>
        <w:t xml:space="preserve"> shows the Applicant has been operating at high utilization rates, exceeding 100% in 2023 and 2024. The high utilization has been possible due to higher-than-average efficiency for some physicians and opening the ASC for occasional Saturday procedures to accommodate increased demand. The Applicant asserts it is unable to sustain year-round weekend hours based on staffing limitations. </w:t>
      </w:r>
      <w:r w:rsidR="00535312" w:rsidRPr="03C54183">
        <w:rPr>
          <w:rFonts w:ascii="Calibri" w:eastAsia="Times New Roman" w:hAnsi="Calibri" w:cs="Calibri"/>
        </w:rPr>
        <w:t xml:space="preserve">However, upon further staff inquiry about how the expanded facility will be staffed, the Applicant </w:t>
      </w:r>
      <w:r w:rsidR="00275648" w:rsidRPr="03C54183">
        <w:rPr>
          <w:rFonts w:ascii="Calibri" w:eastAsia="Times New Roman" w:hAnsi="Calibri" w:cs="Calibri"/>
        </w:rPr>
        <w:t xml:space="preserve">states that is has </w:t>
      </w:r>
      <w:r w:rsidR="0039355C" w:rsidRPr="03C54183">
        <w:rPr>
          <w:rFonts w:ascii="Calibri" w:eastAsia="Times New Roman" w:hAnsi="Calibri" w:cs="Calibri"/>
        </w:rPr>
        <w:t>developed a staffing plan</w:t>
      </w:r>
      <w:r w:rsidR="00EB2A9B">
        <w:rPr>
          <w:rFonts w:ascii="Calibri" w:eastAsia="Times New Roman" w:hAnsi="Calibri" w:cs="Calibri"/>
        </w:rPr>
        <w:t xml:space="preserve"> </w:t>
      </w:r>
      <w:r w:rsidR="00CC7371">
        <w:rPr>
          <w:rFonts w:ascii="Calibri" w:eastAsia="Times New Roman" w:hAnsi="Calibri" w:cs="Calibri"/>
        </w:rPr>
        <w:t>t</w:t>
      </w:r>
      <w:r w:rsidR="00EB2A9B">
        <w:rPr>
          <w:rFonts w:ascii="Calibri" w:eastAsia="Times New Roman" w:hAnsi="Calibri" w:cs="Calibri"/>
        </w:rPr>
        <w:t>hat anticipates the following final complement</w:t>
      </w:r>
      <w:r w:rsidR="00EB2A9B" w:rsidRPr="001E0969">
        <w:rPr>
          <w:rFonts w:ascii="Calibri" w:eastAsia="Times New Roman" w:hAnsi="Calibri" w:cs="Calibri"/>
        </w:rPr>
        <w:t xml:space="preserve">:  </w:t>
      </w:r>
    </w:p>
    <w:p w14:paraId="5BDCADC0" w14:textId="77777777" w:rsidR="001E0969" w:rsidRPr="001E0969" w:rsidRDefault="001E0969" w:rsidP="00EB2A9B">
      <w:pPr>
        <w:rPr>
          <w:rFonts w:ascii="Calibri" w:eastAsia="Times New Roman" w:hAnsi="Calibri" w:cs="Calibri"/>
        </w:rPr>
      </w:pPr>
    </w:p>
    <w:p w14:paraId="6FD21899" w14:textId="77777777" w:rsidR="00EB2A9B" w:rsidRPr="001E0969" w:rsidRDefault="00EB2A9B" w:rsidP="00EB2A9B">
      <w:pPr>
        <w:numPr>
          <w:ilvl w:val="0"/>
          <w:numId w:val="31"/>
        </w:numPr>
        <w:rPr>
          <w:rFonts w:ascii="Calibri" w:eastAsia="Times New Roman" w:hAnsi="Calibri" w:cs="Calibri"/>
        </w:rPr>
      </w:pPr>
      <w:r w:rsidRPr="001E0969">
        <w:rPr>
          <w:rFonts w:ascii="Calibri" w:eastAsia="Times New Roman" w:hAnsi="Calibri" w:cs="Calibri"/>
        </w:rPr>
        <w:t>Nursing:  9 full time equivalents (“FTE”) (current staffing 3.8 FTE)</w:t>
      </w:r>
    </w:p>
    <w:p w14:paraId="6A06A46F" w14:textId="77777777" w:rsidR="00EB2A9B" w:rsidRPr="001E0969" w:rsidRDefault="00EB2A9B" w:rsidP="00EB2A9B">
      <w:pPr>
        <w:numPr>
          <w:ilvl w:val="0"/>
          <w:numId w:val="31"/>
        </w:numPr>
        <w:rPr>
          <w:rFonts w:ascii="Calibri" w:eastAsia="Times New Roman" w:hAnsi="Calibri" w:cs="Calibri"/>
        </w:rPr>
      </w:pPr>
      <w:r w:rsidRPr="001E0969">
        <w:rPr>
          <w:rFonts w:ascii="Calibri" w:eastAsia="Times New Roman" w:hAnsi="Calibri" w:cs="Calibri"/>
        </w:rPr>
        <w:t xml:space="preserve">Technicians:  6 FTE (current staffing 3 FTE, plus 2 per diem) </w:t>
      </w:r>
    </w:p>
    <w:p w14:paraId="1BDF2419" w14:textId="77777777" w:rsidR="00EB2A9B" w:rsidRPr="001E0969" w:rsidRDefault="00EB2A9B" w:rsidP="00EB2A9B">
      <w:pPr>
        <w:numPr>
          <w:ilvl w:val="0"/>
          <w:numId w:val="31"/>
        </w:numPr>
        <w:rPr>
          <w:rFonts w:ascii="Calibri" w:eastAsia="Times New Roman" w:hAnsi="Calibri" w:cs="Calibri"/>
        </w:rPr>
      </w:pPr>
      <w:r w:rsidRPr="001E0969">
        <w:rPr>
          <w:rFonts w:ascii="Calibri" w:eastAsia="Times New Roman" w:hAnsi="Calibri" w:cs="Calibri"/>
        </w:rPr>
        <w:t xml:space="preserve">Administrative Staff:  6 FTE (current staffing 4.75 FTE) </w:t>
      </w:r>
    </w:p>
    <w:p w14:paraId="5A788A87" w14:textId="77777777" w:rsidR="00EB2A9B" w:rsidRPr="001E0969" w:rsidRDefault="00EB2A9B" w:rsidP="00EB2A9B">
      <w:pPr>
        <w:numPr>
          <w:ilvl w:val="0"/>
          <w:numId w:val="31"/>
        </w:numPr>
        <w:rPr>
          <w:rFonts w:ascii="Calibri" w:eastAsia="Times New Roman" w:hAnsi="Calibri" w:cs="Calibri"/>
        </w:rPr>
      </w:pPr>
      <w:r w:rsidRPr="001E0969">
        <w:rPr>
          <w:rFonts w:ascii="Calibri" w:eastAsia="Times New Roman" w:hAnsi="Calibri" w:cs="Calibri"/>
        </w:rPr>
        <w:t xml:space="preserve">Management: 2 FTE (current staffing 2.6 FTE) </w:t>
      </w:r>
    </w:p>
    <w:p w14:paraId="35734479" w14:textId="77777777" w:rsidR="00362B3B" w:rsidRPr="00362B3B" w:rsidRDefault="00362B3B" w:rsidP="00362B3B">
      <w:pPr>
        <w:rPr>
          <w:rFonts w:ascii="Calibri" w:eastAsia="Times New Roman" w:hAnsi="Calibri" w:cs="Calibri"/>
        </w:rPr>
      </w:pPr>
    </w:p>
    <w:p w14:paraId="22169EB7" w14:textId="77777777" w:rsidR="00362B3B" w:rsidRPr="00362B3B" w:rsidRDefault="00362B3B" w:rsidP="00701F0C">
      <w:pPr>
        <w:spacing w:after="160"/>
        <w:rPr>
          <w:rFonts w:ascii="Calibri" w:eastAsia="Aptos" w:hAnsi="Calibri" w:cs="Calibri"/>
        </w:rPr>
      </w:pPr>
      <w:r w:rsidRPr="00362B3B">
        <w:rPr>
          <w:rFonts w:ascii="Calibri" w:eastAsia="Aptos" w:hAnsi="Calibri" w:cs="Calibri"/>
        </w:rPr>
        <w:t xml:space="preserve">The Applicant asserts that growth in procedural volumes supports the need for this expansion of service by 2 ORs and can be attributed to several factors outlined below. </w:t>
      </w:r>
    </w:p>
    <w:p w14:paraId="58D39444" w14:textId="53830759" w:rsidR="00362B3B" w:rsidRPr="002A5C4E" w:rsidRDefault="00362B3B" w:rsidP="002A5C4E">
      <w:pPr>
        <w:pStyle w:val="ListParagraph"/>
        <w:numPr>
          <w:ilvl w:val="0"/>
          <w:numId w:val="24"/>
        </w:numPr>
        <w:spacing w:after="160"/>
        <w:rPr>
          <w:rFonts w:ascii="Calibri" w:eastAsia="Aptos" w:hAnsi="Calibri" w:cs="Calibri"/>
          <w:b/>
          <w:bCs/>
          <w:sz w:val="24"/>
          <w:szCs w:val="24"/>
        </w:rPr>
      </w:pPr>
      <w:r w:rsidRPr="4E2208F8">
        <w:rPr>
          <w:rFonts w:ascii="Calibri" w:eastAsia="Aptos" w:hAnsi="Calibri" w:cs="Calibri"/>
          <w:b/>
          <w:bCs/>
          <w:sz w:val="24"/>
          <w:szCs w:val="24"/>
        </w:rPr>
        <w:t xml:space="preserve">Increased </w:t>
      </w:r>
      <w:r w:rsidR="002A5C4E" w:rsidRPr="4E2208F8">
        <w:rPr>
          <w:rFonts w:ascii="Calibri" w:eastAsia="Aptos" w:hAnsi="Calibri" w:cs="Calibri"/>
          <w:b/>
          <w:bCs/>
          <w:sz w:val="24"/>
          <w:szCs w:val="24"/>
        </w:rPr>
        <w:t>I</w:t>
      </w:r>
      <w:r w:rsidRPr="4E2208F8">
        <w:rPr>
          <w:rFonts w:ascii="Calibri" w:eastAsia="Aptos" w:hAnsi="Calibri" w:cs="Calibri"/>
          <w:b/>
          <w:bCs/>
          <w:sz w:val="24"/>
          <w:szCs w:val="24"/>
        </w:rPr>
        <w:t>ncidence of Colon Cancer</w:t>
      </w:r>
    </w:p>
    <w:p w14:paraId="3F229C5B" w14:textId="5E5D0C1F" w:rsidR="00362B3B" w:rsidRPr="00362B3B" w:rsidRDefault="00362B3B" w:rsidP="00701F0C">
      <w:pPr>
        <w:spacing w:after="160"/>
        <w:rPr>
          <w:rFonts w:ascii="Calibri" w:eastAsia="Aptos" w:hAnsi="Calibri" w:cs="Calibri"/>
        </w:rPr>
      </w:pPr>
      <w:r w:rsidRPr="00362B3B">
        <w:rPr>
          <w:rFonts w:ascii="Calibri" w:eastAsia="Aptos" w:hAnsi="Calibri" w:cs="Calibri"/>
        </w:rPr>
        <w:t>Colorectal cancer</w:t>
      </w:r>
      <w:r w:rsidR="799D498F" w:rsidRPr="00362B3B">
        <w:rPr>
          <w:rFonts w:ascii="Calibri" w:eastAsia="Aptos" w:hAnsi="Calibri" w:cs="Calibri"/>
        </w:rPr>
        <w:t xml:space="preserve"> (</w:t>
      </w:r>
      <w:r w:rsidR="206B44F4" w:rsidRPr="00362B3B">
        <w:rPr>
          <w:rFonts w:ascii="Calibri" w:eastAsia="Aptos" w:hAnsi="Calibri" w:cs="Calibri"/>
        </w:rPr>
        <w:t>“</w:t>
      </w:r>
      <w:r w:rsidR="799D498F" w:rsidRPr="00362B3B">
        <w:rPr>
          <w:rFonts w:ascii="Calibri" w:eastAsia="Aptos" w:hAnsi="Calibri" w:cs="Calibri"/>
        </w:rPr>
        <w:t>CRC</w:t>
      </w:r>
      <w:r w:rsidR="006BF934" w:rsidRPr="00362B3B">
        <w:rPr>
          <w:rFonts w:ascii="Calibri" w:eastAsia="Aptos" w:hAnsi="Calibri" w:cs="Calibri"/>
        </w:rPr>
        <w:t>”</w:t>
      </w:r>
      <w:r w:rsidR="799D498F" w:rsidRPr="00362B3B">
        <w:rPr>
          <w:rFonts w:ascii="Calibri" w:eastAsia="Aptos" w:hAnsi="Calibri" w:cs="Calibri"/>
        </w:rPr>
        <w:t>)</w:t>
      </w:r>
      <w:r w:rsidRPr="00362B3B">
        <w:rPr>
          <w:rFonts w:ascii="Calibri" w:eastAsia="Aptos" w:hAnsi="Calibri" w:cs="Calibri"/>
        </w:rPr>
        <w:t xml:space="preserve"> is the third most common type of cancer diagnosed and the second leading cause of cancer deaths in the U.S.</w:t>
      </w:r>
      <w:r w:rsidR="001179F0" w:rsidRPr="00362B3B">
        <w:rPr>
          <w:rFonts w:ascii="Calibri" w:eastAsia="Aptos" w:hAnsi="Calibri" w:cs="Calibri"/>
          <w:vertAlign w:val="superscript"/>
        </w:rPr>
        <w:endnoteReference w:id="2"/>
      </w:r>
      <w:r w:rsidR="001179F0" w:rsidRPr="00362B3B">
        <w:rPr>
          <w:rFonts w:ascii="Calibri" w:eastAsia="Aptos" w:hAnsi="Calibri" w:cs="Calibri"/>
        </w:rPr>
        <w:t xml:space="preserve"> </w:t>
      </w:r>
      <w:r w:rsidRPr="00362B3B">
        <w:rPr>
          <w:rFonts w:ascii="Calibri" w:eastAsia="Aptos" w:hAnsi="Calibri" w:cs="Calibri"/>
        </w:rPr>
        <w:t>The incidence of colon cancer has been rising in young people since the 1990s. The proportion of cases among those younger than 55 years increased from 11% in 1995 to 20% in 2019. While CRC mortality declined by 2% annually from 2011–2020 overall, it increased by 0.5%–3% annually in </w:t>
      </w:r>
      <w:r w:rsidR="000917E0">
        <w:rPr>
          <w:rFonts w:ascii="Calibri" w:eastAsia="Aptos" w:hAnsi="Calibri" w:cs="Calibri"/>
        </w:rPr>
        <w:t xml:space="preserve">all </w:t>
      </w:r>
      <w:r w:rsidRPr="00362B3B">
        <w:rPr>
          <w:rFonts w:ascii="Calibri" w:eastAsia="Aptos" w:hAnsi="Calibri" w:cs="Calibri"/>
        </w:rPr>
        <w:t>individuals younger than 50 years</w:t>
      </w:r>
      <w:r w:rsidR="000917E0">
        <w:rPr>
          <w:rFonts w:ascii="Calibri" w:eastAsia="Aptos" w:hAnsi="Calibri" w:cs="Calibri"/>
        </w:rPr>
        <w:t xml:space="preserve"> (regardless of race and/or ethnicity)</w:t>
      </w:r>
      <w:r w:rsidRPr="00362B3B">
        <w:rPr>
          <w:rFonts w:ascii="Calibri" w:eastAsia="Aptos" w:hAnsi="Calibri" w:cs="Calibri"/>
        </w:rPr>
        <w:t xml:space="preserve"> and in Native Americans younger than 65 years. Early onset patients are also more often diagnosed with advanced disease, including 27% with </w:t>
      </w:r>
      <w:r w:rsidRPr="00362B3B">
        <w:rPr>
          <w:rFonts w:ascii="Calibri" w:eastAsia="Aptos" w:hAnsi="Calibri" w:cs="Calibri"/>
        </w:rPr>
        <w:lastRenderedPageBreak/>
        <w:t>distant metastases versus 20% of older patients.</w:t>
      </w:r>
      <w:r w:rsidR="001179F0" w:rsidRPr="00362B3B">
        <w:rPr>
          <w:rFonts w:ascii="Calibri" w:eastAsia="Aptos" w:hAnsi="Calibri" w:cs="Calibri"/>
          <w:vertAlign w:val="superscript"/>
        </w:rPr>
        <w:endnoteReference w:id="3"/>
      </w:r>
      <w:r w:rsidR="001179F0" w:rsidRPr="00362B3B">
        <w:rPr>
          <w:rFonts w:ascii="Calibri" w:eastAsia="Aptos" w:hAnsi="Calibri" w:cs="Calibri"/>
        </w:rPr>
        <w:t xml:space="preserve"> A study of symptomatic patients found a 40% longer time to diagnosis among individuals younger than 50 years versus older individuals, including both longer duration of symptoms and work-up time, often because of misdiagnosis with more common conditions.</w:t>
      </w:r>
      <w:r w:rsidR="001179F0" w:rsidRPr="00362B3B">
        <w:rPr>
          <w:rFonts w:ascii="Calibri" w:eastAsia="Aptos" w:hAnsi="Calibri" w:cs="Calibri"/>
          <w:vertAlign w:val="superscript"/>
        </w:rPr>
        <w:endnoteReference w:id="4"/>
      </w:r>
      <w:r w:rsidR="001179F0" w:rsidRPr="00362B3B">
        <w:rPr>
          <w:rFonts w:ascii="Calibri" w:eastAsia="Aptos" w:hAnsi="Calibri" w:cs="Calibri"/>
        </w:rPr>
        <w:t xml:space="preserve"> </w:t>
      </w:r>
      <w:r w:rsidRPr="00362B3B">
        <w:rPr>
          <w:rFonts w:ascii="Calibri" w:eastAsia="Aptos" w:hAnsi="Calibri" w:cs="Calibri"/>
        </w:rPr>
        <w:t xml:space="preserve">To address this trend, in May 2021, the American College of Gastroenterology recommended lowering initial screening for colon cancer from age 50 to age 45. </w:t>
      </w:r>
    </w:p>
    <w:p w14:paraId="13E331F4" w14:textId="1E77B840" w:rsidR="00362B3B" w:rsidRDefault="00362B3B" w:rsidP="00701F0C">
      <w:pPr>
        <w:spacing w:after="160"/>
        <w:rPr>
          <w:rFonts w:eastAsiaTheme="minorEastAsia" w:cstheme="minorBidi"/>
          <w:u w:val="single"/>
        </w:rPr>
      </w:pPr>
      <w:r w:rsidRPr="03C54183">
        <w:rPr>
          <w:rFonts w:eastAsia="Aptos"/>
        </w:rPr>
        <w:t>The Applicant reports that consistently ~50% of all</w:t>
      </w:r>
      <w:r w:rsidR="008D3A0D" w:rsidRPr="03C54183">
        <w:rPr>
          <w:rFonts w:eastAsia="Aptos"/>
        </w:rPr>
        <w:t xml:space="preserve"> ASC</w:t>
      </w:r>
      <w:r w:rsidRPr="03C54183">
        <w:rPr>
          <w:rFonts w:eastAsia="Aptos"/>
        </w:rPr>
        <w:t xml:space="preserve"> volume</w:t>
      </w:r>
      <w:r w:rsidR="58687AB2" w:rsidRPr="03C54183">
        <w:rPr>
          <w:rFonts w:eastAsia="Aptos"/>
        </w:rPr>
        <w:t>, among all age cohorts,</w:t>
      </w:r>
      <w:r w:rsidRPr="03C54183">
        <w:rPr>
          <w:rFonts w:eastAsia="Aptos"/>
        </w:rPr>
        <w:t xml:space="preserve"> is for two procedure codes: </w:t>
      </w:r>
      <w:r w:rsidRPr="03C54183">
        <w:rPr>
          <w:rFonts w:eastAsia="Times New Roman"/>
        </w:rPr>
        <w:t xml:space="preserve">Z12.11- </w:t>
      </w:r>
      <w:r w:rsidRPr="00153BCC">
        <w:rPr>
          <w:rFonts w:eastAsia="Aptos"/>
          <w:i/>
          <w:iCs/>
        </w:rPr>
        <w:t>Encounter for screening for malignant neoplasm of colon</w:t>
      </w:r>
      <w:r w:rsidRPr="03C54183">
        <w:rPr>
          <w:rFonts w:eastAsia="Aptos"/>
        </w:rPr>
        <w:t xml:space="preserve"> (31%), and Z86.010- </w:t>
      </w:r>
      <w:r w:rsidRPr="00153BCC">
        <w:rPr>
          <w:rFonts w:eastAsia="Aptos"/>
          <w:i/>
          <w:iCs/>
        </w:rPr>
        <w:t>Personal history of colonic polyps</w:t>
      </w:r>
      <w:r w:rsidRPr="03C54183">
        <w:rPr>
          <w:rFonts w:eastAsia="Aptos"/>
        </w:rPr>
        <w:t xml:space="preserve"> (22%).</w:t>
      </w:r>
      <w:r w:rsidR="3B965887" w:rsidRPr="03C54183">
        <w:rPr>
          <w:rFonts w:eastAsia="Aptos"/>
        </w:rPr>
        <w:t xml:space="preserve"> </w:t>
      </w:r>
      <w:r w:rsidR="3B965887" w:rsidRPr="03C54183">
        <w:rPr>
          <w:rFonts w:eastAsiaTheme="minorEastAsia" w:cstheme="minorBidi"/>
        </w:rPr>
        <w:t xml:space="preserve">The applicant reports that overall </w:t>
      </w:r>
      <w:r w:rsidR="00881314" w:rsidRPr="03C54183">
        <w:rPr>
          <w:rFonts w:eastAsiaTheme="minorEastAsia" w:cstheme="minorBidi"/>
        </w:rPr>
        <w:t>c</w:t>
      </w:r>
      <w:r w:rsidR="3B965887" w:rsidRPr="03C54183">
        <w:rPr>
          <w:rFonts w:eastAsiaTheme="minorEastAsia" w:cstheme="minorBidi"/>
        </w:rPr>
        <w:t>olonoscopy procedure volume increased 21% from 2019 through 2024, and that 56.4% of the colonoscopy growth occurred in the 45-49 age cohort. For this age cohort, colonoscopy procedural growth was 220% from 2019-2024, and 49.4% from 2022-2024.</w:t>
      </w:r>
    </w:p>
    <w:p w14:paraId="363849A8" w14:textId="3C960760" w:rsidR="00362B3B" w:rsidRDefault="0D37F577" w:rsidP="00701F0C">
      <w:pPr>
        <w:spacing w:after="160"/>
        <w:contextualSpacing/>
        <w:rPr>
          <w:rFonts w:eastAsiaTheme="minorEastAsia" w:cstheme="minorBidi"/>
        </w:rPr>
      </w:pPr>
      <w:r w:rsidRPr="370ACF03">
        <w:rPr>
          <w:rFonts w:eastAsiaTheme="minorEastAsia" w:cstheme="minorBidi"/>
        </w:rPr>
        <w:t>Across all</w:t>
      </w:r>
      <w:r w:rsidR="671F7299" w:rsidRPr="370ACF03">
        <w:rPr>
          <w:rFonts w:eastAsiaTheme="minorEastAsia" w:cstheme="minorBidi"/>
        </w:rPr>
        <w:t xml:space="preserve"> procedures</w:t>
      </w:r>
      <w:r w:rsidR="180D61D5" w:rsidRPr="370ACF03">
        <w:rPr>
          <w:rFonts w:eastAsiaTheme="minorEastAsia" w:cstheme="minorBidi"/>
        </w:rPr>
        <w:t xml:space="preserve">, </w:t>
      </w:r>
      <w:r w:rsidR="00362B3B" w:rsidRPr="370ACF03">
        <w:rPr>
          <w:rFonts w:eastAsiaTheme="minorEastAsia" w:cstheme="minorBidi"/>
        </w:rPr>
        <w:t xml:space="preserve">the Applicant’s volume growth for </w:t>
      </w:r>
      <w:r w:rsidR="7CAC8580" w:rsidRPr="370ACF03">
        <w:rPr>
          <w:rFonts w:eastAsiaTheme="minorEastAsia" w:cstheme="minorBidi"/>
        </w:rPr>
        <w:t>the 45-49</w:t>
      </w:r>
      <w:r w:rsidR="00362B3B" w:rsidRPr="370ACF03">
        <w:rPr>
          <w:rFonts w:eastAsiaTheme="minorEastAsia" w:cstheme="minorBidi"/>
        </w:rPr>
        <w:t xml:space="preserve"> age cohort is significantly higher than the other cohorts </w:t>
      </w:r>
      <w:r w:rsidR="2F2F8ECA" w:rsidRPr="370ACF03">
        <w:rPr>
          <w:rFonts w:eastAsiaTheme="minorEastAsia" w:cstheme="minorBidi"/>
        </w:rPr>
        <w:t>during</w:t>
      </w:r>
      <w:r w:rsidR="00362B3B" w:rsidRPr="370ACF03">
        <w:rPr>
          <w:rFonts w:eastAsiaTheme="minorEastAsia" w:cstheme="minorBidi"/>
        </w:rPr>
        <w:t xml:space="preserve"> the two </w:t>
      </w:r>
      <w:r w:rsidR="0DA655B5" w:rsidRPr="370ACF03">
        <w:rPr>
          <w:rFonts w:eastAsiaTheme="minorEastAsia" w:cstheme="minorBidi"/>
        </w:rPr>
        <w:t xml:space="preserve">reported </w:t>
      </w:r>
      <w:proofErr w:type="gramStart"/>
      <w:r w:rsidR="00362B3B" w:rsidRPr="370ACF03">
        <w:rPr>
          <w:rFonts w:eastAsiaTheme="minorEastAsia" w:cstheme="minorBidi"/>
        </w:rPr>
        <w:t>time-frames</w:t>
      </w:r>
      <w:proofErr w:type="gramEnd"/>
      <w:r w:rsidR="196D97CE" w:rsidRPr="370ACF03">
        <w:rPr>
          <w:rFonts w:eastAsiaTheme="minorEastAsia" w:cstheme="minorBidi"/>
        </w:rPr>
        <w:t xml:space="preserve">; </w:t>
      </w:r>
      <w:r w:rsidR="5454D69F" w:rsidRPr="370ACF03">
        <w:rPr>
          <w:rFonts w:eastAsiaTheme="minorEastAsia" w:cstheme="minorBidi"/>
        </w:rPr>
        <w:t>from 2019-2024 growth was 126%</w:t>
      </w:r>
      <w:r w:rsidR="00153BCC">
        <w:rPr>
          <w:rFonts w:eastAsiaTheme="minorEastAsia" w:cstheme="minorBidi"/>
        </w:rPr>
        <w:t>,</w:t>
      </w:r>
      <w:r w:rsidR="5454D69F" w:rsidRPr="370ACF03">
        <w:rPr>
          <w:rFonts w:eastAsiaTheme="minorEastAsia" w:cstheme="minorBidi"/>
        </w:rPr>
        <w:t xml:space="preserve"> and from 2022-2024 growth was 40%. </w:t>
      </w:r>
      <w:r w:rsidR="482E90E5" w:rsidRPr="370ACF03">
        <w:rPr>
          <w:rFonts w:eastAsiaTheme="minorEastAsia" w:cstheme="minorBidi"/>
        </w:rPr>
        <w:t>Further</w:t>
      </w:r>
      <w:r w:rsidR="00153BCC">
        <w:rPr>
          <w:rFonts w:eastAsiaTheme="minorEastAsia" w:cstheme="minorBidi"/>
        </w:rPr>
        <w:t xml:space="preserve">, </w:t>
      </w:r>
      <w:r w:rsidR="482E90E5" w:rsidRPr="370ACF03">
        <w:rPr>
          <w:rFonts w:eastAsiaTheme="minorEastAsia" w:cstheme="minorBidi"/>
        </w:rPr>
        <w:t>this age cohort’s annual proportion of all GI procedures has grown relative to the other age cohorts; it increased from 6% in 2019 to 13% in 2024.</w:t>
      </w:r>
      <w:r w:rsidR="1D1C12DF" w:rsidRPr="370ACF03">
        <w:rPr>
          <w:rFonts w:eastAsiaTheme="minorEastAsia" w:cstheme="minorBidi"/>
        </w:rPr>
        <w:t xml:space="preserve"> </w:t>
      </w:r>
    </w:p>
    <w:p w14:paraId="3560CFF4" w14:textId="4F3D956C" w:rsidR="00362B3B" w:rsidRPr="00701F0C" w:rsidRDefault="00362B3B" w:rsidP="4E2208F8">
      <w:pPr>
        <w:pStyle w:val="ListParagraph"/>
        <w:numPr>
          <w:ilvl w:val="0"/>
          <w:numId w:val="24"/>
        </w:numPr>
        <w:spacing w:after="160" w:line="259" w:lineRule="auto"/>
        <w:rPr>
          <w:rFonts w:ascii="Calibri" w:eastAsia="Aptos" w:hAnsi="Calibri" w:cs="Calibri"/>
          <w:b/>
          <w:bCs/>
          <w:sz w:val="24"/>
          <w:szCs w:val="24"/>
        </w:rPr>
      </w:pPr>
      <w:r w:rsidRPr="00701F0C">
        <w:rPr>
          <w:rFonts w:ascii="Calibri" w:eastAsia="Aptos" w:hAnsi="Calibri" w:cs="Calibri"/>
          <w:b/>
          <w:bCs/>
          <w:sz w:val="24"/>
          <w:szCs w:val="24"/>
        </w:rPr>
        <w:t>Growth in the Aging Population</w:t>
      </w:r>
    </w:p>
    <w:p w14:paraId="5E168AAC" w14:textId="4D8FF62D" w:rsidR="00362B3B" w:rsidRPr="00362B3B" w:rsidRDefault="00362B3B" w:rsidP="00701F0C">
      <w:pPr>
        <w:spacing w:before="240" w:after="160"/>
        <w:rPr>
          <w:rFonts w:ascii="Calibri" w:eastAsia="Aptos" w:hAnsi="Calibri" w:cs="Calibri"/>
        </w:rPr>
      </w:pPr>
      <w:r w:rsidRPr="00362B3B">
        <w:rPr>
          <w:rFonts w:ascii="Calibri" w:eastAsia="Aptos" w:hAnsi="Calibri" w:cs="Calibri"/>
        </w:rPr>
        <w:t>The Proposed Project will allow the Applicant to address the needs of its aging Patient Panel by improving access to outpatient GI procedures</w:t>
      </w:r>
      <w:r w:rsidR="003A74B8">
        <w:rPr>
          <w:rFonts w:ascii="Calibri" w:eastAsia="Aptos" w:hAnsi="Calibri" w:cs="Calibri"/>
        </w:rPr>
        <w:t xml:space="preserve"> in a </w:t>
      </w:r>
      <w:r w:rsidR="004C5C9F">
        <w:rPr>
          <w:rFonts w:ascii="Calibri" w:eastAsia="Aptos" w:hAnsi="Calibri" w:cs="Calibri"/>
        </w:rPr>
        <w:t>convenient outpatient setting</w:t>
      </w:r>
      <w:r w:rsidRPr="00362B3B">
        <w:rPr>
          <w:rFonts w:ascii="Calibri" w:eastAsia="Aptos" w:hAnsi="Calibri" w:cs="Calibri"/>
        </w:rPr>
        <w:t xml:space="preserve">. As noted above, 68% of the Applicant's Patient Panel is 65 years of age or older. </w:t>
      </w:r>
      <w:r w:rsidR="008D3A0D">
        <w:rPr>
          <w:rFonts w:ascii="Calibri" w:eastAsia="Aptos" w:hAnsi="Calibri" w:cs="Calibri"/>
        </w:rPr>
        <w:t>Table 5 shows procedures by age cohort. T</w:t>
      </w:r>
      <w:r w:rsidRPr="00362B3B">
        <w:rPr>
          <w:rFonts w:ascii="Calibri" w:eastAsia="Aptos" w:hAnsi="Calibri" w:cs="Calibri"/>
        </w:rPr>
        <w:t>he 70+ age cohort accounts for approximately 20%, and the 50-69 cohort accounts for 56% of all of the GI procedures performed at the ASC.</w:t>
      </w:r>
    </w:p>
    <w:p w14:paraId="21D2C9D2" w14:textId="79721BBE" w:rsidR="00362B3B" w:rsidRPr="00362B3B" w:rsidRDefault="00362B3B" w:rsidP="00701F0C">
      <w:pPr>
        <w:spacing w:after="160"/>
        <w:rPr>
          <w:rFonts w:ascii="Calibri" w:eastAsia="Aptos" w:hAnsi="Calibri" w:cs="Calibri"/>
        </w:rPr>
      </w:pPr>
      <w:r w:rsidRPr="00362B3B">
        <w:rPr>
          <w:rFonts w:ascii="Calibri" w:eastAsia="Aptos" w:hAnsi="Calibri" w:cs="Calibri"/>
        </w:rPr>
        <w:t xml:space="preserve">UMass Donahue Institute is forecasting significant growth in the aging population in the </w:t>
      </w:r>
      <w:r w:rsidR="00802003">
        <w:rPr>
          <w:rFonts w:ascii="Calibri" w:eastAsia="Aptos" w:hAnsi="Calibri" w:cs="Calibri"/>
        </w:rPr>
        <w:t>16</w:t>
      </w:r>
      <w:r w:rsidR="00802003" w:rsidRPr="00362B3B">
        <w:rPr>
          <w:rFonts w:ascii="Calibri" w:eastAsia="Aptos" w:hAnsi="Calibri" w:cs="Calibri"/>
        </w:rPr>
        <w:t xml:space="preserve"> </w:t>
      </w:r>
      <w:r w:rsidRPr="00362B3B">
        <w:rPr>
          <w:rFonts w:ascii="Calibri" w:eastAsia="Aptos" w:hAnsi="Calibri" w:cs="Calibri"/>
        </w:rPr>
        <w:t xml:space="preserve">towns comprising the Applicant's primary service area. The 65 and older population is </w:t>
      </w:r>
      <w:r w:rsidR="005D3AF6">
        <w:rPr>
          <w:rFonts w:ascii="Calibri" w:eastAsia="Aptos" w:hAnsi="Calibri" w:cs="Calibri"/>
        </w:rPr>
        <w:t>projected</w:t>
      </w:r>
      <w:r w:rsidRPr="00362B3B">
        <w:rPr>
          <w:rFonts w:ascii="Calibri" w:eastAsia="Aptos" w:hAnsi="Calibri" w:cs="Calibri"/>
        </w:rPr>
        <w:t xml:space="preserve"> to grow 17% over 5 years, 33% over 10 years, and 44% over 20 years. </w:t>
      </w:r>
      <w:r w:rsidR="00C82F84" w:rsidRPr="00362B3B">
        <w:rPr>
          <w:rFonts w:ascii="Calibri" w:eastAsia="Aptos" w:hAnsi="Calibri" w:cs="Calibri"/>
          <w:vertAlign w:val="superscript"/>
        </w:rPr>
        <w:endnoteReference w:id="5"/>
      </w:r>
      <w:r w:rsidR="00C82F84" w:rsidRPr="00362B3B">
        <w:rPr>
          <w:rFonts w:ascii="Calibri" w:eastAsia="Aptos" w:hAnsi="Calibri" w:cs="Calibri"/>
        </w:rPr>
        <w:t xml:space="preserve"> </w:t>
      </w:r>
    </w:p>
    <w:p w14:paraId="2E952EE5" w14:textId="6D63DAD5" w:rsidR="001179F0" w:rsidRPr="00362B3B" w:rsidRDefault="00362B3B" w:rsidP="00701F0C">
      <w:pPr>
        <w:rPr>
          <w:rFonts w:ascii="Calibri" w:eastAsia="Aptos" w:hAnsi="Calibri" w:cs="Calibri"/>
        </w:rPr>
      </w:pPr>
      <w:r w:rsidRPr="00362B3B">
        <w:rPr>
          <w:rFonts w:ascii="Calibri" w:eastAsia="Aptos" w:hAnsi="Calibri" w:cs="Calibri"/>
        </w:rPr>
        <w:t xml:space="preserve">According to Beckers ASC, endoscopic procedures will remain the </w:t>
      </w:r>
      <w:r w:rsidR="005D3AF6">
        <w:rPr>
          <w:rFonts w:ascii="Calibri" w:eastAsia="Aptos" w:hAnsi="Calibri" w:cs="Calibri"/>
        </w:rPr>
        <w:t>“</w:t>
      </w:r>
      <w:r w:rsidRPr="00362B3B">
        <w:rPr>
          <w:rFonts w:ascii="Calibri" w:eastAsia="Aptos" w:hAnsi="Calibri" w:cs="Calibri"/>
        </w:rPr>
        <w:t>cornerstone</w:t>
      </w:r>
      <w:r w:rsidR="005D3AF6">
        <w:rPr>
          <w:rFonts w:ascii="Calibri" w:eastAsia="Aptos" w:hAnsi="Calibri" w:cs="Calibri"/>
        </w:rPr>
        <w:t>”</w:t>
      </w:r>
      <w:r w:rsidRPr="00362B3B">
        <w:rPr>
          <w:rFonts w:ascii="Calibri" w:eastAsia="Aptos" w:hAnsi="Calibri" w:cs="Calibri"/>
        </w:rPr>
        <w:t xml:space="preserve"> of the GI practice</w:t>
      </w:r>
      <w:r w:rsidR="008D3A0D">
        <w:rPr>
          <w:rFonts w:ascii="Calibri" w:eastAsia="Aptos" w:hAnsi="Calibri" w:cs="Calibri"/>
        </w:rPr>
        <w:t xml:space="preserve"> due to </w:t>
      </w:r>
      <w:r w:rsidRPr="00362B3B">
        <w:rPr>
          <w:rFonts w:ascii="Calibri" w:eastAsia="Aptos" w:hAnsi="Calibri" w:cs="Calibri"/>
        </w:rPr>
        <w:t xml:space="preserve">population demographics, </w:t>
      </w:r>
      <w:r w:rsidR="008D3A0D">
        <w:rPr>
          <w:rFonts w:ascii="Calibri" w:eastAsia="Aptos" w:hAnsi="Calibri" w:cs="Calibri"/>
        </w:rPr>
        <w:t xml:space="preserve">and the </w:t>
      </w:r>
      <w:r w:rsidRPr="00362B3B">
        <w:rPr>
          <w:rFonts w:ascii="Calibri" w:eastAsia="Aptos" w:hAnsi="Calibri" w:cs="Calibri"/>
        </w:rPr>
        <w:t xml:space="preserve">continued migration away from HOPDs to </w:t>
      </w:r>
      <w:r w:rsidR="005D3AF6">
        <w:rPr>
          <w:rFonts w:ascii="Calibri" w:eastAsia="Aptos" w:hAnsi="Calibri" w:cs="Calibri"/>
        </w:rPr>
        <w:t>convenient</w:t>
      </w:r>
      <w:r w:rsidR="00B24B44">
        <w:rPr>
          <w:rFonts w:ascii="Calibri" w:eastAsia="Aptos" w:hAnsi="Calibri" w:cs="Calibri"/>
        </w:rPr>
        <w:t>,</w:t>
      </w:r>
      <w:r w:rsidR="005D3AF6">
        <w:rPr>
          <w:rFonts w:ascii="Calibri" w:eastAsia="Aptos" w:hAnsi="Calibri" w:cs="Calibri"/>
        </w:rPr>
        <w:t xml:space="preserve"> </w:t>
      </w:r>
      <w:r w:rsidRPr="00362B3B">
        <w:rPr>
          <w:rFonts w:ascii="Calibri" w:eastAsia="Aptos" w:hAnsi="Calibri" w:cs="Calibri"/>
        </w:rPr>
        <w:t>lower-cost ASCs.</w:t>
      </w:r>
      <w:r w:rsidR="001179F0" w:rsidRPr="00362B3B">
        <w:rPr>
          <w:rFonts w:ascii="Calibri" w:eastAsia="Aptos" w:hAnsi="Calibri" w:cs="Calibri"/>
          <w:vertAlign w:val="superscript"/>
        </w:rPr>
        <w:endnoteReference w:id="6"/>
      </w:r>
      <w:r w:rsidR="001179F0" w:rsidRPr="00362B3B">
        <w:rPr>
          <w:rFonts w:ascii="Calibri" w:eastAsia="Aptos" w:hAnsi="Calibri" w:cs="Calibri"/>
          <w:vertAlign w:val="superscript"/>
        </w:rPr>
        <w:t xml:space="preserve"> </w:t>
      </w:r>
      <w:r w:rsidR="001179F0" w:rsidRPr="00362B3B">
        <w:rPr>
          <w:rFonts w:ascii="Calibri" w:eastAsia="Aptos" w:hAnsi="Calibri" w:cs="Calibri"/>
        </w:rPr>
        <w:t xml:space="preserve"> Market forecaster S</w:t>
      </w:r>
      <w:r w:rsidR="001179F0">
        <w:rPr>
          <w:rFonts w:ascii="Calibri" w:eastAsia="Aptos" w:hAnsi="Calibri" w:cs="Calibri"/>
        </w:rPr>
        <w:t>g</w:t>
      </w:r>
      <w:r w:rsidR="001179F0" w:rsidRPr="00362B3B">
        <w:rPr>
          <w:rFonts w:ascii="Calibri" w:eastAsia="Aptos" w:hAnsi="Calibri" w:cs="Calibri"/>
        </w:rPr>
        <w:t xml:space="preserve">2 is forecasting higher growth for select procedures, including GI procedures, as procedural volumes shift to lower-cost sites of care. Sg2 is forecasting </w:t>
      </w:r>
      <w:r w:rsidR="001179F0">
        <w:rPr>
          <w:rFonts w:ascii="Calibri" w:eastAsia="Aptos" w:hAnsi="Calibri" w:cs="Calibri"/>
        </w:rPr>
        <w:t xml:space="preserve">a </w:t>
      </w:r>
      <w:r w:rsidR="001179F0" w:rsidRPr="00362B3B">
        <w:rPr>
          <w:rFonts w:ascii="Calibri" w:eastAsia="Aptos" w:hAnsi="Calibri" w:cs="Calibri"/>
        </w:rPr>
        <w:t xml:space="preserve">21% 10-year growth in outpatient upper GI endoscopy cases and </w:t>
      </w:r>
      <w:r w:rsidR="001179F0">
        <w:rPr>
          <w:rFonts w:ascii="Calibri" w:eastAsia="Aptos" w:hAnsi="Calibri" w:cs="Calibri"/>
        </w:rPr>
        <w:t xml:space="preserve">a </w:t>
      </w:r>
      <w:r w:rsidR="001179F0" w:rsidRPr="00362B3B">
        <w:rPr>
          <w:rFonts w:ascii="Calibri" w:eastAsia="Aptos" w:hAnsi="Calibri" w:cs="Calibri"/>
        </w:rPr>
        <w:t>24% 10-year growth in outpatient colonoscopy cases.</w:t>
      </w:r>
      <w:r w:rsidR="001179F0" w:rsidRPr="00362B3B">
        <w:rPr>
          <w:rFonts w:ascii="Calibri" w:eastAsia="Aptos" w:hAnsi="Calibri" w:cs="Calibri"/>
          <w:vertAlign w:val="superscript"/>
        </w:rPr>
        <w:endnoteReference w:id="7"/>
      </w:r>
    </w:p>
    <w:p w14:paraId="3C477BC0" w14:textId="2FDD1168" w:rsidR="4E2208F8" w:rsidRDefault="4E2208F8" w:rsidP="4E2208F8">
      <w:pPr>
        <w:rPr>
          <w:rFonts w:ascii="Calibri" w:eastAsia="Aptos" w:hAnsi="Calibri" w:cs="Calibri"/>
        </w:rPr>
      </w:pPr>
    </w:p>
    <w:p w14:paraId="2C34C41C" w14:textId="6132CC82" w:rsidR="00362B3B" w:rsidRPr="002A5C4E" w:rsidRDefault="00362B3B" w:rsidP="00362B3B">
      <w:pPr>
        <w:numPr>
          <w:ilvl w:val="0"/>
          <w:numId w:val="24"/>
        </w:numPr>
        <w:spacing w:after="160" w:line="259" w:lineRule="auto"/>
        <w:contextualSpacing/>
        <w:rPr>
          <w:rFonts w:eastAsia="Aptos"/>
          <w:b/>
          <w:bCs/>
        </w:rPr>
      </w:pPr>
      <w:r w:rsidRPr="002A5C4E">
        <w:rPr>
          <w:rFonts w:eastAsia="Aptos"/>
          <w:b/>
          <w:bCs/>
        </w:rPr>
        <w:t xml:space="preserve">Need to Expand Upon the Limited ASC Supply in Massachusetts </w:t>
      </w:r>
    </w:p>
    <w:p w14:paraId="4CF31780" w14:textId="77777777" w:rsidR="001E0969" w:rsidRDefault="001E0969" w:rsidP="4E2208F8">
      <w:pPr>
        <w:rPr>
          <w:rFonts w:ascii="Calibri" w:eastAsia="Aptos" w:hAnsi="Calibri" w:cs="Calibri"/>
        </w:rPr>
      </w:pPr>
    </w:p>
    <w:p w14:paraId="7F54337F" w14:textId="0A20AB7F" w:rsidR="00C82F84" w:rsidRPr="005D3AF6" w:rsidRDefault="00362B3B" w:rsidP="4E2208F8">
      <w:pPr>
        <w:rPr>
          <w:rFonts w:ascii="Calibri" w:eastAsia="Aptos" w:hAnsi="Calibri" w:cs="Calibri"/>
        </w:rPr>
      </w:pPr>
      <w:r w:rsidRPr="00362B3B">
        <w:rPr>
          <w:rFonts w:ascii="Calibri" w:eastAsia="Aptos" w:hAnsi="Calibri" w:cs="Calibri"/>
        </w:rPr>
        <w:t>The Applicant cites the Health Policy Commission’s reports from June 2023 and February 2024 which found that Massachusetts has the fourth lowest per capita number of ASCs of all states, and 23 ASC operating rooms per million population versus a national average of 56.</w:t>
      </w:r>
      <w:r w:rsidR="00C82F84" w:rsidRPr="00362B3B">
        <w:rPr>
          <w:rFonts w:ascii="Calibri" w:eastAsia="Aptos" w:hAnsi="Calibri" w:cs="Calibri"/>
          <w:vertAlign w:val="superscript"/>
        </w:rPr>
        <w:endnoteReference w:id="8"/>
      </w:r>
      <w:r w:rsidR="00C82F84" w:rsidRPr="00362B3B">
        <w:rPr>
          <w:rFonts w:ascii="Calibri" w:eastAsia="Aptos" w:hAnsi="Calibri" w:cs="Calibri"/>
        </w:rPr>
        <w:t xml:space="preserve"> </w:t>
      </w:r>
      <w:bookmarkStart w:id="31" w:name="_Hlk169264092"/>
      <w:r w:rsidR="00C82F84" w:rsidRPr="00362B3B">
        <w:rPr>
          <w:rFonts w:ascii="Calibri" w:eastAsia="Aptos" w:hAnsi="Calibri" w:cs="Calibri"/>
        </w:rPr>
        <w:t>One reason for this is that Massachusetts enacted restrictions on new ASCs from 1971 to 2017</w:t>
      </w:r>
      <w:bookmarkEnd w:id="31"/>
      <w:r w:rsidR="00C82F84" w:rsidRPr="00362B3B">
        <w:rPr>
          <w:rFonts w:ascii="Calibri" w:eastAsia="Aptos" w:hAnsi="Calibri" w:cs="Calibri"/>
        </w:rPr>
        <w:t>.</w:t>
      </w:r>
      <w:r w:rsidR="00C82F84" w:rsidRPr="00362B3B">
        <w:rPr>
          <w:rFonts w:ascii="Calibri" w:eastAsia="Aptos" w:hAnsi="Calibri" w:cs="Calibri"/>
          <w:vertAlign w:val="superscript"/>
        </w:rPr>
        <w:endnoteReference w:id="9"/>
      </w:r>
      <w:r w:rsidR="00C82F84" w:rsidRPr="00362B3B">
        <w:rPr>
          <w:rFonts w:ascii="Calibri" w:eastAsia="Aptos" w:hAnsi="Calibri" w:cs="Calibri"/>
        </w:rPr>
        <w:t xml:space="preserve"> </w:t>
      </w:r>
      <w:r w:rsidR="00C82F84" w:rsidRPr="00362B3B">
        <w:rPr>
          <w:rFonts w:ascii="Calibri" w:eastAsia="Aptos" w:hAnsi="Calibri" w:cs="Calibri"/>
        </w:rPr>
        <w:lastRenderedPageBreak/>
        <w:t>The lack of ASCs has resulted in the lower risk ASC appropriate surgeries being provided in HOPDs.</w:t>
      </w:r>
      <w:r w:rsidR="00C82F84" w:rsidRPr="00362B3B">
        <w:rPr>
          <w:rFonts w:ascii="Calibri" w:eastAsia="Aptos" w:hAnsi="Calibri" w:cs="Calibri"/>
          <w:vertAlign w:val="superscript"/>
        </w:rPr>
        <w:endnoteReference w:id="10"/>
      </w:r>
      <w:r w:rsidR="00C82F84" w:rsidRPr="00362B3B">
        <w:rPr>
          <w:rFonts w:ascii="Calibri" w:eastAsia="Aptos" w:hAnsi="Calibri" w:cs="Calibri"/>
          <w:vertAlign w:val="superscript"/>
        </w:rPr>
        <w:t xml:space="preserve"> </w:t>
      </w:r>
    </w:p>
    <w:p w14:paraId="5C487A5C" w14:textId="744D46ED" w:rsidR="00362B3B" w:rsidRPr="00362B3B" w:rsidRDefault="00C82F84" w:rsidP="00362B3B">
      <w:pPr>
        <w:spacing w:after="160"/>
        <w:rPr>
          <w:rFonts w:ascii="Calibri" w:eastAsia="Aptos" w:hAnsi="Calibri" w:cs="Calibri"/>
        </w:rPr>
      </w:pPr>
      <w:r w:rsidRPr="00362B3B">
        <w:rPr>
          <w:rFonts w:ascii="Calibri" w:eastAsia="Aptos" w:hAnsi="Calibri" w:cs="Calibri"/>
        </w:rPr>
        <w:t>In Issue 26: Trends in Ambulatory Surgical Centers in Massachusetts, the Massachusetts Health Policy Commission (“HPC”) reported limited access to GI procedures in ASCs across the Commonwealth when compared to national averages. According to the HPC Report, there are only 12 single specialty GI/Endoscopy ASCs, and 18 total ASCs offering GI/Endoscopy services in Massachusetts. Massachusetts has 2.6 GI/Endo ASCs per million population, compared to 5.9 Gi/Endo ASCs per million population nationally.</w:t>
      </w:r>
      <w:r w:rsidRPr="00362B3B">
        <w:rPr>
          <w:rFonts w:ascii="Calibri" w:eastAsia="Aptos" w:hAnsi="Calibri" w:cs="Calibri"/>
          <w:vertAlign w:val="superscript"/>
        </w:rPr>
        <w:endnoteReference w:id="11"/>
      </w:r>
      <w:r w:rsidRPr="00362B3B">
        <w:rPr>
          <w:rFonts w:ascii="Calibri" w:eastAsia="Aptos" w:hAnsi="Calibri" w:cs="Calibri"/>
        </w:rPr>
        <w:t xml:space="preserve"> </w:t>
      </w:r>
      <w:r w:rsidR="00362B3B" w:rsidRPr="00362B3B">
        <w:rPr>
          <w:rFonts w:ascii="Calibri" w:eastAsia="Aptos" w:hAnsi="Calibri" w:cs="Calibri"/>
        </w:rPr>
        <w:t>The Applicant's ASC is the only free-standing ASC offering GI procedures in Plymouth and Bristol counties according to HPC Report.</w:t>
      </w:r>
      <w:r w:rsidR="0002767A">
        <w:rPr>
          <w:rStyle w:val="FootnoteReference"/>
          <w:rFonts w:ascii="Calibri" w:eastAsia="Aptos" w:hAnsi="Calibri" w:cs="Calibri"/>
        </w:rPr>
        <w:footnoteReference w:id="6"/>
      </w:r>
    </w:p>
    <w:p w14:paraId="2E0063B1" w14:textId="24945057" w:rsidR="00362B3B" w:rsidRDefault="00362B3B" w:rsidP="4E2208F8">
      <w:pPr>
        <w:spacing w:after="160"/>
        <w:rPr>
          <w:rFonts w:ascii="Calibri" w:eastAsia="Aptos" w:hAnsi="Calibri" w:cs="Calibri"/>
        </w:rPr>
      </w:pPr>
      <w:r w:rsidRPr="4E2208F8">
        <w:rPr>
          <w:rFonts w:ascii="Calibri" w:eastAsia="Aptos" w:hAnsi="Calibri" w:cs="Calibri"/>
        </w:rPr>
        <w:t>The lack of GI ASC resources has been experienced by the Applicant’s physicians and patients</w:t>
      </w:r>
      <w:r w:rsidR="006C4AE8" w:rsidRPr="4E2208F8">
        <w:rPr>
          <w:rFonts w:ascii="Calibri" w:eastAsia="Aptos" w:hAnsi="Calibri" w:cs="Calibri"/>
        </w:rPr>
        <w:t xml:space="preserve"> who</w:t>
      </w:r>
      <w:r w:rsidRPr="4E2208F8">
        <w:rPr>
          <w:rFonts w:ascii="Calibri" w:eastAsia="Aptos" w:hAnsi="Calibri" w:cs="Calibri"/>
        </w:rPr>
        <w:t xml:space="preserve"> report that wait times for GI procedures in the service area have increased. The Applicant's existing physicians are currently reporting three-week wait times to book GI procedures at </w:t>
      </w:r>
      <w:r w:rsidR="005851B5" w:rsidRPr="4E2208F8">
        <w:rPr>
          <w:rFonts w:ascii="Calibri" w:eastAsia="Aptos" w:hAnsi="Calibri" w:cs="Calibri"/>
        </w:rPr>
        <w:t xml:space="preserve">both </w:t>
      </w:r>
      <w:r w:rsidRPr="4E2208F8">
        <w:rPr>
          <w:rFonts w:ascii="Calibri" w:eastAsia="Aptos" w:hAnsi="Calibri" w:cs="Calibri"/>
        </w:rPr>
        <w:t xml:space="preserve">the Applicant's ASC </w:t>
      </w:r>
      <w:r w:rsidR="005851B5" w:rsidRPr="4E2208F8">
        <w:rPr>
          <w:rFonts w:ascii="Calibri" w:eastAsia="Aptos" w:hAnsi="Calibri" w:cs="Calibri"/>
        </w:rPr>
        <w:t xml:space="preserve">and </w:t>
      </w:r>
      <w:r w:rsidRPr="4E2208F8">
        <w:rPr>
          <w:rFonts w:ascii="Calibri" w:eastAsia="Aptos" w:hAnsi="Calibri" w:cs="Calibri"/>
        </w:rPr>
        <w:t>local community hospitals. The New Physicians have been reporting wait times of 45 to 90 days to schedule GI procedures at local community hospitals</w:t>
      </w:r>
      <w:r w:rsidRPr="00CC7371">
        <w:rPr>
          <w:rFonts w:ascii="Calibri" w:eastAsia="Aptos" w:hAnsi="Calibri" w:cs="Calibri"/>
        </w:rPr>
        <w:t>.</w:t>
      </w:r>
      <w:r w:rsidR="00CC7371" w:rsidRPr="00CC7371">
        <w:rPr>
          <w:rFonts w:ascii="Calibri" w:eastAsia="Aptos" w:hAnsi="Calibri" w:cs="Calibri"/>
        </w:rPr>
        <w:t xml:space="preserve"> </w:t>
      </w:r>
      <w:r w:rsidR="00CC7371" w:rsidRPr="00724236">
        <w:rPr>
          <w:rFonts w:ascii="Calibri" w:eastAsia="Aptos" w:hAnsi="Calibri" w:cs="Calibri"/>
        </w:rPr>
        <w:t>The Applicant is not able to differentiate between wait times for diagnostic versus screening wait times, but if the Applicant receives a referral for a diagnostic, urgent or direct screening exam, scheduling is expedited as much as possible.</w:t>
      </w:r>
      <w:r w:rsidRPr="00CC7371">
        <w:rPr>
          <w:rFonts w:ascii="Calibri" w:eastAsia="Aptos" w:hAnsi="Calibri" w:cs="Calibri"/>
        </w:rPr>
        <w:t xml:space="preserve"> </w:t>
      </w:r>
      <w:r w:rsidRPr="4E2208F8">
        <w:rPr>
          <w:rFonts w:ascii="Calibri" w:eastAsia="Aptos" w:hAnsi="Calibri" w:cs="Calibri"/>
        </w:rPr>
        <w:t xml:space="preserve"> In the short term, the existing physicians have been sharing their block time to allow the New Physicians</w:t>
      </w:r>
      <w:r w:rsidR="006C4AE8" w:rsidRPr="4E2208F8">
        <w:rPr>
          <w:rFonts w:ascii="Calibri" w:eastAsia="Aptos" w:hAnsi="Calibri" w:cs="Calibri"/>
        </w:rPr>
        <w:t xml:space="preserve"> </w:t>
      </w:r>
      <w:r w:rsidR="00F76E22" w:rsidRPr="4E2208F8">
        <w:rPr>
          <w:rFonts w:ascii="Calibri" w:eastAsia="Aptos" w:hAnsi="Calibri" w:cs="Calibri"/>
        </w:rPr>
        <w:t xml:space="preserve">to </w:t>
      </w:r>
      <w:r w:rsidRPr="4E2208F8">
        <w:rPr>
          <w:rFonts w:ascii="Calibri" w:eastAsia="Aptos" w:hAnsi="Calibri" w:cs="Calibri"/>
        </w:rPr>
        <w:t>start performing procedures at the Applicant's ASC</w:t>
      </w:r>
      <w:r w:rsidR="00F76E22" w:rsidRPr="4E2208F8">
        <w:rPr>
          <w:rFonts w:ascii="Calibri" w:eastAsia="Aptos" w:hAnsi="Calibri" w:cs="Calibri"/>
        </w:rPr>
        <w:t>; also,</w:t>
      </w:r>
      <w:r w:rsidRPr="4E2208F8">
        <w:rPr>
          <w:rFonts w:ascii="Calibri" w:eastAsia="Aptos" w:hAnsi="Calibri" w:cs="Calibri"/>
        </w:rPr>
        <w:t xml:space="preserve"> </w:t>
      </w:r>
      <w:r w:rsidR="006C4AE8" w:rsidRPr="4E2208F8">
        <w:rPr>
          <w:rFonts w:ascii="Calibri" w:eastAsia="Aptos" w:hAnsi="Calibri" w:cs="Calibri"/>
        </w:rPr>
        <w:t xml:space="preserve">to try to meet demand, </w:t>
      </w:r>
      <w:r w:rsidRPr="4E2208F8">
        <w:rPr>
          <w:rFonts w:ascii="Calibri" w:eastAsia="Aptos" w:hAnsi="Calibri" w:cs="Calibri"/>
        </w:rPr>
        <w:t>the ASC has opened up some Saturday hours</w:t>
      </w:r>
      <w:r w:rsidR="00F76E22" w:rsidRPr="4E2208F8">
        <w:rPr>
          <w:rFonts w:ascii="Calibri" w:eastAsia="Aptos" w:hAnsi="Calibri" w:cs="Calibri"/>
        </w:rPr>
        <w:t xml:space="preserve"> which is not a long-term solution due to staffing concerns.</w:t>
      </w:r>
      <w:r w:rsidR="00CC7371">
        <w:rPr>
          <w:rFonts w:ascii="Calibri" w:eastAsia="Aptos" w:hAnsi="Calibri" w:cs="Calibri"/>
        </w:rPr>
        <w:t xml:space="preserve"> </w:t>
      </w:r>
    </w:p>
    <w:p w14:paraId="0C0B533E" w14:textId="77777777" w:rsidR="00153BCC" w:rsidRDefault="00D164C4" w:rsidP="00701F0C">
      <w:pPr>
        <w:spacing w:after="160"/>
        <w:rPr>
          <w:rFonts w:ascii="Calibri" w:eastAsia="Aptos" w:hAnsi="Calibri" w:cs="Calibri"/>
        </w:rPr>
      </w:pPr>
      <w:r>
        <w:rPr>
          <w:rFonts w:ascii="Calibri" w:eastAsia="Aptos" w:hAnsi="Calibri" w:cs="Calibri"/>
        </w:rPr>
        <w:t>Staff acknowledges that these wait times do not appear to be exceedingly long</w:t>
      </w:r>
      <w:r w:rsidR="00263DA2">
        <w:rPr>
          <w:rFonts w:ascii="Calibri" w:eastAsia="Aptos" w:hAnsi="Calibri" w:cs="Calibri"/>
        </w:rPr>
        <w:t xml:space="preserve"> however,</w:t>
      </w:r>
      <w:r w:rsidR="00263DA2" w:rsidRPr="00263DA2">
        <w:rPr>
          <w:rFonts w:ascii="Calibri" w:eastAsia="Aptos" w:hAnsi="Calibri" w:cs="Calibri"/>
        </w:rPr>
        <w:t xml:space="preserve"> with the increased incidence of colon cancers described herein, the Applicant is proactively creating capacity to meet the need in the clinically appropriate setting</w:t>
      </w:r>
      <w:r>
        <w:rPr>
          <w:rFonts w:ascii="Calibri" w:eastAsia="Aptos" w:hAnsi="Calibri" w:cs="Calibri"/>
        </w:rPr>
        <w:t xml:space="preserve">. </w:t>
      </w:r>
      <w:r w:rsidR="0074350E" w:rsidRPr="0074350E">
        <w:rPr>
          <w:rFonts w:ascii="Calibri" w:eastAsia="Aptos" w:hAnsi="Calibri" w:cs="Calibri"/>
        </w:rPr>
        <w:t>The United States has not established any industry standards or national benchmarks for acceptable wait times for endoscopy services</w:t>
      </w:r>
      <w:r w:rsidR="0074350E">
        <w:rPr>
          <w:rFonts w:ascii="Calibri" w:eastAsia="Aptos" w:hAnsi="Calibri" w:cs="Calibri"/>
        </w:rPr>
        <w:t xml:space="preserve"> and it </w:t>
      </w:r>
      <w:r w:rsidR="0074350E" w:rsidRPr="0074350E">
        <w:rPr>
          <w:rFonts w:ascii="Calibri" w:eastAsia="Aptos" w:hAnsi="Calibri" w:cs="Calibri"/>
        </w:rPr>
        <w:t>has been shown to outperform other nations in terms of rates for screening for colorectal cancer.</w:t>
      </w:r>
      <w:r w:rsidR="003547DA" w:rsidRPr="0074350E">
        <w:rPr>
          <w:rFonts w:ascii="Calibri" w:eastAsia="Aptos" w:hAnsi="Calibri" w:cs="Calibri"/>
          <w:vertAlign w:val="superscript"/>
        </w:rPr>
        <w:endnoteReference w:id="12"/>
      </w:r>
      <w:r w:rsidR="003547DA" w:rsidRPr="0074350E">
        <w:rPr>
          <w:rFonts w:ascii="Calibri" w:eastAsia="Aptos" w:hAnsi="Calibri" w:cs="Calibri"/>
        </w:rPr>
        <w:t xml:space="preserve"> </w:t>
      </w:r>
      <w:r w:rsidR="003547DA">
        <w:rPr>
          <w:rFonts w:ascii="Calibri" w:eastAsia="Aptos" w:hAnsi="Calibri" w:cs="Calibri"/>
        </w:rPr>
        <w:t xml:space="preserve">Studies </w:t>
      </w:r>
      <w:r w:rsidR="003547DA" w:rsidRPr="00584A87">
        <w:rPr>
          <w:rFonts w:ascii="Calibri" w:eastAsia="Aptos" w:hAnsi="Calibri" w:cs="Calibri"/>
        </w:rPr>
        <w:t xml:space="preserve">show that longer wait times are associated with </w:t>
      </w:r>
      <w:r w:rsidR="003547DA">
        <w:rPr>
          <w:rFonts w:ascii="Calibri" w:eastAsia="Aptos" w:hAnsi="Calibri" w:cs="Calibri"/>
        </w:rPr>
        <w:t xml:space="preserve">increased patient anxiety, </w:t>
      </w:r>
      <w:r w:rsidR="003547DA" w:rsidRPr="00584A87">
        <w:rPr>
          <w:rFonts w:ascii="Calibri" w:eastAsia="Aptos" w:hAnsi="Calibri" w:cs="Calibri"/>
        </w:rPr>
        <w:t>lower overall patient satisfaction and patient perceptions of their providers and quality of care.</w:t>
      </w:r>
      <w:r w:rsidR="003547DA" w:rsidRPr="00584A87">
        <w:rPr>
          <w:rFonts w:ascii="Calibri" w:eastAsia="Aptos" w:hAnsi="Calibri" w:cs="Calibri"/>
          <w:vertAlign w:val="superscript"/>
        </w:rPr>
        <w:endnoteReference w:id="13"/>
      </w:r>
      <w:r w:rsidR="003547DA">
        <w:rPr>
          <w:rFonts w:ascii="Calibri" w:eastAsia="Aptos" w:hAnsi="Calibri" w:cs="Calibri"/>
        </w:rPr>
        <w:t xml:space="preserve"> </w:t>
      </w:r>
    </w:p>
    <w:p w14:paraId="648861AA" w14:textId="0E161E5E" w:rsidR="00362B3B" w:rsidRPr="00362B3B" w:rsidRDefault="00F76E22" w:rsidP="00701F0C">
      <w:pPr>
        <w:spacing w:after="160"/>
        <w:rPr>
          <w:rFonts w:ascii="Calibri" w:eastAsia="Aptos" w:hAnsi="Calibri" w:cs="Calibri"/>
          <w:u w:val="single"/>
        </w:rPr>
      </w:pPr>
      <w:r>
        <w:rPr>
          <w:rFonts w:ascii="Calibri" w:eastAsia="Aptos" w:hAnsi="Calibri" w:cs="Calibri"/>
        </w:rPr>
        <w:t xml:space="preserve">The Applicant states that </w:t>
      </w:r>
      <w:r w:rsidR="00362B3B" w:rsidRPr="00362B3B">
        <w:rPr>
          <w:rFonts w:ascii="Calibri" w:eastAsia="Aptos" w:hAnsi="Calibri" w:cs="Calibri"/>
        </w:rPr>
        <w:t xml:space="preserve">access to GI procedures within the service area </w:t>
      </w:r>
      <w:r>
        <w:rPr>
          <w:rFonts w:ascii="Calibri" w:eastAsia="Aptos" w:hAnsi="Calibri" w:cs="Calibri"/>
        </w:rPr>
        <w:t xml:space="preserve">has been challenged by </w:t>
      </w:r>
      <w:r w:rsidR="00362B3B" w:rsidRPr="00362B3B">
        <w:rPr>
          <w:rFonts w:ascii="Calibri" w:eastAsia="Aptos" w:hAnsi="Calibri" w:cs="Calibri"/>
        </w:rPr>
        <w:t xml:space="preserve">the significant </w:t>
      </w:r>
      <w:r>
        <w:rPr>
          <w:rFonts w:ascii="Calibri" w:eastAsia="Aptos" w:hAnsi="Calibri" w:cs="Calibri"/>
        </w:rPr>
        <w:t xml:space="preserve">service </w:t>
      </w:r>
      <w:r w:rsidR="00362B3B" w:rsidRPr="00362B3B">
        <w:rPr>
          <w:rFonts w:ascii="Calibri" w:eastAsia="Aptos" w:hAnsi="Calibri" w:cs="Calibri"/>
        </w:rPr>
        <w:t>disruptions</w:t>
      </w:r>
      <w:r>
        <w:rPr>
          <w:rFonts w:ascii="Calibri" w:eastAsia="Aptos" w:hAnsi="Calibri" w:cs="Calibri"/>
        </w:rPr>
        <w:t xml:space="preserve"> at </w:t>
      </w:r>
      <w:r w:rsidR="00362B3B" w:rsidRPr="00362B3B">
        <w:rPr>
          <w:rFonts w:ascii="Calibri" w:eastAsia="Aptos" w:hAnsi="Calibri" w:cs="Calibri"/>
        </w:rPr>
        <w:t>the three community hospitals, including the Steward Health System bankruptcy (affecting Morton Hospital and Good Samaritan Hospital)</w:t>
      </w:r>
      <w:r w:rsidR="00F85CD4">
        <w:rPr>
          <w:rFonts w:ascii="Calibri" w:eastAsia="Aptos" w:hAnsi="Calibri" w:cs="Calibri"/>
        </w:rPr>
        <w:t>,</w:t>
      </w:r>
      <w:r w:rsidR="00362B3B" w:rsidRPr="00362B3B">
        <w:rPr>
          <w:rFonts w:ascii="Calibri" w:eastAsia="Aptos" w:hAnsi="Calibri" w:cs="Calibri"/>
        </w:rPr>
        <w:t xml:space="preserve"> and the fire at Signature Brockton Hospital. In follow up questions, the Applicant states that even with the resumption of operations at Brockton Hospital and the new ownership at the Steward hospitals, the physicians continue to experience high demand for GI ASC services </w:t>
      </w:r>
      <w:r>
        <w:rPr>
          <w:rFonts w:ascii="Calibri" w:eastAsia="Aptos" w:hAnsi="Calibri" w:cs="Calibri"/>
        </w:rPr>
        <w:t xml:space="preserve">in part </w:t>
      </w:r>
      <w:r w:rsidR="00362B3B" w:rsidRPr="00362B3B">
        <w:rPr>
          <w:rFonts w:ascii="Calibri" w:eastAsia="Aptos" w:hAnsi="Calibri" w:cs="Calibri"/>
        </w:rPr>
        <w:t xml:space="preserve">because </w:t>
      </w:r>
      <w:r w:rsidR="00362B3B" w:rsidRPr="00362B3B">
        <w:rPr>
          <w:rFonts w:ascii="Calibri" w:eastAsia="Aptos" w:hAnsi="Calibri" w:cs="Calibri"/>
          <w:i/>
          <w:iCs/>
        </w:rPr>
        <w:t>“…patients appreciate the ease of access and the lower out of pocket costs at a freestanding ASC compared to an HOPD</w:t>
      </w:r>
      <w:r w:rsidR="00362B3B" w:rsidRPr="00362B3B">
        <w:rPr>
          <w:rFonts w:ascii="Calibri" w:eastAsia="Aptos" w:hAnsi="Calibri" w:cs="Calibri"/>
        </w:rPr>
        <w:t>.” Moving more GI procedures to an ASC setting will enable the community hospitals to focus their limited resources on higher acuity GI procedures.</w:t>
      </w:r>
      <w:r w:rsidR="00362B3B" w:rsidRPr="00362B3B">
        <w:rPr>
          <w:rFonts w:ascii="Calibri" w:eastAsia="Aptos" w:hAnsi="Calibri" w:cs="Calibri"/>
          <w:u w:val="single"/>
        </w:rPr>
        <w:t xml:space="preserve"> </w:t>
      </w:r>
    </w:p>
    <w:p w14:paraId="5F17B16A" w14:textId="74821796" w:rsidR="00362B3B" w:rsidRPr="00362B3B" w:rsidRDefault="00362B3B" w:rsidP="00701F0C">
      <w:pPr>
        <w:spacing w:after="160"/>
        <w:rPr>
          <w:rFonts w:ascii="Calibri" w:eastAsia="Aptos" w:hAnsi="Calibri" w:cs="Calibri"/>
        </w:rPr>
      </w:pPr>
      <w:r w:rsidRPr="03C54183">
        <w:rPr>
          <w:rFonts w:ascii="Calibri" w:eastAsia="Aptos" w:hAnsi="Calibri" w:cs="Calibri"/>
        </w:rPr>
        <w:t>The</w:t>
      </w:r>
      <w:r w:rsidR="00F27B8E" w:rsidRPr="03C54183">
        <w:rPr>
          <w:rFonts w:ascii="Calibri" w:eastAsia="Aptos" w:hAnsi="Calibri" w:cs="Calibri"/>
        </w:rPr>
        <w:t xml:space="preserve"> Applicant</w:t>
      </w:r>
      <w:r w:rsidR="00A01676" w:rsidRPr="03C54183">
        <w:rPr>
          <w:rFonts w:ascii="Calibri" w:eastAsia="Aptos" w:hAnsi="Calibri" w:cs="Calibri"/>
        </w:rPr>
        <w:t xml:space="preserve"> believes that</w:t>
      </w:r>
      <w:r w:rsidRPr="03C54183">
        <w:rPr>
          <w:rFonts w:ascii="Calibri" w:eastAsia="Aptos" w:hAnsi="Calibri" w:cs="Calibri"/>
        </w:rPr>
        <w:t xml:space="preserve"> </w:t>
      </w:r>
      <w:r w:rsidR="00A01676" w:rsidRPr="03C54183">
        <w:rPr>
          <w:rFonts w:ascii="Calibri" w:eastAsia="Aptos" w:hAnsi="Calibri" w:cs="Calibri"/>
        </w:rPr>
        <w:t xml:space="preserve">an </w:t>
      </w:r>
      <w:r w:rsidRPr="03C54183">
        <w:rPr>
          <w:rFonts w:ascii="Calibri" w:eastAsia="Aptos" w:hAnsi="Calibri" w:cs="Calibri"/>
        </w:rPr>
        <w:t xml:space="preserve">expanded </w:t>
      </w:r>
      <w:r w:rsidR="00F76E22" w:rsidRPr="03C54183">
        <w:rPr>
          <w:rFonts w:ascii="Calibri" w:eastAsia="Aptos" w:hAnsi="Calibri" w:cs="Calibri"/>
        </w:rPr>
        <w:t>ASC</w:t>
      </w:r>
      <w:r w:rsidRPr="03C54183">
        <w:rPr>
          <w:rFonts w:ascii="Calibri" w:eastAsia="Aptos" w:hAnsi="Calibri" w:cs="Calibri"/>
        </w:rPr>
        <w:t xml:space="preserve"> will better serve the current patient needs and be positioned to meet the</w:t>
      </w:r>
      <w:r w:rsidR="00F76E22" w:rsidRPr="03C54183">
        <w:rPr>
          <w:rFonts w:ascii="Calibri" w:eastAsia="Aptos" w:hAnsi="Calibri" w:cs="Calibri"/>
        </w:rPr>
        <w:t xml:space="preserve"> future </w:t>
      </w:r>
      <w:r w:rsidRPr="03C54183">
        <w:rPr>
          <w:rFonts w:ascii="Calibri" w:eastAsia="Aptos" w:hAnsi="Calibri" w:cs="Calibri"/>
        </w:rPr>
        <w:t>patient needs.</w:t>
      </w:r>
      <w:r w:rsidR="00F76E22" w:rsidRPr="03C54183">
        <w:rPr>
          <w:rFonts w:ascii="Calibri" w:eastAsia="Aptos" w:hAnsi="Calibri" w:cs="Calibri"/>
        </w:rPr>
        <w:t xml:space="preserve"> Accordingly, t</w:t>
      </w:r>
      <w:r w:rsidRPr="03C54183">
        <w:rPr>
          <w:rFonts w:ascii="Calibri" w:eastAsia="Aptos" w:hAnsi="Calibri" w:cs="Calibri"/>
        </w:rPr>
        <w:t>he</w:t>
      </w:r>
      <w:r w:rsidR="00242DB1" w:rsidRPr="03C54183">
        <w:rPr>
          <w:rFonts w:ascii="Calibri" w:eastAsia="Aptos" w:hAnsi="Calibri" w:cs="Calibri"/>
        </w:rPr>
        <w:t>y believe that the</w:t>
      </w:r>
      <w:r w:rsidRPr="03C54183">
        <w:rPr>
          <w:rFonts w:ascii="Calibri" w:eastAsia="Aptos" w:hAnsi="Calibri" w:cs="Calibri"/>
        </w:rPr>
        <w:t xml:space="preserve"> Proposed </w:t>
      </w:r>
      <w:r w:rsidRPr="03C54183">
        <w:rPr>
          <w:rFonts w:ascii="Calibri" w:eastAsia="Aptos" w:hAnsi="Calibri" w:cs="Calibri"/>
        </w:rPr>
        <w:lastRenderedPageBreak/>
        <w:t>Project will benefit both the ASC's existing patient panel as well as the New Physicians' patient panel.</w:t>
      </w:r>
    </w:p>
    <w:p w14:paraId="2AFE169C" w14:textId="77777777" w:rsidR="00362B3B" w:rsidRPr="00362B3B" w:rsidRDefault="00362B3B" w:rsidP="00362B3B">
      <w:pPr>
        <w:spacing w:after="160" w:line="259" w:lineRule="auto"/>
        <w:rPr>
          <w:rFonts w:ascii="Aptos" w:eastAsia="Aptos" w:hAnsi="Aptos" w:cs="Aptos"/>
          <w:b/>
          <w:bCs/>
        </w:rPr>
      </w:pPr>
      <w:r w:rsidRPr="00362B3B">
        <w:rPr>
          <w:rFonts w:ascii="Aptos" w:eastAsia="Aptos" w:hAnsi="Aptos" w:cs="Aptos"/>
          <w:b/>
          <w:bCs/>
        </w:rPr>
        <w:t>Projections</w:t>
      </w:r>
    </w:p>
    <w:p w14:paraId="70B6361C" w14:textId="17765C31" w:rsidR="00362B3B" w:rsidRPr="00362B3B" w:rsidRDefault="00362B3B" w:rsidP="00701F0C">
      <w:pPr>
        <w:rPr>
          <w:rFonts w:ascii="Calibri" w:eastAsia="Times New Roman" w:hAnsi="Calibri" w:cs="Calibri"/>
        </w:rPr>
      </w:pPr>
      <w:r w:rsidRPr="00362B3B">
        <w:rPr>
          <w:rFonts w:ascii="Calibri" w:eastAsia="Aptos" w:hAnsi="Calibri" w:cs="Calibri"/>
        </w:rPr>
        <w:t>As indicated above, historical volume trends indicate utilization rates at and above capacity for the GI procedures provided by the Applicant</w:t>
      </w:r>
      <w:r w:rsidR="00F85CD4">
        <w:rPr>
          <w:rFonts w:ascii="Calibri" w:eastAsia="Aptos" w:hAnsi="Calibri" w:cs="Calibri"/>
        </w:rPr>
        <w:t>’s ORs</w:t>
      </w:r>
      <w:r w:rsidRPr="00362B3B">
        <w:rPr>
          <w:rFonts w:ascii="Calibri" w:eastAsia="Aptos" w:hAnsi="Calibri" w:cs="Calibri"/>
        </w:rPr>
        <w:t xml:space="preserve">. </w:t>
      </w:r>
      <w:r w:rsidRPr="00362B3B">
        <w:rPr>
          <w:rFonts w:ascii="Calibri" w:eastAsia="Times New Roman" w:hAnsi="Calibri" w:cs="Calibri"/>
        </w:rPr>
        <w:t xml:space="preserve">The physicians who perform procedures at the Applicant's ASC also perform procedures at local community hospitals. </w:t>
      </w:r>
    </w:p>
    <w:p w14:paraId="1946CF67" w14:textId="77777777" w:rsidR="00362B3B" w:rsidRPr="00362B3B" w:rsidRDefault="00362B3B" w:rsidP="00701F0C">
      <w:pPr>
        <w:rPr>
          <w:rFonts w:ascii="Calibri" w:eastAsia="Times New Roman" w:hAnsi="Calibri" w:cs="Calibri"/>
        </w:rPr>
      </w:pPr>
    </w:p>
    <w:p w14:paraId="4C8F6661" w14:textId="7F0D2D7B" w:rsidR="00362B3B" w:rsidRPr="00362B3B" w:rsidRDefault="27777369" w:rsidP="00701F0C">
      <w:pPr>
        <w:rPr>
          <w:rFonts w:ascii="Calibri" w:eastAsia="Aptos" w:hAnsi="Calibri" w:cs="Calibri"/>
        </w:rPr>
      </w:pPr>
      <w:r w:rsidRPr="4E2208F8">
        <w:rPr>
          <w:rFonts w:ascii="Calibri" w:eastAsia="Times New Roman" w:hAnsi="Calibri" w:cs="Calibri"/>
        </w:rPr>
        <w:t>If the ASC expansion is approved</w:t>
      </w:r>
      <w:r w:rsidR="00362B3B" w:rsidRPr="4E2208F8">
        <w:rPr>
          <w:rFonts w:ascii="Calibri" w:eastAsia="Times New Roman" w:hAnsi="Calibri" w:cs="Calibri"/>
        </w:rPr>
        <w:t xml:space="preserve">, the year 1 (2025) </w:t>
      </w:r>
      <w:r w:rsidR="009B2016" w:rsidRPr="4E2208F8">
        <w:rPr>
          <w:rFonts w:ascii="Calibri" w:eastAsia="Times New Roman" w:hAnsi="Calibri" w:cs="Calibri"/>
        </w:rPr>
        <w:t xml:space="preserve">growth </w:t>
      </w:r>
      <w:r w:rsidR="00362B3B" w:rsidRPr="4E2208F8">
        <w:rPr>
          <w:rFonts w:ascii="Calibri" w:eastAsia="Times New Roman" w:hAnsi="Calibri" w:cs="Calibri"/>
        </w:rPr>
        <w:t>for existing physicians i</w:t>
      </w:r>
      <w:r w:rsidR="009B2016" w:rsidRPr="4E2208F8">
        <w:rPr>
          <w:rFonts w:ascii="Calibri" w:eastAsia="Times New Roman" w:hAnsi="Calibri" w:cs="Calibri"/>
        </w:rPr>
        <w:t>s pr</w:t>
      </w:r>
      <w:r w:rsidR="6B30E234" w:rsidRPr="4E2208F8">
        <w:rPr>
          <w:rFonts w:ascii="Calibri" w:eastAsia="Times New Roman" w:hAnsi="Calibri" w:cs="Calibri"/>
        </w:rPr>
        <w:t>o</w:t>
      </w:r>
      <w:r w:rsidR="009B2016" w:rsidRPr="4E2208F8">
        <w:rPr>
          <w:rFonts w:ascii="Calibri" w:eastAsia="Times New Roman" w:hAnsi="Calibri" w:cs="Calibri"/>
        </w:rPr>
        <w:t>jected to be</w:t>
      </w:r>
      <w:r w:rsidR="00C93F2E" w:rsidRPr="4E2208F8">
        <w:rPr>
          <w:rFonts w:ascii="Calibri" w:eastAsia="Times New Roman" w:hAnsi="Calibri" w:cs="Calibri"/>
        </w:rPr>
        <w:t xml:space="preserve"> </w:t>
      </w:r>
      <w:r w:rsidR="00362B3B" w:rsidRPr="4E2208F8">
        <w:rPr>
          <w:rFonts w:ascii="Calibri" w:eastAsia="Times New Roman" w:hAnsi="Calibri" w:cs="Calibri"/>
        </w:rPr>
        <w:t>~10% over the current annualized 2024 volume</w:t>
      </w:r>
      <w:r w:rsidR="00C93F2E" w:rsidRPr="4E2208F8">
        <w:rPr>
          <w:rFonts w:ascii="Calibri" w:eastAsia="Times New Roman" w:hAnsi="Calibri" w:cs="Calibri"/>
        </w:rPr>
        <w:t xml:space="preserve"> (see Table 6)</w:t>
      </w:r>
      <w:r w:rsidR="00362B3B" w:rsidRPr="4E2208F8">
        <w:rPr>
          <w:rFonts w:ascii="Calibri" w:eastAsia="Times New Roman" w:hAnsi="Calibri" w:cs="Calibri"/>
        </w:rPr>
        <w:t xml:space="preserve">. This accounts for the shift in ASC eligible procedures </w:t>
      </w:r>
      <w:r w:rsidR="00400CA8" w:rsidRPr="4E2208F8">
        <w:rPr>
          <w:rFonts w:ascii="Calibri" w:eastAsia="Times New Roman" w:hAnsi="Calibri" w:cs="Calibri"/>
        </w:rPr>
        <w:t xml:space="preserve">currently </w:t>
      </w:r>
      <w:r w:rsidR="00362B3B" w:rsidRPr="4E2208F8">
        <w:rPr>
          <w:rFonts w:ascii="Calibri" w:eastAsia="Times New Roman" w:hAnsi="Calibri" w:cs="Calibri"/>
        </w:rPr>
        <w:t>being performed at HOPDs. For the New Physicians</w:t>
      </w:r>
      <w:r w:rsidR="003525C6" w:rsidRPr="4E2208F8">
        <w:rPr>
          <w:rFonts w:ascii="Calibri" w:eastAsia="Times New Roman" w:hAnsi="Calibri" w:cs="Calibri"/>
        </w:rPr>
        <w:t>,</w:t>
      </w:r>
      <w:r w:rsidR="00362B3B" w:rsidRPr="4E2208F8">
        <w:rPr>
          <w:rFonts w:ascii="Calibri" w:eastAsia="Times New Roman" w:hAnsi="Calibri" w:cs="Calibri"/>
        </w:rPr>
        <w:t xml:space="preserve"> year 1 volume is based on New Physicians</w:t>
      </w:r>
      <w:r w:rsidR="00E705A1" w:rsidRPr="4E2208F8">
        <w:rPr>
          <w:rFonts w:ascii="Calibri" w:eastAsia="Times New Roman" w:hAnsi="Calibri" w:cs="Calibri"/>
        </w:rPr>
        <w:t>’</w:t>
      </w:r>
      <w:r w:rsidR="00362B3B" w:rsidRPr="4E2208F8">
        <w:rPr>
          <w:rFonts w:ascii="Calibri" w:eastAsia="Times New Roman" w:hAnsi="Calibri" w:cs="Calibri"/>
        </w:rPr>
        <w:t xml:space="preserve"> evaluation of </w:t>
      </w:r>
      <w:r w:rsidR="003525C6" w:rsidRPr="4E2208F8">
        <w:rPr>
          <w:rFonts w:ascii="Calibri" w:eastAsia="Times New Roman" w:hAnsi="Calibri" w:cs="Calibri"/>
        </w:rPr>
        <w:t xml:space="preserve">current </w:t>
      </w:r>
      <w:r w:rsidR="00362B3B" w:rsidRPr="4E2208F8">
        <w:rPr>
          <w:rFonts w:ascii="Calibri" w:eastAsia="Times New Roman" w:hAnsi="Calibri" w:cs="Calibri"/>
        </w:rPr>
        <w:t xml:space="preserve">cases that would be eligible for an ASC setting. The Applicant forecasts that </w:t>
      </w:r>
      <w:r w:rsidR="007A060A" w:rsidRPr="4E2208F8">
        <w:rPr>
          <w:rFonts w:ascii="Calibri" w:eastAsia="Times New Roman" w:hAnsi="Calibri" w:cs="Calibri"/>
        </w:rPr>
        <w:t>~</w:t>
      </w:r>
      <w:r w:rsidR="00362B3B" w:rsidRPr="4E2208F8">
        <w:rPr>
          <w:rFonts w:ascii="Calibri" w:eastAsia="Times New Roman" w:hAnsi="Calibri" w:cs="Calibri"/>
        </w:rPr>
        <w:t xml:space="preserve">40% of future case volume at the new expanded Facility will originate from the New Physicians. </w:t>
      </w:r>
    </w:p>
    <w:p w14:paraId="3457676A" w14:textId="77777777" w:rsidR="00362B3B" w:rsidRPr="00362B3B" w:rsidRDefault="00362B3B" w:rsidP="00701F0C">
      <w:pPr>
        <w:rPr>
          <w:rFonts w:ascii="Calibri" w:eastAsia="Aptos" w:hAnsi="Calibri" w:cs="Calibri"/>
        </w:rPr>
      </w:pPr>
    </w:p>
    <w:p w14:paraId="18270EA0" w14:textId="37DE892D" w:rsidR="00362B3B" w:rsidRPr="00362B3B" w:rsidRDefault="00362B3B" w:rsidP="00701F0C">
      <w:pPr>
        <w:rPr>
          <w:rFonts w:ascii="Calibri" w:eastAsia="Aptos" w:hAnsi="Calibri" w:cs="Calibri"/>
        </w:rPr>
      </w:pPr>
      <w:r w:rsidRPr="00362B3B">
        <w:rPr>
          <w:rFonts w:ascii="Calibri" w:eastAsia="Aptos" w:hAnsi="Calibri" w:cs="Calibri"/>
        </w:rPr>
        <w:t xml:space="preserve">Following the initial </w:t>
      </w:r>
      <w:r w:rsidR="00D51AE5">
        <w:rPr>
          <w:rFonts w:ascii="Calibri" w:eastAsia="Aptos" w:hAnsi="Calibri" w:cs="Calibri"/>
        </w:rPr>
        <w:t xml:space="preserve">year one </w:t>
      </w:r>
      <w:r w:rsidRPr="00362B3B">
        <w:rPr>
          <w:rFonts w:ascii="Calibri" w:eastAsia="Aptos" w:hAnsi="Calibri" w:cs="Calibri"/>
        </w:rPr>
        <w:t xml:space="preserve">shift in </w:t>
      </w:r>
      <w:r w:rsidR="004360C1">
        <w:rPr>
          <w:rFonts w:ascii="Calibri" w:eastAsia="Aptos" w:hAnsi="Calibri" w:cs="Calibri"/>
        </w:rPr>
        <w:t xml:space="preserve">ASC </w:t>
      </w:r>
      <w:r w:rsidRPr="00362B3B">
        <w:rPr>
          <w:rFonts w:ascii="Calibri" w:eastAsia="Aptos" w:hAnsi="Calibri" w:cs="Calibri"/>
        </w:rPr>
        <w:t>eligible procedures, the Applicant has applied a</w:t>
      </w:r>
      <w:r w:rsidR="007A060A" w:rsidRPr="007A060A">
        <w:rPr>
          <w:rFonts w:ascii="Calibri" w:eastAsia="Aptos" w:hAnsi="Calibri" w:cs="Calibri"/>
        </w:rPr>
        <w:t xml:space="preserve"> </w:t>
      </w:r>
      <w:r w:rsidR="007A060A" w:rsidRPr="00362B3B">
        <w:rPr>
          <w:rFonts w:ascii="Calibri" w:eastAsia="Aptos" w:hAnsi="Calibri" w:cs="Calibri"/>
        </w:rPr>
        <w:t>year-over-year</w:t>
      </w:r>
      <w:r w:rsidR="00D51AE5">
        <w:rPr>
          <w:rFonts w:ascii="Calibri" w:eastAsia="Aptos" w:hAnsi="Calibri" w:cs="Calibri"/>
        </w:rPr>
        <w:t xml:space="preserve"> </w:t>
      </w:r>
      <w:r w:rsidRPr="00362B3B">
        <w:rPr>
          <w:rFonts w:ascii="Calibri" w:eastAsia="Aptos" w:hAnsi="Calibri" w:cs="Calibri"/>
        </w:rPr>
        <w:t>3% growth rate to both existing and New Physicians case</w:t>
      </w:r>
      <w:r w:rsidR="00A52DF1">
        <w:rPr>
          <w:rFonts w:ascii="Calibri" w:eastAsia="Aptos" w:hAnsi="Calibri" w:cs="Calibri"/>
        </w:rPr>
        <w:t xml:space="preserve">s </w:t>
      </w:r>
      <w:r w:rsidRPr="00362B3B">
        <w:rPr>
          <w:rFonts w:ascii="Calibri" w:eastAsia="Aptos" w:hAnsi="Calibri" w:cs="Calibri"/>
        </w:rPr>
        <w:t>to reflect demographic trends</w:t>
      </w:r>
      <w:r w:rsidR="00A52DF1">
        <w:rPr>
          <w:rFonts w:ascii="Calibri" w:eastAsia="Aptos" w:hAnsi="Calibri" w:cs="Calibri"/>
        </w:rPr>
        <w:t>,</w:t>
      </w:r>
      <w:r w:rsidRPr="00362B3B">
        <w:rPr>
          <w:rFonts w:ascii="Calibri" w:eastAsia="Aptos" w:hAnsi="Calibri" w:cs="Calibri"/>
        </w:rPr>
        <w:t xml:space="preserve"> and the market shift to outpatient GI procedures. (Table </w:t>
      </w:r>
      <w:r w:rsidR="00C93F2E">
        <w:rPr>
          <w:rFonts w:ascii="Calibri" w:eastAsia="Aptos" w:hAnsi="Calibri" w:cs="Calibri"/>
        </w:rPr>
        <w:t>7</w:t>
      </w:r>
      <w:r w:rsidRPr="00362B3B">
        <w:rPr>
          <w:rFonts w:ascii="Calibri" w:eastAsia="Aptos" w:hAnsi="Calibri" w:cs="Calibri"/>
        </w:rPr>
        <w:t xml:space="preserve">). </w:t>
      </w:r>
    </w:p>
    <w:p w14:paraId="2D68BDAF" w14:textId="77777777" w:rsidR="00362B3B" w:rsidRPr="00362B3B" w:rsidRDefault="00362B3B" w:rsidP="00362B3B">
      <w:pPr>
        <w:rPr>
          <w:rFonts w:ascii="Calibri" w:eastAsia="Aptos" w:hAnsi="Calibri" w:cs="Calibri"/>
        </w:rPr>
      </w:pPr>
    </w:p>
    <w:p w14:paraId="2641A6D6" w14:textId="72573E90" w:rsidR="00362B3B" w:rsidRPr="00362B3B" w:rsidRDefault="00362B3B" w:rsidP="00362B3B">
      <w:pPr>
        <w:spacing w:after="160" w:line="259" w:lineRule="auto"/>
        <w:jc w:val="center"/>
        <w:rPr>
          <w:rFonts w:ascii="Calibri" w:eastAsia="Aptos" w:hAnsi="Calibri" w:cs="Calibri"/>
          <w:b/>
          <w:bCs/>
        </w:rPr>
      </w:pPr>
      <w:r w:rsidRPr="00362B3B">
        <w:rPr>
          <w:rFonts w:ascii="Calibri" w:eastAsia="Aptos" w:hAnsi="Calibri" w:cs="Calibri"/>
          <w:b/>
          <w:bCs/>
        </w:rPr>
        <w:t xml:space="preserve">Table </w:t>
      </w:r>
      <w:r w:rsidR="00C93F2E" w:rsidRPr="00C93F2E">
        <w:rPr>
          <w:rFonts w:ascii="Calibri" w:eastAsia="Aptos" w:hAnsi="Calibri" w:cs="Calibri"/>
          <w:b/>
          <w:bCs/>
        </w:rPr>
        <w:t>7</w:t>
      </w:r>
      <w:r w:rsidRPr="00362B3B">
        <w:rPr>
          <w:rFonts w:ascii="Calibri" w:eastAsia="Aptos" w:hAnsi="Calibri" w:cs="Calibri"/>
          <w:b/>
          <w:bCs/>
        </w:rPr>
        <w:t xml:space="preserve">: 5-year </w:t>
      </w:r>
      <w:r w:rsidR="00C93F2E" w:rsidRPr="00C93F2E">
        <w:rPr>
          <w:rFonts w:ascii="Calibri" w:eastAsia="Aptos" w:hAnsi="Calibri" w:cs="Calibri"/>
          <w:b/>
          <w:bCs/>
        </w:rPr>
        <w:t>Volume Projections</w:t>
      </w:r>
    </w:p>
    <w:tbl>
      <w:tblPr>
        <w:tblW w:w="9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0"/>
        <w:gridCol w:w="990"/>
        <w:gridCol w:w="990"/>
        <w:gridCol w:w="990"/>
        <w:gridCol w:w="1080"/>
        <w:gridCol w:w="1005"/>
      </w:tblGrid>
      <w:tr w:rsidR="00362B3B" w:rsidRPr="002A5C4E" w14:paraId="5D1EA747" w14:textId="77777777" w:rsidTr="00EB1086">
        <w:trPr>
          <w:cantSplit/>
          <w:trHeight w:val="458"/>
          <w:tblHeader/>
          <w:jc w:val="center"/>
        </w:trPr>
        <w:tc>
          <w:tcPr>
            <w:tcW w:w="4230" w:type="dxa"/>
            <w:shd w:val="clear" w:color="auto" w:fill="D9FFFF"/>
          </w:tcPr>
          <w:p w14:paraId="7D6A9D96" w14:textId="77777777" w:rsidR="00362B3B" w:rsidRPr="002A5C4E" w:rsidRDefault="00362B3B" w:rsidP="00362B3B">
            <w:pPr>
              <w:rPr>
                <w:rFonts w:eastAsia="Aptos"/>
                <w:b/>
                <w:bCs/>
              </w:rPr>
            </w:pPr>
            <w:r w:rsidRPr="002A5C4E">
              <w:rPr>
                <w:rFonts w:eastAsia="Aptos"/>
                <w:b/>
                <w:bCs/>
              </w:rPr>
              <w:t>Physician Cases</w:t>
            </w:r>
          </w:p>
        </w:tc>
        <w:tc>
          <w:tcPr>
            <w:tcW w:w="990" w:type="dxa"/>
            <w:shd w:val="clear" w:color="auto" w:fill="D9FFFF"/>
          </w:tcPr>
          <w:p w14:paraId="7E2C7F45" w14:textId="77777777" w:rsidR="00362B3B" w:rsidRPr="002A5C4E" w:rsidRDefault="00362B3B" w:rsidP="00362B3B">
            <w:pPr>
              <w:jc w:val="center"/>
              <w:rPr>
                <w:rFonts w:eastAsia="Aptos"/>
                <w:b/>
                <w:bCs/>
              </w:rPr>
            </w:pPr>
            <w:r w:rsidRPr="002A5C4E">
              <w:rPr>
                <w:rFonts w:eastAsia="Aptos"/>
                <w:b/>
                <w:bCs/>
              </w:rPr>
              <w:t>2025</w:t>
            </w:r>
          </w:p>
          <w:p w14:paraId="0C1B7CF8" w14:textId="77777777" w:rsidR="00362B3B" w:rsidRPr="002A5C4E" w:rsidRDefault="00362B3B" w:rsidP="00362B3B">
            <w:pPr>
              <w:jc w:val="center"/>
              <w:rPr>
                <w:rFonts w:eastAsia="Aptos"/>
                <w:b/>
                <w:bCs/>
              </w:rPr>
            </w:pPr>
            <w:r w:rsidRPr="002A5C4E">
              <w:rPr>
                <w:rFonts w:eastAsia="Aptos"/>
                <w:b/>
                <w:bCs/>
              </w:rPr>
              <w:t>(4 ORs)</w:t>
            </w:r>
          </w:p>
        </w:tc>
        <w:tc>
          <w:tcPr>
            <w:tcW w:w="990" w:type="dxa"/>
            <w:shd w:val="clear" w:color="auto" w:fill="D9FFFF"/>
          </w:tcPr>
          <w:p w14:paraId="1595F629" w14:textId="77777777" w:rsidR="00362B3B" w:rsidRPr="002A5C4E" w:rsidRDefault="00362B3B" w:rsidP="00362B3B">
            <w:pPr>
              <w:ind w:left="-112" w:right="-104"/>
              <w:jc w:val="center"/>
              <w:rPr>
                <w:rFonts w:eastAsia="Aptos"/>
                <w:b/>
                <w:bCs/>
              </w:rPr>
            </w:pPr>
            <w:r w:rsidRPr="002A5C4E">
              <w:rPr>
                <w:rFonts w:eastAsia="Aptos"/>
                <w:b/>
                <w:bCs/>
              </w:rPr>
              <w:t>2026</w:t>
            </w:r>
          </w:p>
          <w:p w14:paraId="351141FC" w14:textId="6AEAFF59" w:rsidR="00362B3B" w:rsidRPr="002A5C4E" w:rsidRDefault="00362B3B" w:rsidP="00362B3B">
            <w:pPr>
              <w:jc w:val="center"/>
              <w:rPr>
                <w:rFonts w:eastAsia="Aptos"/>
                <w:b/>
                <w:bCs/>
              </w:rPr>
            </w:pPr>
            <w:r w:rsidRPr="03C54183">
              <w:rPr>
                <w:rFonts w:eastAsia="Aptos"/>
                <w:b/>
                <w:bCs/>
              </w:rPr>
              <w:t xml:space="preserve">(4 </w:t>
            </w:r>
            <w:r w:rsidR="46B3F05F" w:rsidRPr="03C54183">
              <w:rPr>
                <w:rFonts w:eastAsia="Aptos"/>
                <w:b/>
                <w:bCs/>
              </w:rPr>
              <w:t>ORs</w:t>
            </w:r>
            <w:r w:rsidRPr="03C54183">
              <w:rPr>
                <w:rFonts w:eastAsia="Aptos"/>
                <w:b/>
                <w:bCs/>
              </w:rPr>
              <w:t>)</w:t>
            </w:r>
          </w:p>
        </w:tc>
        <w:tc>
          <w:tcPr>
            <w:tcW w:w="990" w:type="dxa"/>
            <w:shd w:val="clear" w:color="auto" w:fill="D9FFFF"/>
          </w:tcPr>
          <w:p w14:paraId="721D3823" w14:textId="77777777" w:rsidR="00362B3B" w:rsidRPr="002A5C4E" w:rsidRDefault="00362B3B" w:rsidP="00362B3B">
            <w:pPr>
              <w:jc w:val="center"/>
              <w:rPr>
                <w:rFonts w:eastAsia="Aptos"/>
                <w:b/>
                <w:bCs/>
              </w:rPr>
            </w:pPr>
            <w:r w:rsidRPr="002A5C4E">
              <w:rPr>
                <w:rFonts w:eastAsia="Aptos"/>
                <w:b/>
                <w:bCs/>
              </w:rPr>
              <w:t>2027</w:t>
            </w:r>
          </w:p>
          <w:p w14:paraId="65FF7D84" w14:textId="76B7E900" w:rsidR="00362B3B" w:rsidRPr="002A5C4E" w:rsidRDefault="00362B3B" w:rsidP="00362B3B">
            <w:pPr>
              <w:jc w:val="center"/>
              <w:rPr>
                <w:rFonts w:eastAsia="Aptos"/>
                <w:b/>
                <w:bCs/>
              </w:rPr>
            </w:pPr>
            <w:r w:rsidRPr="03C54183">
              <w:rPr>
                <w:rFonts w:eastAsia="Aptos"/>
                <w:b/>
                <w:bCs/>
              </w:rPr>
              <w:t xml:space="preserve">(4 </w:t>
            </w:r>
            <w:r w:rsidR="6E753138" w:rsidRPr="03C54183">
              <w:rPr>
                <w:rFonts w:eastAsia="Aptos"/>
                <w:b/>
                <w:bCs/>
              </w:rPr>
              <w:t>O</w:t>
            </w:r>
            <w:r w:rsidRPr="03C54183">
              <w:rPr>
                <w:rFonts w:eastAsia="Aptos"/>
                <w:b/>
                <w:bCs/>
              </w:rPr>
              <w:t>Rs)</w:t>
            </w:r>
          </w:p>
        </w:tc>
        <w:tc>
          <w:tcPr>
            <w:tcW w:w="1080" w:type="dxa"/>
            <w:shd w:val="clear" w:color="auto" w:fill="D9FFFF"/>
          </w:tcPr>
          <w:p w14:paraId="157F12E3" w14:textId="77777777" w:rsidR="00362B3B" w:rsidRPr="002A5C4E" w:rsidRDefault="00362B3B" w:rsidP="00362B3B">
            <w:pPr>
              <w:jc w:val="center"/>
              <w:rPr>
                <w:rFonts w:eastAsia="Aptos"/>
                <w:b/>
                <w:bCs/>
              </w:rPr>
            </w:pPr>
            <w:r w:rsidRPr="002A5C4E">
              <w:rPr>
                <w:rFonts w:eastAsia="Aptos"/>
                <w:b/>
                <w:bCs/>
              </w:rPr>
              <w:t>2028</w:t>
            </w:r>
          </w:p>
          <w:p w14:paraId="47045173" w14:textId="40CB660E" w:rsidR="00362B3B" w:rsidRPr="002A5C4E" w:rsidRDefault="00362B3B" w:rsidP="00362B3B">
            <w:pPr>
              <w:jc w:val="center"/>
              <w:rPr>
                <w:rFonts w:eastAsia="Aptos"/>
                <w:b/>
                <w:bCs/>
              </w:rPr>
            </w:pPr>
            <w:r w:rsidRPr="03C54183">
              <w:rPr>
                <w:rFonts w:eastAsia="Aptos"/>
                <w:b/>
                <w:bCs/>
              </w:rPr>
              <w:t xml:space="preserve">(4 </w:t>
            </w:r>
            <w:r w:rsidR="693CF71B" w:rsidRPr="03C54183">
              <w:rPr>
                <w:rFonts w:eastAsia="Aptos"/>
                <w:b/>
                <w:bCs/>
              </w:rPr>
              <w:t>O</w:t>
            </w:r>
            <w:r w:rsidRPr="03C54183">
              <w:rPr>
                <w:rFonts w:eastAsia="Aptos"/>
                <w:b/>
                <w:bCs/>
              </w:rPr>
              <w:t>Rs)</w:t>
            </w:r>
          </w:p>
        </w:tc>
        <w:tc>
          <w:tcPr>
            <w:tcW w:w="1005" w:type="dxa"/>
            <w:shd w:val="clear" w:color="auto" w:fill="D9FFFF"/>
          </w:tcPr>
          <w:p w14:paraId="0BB59175" w14:textId="77777777" w:rsidR="00362B3B" w:rsidRPr="002A5C4E" w:rsidRDefault="00362B3B" w:rsidP="00362B3B">
            <w:pPr>
              <w:jc w:val="center"/>
              <w:rPr>
                <w:rFonts w:eastAsia="Aptos"/>
                <w:b/>
                <w:bCs/>
              </w:rPr>
            </w:pPr>
            <w:r w:rsidRPr="002A5C4E">
              <w:rPr>
                <w:rFonts w:eastAsia="Aptos"/>
                <w:b/>
                <w:bCs/>
              </w:rPr>
              <w:t>2029</w:t>
            </w:r>
          </w:p>
          <w:p w14:paraId="4F99DF77" w14:textId="68AABB40" w:rsidR="00362B3B" w:rsidRPr="002A5C4E" w:rsidRDefault="00362B3B" w:rsidP="00362B3B">
            <w:pPr>
              <w:jc w:val="center"/>
              <w:rPr>
                <w:rFonts w:eastAsia="Aptos"/>
                <w:b/>
                <w:bCs/>
              </w:rPr>
            </w:pPr>
            <w:r w:rsidRPr="03C54183">
              <w:rPr>
                <w:rFonts w:eastAsia="Aptos"/>
                <w:b/>
                <w:bCs/>
              </w:rPr>
              <w:t xml:space="preserve">(4 </w:t>
            </w:r>
            <w:r w:rsidR="7107E9D2" w:rsidRPr="03C54183">
              <w:rPr>
                <w:rFonts w:eastAsia="Aptos"/>
                <w:b/>
                <w:bCs/>
              </w:rPr>
              <w:t>O</w:t>
            </w:r>
            <w:r w:rsidRPr="03C54183">
              <w:rPr>
                <w:rFonts w:eastAsia="Aptos"/>
                <w:b/>
                <w:bCs/>
              </w:rPr>
              <w:t>Rs)</w:t>
            </w:r>
          </w:p>
        </w:tc>
      </w:tr>
      <w:tr w:rsidR="00362B3B" w:rsidRPr="002A5C4E" w14:paraId="2F37E97A" w14:textId="77777777" w:rsidTr="00EB1086">
        <w:trPr>
          <w:cantSplit/>
          <w:trHeight w:val="377"/>
          <w:jc w:val="center"/>
        </w:trPr>
        <w:tc>
          <w:tcPr>
            <w:tcW w:w="4230" w:type="dxa"/>
            <w:shd w:val="clear" w:color="auto" w:fill="auto"/>
          </w:tcPr>
          <w:p w14:paraId="7C0440D5" w14:textId="77777777" w:rsidR="00362B3B" w:rsidRPr="002A5C4E" w:rsidRDefault="00362B3B" w:rsidP="00362B3B">
            <w:pPr>
              <w:rPr>
                <w:rFonts w:eastAsia="Aptos"/>
              </w:rPr>
            </w:pPr>
            <w:r w:rsidRPr="002A5C4E">
              <w:rPr>
                <w:rFonts w:eastAsia="Aptos"/>
              </w:rPr>
              <w:t>Existing Physicians Cases</w:t>
            </w:r>
          </w:p>
        </w:tc>
        <w:tc>
          <w:tcPr>
            <w:tcW w:w="990" w:type="dxa"/>
            <w:shd w:val="clear" w:color="auto" w:fill="auto"/>
          </w:tcPr>
          <w:p w14:paraId="4A3816C0" w14:textId="77777777" w:rsidR="00362B3B" w:rsidRPr="002A5C4E" w:rsidRDefault="00362B3B" w:rsidP="00362B3B">
            <w:pPr>
              <w:jc w:val="right"/>
              <w:rPr>
                <w:rFonts w:eastAsia="Aptos"/>
              </w:rPr>
            </w:pPr>
            <w:r w:rsidRPr="002A5C4E">
              <w:rPr>
                <w:rFonts w:eastAsia="Aptos"/>
              </w:rPr>
              <w:t>7,595</w:t>
            </w:r>
          </w:p>
        </w:tc>
        <w:tc>
          <w:tcPr>
            <w:tcW w:w="990" w:type="dxa"/>
            <w:shd w:val="clear" w:color="auto" w:fill="auto"/>
          </w:tcPr>
          <w:p w14:paraId="64CDA8D4" w14:textId="77777777" w:rsidR="00362B3B" w:rsidRPr="002A5C4E" w:rsidRDefault="00362B3B" w:rsidP="00362B3B">
            <w:pPr>
              <w:jc w:val="right"/>
              <w:rPr>
                <w:rFonts w:eastAsia="Aptos"/>
              </w:rPr>
            </w:pPr>
            <w:r w:rsidRPr="002A5C4E">
              <w:rPr>
                <w:rFonts w:eastAsia="Aptos"/>
              </w:rPr>
              <w:t>7,823</w:t>
            </w:r>
          </w:p>
        </w:tc>
        <w:tc>
          <w:tcPr>
            <w:tcW w:w="990" w:type="dxa"/>
          </w:tcPr>
          <w:p w14:paraId="40D2A821" w14:textId="77777777" w:rsidR="00362B3B" w:rsidRPr="002A5C4E" w:rsidRDefault="00362B3B" w:rsidP="00362B3B">
            <w:pPr>
              <w:jc w:val="right"/>
              <w:rPr>
                <w:rFonts w:eastAsia="Aptos"/>
              </w:rPr>
            </w:pPr>
            <w:r w:rsidRPr="002A5C4E">
              <w:rPr>
                <w:rFonts w:eastAsia="Aptos"/>
              </w:rPr>
              <w:t>8,058</w:t>
            </w:r>
          </w:p>
        </w:tc>
        <w:tc>
          <w:tcPr>
            <w:tcW w:w="1080" w:type="dxa"/>
          </w:tcPr>
          <w:p w14:paraId="6C88CF08" w14:textId="77777777" w:rsidR="00362B3B" w:rsidRPr="002A5C4E" w:rsidRDefault="00362B3B" w:rsidP="00362B3B">
            <w:pPr>
              <w:jc w:val="right"/>
              <w:rPr>
                <w:rFonts w:eastAsia="Aptos"/>
              </w:rPr>
            </w:pPr>
            <w:r w:rsidRPr="002A5C4E">
              <w:rPr>
                <w:rFonts w:eastAsia="Aptos"/>
              </w:rPr>
              <w:t>8,300</w:t>
            </w:r>
          </w:p>
        </w:tc>
        <w:tc>
          <w:tcPr>
            <w:tcW w:w="1005" w:type="dxa"/>
            <w:shd w:val="clear" w:color="auto" w:fill="auto"/>
          </w:tcPr>
          <w:p w14:paraId="577B45F7" w14:textId="77777777" w:rsidR="00362B3B" w:rsidRPr="002A5C4E" w:rsidRDefault="00362B3B" w:rsidP="00362B3B">
            <w:pPr>
              <w:jc w:val="right"/>
              <w:rPr>
                <w:rFonts w:eastAsia="Aptos"/>
              </w:rPr>
            </w:pPr>
            <w:r w:rsidRPr="002A5C4E">
              <w:rPr>
                <w:rFonts w:eastAsia="Aptos"/>
              </w:rPr>
              <w:t>8,548</w:t>
            </w:r>
          </w:p>
        </w:tc>
      </w:tr>
      <w:tr w:rsidR="00362B3B" w:rsidRPr="002A5C4E" w14:paraId="36FBDE9D" w14:textId="77777777" w:rsidTr="00EB1086">
        <w:trPr>
          <w:cantSplit/>
          <w:jc w:val="center"/>
        </w:trPr>
        <w:tc>
          <w:tcPr>
            <w:tcW w:w="4230" w:type="dxa"/>
            <w:shd w:val="clear" w:color="auto" w:fill="auto"/>
          </w:tcPr>
          <w:p w14:paraId="0F04B182" w14:textId="77777777" w:rsidR="00362B3B" w:rsidRPr="002A5C4E" w:rsidRDefault="00362B3B" w:rsidP="00362B3B">
            <w:pPr>
              <w:rPr>
                <w:rFonts w:eastAsia="Aptos"/>
              </w:rPr>
            </w:pPr>
            <w:r w:rsidRPr="002A5C4E">
              <w:rPr>
                <w:rFonts w:eastAsia="Aptos"/>
              </w:rPr>
              <w:t>Existing Physicians Annual Growth %</w:t>
            </w:r>
          </w:p>
        </w:tc>
        <w:tc>
          <w:tcPr>
            <w:tcW w:w="990" w:type="dxa"/>
            <w:shd w:val="clear" w:color="auto" w:fill="auto"/>
          </w:tcPr>
          <w:p w14:paraId="421A86F1" w14:textId="77777777" w:rsidR="00362B3B" w:rsidRPr="002A5C4E" w:rsidRDefault="00362B3B" w:rsidP="00362B3B">
            <w:pPr>
              <w:jc w:val="right"/>
              <w:rPr>
                <w:rFonts w:eastAsia="Aptos"/>
              </w:rPr>
            </w:pPr>
          </w:p>
        </w:tc>
        <w:tc>
          <w:tcPr>
            <w:tcW w:w="990" w:type="dxa"/>
            <w:shd w:val="clear" w:color="auto" w:fill="auto"/>
          </w:tcPr>
          <w:p w14:paraId="0EB7A6AB" w14:textId="77777777" w:rsidR="00362B3B" w:rsidRPr="002A5C4E" w:rsidRDefault="00362B3B" w:rsidP="00362B3B">
            <w:pPr>
              <w:jc w:val="right"/>
              <w:rPr>
                <w:rFonts w:eastAsia="Aptos"/>
              </w:rPr>
            </w:pPr>
            <w:r w:rsidRPr="002A5C4E">
              <w:rPr>
                <w:rFonts w:eastAsia="Aptos"/>
              </w:rPr>
              <w:t>3%</w:t>
            </w:r>
          </w:p>
        </w:tc>
        <w:tc>
          <w:tcPr>
            <w:tcW w:w="990" w:type="dxa"/>
          </w:tcPr>
          <w:p w14:paraId="36819CCD" w14:textId="77777777" w:rsidR="00362B3B" w:rsidRPr="002A5C4E" w:rsidRDefault="00362B3B" w:rsidP="00362B3B">
            <w:pPr>
              <w:jc w:val="right"/>
              <w:rPr>
                <w:rFonts w:eastAsia="Aptos"/>
              </w:rPr>
            </w:pPr>
            <w:r w:rsidRPr="002A5C4E">
              <w:rPr>
                <w:rFonts w:eastAsia="Aptos"/>
              </w:rPr>
              <w:t>3%</w:t>
            </w:r>
          </w:p>
        </w:tc>
        <w:tc>
          <w:tcPr>
            <w:tcW w:w="1080" w:type="dxa"/>
          </w:tcPr>
          <w:p w14:paraId="25694488" w14:textId="77777777" w:rsidR="00362B3B" w:rsidRPr="002A5C4E" w:rsidRDefault="00362B3B" w:rsidP="00362B3B">
            <w:pPr>
              <w:jc w:val="right"/>
              <w:rPr>
                <w:rFonts w:eastAsia="Aptos"/>
              </w:rPr>
            </w:pPr>
            <w:r w:rsidRPr="002A5C4E">
              <w:rPr>
                <w:rFonts w:eastAsia="Aptos"/>
              </w:rPr>
              <w:t>3%</w:t>
            </w:r>
          </w:p>
        </w:tc>
        <w:tc>
          <w:tcPr>
            <w:tcW w:w="1005" w:type="dxa"/>
            <w:shd w:val="clear" w:color="auto" w:fill="auto"/>
          </w:tcPr>
          <w:p w14:paraId="5276EA00" w14:textId="77777777" w:rsidR="00362B3B" w:rsidRPr="002A5C4E" w:rsidRDefault="00362B3B" w:rsidP="00362B3B">
            <w:pPr>
              <w:jc w:val="right"/>
              <w:rPr>
                <w:rFonts w:eastAsia="Aptos"/>
              </w:rPr>
            </w:pPr>
            <w:r w:rsidRPr="002A5C4E">
              <w:rPr>
                <w:rFonts w:eastAsia="Aptos"/>
              </w:rPr>
              <w:t>3%</w:t>
            </w:r>
          </w:p>
        </w:tc>
      </w:tr>
      <w:tr w:rsidR="00362B3B" w:rsidRPr="002A5C4E" w14:paraId="33030FB8" w14:textId="77777777" w:rsidTr="00EB1086">
        <w:trPr>
          <w:cantSplit/>
          <w:jc w:val="center"/>
        </w:trPr>
        <w:tc>
          <w:tcPr>
            <w:tcW w:w="4230" w:type="dxa"/>
            <w:shd w:val="clear" w:color="auto" w:fill="auto"/>
          </w:tcPr>
          <w:p w14:paraId="7797F3FD" w14:textId="77777777" w:rsidR="00362B3B" w:rsidRPr="002A5C4E" w:rsidRDefault="00362B3B" w:rsidP="00362B3B">
            <w:pPr>
              <w:rPr>
                <w:rFonts w:eastAsia="Aptos"/>
              </w:rPr>
            </w:pPr>
            <w:r w:rsidRPr="002A5C4E">
              <w:rPr>
                <w:rFonts w:eastAsia="Aptos"/>
              </w:rPr>
              <w:t>New Physicians Cases</w:t>
            </w:r>
          </w:p>
        </w:tc>
        <w:tc>
          <w:tcPr>
            <w:tcW w:w="990" w:type="dxa"/>
            <w:shd w:val="clear" w:color="auto" w:fill="auto"/>
          </w:tcPr>
          <w:p w14:paraId="1B7831A4" w14:textId="77777777" w:rsidR="00362B3B" w:rsidRPr="002A5C4E" w:rsidRDefault="00362B3B" w:rsidP="00362B3B">
            <w:pPr>
              <w:jc w:val="right"/>
              <w:rPr>
                <w:rFonts w:eastAsia="Aptos"/>
              </w:rPr>
            </w:pPr>
            <w:r w:rsidRPr="002A5C4E">
              <w:rPr>
                <w:rFonts w:eastAsia="Aptos"/>
              </w:rPr>
              <w:t>4,505</w:t>
            </w:r>
          </w:p>
        </w:tc>
        <w:tc>
          <w:tcPr>
            <w:tcW w:w="990" w:type="dxa"/>
            <w:shd w:val="clear" w:color="auto" w:fill="auto"/>
          </w:tcPr>
          <w:p w14:paraId="6D151673" w14:textId="77777777" w:rsidR="00362B3B" w:rsidRPr="002A5C4E" w:rsidRDefault="00362B3B" w:rsidP="00362B3B">
            <w:pPr>
              <w:jc w:val="right"/>
              <w:rPr>
                <w:rFonts w:eastAsia="Aptos"/>
              </w:rPr>
            </w:pPr>
            <w:r w:rsidRPr="002A5C4E">
              <w:rPr>
                <w:rFonts w:eastAsia="Aptos"/>
              </w:rPr>
              <w:t>4,641</w:t>
            </w:r>
          </w:p>
        </w:tc>
        <w:tc>
          <w:tcPr>
            <w:tcW w:w="990" w:type="dxa"/>
          </w:tcPr>
          <w:p w14:paraId="5D0B2A9E" w14:textId="77777777" w:rsidR="00362B3B" w:rsidRPr="002A5C4E" w:rsidRDefault="00362B3B" w:rsidP="00362B3B">
            <w:pPr>
              <w:jc w:val="right"/>
              <w:rPr>
                <w:rFonts w:eastAsia="Aptos"/>
              </w:rPr>
            </w:pPr>
            <w:r w:rsidRPr="002A5C4E">
              <w:rPr>
                <w:rFonts w:eastAsia="Aptos"/>
              </w:rPr>
              <w:t>4,780</w:t>
            </w:r>
          </w:p>
        </w:tc>
        <w:tc>
          <w:tcPr>
            <w:tcW w:w="1080" w:type="dxa"/>
          </w:tcPr>
          <w:p w14:paraId="106EDE85" w14:textId="77777777" w:rsidR="00362B3B" w:rsidRPr="002A5C4E" w:rsidRDefault="00362B3B" w:rsidP="00362B3B">
            <w:pPr>
              <w:jc w:val="right"/>
              <w:rPr>
                <w:rFonts w:eastAsia="Aptos"/>
              </w:rPr>
            </w:pPr>
            <w:r w:rsidRPr="002A5C4E">
              <w:rPr>
                <w:rFonts w:eastAsia="Aptos"/>
              </w:rPr>
              <w:t>4,923</w:t>
            </w:r>
          </w:p>
        </w:tc>
        <w:tc>
          <w:tcPr>
            <w:tcW w:w="1005" w:type="dxa"/>
            <w:shd w:val="clear" w:color="auto" w:fill="auto"/>
          </w:tcPr>
          <w:p w14:paraId="085B561B" w14:textId="77777777" w:rsidR="00362B3B" w:rsidRPr="002A5C4E" w:rsidRDefault="00362B3B" w:rsidP="00362B3B">
            <w:pPr>
              <w:jc w:val="right"/>
              <w:rPr>
                <w:rFonts w:eastAsia="Aptos"/>
              </w:rPr>
            </w:pPr>
            <w:r w:rsidRPr="002A5C4E">
              <w:rPr>
                <w:rFonts w:eastAsia="Aptos"/>
              </w:rPr>
              <w:t>5,071</w:t>
            </w:r>
          </w:p>
        </w:tc>
      </w:tr>
      <w:tr w:rsidR="00362B3B" w:rsidRPr="002A5C4E" w14:paraId="7287069F" w14:textId="77777777" w:rsidTr="00EB1086">
        <w:trPr>
          <w:cantSplit/>
          <w:jc w:val="center"/>
        </w:trPr>
        <w:tc>
          <w:tcPr>
            <w:tcW w:w="4230" w:type="dxa"/>
            <w:shd w:val="clear" w:color="auto" w:fill="auto"/>
          </w:tcPr>
          <w:p w14:paraId="177ECB61" w14:textId="77777777" w:rsidR="00362B3B" w:rsidRPr="002A5C4E" w:rsidRDefault="00362B3B" w:rsidP="00362B3B">
            <w:pPr>
              <w:rPr>
                <w:rFonts w:eastAsia="Aptos"/>
              </w:rPr>
            </w:pPr>
            <w:r w:rsidRPr="002A5C4E">
              <w:rPr>
                <w:rFonts w:eastAsia="Aptos"/>
              </w:rPr>
              <w:t>New Physicians Cases Annual Growth %</w:t>
            </w:r>
          </w:p>
        </w:tc>
        <w:tc>
          <w:tcPr>
            <w:tcW w:w="990" w:type="dxa"/>
            <w:shd w:val="clear" w:color="auto" w:fill="auto"/>
          </w:tcPr>
          <w:p w14:paraId="764D114A" w14:textId="77777777" w:rsidR="00362B3B" w:rsidRPr="002A5C4E" w:rsidRDefault="00362B3B" w:rsidP="00362B3B">
            <w:pPr>
              <w:jc w:val="right"/>
              <w:rPr>
                <w:rFonts w:eastAsia="Aptos"/>
              </w:rPr>
            </w:pPr>
          </w:p>
        </w:tc>
        <w:tc>
          <w:tcPr>
            <w:tcW w:w="990" w:type="dxa"/>
            <w:shd w:val="clear" w:color="auto" w:fill="auto"/>
          </w:tcPr>
          <w:p w14:paraId="059D47E9" w14:textId="77777777" w:rsidR="00362B3B" w:rsidRPr="002A5C4E" w:rsidRDefault="00362B3B" w:rsidP="00362B3B">
            <w:pPr>
              <w:jc w:val="right"/>
              <w:rPr>
                <w:rFonts w:eastAsia="Aptos"/>
              </w:rPr>
            </w:pPr>
            <w:r w:rsidRPr="002A5C4E">
              <w:rPr>
                <w:rFonts w:eastAsia="Aptos"/>
              </w:rPr>
              <w:t>3%</w:t>
            </w:r>
          </w:p>
        </w:tc>
        <w:tc>
          <w:tcPr>
            <w:tcW w:w="990" w:type="dxa"/>
          </w:tcPr>
          <w:p w14:paraId="7DDC6B37" w14:textId="77777777" w:rsidR="00362B3B" w:rsidRPr="002A5C4E" w:rsidRDefault="00362B3B" w:rsidP="00362B3B">
            <w:pPr>
              <w:jc w:val="right"/>
              <w:rPr>
                <w:rFonts w:eastAsia="Aptos"/>
              </w:rPr>
            </w:pPr>
            <w:r w:rsidRPr="002A5C4E">
              <w:rPr>
                <w:rFonts w:eastAsia="Aptos"/>
              </w:rPr>
              <w:t>3%</w:t>
            </w:r>
          </w:p>
        </w:tc>
        <w:tc>
          <w:tcPr>
            <w:tcW w:w="1080" w:type="dxa"/>
          </w:tcPr>
          <w:p w14:paraId="0C0A1851" w14:textId="77777777" w:rsidR="00362B3B" w:rsidRPr="002A5C4E" w:rsidRDefault="00362B3B" w:rsidP="00362B3B">
            <w:pPr>
              <w:jc w:val="right"/>
              <w:rPr>
                <w:rFonts w:eastAsia="Aptos"/>
              </w:rPr>
            </w:pPr>
            <w:r w:rsidRPr="002A5C4E">
              <w:rPr>
                <w:rFonts w:eastAsia="Aptos"/>
              </w:rPr>
              <w:t>3%</w:t>
            </w:r>
          </w:p>
        </w:tc>
        <w:tc>
          <w:tcPr>
            <w:tcW w:w="1005" w:type="dxa"/>
            <w:shd w:val="clear" w:color="auto" w:fill="auto"/>
          </w:tcPr>
          <w:p w14:paraId="7A538E4D" w14:textId="77777777" w:rsidR="00362B3B" w:rsidRPr="002A5C4E" w:rsidRDefault="00362B3B" w:rsidP="00362B3B">
            <w:pPr>
              <w:jc w:val="right"/>
              <w:rPr>
                <w:rFonts w:eastAsia="Aptos"/>
              </w:rPr>
            </w:pPr>
            <w:r w:rsidRPr="002A5C4E">
              <w:rPr>
                <w:rFonts w:eastAsia="Aptos"/>
              </w:rPr>
              <w:t>3%</w:t>
            </w:r>
          </w:p>
        </w:tc>
      </w:tr>
      <w:tr w:rsidR="00362B3B" w:rsidRPr="002A5C4E" w14:paraId="0022208A" w14:textId="77777777" w:rsidTr="00EB1086">
        <w:trPr>
          <w:cantSplit/>
          <w:jc w:val="center"/>
        </w:trPr>
        <w:tc>
          <w:tcPr>
            <w:tcW w:w="4230" w:type="dxa"/>
            <w:shd w:val="clear" w:color="auto" w:fill="auto"/>
          </w:tcPr>
          <w:p w14:paraId="4115FC45" w14:textId="77777777" w:rsidR="00362B3B" w:rsidRPr="002A5C4E" w:rsidRDefault="00362B3B" w:rsidP="00362B3B">
            <w:pPr>
              <w:rPr>
                <w:rFonts w:eastAsia="Aptos"/>
              </w:rPr>
            </w:pPr>
            <w:r w:rsidRPr="002A5C4E">
              <w:rPr>
                <w:rFonts w:eastAsia="Aptos"/>
              </w:rPr>
              <w:t>Total Cases</w:t>
            </w:r>
          </w:p>
        </w:tc>
        <w:tc>
          <w:tcPr>
            <w:tcW w:w="990" w:type="dxa"/>
            <w:shd w:val="clear" w:color="auto" w:fill="auto"/>
          </w:tcPr>
          <w:p w14:paraId="037BBC4F" w14:textId="77777777" w:rsidR="00362B3B" w:rsidRPr="002A5C4E" w:rsidRDefault="00362B3B" w:rsidP="00362B3B">
            <w:pPr>
              <w:jc w:val="right"/>
              <w:rPr>
                <w:rFonts w:eastAsia="Aptos"/>
              </w:rPr>
            </w:pPr>
            <w:r w:rsidRPr="002A5C4E">
              <w:rPr>
                <w:rFonts w:eastAsia="Aptos"/>
              </w:rPr>
              <w:t>12,101</w:t>
            </w:r>
          </w:p>
        </w:tc>
        <w:tc>
          <w:tcPr>
            <w:tcW w:w="990" w:type="dxa"/>
            <w:shd w:val="clear" w:color="auto" w:fill="auto"/>
          </w:tcPr>
          <w:p w14:paraId="3CF3E2FD" w14:textId="77777777" w:rsidR="00362B3B" w:rsidRPr="002A5C4E" w:rsidRDefault="00362B3B" w:rsidP="00362B3B">
            <w:pPr>
              <w:jc w:val="right"/>
              <w:rPr>
                <w:rFonts w:eastAsia="Aptos"/>
              </w:rPr>
            </w:pPr>
            <w:r w:rsidRPr="002A5C4E">
              <w:rPr>
                <w:rFonts w:eastAsia="Aptos"/>
              </w:rPr>
              <w:t>12,464</w:t>
            </w:r>
          </w:p>
        </w:tc>
        <w:tc>
          <w:tcPr>
            <w:tcW w:w="990" w:type="dxa"/>
          </w:tcPr>
          <w:p w14:paraId="7357D7E7" w14:textId="77777777" w:rsidR="00362B3B" w:rsidRPr="002A5C4E" w:rsidRDefault="00362B3B" w:rsidP="00362B3B">
            <w:pPr>
              <w:jc w:val="right"/>
              <w:rPr>
                <w:rFonts w:eastAsia="Aptos"/>
              </w:rPr>
            </w:pPr>
            <w:r w:rsidRPr="002A5C4E">
              <w:rPr>
                <w:rFonts w:eastAsia="Aptos"/>
              </w:rPr>
              <w:t>12,838</w:t>
            </w:r>
          </w:p>
        </w:tc>
        <w:tc>
          <w:tcPr>
            <w:tcW w:w="1080" w:type="dxa"/>
          </w:tcPr>
          <w:p w14:paraId="0C02AA83" w14:textId="77777777" w:rsidR="00362B3B" w:rsidRPr="002A5C4E" w:rsidRDefault="00362B3B" w:rsidP="00362B3B">
            <w:pPr>
              <w:jc w:val="right"/>
              <w:rPr>
                <w:rFonts w:eastAsia="Aptos"/>
              </w:rPr>
            </w:pPr>
            <w:r w:rsidRPr="002A5C4E">
              <w:rPr>
                <w:rFonts w:eastAsia="Aptos"/>
              </w:rPr>
              <w:t>13,223</w:t>
            </w:r>
          </w:p>
        </w:tc>
        <w:tc>
          <w:tcPr>
            <w:tcW w:w="1005" w:type="dxa"/>
            <w:shd w:val="clear" w:color="auto" w:fill="auto"/>
          </w:tcPr>
          <w:p w14:paraId="5D542527" w14:textId="77777777" w:rsidR="00362B3B" w:rsidRPr="002A5C4E" w:rsidRDefault="00362B3B" w:rsidP="00362B3B">
            <w:pPr>
              <w:jc w:val="right"/>
              <w:rPr>
                <w:rFonts w:eastAsia="Aptos"/>
              </w:rPr>
            </w:pPr>
            <w:r w:rsidRPr="002A5C4E">
              <w:rPr>
                <w:rFonts w:eastAsia="Aptos"/>
              </w:rPr>
              <w:t>13,619</w:t>
            </w:r>
          </w:p>
        </w:tc>
      </w:tr>
      <w:tr w:rsidR="00362B3B" w:rsidRPr="002A5C4E" w14:paraId="0426E6F5" w14:textId="77777777" w:rsidTr="00EB1086">
        <w:trPr>
          <w:cantSplit/>
          <w:jc w:val="center"/>
        </w:trPr>
        <w:tc>
          <w:tcPr>
            <w:tcW w:w="4230" w:type="dxa"/>
            <w:shd w:val="clear" w:color="auto" w:fill="auto"/>
          </w:tcPr>
          <w:p w14:paraId="3846F9AB" w14:textId="77777777" w:rsidR="00362B3B" w:rsidRPr="002A5C4E" w:rsidRDefault="00362B3B" w:rsidP="00362B3B">
            <w:pPr>
              <w:rPr>
                <w:rFonts w:eastAsia="Aptos"/>
              </w:rPr>
            </w:pPr>
            <w:r w:rsidRPr="002A5C4E">
              <w:rPr>
                <w:rFonts w:eastAsia="Aptos"/>
              </w:rPr>
              <w:t>Total Cases Annual Growth %</w:t>
            </w:r>
          </w:p>
        </w:tc>
        <w:tc>
          <w:tcPr>
            <w:tcW w:w="990" w:type="dxa"/>
            <w:shd w:val="clear" w:color="auto" w:fill="auto"/>
          </w:tcPr>
          <w:p w14:paraId="15E4DD0E" w14:textId="77777777" w:rsidR="00362B3B" w:rsidRPr="002A5C4E" w:rsidRDefault="00362B3B" w:rsidP="00362B3B">
            <w:pPr>
              <w:jc w:val="right"/>
              <w:rPr>
                <w:rFonts w:eastAsia="Aptos"/>
              </w:rPr>
            </w:pPr>
            <w:r w:rsidRPr="002A5C4E">
              <w:rPr>
                <w:rFonts w:eastAsia="Aptos"/>
              </w:rPr>
              <w:t>64%</w:t>
            </w:r>
          </w:p>
        </w:tc>
        <w:tc>
          <w:tcPr>
            <w:tcW w:w="990" w:type="dxa"/>
            <w:shd w:val="clear" w:color="auto" w:fill="auto"/>
          </w:tcPr>
          <w:p w14:paraId="08013256" w14:textId="77777777" w:rsidR="00362B3B" w:rsidRPr="002A5C4E" w:rsidRDefault="00362B3B" w:rsidP="00362B3B">
            <w:pPr>
              <w:jc w:val="right"/>
              <w:rPr>
                <w:rFonts w:eastAsia="Aptos"/>
              </w:rPr>
            </w:pPr>
            <w:r w:rsidRPr="002A5C4E">
              <w:rPr>
                <w:rFonts w:eastAsia="Aptos"/>
              </w:rPr>
              <w:t>3%</w:t>
            </w:r>
          </w:p>
        </w:tc>
        <w:tc>
          <w:tcPr>
            <w:tcW w:w="990" w:type="dxa"/>
          </w:tcPr>
          <w:p w14:paraId="30F4D553" w14:textId="77777777" w:rsidR="00362B3B" w:rsidRPr="002A5C4E" w:rsidRDefault="00362B3B" w:rsidP="00362B3B">
            <w:pPr>
              <w:jc w:val="right"/>
              <w:rPr>
                <w:rFonts w:eastAsia="Aptos"/>
              </w:rPr>
            </w:pPr>
            <w:r w:rsidRPr="002A5C4E">
              <w:rPr>
                <w:rFonts w:eastAsia="Aptos"/>
              </w:rPr>
              <w:t>3%</w:t>
            </w:r>
          </w:p>
        </w:tc>
        <w:tc>
          <w:tcPr>
            <w:tcW w:w="1080" w:type="dxa"/>
          </w:tcPr>
          <w:p w14:paraId="3BA8A0F4" w14:textId="77777777" w:rsidR="00362B3B" w:rsidRPr="002A5C4E" w:rsidRDefault="00362B3B" w:rsidP="00362B3B">
            <w:pPr>
              <w:jc w:val="right"/>
              <w:rPr>
                <w:rFonts w:eastAsia="Aptos"/>
              </w:rPr>
            </w:pPr>
            <w:r w:rsidRPr="002A5C4E">
              <w:rPr>
                <w:rFonts w:eastAsia="Aptos"/>
              </w:rPr>
              <w:t>3%</w:t>
            </w:r>
          </w:p>
        </w:tc>
        <w:tc>
          <w:tcPr>
            <w:tcW w:w="1005" w:type="dxa"/>
            <w:shd w:val="clear" w:color="auto" w:fill="auto"/>
          </w:tcPr>
          <w:p w14:paraId="4F337546" w14:textId="77777777" w:rsidR="00362B3B" w:rsidRPr="002A5C4E" w:rsidRDefault="00362B3B" w:rsidP="00362B3B">
            <w:pPr>
              <w:jc w:val="right"/>
              <w:rPr>
                <w:rFonts w:eastAsia="Aptos"/>
              </w:rPr>
            </w:pPr>
            <w:r w:rsidRPr="002A5C4E">
              <w:rPr>
                <w:rFonts w:eastAsia="Aptos"/>
              </w:rPr>
              <w:t>3%</w:t>
            </w:r>
          </w:p>
        </w:tc>
      </w:tr>
    </w:tbl>
    <w:p w14:paraId="580C3DB6" w14:textId="77777777" w:rsidR="0062616D" w:rsidRPr="00915552" w:rsidRDefault="0062616D" w:rsidP="00915552"/>
    <w:p w14:paraId="2BFE8E62" w14:textId="5E00DCB0" w:rsidR="00306606" w:rsidRDefault="00306606" w:rsidP="00BF0CCD">
      <w:pPr>
        <w:spacing w:after="200"/>
        <w:rPr>
          <w:rFonts w:ascii="Calibri" w:eastAsia="Calibri" w:hAnsi="Calibri" w:cs="Calibri"/>
          <w:b/>
          <w:bCs/>
          <w:i/>
          <w:iCs/>
        </w:rPr>
      </w:pPr>
      <w:bookmarkStart w:id="32" w:name="_Toc28797402"/>
      <w:bookmarkStart w:id="33" w:name="_Toc17151180"/>
      <w:bookmarkStart w:id="34" w:name="_Toc17322392"/>
      <w:bookmarkStart w:id="35" w:name="_Toc18922408"/>
      <w:bookmarkStart w:id="36" w:name="_Toc17322387"/>
      <w:bookmarkStart w:id="37" w:name="_Toc18922403"/>
      <w:bookmarkEnd w:id="15"/>
      <w:r w:rsidRPr="00306606">
        <w:rPr>
          <w:rFonts w:ascii="Calibri" w:eastAsia="Calibri" w:hAnsi="Calibri" w:cs="Calibri"/>
          <w:b/>
          <w:bCs/>
          <w:i/>
          <w:iCs/>
        </w:rPr>
        <w:t>Analysis</w:t>
      </w:r>
    </w:p>
    <w:p w14:paraId="7CC90CB3" w14:textId="6FB57DA8" w:rsidR="00383072" w:rsidRDefault="005851B5" w:rsidP="00FA6D63">
      <w:pPr>
        <w:rPr>
          <w:rFonts w:ascii="Calibri" w:eastAsia="Calibri" w:hAnsi="Calibri" w:cs="Calibri"/>
        </w:rPr>
      </w:pPr>
      <w:r w:rsidRPr="03C54183">
        <w:rPr>
          <w:rFonts w:ascii="Calibri" w:eastAsia="Calibri" w:hAnsi="Calibri" w:cs="Calibri"/>
        </w:rPr>
        <w:t>Based on the Applicant</w:t>
      </w:r>
      <w:r w:rsidR="00087151" w:rsidRPr="03C54183">
        <w:rPr>
          <w:rFonts w:ascii="Calibri" w:eastAsia="Calibri" w:hAnsi="Calibri" w:cs="Calibri"/>
        </w:rPr>
        <w:t>’</w:t>
      </w:r>
      <w:r w:rsidRPr="03C54183">
        <w:rPr>
          <w:rFonts w:ascii="Calibri" w:eastAsia="Calibri" w:hAnsi="Calibri" w:cs="Calibri"/>
        </w:rPr>
        <w:t xml:space="preserve">s calculation that 6,366 procedures is </w:t>
      </w:r>
      <w:r w:rsidR="00566908" w:rsidRPr="03C54183">
        <w:rPr>
          <w:rFonts w:ascii="Calibri" w:eastAsia="Calibri" w:hAnsi="Calibri" w:cs="Calibri"/>
        </w:rPr>
        <w:t xml:space="preserve">the total </w:t>
      </w:r>
      <w:r w:rsidRPr="03C54183">
        <w:rPr>
          <w:rFonts w:ascii="Calibri" w:eastAsia="Calibri" w:hAnsi="Calibri" w:cs="Calibri"/>
        </w:rPr>
        <w:t xml:space="preserve">capacity with 2 ORs, capacity will double </w:t>
      </w:r>
      <w:r w:rsidR="003F07D1" w:rsidRPr="03C54183">
        <w:rPr>
          <w:rFonts w:ascii="Calibri" w:eastAsia="Calibri" w:hAnsi="Calibri" w:cs="Calibri"/>
        </w:rPr>
        <w:t xml:space="preserve">and </w:t>
      </w:r>
      <w:r w:rsidR="00AD7209" w:rsidRPr="03C54183">
        <w:rPr>
          <w:rFonts w:ascii="Calibri" w:eastAsia="Calibri" w:hAnsi="Calibri" w:cs="Calibri"/>
        </w:rPr>
        <w:t xml:space="preserve">therefore </w:t>
      </w:r>
      <w:r w:rsidR="00566908" w:rsidRPr="03C54183">
        <w:rPr>
          <w:rFonts w:ascii="Calibri" w:eastAsia="Calibri" w:hAnsi="Calibri" w:cs="Calibri"/>
        </w:rPr>
        <w:t xml:space="preserve">100% </w:t>
      </w:r>
      <w:r w:rsidRPr="03C54183">
        <w:rPr>
          <w:rFonts w:ascii="Calibri" w:eastAsia="Calibri" w:hAnsi="Calibri" w:cs="Calibri"/>
        </w:rPr>
        <w:t>capacity would be reached at 12,732 procedures</w:t>
      </w:r>
      <w:r w:rsidR="009358B5" w:rsidRPr="03C54183">
        <w:rPr>
          <w:rFonts w:ascii="Calibri" w:eastAsia="Calibri" w:hAnsi="Calibri" w:cs="Calibri"/>
        </w:rPr>
        <w:t>,</w:t>
      </w:r>
      <w:r w:rsidR="0076197F" w:rsidRPr="03C54183">
        <w:rPr>
          <w:rFonts w:ascii="Calibri" w:eastAsia="Calibri" w:hAnsi="Calibri" w:cs="Calibri"/>
        </w:rPr>
        <w:t xml:space="preserve"> which </w:t>
      </w:r>
      <w:r w:rsidR="00AD7209" w:rsidRPr="03C54183">
        <w:rPr>
          <w:rFonts w:ascii="Calibri" w:eastAsia="Calibri" w:hAnsi="Calibri" w:cs="Calibri"/>
        </w:rPr>
        <w:t>according</w:t>
      </w:r>
      <w:r w:rsidR="0076197F" w:rsidRPr="03C54183">
        <w:rPr>
          <w:rFonts w:ascii="Calibri" w:eastAsia="Calibri" w:hAnsi="Calibri" w:cs="Calibri"/>
        </w:rPr>
        <w:t xml:space="preserve"> to t</w:t>
      </w:r>
      <w:r w:rsidRPr="03C54183">
        <w:rPr>
          <w:rFonts w:ascii="Calibri" w:eastAsia="Calibri" w:hAnsi="Calibri" w:cs="Calibri"/>
        </w:rPr>
        <w:t>he Applicant</w:t>
      </w:r>
      <w:r w:rsidR="0076197F" w:rsidRPr="03C54183">
        <w:rPr>
          <w:rFonts w:ascii="Calibri" w:eastAsia="Calibri" w:hAnsi="Calibri" w:cs="Calibri"/>
        </w:rPr>
        <w:t>’s</w:t>
      </w:r>
      <w:r w:rsidRPr="03C54183">
        <w:rPr>
          <w:rFonts w:ascii="Calibri" w:eastAsia="Calibri" w:hAnsi="Calibri" w:cs="Calibri"/>
        </w:rPr>
        <w:t xml:space="preserve"> project</w:t>
      </w:r>
      <w:r w:rsidR="0076197F" w:rsidRPr="03C54183">
        <w:rPr>
          <w:rFonts w:ascii="Calibri" w:eastAsia="Calibri" w:hAnsi="Calibri" w:cs="Calibri"/>
        </w:rPr>
        <w:t>ions</w:t>
      </w:r>
      <w:r w:rsidR="009358B5" w:rsidRPr="03C54183">
        <w:rPr>
          <w:rFonts w:ascii="Calibri" w:eastAsia="Calibri" w:hAnsi="Calibri" w:cs="Calibri"/>
        </w:rPr>
        <w:t>,</w:t>
      </w:r>
      <w:r w:rsidRPr="03C54183">
        <w:rPr>
          <w:rFonts w:ascii="Calibri" w:eastAsia="Calibri" w:hAnsi="Calibri" w:cs="Calibri"/>
        </w:rPr>
        <w:t xml:space="preserve"> it will exceed that by 2027</w:t>
      </w:r>
      <w:r w:rsidR="0076197F" w:rsidRPr="03C54183">
        <w:rPr>
          <w:rFonts w:ascii="Calibri" w:eastAsia="Calibri" w:hAnsi="Calibri" w:cs="Calibri"/>
        </w:rPr>
        <w:t xml:space="preserve">. </w:t>
      </w:r>
      <w:r w:rsidR="006C4C63" w:rsidRPr="03C54183">
        <w:rPr>
          <w:rFonts w:ascii="Calibri" w:eastAsia="Calibri" w:hAnsi="Calibri" w:cs="Calibri"/>
        </w:rPr>
        <w:t xml:space="preserve">The Applicant has </w:t>
      </w:r>
      <w:r w:rsidR="00CE6384" w:rsidRPr="03C54183">
        <w:rPr>
          <w:rFonts w:ascii="Calibri" w:eastAsia="Calibri" w:hAnsi="Calibri" w:cs="Calibri"/>
        </w:rPr>
        <w:t>demonstrated</w:t>
      </w:r>
      <w:r w:rsidR="005E219C" w:rsidRPr="03C54183">
        <w:rPr>
          <w:rFonts w:ascii="Calibri" w:eastAsia="Calibri" w:hAnsi="Calibri" w:cs="Calibri"/>
        </w:rPr>
        <w:t xml:space="preserve"> that </w:t>
      </w:r>
      <w:r w:rsidR="001978CA" w:rsidRPr="03C54183">
        <w:rPr>
          <w:rFonts w:ascii="Calibri" w:eastAsia="Calibri" w:hAnsi="Calibri" w:cs="Calibri"/>
        </w:rPr>
        <w:t xml:space="preserve">need exists for the </w:t>
      </w:r>
      <w:r w:rsidR="00611C19" w:rsidRPr="03C54183">
        <w:rPr>
          <w:rFonts w:ascii="Calibri" w:eastAsia="Calibri" w:hAnsi="Calibri" w:cs="Calibri"/>
        </w:rPr>
        <w:t>P</w:t>
      </w:r>
      <w:r w:rsidR="001978CA" w:rsidRPr="03C54183">
        <w:rPr>
          <w:rFonts w:ascii="Calibri" w:eastAsia="Calibri" w:hAnsi="Calibri" w:cs="Calibri"/>
        </w:rPr>
        <w:t xml:space="preserve">roposed </w:t>
      </w:r>
      <w:r w:rsidR="00611C19" w:rsidRPr="03C54183">
        <w:rPr>
          <w:rFonts w:ascii="Calibri" w:eastAsia="Calibri" w:hAnsi="Calibri" w:cs="Calibri"/>
        </w:rPr>
        <w:t>P</w:t>
      </w:r>
      <w:r w:rsidR="001978CA" w:rsidRPr="03C54183">
        <w:rPr>
          <w:rFonts w:ascii="Calibri" w:eastAsia="Calibri" w:hAnsi="Calibri" w:cs="Calibri"/>
        </w:rPr>
        <w:t xml:space="preserve">roject </w:t>
      </w:r>
      <w:r w:rsidR="00611C19" w:rsidRPr="03C54183">
        <w:rPr>
          <w:rFonts w:ascii="Calibri" w:eastAsia="Calibri" w:hAnsi="Calibri" w:cs="Calibri"/>
        </w:rPr>
        <w:t xml:space="preserve">since </w:t>
      </w:r>
      <w:r w:rsidR="005E219C" w:rsidRPr="03C54183">
        <w:rPr>
          <w:rFonts w:ascii="Calibri" w:eastAsia="Calibri" w:hAnsi="Calibri" w:cs="Calibri"/>
        </w:rPr>
        <w:t xml:space="preserve">it is </w:t>
      </w:r>
      <w:r w:rsidR="00CE6384" w:rsidRPr="03C54183">
        <w:rPr>
          <w:rFonts w:ascii="Calibri" w:eastAsia="Calibri" w:hAnsi="Calibri" w:cs="Calibri"/>
        </w:rPr>
        <w:t xml:space="preserve">currently </w:t>
      </w:r>
      <w:r w:rsidR="005E219C" w:rsidRPr="03C54183">
        <w:rPr>
          <w:rFonts w:ascii="Calibri" w:eastAsia="Calibri" w:hAnsi="Calibri" w:cs="Calibri"/>
        </w:rPr>
        <w:t xml:space="preserve">operating at </w:t>
      </w:r>
      <w:r w:rsidR="00CE6384" w:rsidRPr="03C54183">
        <w:rPr>
          <w:rFonts w:ascii="Calibri" w:eastAsia="Calibri" w:hAnsi="Calibri" w:cs="Calibri"/>
        </w:rPr>
        <w:t xml:space="preserve">100% </w:t>
      </w:r>
      <w:r w:rsidR="005E219C" w:rsidRPr="03C54183">
        <w:rPr>
          <w:rFonts w:ascii="Calibri" w:eastAsia="Calibri" w:hAnsi="Calibri" w:cs="Calibri"/>
        </w:rPr>
        <w:t>capacity</w:t>
      </w:r>
      <w:r w:rsidR="00611C19" w:rsidRPr="03C54183">
        <w:rPr>
          <w:rFonts w:ascii="Calibri" w:eastAsia="Calibri" w:hAnsi="Calibri" w:cs="Calibri"/>
        </w:rPr>
        <w:t>.</w:t>
      </w:r>
      <w:r w:rsidR="005E219C" w:rsidRPr="03C54183">
        <w:rPr>
          <w:rFonts w:ascii="Calibri" w:eastAsia="Calibri" w:hAnsi="Calibri" w:cs="Calibri"/>
        </w:rPr>
        <w:t xml:space="preserve"> </w:t>
      </w:r>
      <w:r w:rsidR="00611C19" w:rsidRPr="03C54183">
        <w:rPr>
          <w:rFonts w:ascii="Calibri" w:eastAsia="Calibri" w:hAnsi="Calibri" w:cs="Calibri"/>
        </w:rPr>
        <w:t>Two new operating rooms are</w:t>
      </w:r>
      <w:r w:rsidR="00D008DE" w:rsidRPr="03C54183">
        <w:rPr>
          <w:rFonts w:ascii="Calibri" w:eastAsia="Calibri" w:hAnsi="Calibri" w:cs="Calibri"/>
        </w:rPr>
        <w:t xml:space="preserve"> needed to address t</w:t>
      </w:r>
      <w:r w:rsidR="00611C19" w:rsidRPr="03C54183">
        <w:rPr>
          <w:rFonts w:eastAsia="Aptos"/>
        </w:rPr>
        <w:t xml:space="preserve">he </w:t>
      </w:r>
      <w:r w:rsidR="00D008DE" w:rsidRPr="03C54183">
        <w:rPr>
          <w:rFonts w:eastAsia="Aptos"/>
        </w:rPr>
        <w:t xml:space="preserve">current </w:t>
      </w:r>
      <w:r w:rsidR="00611C19" w:rsidRPr="03C54183">
        <w:rPr>
          <w:rFonts w:eastAsia="Aptos"/>
        </w:rPr>
        <w:t xml:space="preserve">overall </w:t>
      </w:r>
      <w:r w:rsidR="004821E9" w:rsidRPr="03C54183">
        <w:rPr>
          <w:rFonts w:eastAsia="Aptos"/>
        </w:rPr>
        <w:t xml:space="preserve">procedure growth, increased incidence of colon cancer, growth in the aging population, and </w:t>
      </w:r>
      <w:r w:rsidR="0076197F" w:rsidRPr="03C54183">
        <w:rPr>
          <w:rFonts w:eastAsia="Aptos"/>
        </w:rPr>
        <w:t xml:space="preserve">the </w:t>
      </w:r>
      <w:r w:rsidR="004821E9" w:rsidRPr="03C54183">
        <w:rPr>
          <w:rFonts w:eastAsia="Aptos"/>
        </w:rPr>
        <w:t>need to expand upon the limited ASC supply in Massachusetts</w:t>
      </w:r>
      <w:r w:rsidR="1E44F471" w:rsidRPr="03C54183">
        <w:rPr>
          <w:rFonts w:eastAsia="Aptos"/>
        </w:rPr>
        <w:t xml:space="preserve"> and the service area</w:t>
      </w:r>
      <w:r w:rsidR="62B0C8BF" w:rsidRPr="03C54183">
        <w:rPr>
          <w:rFonts w:eastAsia="Aptos"/>
        </w:rPr>
        <w:t>; as stated (under #4 of Need) the Applicant is the only ASC in the service area</w:t>
      </w:r>
      <w:r w:rsidR="1E44F471" w:rsidRPr="03C54183">
        <w:rPr>
          <w:rFonts w:eastAsia="Aptos"/>
        </w:rPr>
        <w:t>.</w:t>
      </w:r>
      <w:r w:rsidR="00FA6D63" w:rsidRPr="03C54183">
        <w:rPr>
          <w:rFonts w:eastAsia="Aptos"/>
        </w:rPr>
        <w:t xml:space="preserve"> </w:t>
      </w:r>
      <w:r w:rsidR="004821E9" w:rsidRPr="03C54183">
        <w:rPr>
          <w:rFonts w:ascii="Calibri" w:eastAsia="Calibri" w:hAnsi="Calibri" w:cs="Calibri"/>
        </w:rPr>
        <w:t xml:space="preserve">To address the need, the Applicant has added five physicians who are </w:t>
      </w:r>
      <w:r w:rsidR="0076197F" w:rsidRPr="03C54183">
        <w:rPr>
          <w:rFonts w:ascii="Calibri" w:eastAsia="Calibri" w:hAnsi="Calibri" w:cs="Calibri"/>
        </w:rPr>
        <w:t xml:space="preserve">experiencing delays in </w:t>
      </w:r>
      <w:r w:rsidR="00540CF0" w:rsidRPr="03C54183">
        <w:rPr>
          <w:rFonts w:ascii="Calibri" w:eastAsia="Calibri" w:hAnsi="Calibri" w:cs="Calibri"/>
        </w:rPr>
        <w:t xml:space="preserve">OR </w:t>
      </w:r>
      <w:r w:rsidR="004821E9" w:rsidRPr="03C54183">
        <w:rPr>
          <w:rFonts w:ascii="Calibri" w:eastAsia="Calibri" w:hAnsi="Calibri" w:cs="Calibri"/>
        </w:rPr>
        <w:t>schedul</w:t>
      </w:r>
      <w:r w:rsidR="0076197F" w:rsidRPr="03C54183">
        <w:rPr>
          <w:rFonts w:ascii="Calibri" w:eastAsia="Calibri" w:hAnsi="Calibri" w:cs="Calibri"/>
        </w:rPr>
        <w:t xml:space="preserve">ing </w:t>
      </w:r>
      <w:r w:rsidR="00540CF0" w:rsidRPr="03C54183">
        <w:rPr>
          <w:rFonts w:ascii="Calibri" w:eastAsia="Calibri" w:hAnsi="Calibri" w:cs="Calibri"/>
        </w:rPr>
        <w:t xml:space="preserve">at </w:t>
      </w:r>
      <w:r w:rsidR="0076197F" w:rsidRPr="03C54183">
        <w:rPr>
          <w:rFonts w:ascii="Calibri" w:eastAsia="Calibri" w:hAnsi="Calibri" w:cs="Calibri"/>
        </w:rPr>
        <w:t>either</w:t>
      </w:r>
      <w:r w:rsidR="004821E9" w:rsidRPr="03C54183">
        <w:rPr>
          <w:rFonts w:ascii="Calibri" w:eastAsia="Calibri" w:hAnsi="Calibri" w:cs="Calibri"/>
        </w:rPr>
        <w:t xml:space="preserve"> </w:t>
      </w:r>
      <w:r w:rsidR="00540CF0" w:rsidRPr="03C54183">
        <w:rPr>
          <w:rFonts w:ascii="Calibri" w:eastAsia="Calibri" w:hAnsi="Calibri" w:cs="Calibri"/>
        </w:rPr>
        <w:t xml:space="preserve">this </w:t>
      </w:r>
      <w:r w:rsidR="004821E9" w:rsidRPr="03C54183">
        <w:rPr>
          <w:rFonts w:ascii="Calibri" w:eastAsia="Calibri" w:hAnsi="Calibri" w:cs="Calibri"/>
        </w:rPr>
        <w:t xml:space="preserve">ASC </w:t>
      </w:r>
      <w:r w:rsidR="0076197F" w:rsidRPr="03C54183">
        <w:rPr>
          <w:rFonts w:ascii="Calibri" w:eastAsia="Calibri" w:hAnsi="Calibri" w:cs="Calibri"/>
        </w:rPr>
        <w:t>or HOPD</w:t>
      </w:r>
      <w:r w:rsidR="00540CF0" w:rsidRPr="03C54183">
        <w:rPr>
          <w:rFonts w:ascii="Calibri" w:eastAsia="Calibri" w:hAnsi="Calibri" w:cs="Calibri"/>
        </w:rPr>
        <w:t>s</w:t>
      </w:r>
      <w:r w:rsidR="0076197F" w:rsidRPr="03C54183">
        <w:rPr>
          <w:rFonts w:ascii="Calibri" w:eastAsia="Calibri" w:hAnsi="Calibri" w:cs="Calibri"/>
        </w:rPr>
        <w:t xml:space="preserve"> </w:t>
      </w:r>
      <w:r w:rsidR="004821E9" w:rsidRPr="03C54183">
        <w:rPr>
          <w:rFonts w:ascii="Calibri" w:eastAsia="Calibri" w:hAnsi="Calibri" w:cs="Calibri"/>
        </w:rPr>
        <w:t>due to the lack availability, other than the Applicant’s two ORs, in the region.</w:t>
      </w:r>
    </w:p>
    <w:p w14:paraId="5BD2BB54" w14:textId="257B0DB1" w:rsidR="004821E9" w:rsidRDefault="004821E9" w:rsidP="00FA6D63">
      <w:pPr>
        <w:rPr>
          <w:rFonts w:ascii="Calibri" w:eastAsia="Calibri" w:hAnsi="Calibri" w:cs="Calibri"/>
        </w:rPr>
      </w:pPr>
      <w:r>
        <w:rPr>
          <w:rFonts w:ascii="Calibri" w:eastAsia="Calibri" w:hAnsi="Calibri" w:cs="Calibri"/>
        </w:rPr>
        <w:t xml:space="preserve"> </w:t>
      </w:r>
    </w:p>
    <w:p w14:paraId="1CA34453" w14:textId="1468B707" w:rsidR="006C4C63" w:rsidRDefault="007236DB" w:rsidP="00BF0CCD">
      <w:pPr>
        <w:spacing w:after="200"/>
        <w:rPr>
          <w:rFonts w:ascii="Calibri" w:eastAsia="Calibri" w:hAnsi="Calibri" w:cs="Calibri"/>
        </w:rPr>
      </w:pPr>
      <w:r w:rsidRPr="7A04B244">
        <w:rPr>
          <w:rFonts w:ascii="Calibri" w:eastAsia="Calibri" w:hAnsi="Calibri" w:cs="Calibri"/>
        </w:rPr>
        <w:lastRenderedPageBreak/>
        <w:t xml:space="preserve"> </w:t>
      </w:r>
      <w:r w:rsidR="64BEBA95" w:rsidRPr="7A04B244">
        <w:rPr>
          <w:rFonts w:ascii="Calibri" w:eastAsia="Calibri" w:hAnsi="Calibri" w:cs="Calibri"/>
        </w:rPr>
        <w:t>T</w:t>
      </w:r>
      <w:r w:rsidR="00523BE2" w:rsidRPr="7A04B244">
        <w:rPr>
          <w:rFonts w:ascii="Calibri" w:eastAsia="Calibri" w:hAnsi="Calibri" w:cs="Calibri"/>
        </w:rPr>
        <w:t xml:space="preserve">he </w:t>
      </w:r>
      <w:r w:rsidR="008F1E3B" w:rsidRPr="7A04B244">
        <w:rPr>
          <w:rFonts w:ascii="Calibri" w:eastAsia="Calibri" w:hAnsi="Calibri" w:cs="Calibri"/>
        </w:rPr>
        <w:t>Applicant’s</w:t>
      </w:r>
      <w:r w:rsidR="00523BE2" w:rsidRPr="7A04B244">
        <w:rPr>
          <w:rFonts w:ascii="Calibri" w:eastAsia="Calibri" w:hAnsi="Calibri" w:cs="Calibri"/>
        </w:rPr>
        <w:t xml:space="preserve"> projections of 3% annual </w:t>
      </w:r>
      <w:r w:rsidR="008F1E3B" w:rsidRPr="7A04B244">
        <w:rPr>
          <w:rFonts w:ascii="Calibri" w:eastAsia="Calibri" w:hAnsi="Calibri" w:cs="Calibri"/>
        </w:rPr>
        <w:t>growth appear reasonable</w:t>
      </w:r>
      <w:r w:rsidR="2A3B6F43" w:rsidRPr="7A04B244">
        <w:rPr>
          <w:rFonts w:ascii="Calibri" w:eastAsia="Calibri" w:hAnsi="Calibri" w:cs="Calibri"/>
        </w:rPr>
        <w:t xml:space="preserve"> given the need for increased screening capacity and market for</w:t>
      </w:r>
      <w:r w:rsidR="59A5B8EB" w:rsidRPr="7A04B244">
        <w:rPr>
          <w:rFonts w:ascii="Calibri" w:eastAsia="Calibri" w:hAnsi="Calibri" w:cs="Calibri"/>
        </w:rPr>
        <w:t>e</w:t>
      </w:r>
      <w:r w:rsidR="2A3B6F43" w:rsidRPr="7A04B244">
        <w:rPr>
          <w:rFonts w:ascii="Calibri" w:eastAsia="Calibri" w:hAnsi="Calibri" w:cs="Calibri"/>
        </w:rPr>
        <w:t>cas</w:t>
      </w:r>
      <w:r w:rsidR="2EACA0A9" w:rsidRPr="7A04B244">
        <w:rPr>
          <w:rFonts w:ascii="Calibri" w:eastAsia="Calibri" w:hAnsi="Calibri" w:cs="Calibri"/>
        </w:rPr>
        <w:t>ts</w:t>
      </w:r>
      <w:r w:rsidR="008F1E3B" w:rsidRPr="7A04B244">
        <w:rPr>
          <w:rFonts w:ascii="Calibri" w:eastAsia="Calibri" w:hAnsi="Calibri" w:cs="Calibri"/>
        </w:rPr>
        <w:t>.</w:t>
      </w:r>
    </w:p>
    <w:p w14:paraId="516E9A32" w14:textId="03BE047B" w:rsidR="00A43951" w:rsidRDefault="00A43951" w:rsidP="005A385E">
      <w:pPr>
        <w:pStyle w:val="Heading2"/>
        <w:spacing w:line="240" w:lineRule="auto"/>
        <w:rPr>
          <w:rFonts w:asciiTheme="minorHAnsi" w:hAnsiTheme="minorHAnsi" w:cstheme="minorHAnsi"/>
          <w:sz w:val="28"/>
          <w:szCs w:val="28"/>
        </w:rPr>
      </w:pPr>
      <w:bookmarkStart w:id="38" w:name="_Toc157428828"/>
      <w:bookmarkStart w:id="39" w:name="_Toc187325896"/>
      <w:r w:rsidRPr="005A385E">
        <w:rPr>
          <w:rFonts w:asciiTheme="minorHAnsi" w:hAnsiTheme="minorHAnsi" w:cstheme="minorHAnsi"/>
          <w:sz w:val="28"/>
          <w:szCs w:val="28"/>
        </w:rPr>
        <w:t xml:space="preserve">Factor 1: b) </w:t>
      </w:r>
      <w:r w:rsidR="004954E4" w:rsidRPr="005A385E">
        <w:rPr>
          <w:rFonts w:asciiTheme="minorHAnsi" w:hAnsiTheme="minorHAnsi" w:cstheme="minorHAnsi"/>
          <w:sz w:val="28"/>
          <w:szCs w:val="28"/>
        </w:rPr>
        <w:t>P</w:t>
      </w:r>
      <w:r w:rsidRPr="005A385E">
        <w:rPr>
          <w:rFonts w:asciiTheme="minorHAnsi" w:hAnsiTheme="minorHAnsi" w:cstheme="minorHAnsi"/>
          <w:sz w:val="28"/>
          <w:szCs w:val="28"/>
        </w:rPr>
        <w:t>ublic health value, improved health outcomes and quality of life; assurances of health equity</w:t>
      </w:r>
      <w:bookmarkEnd w:id="32"/>
      <w:bookmarkEnd w:id="38"/>
      <w:bookmarkEnd w:id="39"/>
      <w:r w:rsidR="00B767A9">
        <w:rPr>
          <w:rFonts w:asciiTheme="minorHAnsi" w:hAnsiTheme="minorHAnsi" w:cstheme="minorHAnsi"/>
          <w:sz w:val="28"/>
          <w:szCs w:val="28"/>
        </w:rPr>
        <w:t xml:space="preserve"> </w:t>
      </w:r>
    </w:p>
    <w:p w14:paraId="6728B545" w14:textId="77777777" w:rsidR="007B1DAB" w:rsidRPr="007B1DAB" w:rsidRDefault="007B1DAB" w:rsidP="007B1DAB"/>
    <w:p w14:paraId="69AE6155" w14:textId="72F06949" w:rsidR="00196BFC" w:rsidRPr="002A5C4E" w:rsidRDefault="00196BFC" w:rsidP="002A5C4E">
      <w:pPr>
        <w:rPr>
          <w:rFonts w:ascii="Calibri" w:hAnsi="Calibri" w:cs="Calibri"/>
        </w:rPr>
      </w:pPr>
      <w:bookmarkStart w:id="40" w:name="_Toc17149377"/>
      <w:bookmarkStart w:id="41" w:name="_Toc17151181"/>
      <w:bookmarkEnd w:id="33"/>
      <w:bookmarkEnd w:id="34"/>
      <w:bookmarkEnd w:id="35"/>
      <w:bookmarkEnd w:id="36"/>
      <w:bookmarkEnd w:id="37"/>
      <w:r w:rsidRPr="002A5C4E">
        <w:rPr>
          <w:rFonts w:ascii="Calibri" w:hAnsi="Calibri" w:cs="Calibri"/>
        </w:rPr>
        <w:t>In this section</w:t>
      </w:r>
      <w:r w:rsidR="00DE4CD3" w:rsidRPr="002A5C4E">
        <w:rPr>
          <w:rFonts w:ascii="Calibri" w:hAnsi="Calibri" w:cs="Calibri"/>
        </w:rPr>
        <w:t xml:space="preserve"> the Applicant must demonstrate that </w:t>
      </w:r>
      <w:r w:rsidRPr="002A5C4E">
        <w:rPr>
          <w:rFonts w:ascii="Calibri" w:hAnsi="Calibri" w:cs="Calibri"/>
        </w:rPr>
        <w:t xml:space="preserve">the Proposed Project adds measurable public health value in terms of improved health outcomes and quality of life </w:t>
      </w:r>
      <w:r w:rsidR="00052556" w:rsidRPr="002A5C4E">
        <w:rPr>
          <w:rFonts w:ascii="Calibri" w:hAnsi="Calibri" w:cs="Calibri"/>
        </w:rPr>
        <w:t>for</w:t>
      </w:r>
      <w:r w:rsidRPr="002A5C4E">
        <w:rPr>
          <w:rFonts w:ascii="Calibri" w:hAnsi="Calibri" w:cs="Calibri"/>
        </w:rPr>
        <w:t xml:space="preserve"> the Applicant’s existing patient panel, while providing reasonable assurances of health equity. </w:t>
      </w:r>
    </w:p>
    <w:p w14:paraId="647D5BF9" w14:textId="77777777" w:rsidR="00C25E7C" w:rsidRPr="002A5C4E" w:rsidRDefault="00C25E7C" w:rsidP="002A5C4E">
      <w:pPr>
        <w:rPr>
          <w:rFonts w:ascii="Calibri" w:hAnsi="Calibri" w:cs="Calibri"/>
        </w:rPr>
      </w:pPr>
    </w:p>
    <w:p w14:paraId="4F5016FE" w14:textId="77777777" w:rsidR="00173EAB" w:rsidRPr="002A5C4E" w:rsidRDefault="00173EAB" w:rsidP="002A5C4E">
      <w:pPr>
        <w:rPr>
          <w:rFonts w:ascii="Calibri" w:hAnsi="Calibri" w:cs="Calibri"/>
          <w:b/>
          <w:bCs/>
        </w:rPr>
      </w:pPr>
      <w:r w:rsidRPr="002A5C4E">
        <w:rPr>
          <w:rFonts w:ascii="Calibri" w:hAnsi="Calibri" w:cs="Calibri"/>
          <w:b/>
          <w:bCs/>
        </w:rPr>
        <w:t xml:space="preserve">Public Health Value/Evidence-Based </w:t>
      </w:r>
    </w:p>
    <w:p w14:paraId="1DFC62CF" w14:textId="3D5DB75C" w:rsidR="00173EAB" w:rsidRPr="002A5C4E" w:rsidRDefault="00173EAB" w:rsidP="002A5C4E">
      <w:pPr>
        <w:rPr>
          <w:rFonts w:ascii="Calibri" w:hAnsi="Calibri" w:cs="Calibri"/>
          <w:b/>
          <w:bCs/>
        </w:rPr>
      </w:pPr>
      <w:r w:rsidRPr="002A5C4E">
        <w:rPr>
          <w:rFonts w:ascii="Calibri" w:hAnsi="Calibri" w:cs="Calibri"/>
          <w:b/>
          <w:bCs/>
        </w:rPr>
        <w:t xml:space="preserve">  </w:t>
      </w:r>
    </w:p>
    <w:p w14:paraId="766753DF" w14:textId="35913D3A" w:rsidR="00173EAB" w:rsidRPr="002A5C4E" w:rsidRDefault="00173EAB" w:rsidP="00701F0C">
      <w:pPr>
        <w:rPr>
          <w:rFonts w:ascii="Calibri" w:hAnsi="Calibri" w:cs="Calibri"/>
        </w:rPr>
      </w:pPr>
      <w:r w:rsidRPr="03C54183">
        <w:rPr>
          <w:rFonts w:ascii="Calibri" w:hAnsi="Calibri" w:cs="Calibri"/>
        </w:rPr>
        <w:t>The Applicant states the expanded capacity will accommodate the growth in demand within the Patient Panel and will increase the Facility’s ability to offer accessible, lower-cost and high-quality GI procedures. Therefore, by increasing the number of booking slots, for this diagnostic screening and treatment modality, more cancers will be either ruled out or detected early and the public’s health will benefit.</w:t>
      </w:r>
    </w:p>
    <w:p w14:paraId="7D2E9DCE" w14:textId="77777777" w:rsidR="00173EAB" w:rsidRPr="00173EAB" w:rsidRDefault="00173EAB" w:rsidP="00173EAB"/>
    <w:p w14:paraId="75098673" w14:textId="43FE82BE" w:rsidR="00173EAB" w:rsidRDefault="00173EAB" w:rsidP="00173EAB">
      <w:pPr>
        <w:rPr>
          <w:b/>
          <w:bCs/>
        </w:rPr>
      </w:pPr>
      <w:r w:rsidRPr="00173EAB">
        <w:rPr>
          <w:b/>
          <w:bCs/>
        </w:rPr>
        <w:t xml:space="preserve">Clinical </w:t>
      </w:r>
      <w:r w:rsidR="0076197F">
        <w:rPr>
          <w:b/>
          <w:bCs/>
        </w:rPr>
        <w:t xml:space="preserve">Benefits </w:t>
      </w:r>
      <w:r w:rsidRPr="00173EAB">
        <w:rPr>
          <w:b/>
          <w:bCs/>
        </w:rPr>
        <w:t>of</w:t>
      </w:r>
      <w:r w:rsidR="0076197F">
        <w:rPr>
          <w:b/>
          <w:bCs/>
        </w:rPr>
        <w:t xml:space="preserve"> ASC </w:t>
      </w:r>
      <w:r w:rsidRPr="00173EAB">
        <w:rPr>
          <w:b/>
          <w:bCs/>
        </w:rPr>
        <w:t xml:space="preserve">GI Services </w:t>
      </w:r>
    </w:p>
    <w:p w14:paraId="500E423F" w14:textId="77777777" w:rsidR="00173EAB" w:rsidRPr="00173EAB" w:rsidRDefault="00173EAB" w:rsidP="00173EAB">
      <w:pPr>
        <w:rPr>
          <w:b/>
          <w:bCs/>
        </w:rPr>
      </w:pPr>
    </w:p>
    <w:p w14:paraId="0977CE1C" w14:textId="78ED09B7" w:rsidR="00173EAB" w:rsidRDefault="00173EAB" w:rsidP="00173EAB">
      <w:r w:rsidRPr="00173EAB">
        <w:t>Endoscopy is a minimally invasive tool used for screening, diagnostic and treatment purposes.</w:t>
      </w:r>
      <w:r w:rsidRPr="00173EAB">
        <w:rPr>
          <w:vertAlign w:val="superscript"/>
        </w:rPr>
        <w:footnoteReference w:id="7"/>
      </w:r>
      <w:r w:rsidRPr="00173EAB">
        <w:t xml:space="preserve"> The technology allows specialists to view and operate on the patient’s internal organs without requiring the patient to experience </w:t>
      </w:r>
      <w:r w:rsidR="0076197F">
        <w:t xml:space="preserve">the more invasive </w:t>
      </w:r>
      <w:r w:rsidRPr="00173EAB">
        <w:t xml:space="preserve">aspects of conventional surgery such as large incisions and long recovery times. Endoscopy </w:t>
      </w:r>
      <w:r w:rsidR="00DA29CE">
        <w:t>is</w:t>
      </w:r>
      <w:r w:rsidRPr="00173EAB">
        <w:t xml:space="preserve"> also </w:t>
      </w:r>
      <w:r>
        <w:t xml:space="preserve">used as a diagnostic tool to evaluate stomach pain, ulcers, gastritis, and polyps or growths in the </w:t>
      </w:r>
      <w:r w:rsidRPr="00173EAB">
        <w:t>colon.</w:t>
      </w:r>
      <w:r w:rsidR="001179F0" w:rsidRPr="00173EAB">
        <w:rPr>
          <w:vertAlign w:val="superscript"/>
        </w:rPr>
        <w:endnoteReference w:id="14"/>
      </w:r>
      <w:r w:rsidR="001179F0" w:rsidRPr="00173EAB">
        <w:t xml:space="preserve"> As a diagnostic tool, endoscopy of the upper digestive system has been shown to be more effective than x-rays at detecting abnormal growths, including cancer.</w:t>
      </w:r>
      <w:r w:rsidR="001179F0" w:rsidRPr="00173EAB">
        <w:rPr>
          <w:vertAlign w:val="superscript"/>
        </w:rPr>
        <w:endnoteReference w:id="15"/>
      </w:r>
      <w:r w:rsidR="001179F0" w:rsidRPr="00173EAB">
        <w:t xml:space="preserve"> </w:t>
      </w:r>
      <w:r w:rsidRPr="00173EAB">
        <w:t xml:space="preserve"> </w:t>
      </w:r>
    </w:p>
    <w:p w14:paraId="61D30BFF" w14:textId="77777777" w:rsidR="00173EAB" w:rsidRPr="00173EAB" w:rsidRDefault="00173EAB" w:rsidP="00173EAB"/>
    <w:p w14:paraId="07AF927F" w14:textId="6AE2F819" w:rsidR="00173EAB" w:rsidRDefault="00173EAB" w:rsidP="00173EAB">
      <w:r w:rsidRPr="00173EAB">
        <w:t xml:space="preserve">National statistics </w:t>
      </w:r>
      <w:r w:rsidR="00DA29CE">
        <w:t xml:space="preserve">indicate that </w:t>
      </w:r>
      <w:r w:rsidRPr="00173EAB">
        <w:t>CRC is the second most common cause of death due to cancer in the United States when numbers for men and women are combined.</w:t>
      </w:r>
      <w:r w:rsidRPr="00173EAB">
        <w:rPr>
          <w:vertAlign w:val="superscript"/>
        </w:rPr>
        <w:endnoteReference w:id="16"/>
      </w:r>
      <w:r w:rsidRPr="00173EAB">
        <w:t xml:space="preserve"> In 2024, CRC is expected to cause about 53,010 deaths.</w:t>
      </w:r>
      <w:r w:rsidRPr="00173EAB">
        <w:rPr>
          <w:vertAlign w:val="superscript"/>
        </w:rPr>
        <w:endnoteReference w:id="17"/>
      </w:r>
      <w:r w:rsidRPr="00173EAB">
        <w:t xml:space="preserve"> The American Cancer Society (ACS) expects about 106,590 new cases of colon cancer and about 46,220 new cases of rectal cancer in 2024.</w:t>
      </w:r>
      <w:r w:rsidRPr="00173EAB">
        <w:rPr>
          <w:vertAlign w:val="superscript"/>
        </w:rPr>
        <w:endnoteReference w:id="18"/>
      </w:r>
      <w:r w:rsidRPr="00173EAB">
        <w:t xml:space="preserve"> While the incidence </w:t>
      </w:r>
      <w:r w:rsidR="00DA29CE">
        <w:t xml:space="preserve">of </w:t>
      </w:r>
      <w:r w:rsidRPr="00173EAB">
        <w:t>cancer has historically been higher in adults aged 50 and older, the</w:t>
      </w:r>
      <w:r w:rsidR="00DA29CE">
        <w:t xml:space="preserve"> cancer </w:t>
      </w:r>
      <w:r w:rsidRPr="00173EAB">
        <w:t>incidence of various organs in patients younger than age 50 has risen</w:t>
      </w:r>
      <w:r w:rsidR="002D5EBD">
        <w:t>;</w:t>
      </w:r>
      <w:r w:rsidRPr="00173EAB">
        <w:t xml:space="preserve"> this is known as early-onset cancer.</w:t>
      </w:r>
      <w:r w:rsidRPr="00173EAB">
        <w:rPr>
          <w:vertAlign w:val="superscript"/>
        </w:rPr>
        <w:endnoteReference w:id="19"/>
      </w:r>
      <w:r w:rsidRPr="00173EAB">
        <w:t xml:space="preserve"> As previously noted, in recognition of rising incidence of CRC in younger populations, the United States Preventive Services Task Force (USPSTF) and ACS recommend t</w:t>
      </w:r>
      <w:r w:rsidR="00DA29CE">
        <w:t xml:space="preserve">hat </w:t>
      </w:r>
      <w:r w:rsidRPr="00173EAB">
        <w:t>CRC screening</w:t>
      </w:r>
      <w:r w:rsidR="00DA29CE">
        <w:t>s begin</w:t>
      </w:r>
      <w:r w:rsidRPr="00173EAB">
        <w:t xml:space="preserve"> at age 45 (previously, </w:t>
      </w:r>
      <w:r w:rsidR="00DA29CE">
        <w:t xml:space="preserve">screening </w:t>
      </w:r>
      <w:r w:rsidRPr="00173EAB">
        <w:t xml:space="preserve">was </w:t>
      </w:r>
      <w:r w:rsidR="00DA29CE">
        <w:t xml:space="preserve">recommended for those ages </w:t>
      </w:r>
      <w:r w:rsidRPr="00173EAB">
        <w:lastRenderedPageBreak/>
        <w:t>50</w:t>
      </w:r>
      <w:r w:rsidR="00DA29CE">
        <w:t>-</w:t>
      </w:r>
      <w:r w:rsidRPr="00173EAB">
        <w:t>75 years).</w:t>
      </w:r>
      <w:r w:rsidRPr="00173EAB">
        <w:rPr>
          <w:vertAlign w:val="superscript"/>
        </w:rPr>
        <w:endnoteReference w:id="20"/>
      </w:r>
      <w:r w:rsidRPr="00173EAB">
        <w:t xml:space="preserve"> High-risk patients are advised to begin screening before age 45.</w:t>
      </w:r>
      <w:r w:rsidRPr="00173EAB">
        <w:rPr>
          <w:vertAlign w:val="superscript"/>
        </w:rPr>
        <w:endnoteReference w:id="21"/>
      </w:r>
      <w:r w:rsidRPr="00173EAB">
        <w:rPr>
          <w:vertAlign w:val="superscript"/>
        </w:rPr>
        <w:t>,</w:t>
      </w:r>
      <w:r w:rsidR="00DA29CE">
        <w:rPr>
          <w:vertAlign w:val="superscript"/>
        </w:rPr>
        <w:t xml:space="preserve"> </w:t>
      </w:r>
      <w:r w:rsidRPr="00173EAB">
        <w:rPr>
          <w:vertAlign w:val="superscript"/>
        </w:rPr>
        <w:footnoteReference w:id="8"/>
      </w:r>
      <w:r w:rsidRPr="00173EAB">
        <w:rPr>
          <w:vertAlign w:val="superscript"/>
        </w:rPr>
        <w:t xml:space="preserve"> </w:t>
      </w:r>
      <w:r w:rsidRPr="00173EAB">
        <w:t xml:space="preserve"> Additionally, the USPSTF continues to recommend selectively screening adults aged 76 to 85 years for CRC.</w:t>
      </w:r>
      <w:r w:rsidRPr="00173EAB">
        <w:rPr>
          <w:vertAlign w:val="superscript"/>
        </w:rPr>
        <w:endnoteReference w:id="22"/>
      </w:r>
      <w:r w:rsidRPr="00173EAB">
        <w:t xml:space="preserve"> </w:t>
      </w:r>
    </w:p>
    <w:p w14:paraId="08A3BF74" w14:textId="77777777" w:rsidR="00173EAB" w:rsidRPr="00173EAB" w:rsidRDefault="00173EAB" w:rsidP="00173EAB"/>
    <w:p w14:paraId="7593C3F6" w14:textId="18EEB152" w:rsidR="00173EAB" w:rsidRPr="00173EAB" w:rsidRDefault="00173EAB" w:rsidP="00173EAB">
      <w:r w:rsidRPr="00173EAB">
        <w:t xml:space="preserve">Colonoscopy is the preferred method for screening because the exam is not </w:t>
      </w:r>
      <w:r w:rsidR="00DA29CE">
        <w:t>just</w:t>
      </w:r>
      <w:r w:rsidRPr="00173EAB">
        <w:t xml:space="preserve"> a means of cancer detection, </w:t>
      </w:r>
      <w:r w:rsidR="001215FB">
        <w:t xml:space="preserve">it is a mode of treatment; </w:t>
      </w:r>
      <w:r w:rsidRPr="00173EAB">
        <w:t xml:space="preserve">when polyps (abnormal growths that could become cancer) are found they can be excised during the exam (the tissue is sent to be </w:t>
      </w:r>
      <w:r w:rsidR="00104375">
        <w:t>assessed for malignancy</w:t>
      </w:r>
      <w:r w:rsidRPr="00173EAB">
        <w:t xml:space="preserve"> in a clinical laboratory</w:t>
      </w:r>
      <w:r w:rsidR="00222E77">
        <w:t>)</w:t>
      </w:r>
      <w:r w:rsidRPr="00173EAB">
        <w:t xml:space="preserve">. Therefore, </w:t>
      </w:r>
      <w:r w:rsidR="00DA29CE" w:rsidRPr="00173EAB">
        <w:t>colonoscopy</w:t>
      </w:r>
      <w:r w:rsidRPr="00173EAB">
        <w:t xml:space="preserve"> can reduce risk of death from cancer through detection of tumors at an earlier, more treatable stage.</w:t>
      </w:r>
      <w:r w:rsidRPr="00173EAB">
        <w:rPr>
          <w:vertAlign w:val="superscript"/>
        </w:rPr>
        <w:endnoteReference w:id="23"/>
      </w:r>
      <w:r w:rsidRPr="00173EAB">
        <w:t xml:space="preserve"> </w:t>
      </w:r>
      <w:r w:rsidR="00DA29CE">
        <w:t xml:space="preserve">Once an </w:t>
      </w:r>
      <w:r w:rsidRPr="00173EAB">
        <w:t xml:space="preserve">adenoma </w:t>
      </w:r>
      <w:r w:rsidR="00DA29CE">
        <w:t xml:space="preserve">has been detected, patients </w:t>
      </w:r>
      <w:r w:rsidRPr="00173EAB">
        <w:t xml:space="preserve">need more frequent follow-up colonoscopies, within three </w:t>
      </w:r>
      <w:r w:rsidR="00DA29CE">
        <w:t xml:space="preserve">to </w:t>
      </w:r>
      <w:r w:rsidRPr="00173EAB">
        <w:t>seven years.</w:t>
      </w:r>
      <w:r w:rsidRPr="00173EAB">
        <w:rPr>
          <w:vertAlign w:val="superscript"/>
        </w:rPr>
        <w:endnoteReference w:id="24"/>
      </w:r>
      <w:r w:rsidRPr="00173EAB">
        <w:t xml:space="preserve"> </w:t>
      </w:r>
    </w:p>
    <w:p w14:paraId="1A023637" w14:textId="77777777" w:rsidR="002A52F9" w:rsidRDefault="002A52F9" w:rsidP="00173EAB"/>
    <w:p w14:paraId="40D1AC8D" w14:textId="64A31C77" w:rsidR="00173EAB" w:rsidRDefault="00173EAB" w:rsidP="00173EAB">
      <w:pPr>
        <w:rPr>
          <w:vertAlign w:val="superscript"/>
        </w:rPr>
      </w:pPr>
      <w:r w:rsidRPr="00173EAB">
        <w:t>Other tests for CRC include at home test kits</w:t>
      </w:r>
      <w:r w:rsidR="00DA29CE">
        <w:t xml:space="preserve">, such as Cologuard, </w:t>
      </w:r>
      <w:r w:rsidRPr="00173EAB">
        <w:t xml:space="preserve">which may provide </w:t>
      </w:r>
      <w:r w:rsidR="00DA29CE">
        <w:t xml:space="preserve">preliminary </w:t>
      </w:r>
      <w:r w:rsidRPr="00173EAB">
        <w:t>screening for patients who might not otherwise have sought screening. However, these test kits, are not a replacement for a colonoscopy</w:t>
      </w:r>
      <w:r w:rsidR="004B357C">
        <w:t>.</w:t>
      </w:r>
      <w:r w:rsidRPr="00173EAB">
        <w:t xml:space="preserve"> One citation states </w:t>
      </w:r>
      <w:proofErr w:type="gramStart"/>
      <w:r w:rsidRPr="00173EAB">
        <w:t>colonoscopies</w:t>
      </w:r>
      <w:proofErr w:type="gramEnd"/>
      <w:r w:rsidRPr="00173EAB">
        <w:t xml:space="preserve"> can detect 95% of large polyps while Cologuard can detect 42%, and while colonoscopy can detect and treat some cancers early before </w:t>
      </w:r>
      <w:r w:rsidR="001470A1">
        <w:t>they</w:t>
      </w:r>
      <w:r w:rsidR="001470A1" w:rsidRPr="00173EAB">
        <w:t xml:space="preserve"> </w:t>
      </w:r>
      <w:r w:rsidRPr="00173EAB">
        <w:t>develop</w:t>
      </w:r>
      <w:r w:rsidR="001470A1">
        <w:t>,</w:t>
      </w:r>
      <w:r w:rsidRPr="00173EAB">
        <w:t xml:space="preserve"> it can also help prevent </w:t>
      </w:r>
      <w:r w:rsidR="001470A1">
        <w:t>cancer</w:t>
      </w:r>
      <w:r w:rsidRPr="00173EAB">
        <w:t xml:space="preserve"> through biopsies and polyp removal,</w:t>
      </w:r>
      <w:r w:rsidR="00E33522">
        <w:t xml:space="preserve"> whereas </w:t>
      </w:r>
      <w:r w:rsidRPr="00173EAB">
        <w:t xml:space="preserve">Cologuard tests </w:t>
      </w:r>
      <w:r w:rsidR="00E33522">
        <w:t xml:space="preserve">can </w:t>
      </w:r>
      <w:r w:rsidR="001756CF">
        <w:t xml:space="preserve">only </w:t>
      </w:r>
      <w:r w:rsidRPr="00173EAB">
        <w:t xml:space="preserve">detect some </w:t>
      </w:r>
      <w:r w:rsidR="00E33522">
        <w:t>polyps</w:t>
      </w:r>
      <w:r w:rsidR="001756CF">
        <w:t xml:space="preserve"> and </w:t>
      </w:r>
      <w:r w:rsidR="00E33522">
        <w:t>it can</w:t>
      </w:r>
      <w:r w:rsidRPr="00173EAB">
        <w:t xml:space="preserve">not prevent </w:t>
      </w:r>
      <w:r w:rsidR="00E33522">
        <w:t>cancer</w:t>
      </w:r>
      <w:r w:rsidRPr="00173EAB">
        <w:t xml:space="preserve"> since there is no ability to simultaneously excise and biopsy polyps.</w:t>
      </w:r>
      <w:r w:rsidRPr="00173EAB">
        <w:rPr>
          <w:vertAlign w:val="superscript"/>
        </w:rPr>
        <w:endnoteReference w:id="25"/>
      </w:r>
      <w:r w:rsidRPr="00173EAB">
        <w:rPr>
          <w:vertAlign w:val="superscript"/>
        </w:rPr>
        <w:t>,</w:t>
      </w:r>
      <w:r w:rsidRPr="00173EAB">
        <w:rPr>
          <w:vertAlign w:val="superscript"/>
        </w:rPr>
        <w:endnoteReference w:id="26"/>
      </w:r>
      <w:r w:rsidRPr="00173EAB">
        <w:rPr>
          <w:vertAlign w:val="superscript"/>
        </w:rPr>
        <w:t xml:space="preserve">  </w:t>
      </w:r>
    </w:p>
    <w:p w14:paraId="1AB86C15" w14:textId="77777777" w:rsidR="00173EAB" w:rsidRPr="00173EAB" w:rsidRDefault="00173EAB" w:rsidP="00173EAB"/>
    <w:p w14:paraId="7FBFA7EB" w14:textId="77777777" w:rsidR="00173EAB" w:rsidRDefault="00173EAB" w:rsidP="00173EAB">
      <w:pPr>
        <w:rPr>
          <w:b/>
        </w:rPr>
      </w:pPr>
      <w:r w:rsidRPr="00173EAB">
        <w:rPr>
          <w:b/>
        </w:rPr>
        <w:t xml:space="preserve">Public Health Value/Outcome-Oriented  </w:t>
      </w:r>
    </w:p>
    <w:p w14:paraId="46D5848C" w14:textId="30170FA3" w:rsidR="00173EAB" w:rsidRPr="00173EAB" w:rsidRDefault="00173EAB" w:rsidP="00173EAB">
      <w:pPr>
        <w:rPr>
          <w:b/>
        </w:rPr>
      </w:pPr>
      <w:r w:rsidRPr="00173EAB">
        <w:rPr>
          <w:b/>
        </w:rPr>
        <w:t xml:space="preserve"> </w:t>
      </w:r>
    </w:p>
    <w:p w14:paraId="084ADB36" w14:textId="6CFBC102" w:rsidR="00173EAB" w:rsidRDefault="00C82F84" w:rsidP="00173EAB">
      <w:r w:rsidRPr="00C82F84">
        <w:t xml:space="preserve">Health </w:t>
      </w:r>
      <w:r>
        <w:t>o</w:t>
      </w:r>
      <w:r w:rsidRPr="00C82F84">
        <w:t xml:space="preserve">utcomes </w:t>
      </w:r>
      <w:r>
        <w:t>s</w:t>
      </w:r>
      <w:r w:rsidRPr="00C82F84">
        <w:t>tudies have shown that</w:t>
      </w:r>
      <w:r w:rsidR="00173EAB" w:rsidRPr="00173EAB">
        <w:t xml:space="preserve"> patients who underwent an outpatient procedure in an ASC were less likely to visit an ER or be admitted to the hospital than those treated in an HOPD, and </w:t>
      </w:r>
      <w:r w:rsidR="00E33522">
        <w:t xml:space="preserve">that </w:t>
      </w:r>
      <w:r w:rsidR="00173EAB" w:rsidRPr="00173EAB">
        <w:t>patients at all risk levels had improved health outcomes.</w:t>
      </w:r>
      <w:r w:rsidR="00173EAB" w:rsidRPr="00173EAB">
        <w:rPr>
          <w:vertAlign w:val="superscript"/>
        </w:rPr>
        <w:endnoteReference w:id="27"/>
      </w:r>
      <w:r w:rsidR="00173EAB" w:rsidRPr="00173EAB">
        <w:rPr>
          <w:vertAlign w:val="superscript"/>
        </w:rPr>
        <w:t>,</w:t>
      </w:r>
      <w:r w:rsidR="00173EAB" w:rsidRPr="00173EAB">
        <w:rPr>
          <w:vertAlign w:val="superscript"/>
        </w:rPr>
        <w:endnoteReference w:id="28"/>
      </w:r>
      <w:r w:rsidR="00173EAB" w:rsidRPr="00173EAB">
        <w:t xml:space="preserve"> </w:t>
      </w:r>
      <w:r w:rsidR="00E33522">
        <w:t xml:space="preserve">Finally, </w:t>
      </w:r>
      <w:r w:rsidR="00014554">
        <w:t xml:space="preserve">ASC </w:t>
      </w:r>
      <w:r w:rsidR="00014554" w:rsidRPr="00173EAB">
        <w:t>patients</w:t>
      </w:r>
      <w:r w:rsidR="00173EAB" w:rsidRPr="00173EAB">
        <w:t xml:space="preserve"> experience improved pain levels, less nausea, and better 30-day outcomes when receiving surgery</w:t>
      </w:r>
      <w:r w:rsidR="00E33522">
        <w:t xml:space="preserve"> versus a hospital setting.</w:t>
      </w:r>
    </w:p>
    <w:p w14:paraId="079BDE54" w14:textId="77777777" w:rsidR="00173EAB" w:rsidRPr="00173EAB" w:rsidRDefault="00173EAB" w:rsidP="00173EAB">
      <w:pPr>
        <w:rPr>
          <w:b/>
        </w:rPr>
      </w:pPr>
    </w:p>
    <w:p w14:paraId="3AC84CC2" w14:textId="77777777" w:rsidR="00173EAB" w:rsidRDefault="00173EAB" w:rsidP="00173EAB">
      <w:pPr>
        <w:rPr>
          <w:b/>
          <w:bCs/>
        </w:rPr>
      </w:pPr>
      <w:r w:rsidRPr="00173EAB">
        <w:rPr>
          <w:b/>
          <w:bCs/>
        </w:rPr>
        <w:t>Quality Tracking</w:t>
      </w:r>
    </w:p>
    <w:p w14:paraId="646E1EB3" w14:textId="77777777" w:rsidR="00173EAB" w:rsidRPr="00173EAB" w:rsidRDefault="00173EAB" w:rsidP="00173EAB">
      <w:pPr>
        <w:rPr>
          <w:b/>
          <w:bCs/>
        </w:rPr>
      </w:pPr>
    </w:p>
    <w:p w14:paraId="31357369" w14:textId="77777777" w:rsidR="00173EAB" w:rsidRPr="00173EAB" w:rsidRDefault="00173EAB" w:rsidP="00173EAB">
      <w:r w:rsidRPr="00173EAB">
        <w:t>The Applicant will continue to implement quality metric tracking to measure and ensure high levels of patient satisfaction and quality of care. AMSURG’s national portfolio of 250+ ASCs allows it to establish baseline rates to ensure all centers meet or exceed expectations related to health outcomes, quality of life, and health equity. It is accredited by the Association of Ambulatory Health Care (“AAHC”) and will pursue accreditation for the new site as well.</w:t>
      </w:r>
      <w:r w:rsidRPr="00173EAB">
        <w:rPr>
          <w:b/>
        </w:rPr>
        <w:t xml:space="preserve">   </w:t>
      </w:r>
    </w:p>
    <w:p w14:paraId="6A99612D" w14:textId="77777777" w:rsidR="00173EAB" w:rsidRDefault="00173EAB" w:rsidP="00173EAB">
      <w:r w:rsidRPr="00173EAB">
        <w:t xml:space="preserve">AMSURG’s risk management department reviews all events submitted in the event reporting platform and determines the need for a root cause analysis (“RCA”) to analyze serious adverse events. When deemed necessary an RCA is performed by risk management to investigate gaps in processes, identify contributing factors, develop corrective action plans to prevent reoccurrence and define outcome measures that provides a target for success. Each center </w:t>
      </w:r>
      <w:r w:rsidRPr="00173EAB">
        <w:lastRenderedPageBreak/>
        <w:t>maintains a Quality Assurance Performance Improvement (“QAPI”) committee, where risk management is linked operationally to maximize patient, staff, and visitor safety. The QAPI committee serves as the oversight committee for risk management and safety. Risk management and safety reports are presented to the QAPI committee on an ongoing basis. The Facility maintains a Governing Board, which has the ultimate authority and accountability for the QAPI program.</w:t>
      </w:r>
    </w:p>
    <w:p w14:paraId="67AC5570" w14:textId="77777777" w:rsidR="00173EAB" w:rsidRPr="00173EAB" w:rsidRDefault="00173EAB" w:rsidP="00173EAB"/>
    <w:p w14:paraId="1931F9FB" w14:textId="3BE99113" w:rsidR="00173EAB" w:rsidRPr="00173EAB" w:rsidRDefault="00173EAB" w:rsidP="00173EAB">
      <w:r>
        <w:t xml:space="preserve">To assess the impact of the Proposed Project, the Applicant developed quality metrics and </w:t>
      </w:r>
      <w:r w:rsidR="00014554">
        <w:t xml:space="preserve">a </w:t>
      </w:r>
      <w:r>
        <w:t xml:space="preserve">reporting schematic, as well as goals for quality indicators that will measure patient satisfaction and quality of care. The measures are discussed in Appendix 1. </w:t>
      </w:r>
    </w:p>
    <w:p w14:paraId="2D4FC49D" w14:textId="77777777" w:rsidR="00173EAB" w:rsidRPr="00173EAB" w:rsidRDefault="00173EAB" w:rsidP="00173EAB"/>
    <w:p w14:paraId="683677E0" w14:textId="4F477C0A" w:rsidR="00173EAB" w:rsidRDefault="00173EAB" w:rsidP="009A040F">
      <w:pPr>
        <w:rPr>
          <w:b/>
        </w:rPr>
      </w:pPr>
      <w:r w:rsidRPr="00173EAB">
        <w:rPr>
          <w:b/>
        </w:rPr>
        <w:t>Public Health Value: Health Equity-Focused</w:t>
      </w:r>
    </w:p>
    <w:p w14:paraId="12FD1B94" w14:textId="77777777" w:rsidR="003547DA" w:rsidRPr="00173EAB" w:rsidRDefault="003547DA" w:rsidP="009A040F">
      <w:pPr>
        <w:rPr>
          <w:b/>
        </w:rPr>
      </w:pPr>
    </w:p>
    <w:p w14:paraId="0CA1B919" w14:textId="56AAFF81" w:rsidR="00173EAB" w:rsidRDefault="00173EAB" w:rsidP="009A040F">
      <w:r w:rsidRPr="00173EAB">
        <w:t>The Applicant affirms its commitment to promoting health equity and equal access for all patients, including underserved populations. The Applicant states it will ensure its commitment in several ways</w:t>
      </w:r>
      <w:r w:rsidR="000300FC">
        <w:t>.</w:t>
      </w:r>
    </w:p>
    <w:p w14:paraId="1A93A07E" w14:textId="77777777" w:rsidR="00173EAB" w:rsidRPr="00173EAB" w:rsidRDefault="00173EAB" w:rsidP="009A040F"/>
    <w:p w14:paraId="3346BD10" w14:textId="1E5179B4" w:rsidR="00173EAB" w:rsidRDefault="00173EAB" w:rsidP="009A040F">
      <w:r w:rsidRPr="00173EAB">
        <w:t>1</w:t>
      </w:r>
      <w:r w:rsidR="00704F11">
        <w:t xml:space="preserve">. </w:t>
      </w:r>
      <w:r w:rsidRPr="00173EAB">
        <w:t xml:space="preserve">The Applicant </w:t>
      </w:r>
      <w:r w:rsidR="00E4229F">
        <w:t xml:space="preserve">states it </w:t>
      </w:r>
      <w:r w:rsidRPr="00173EAB">
        <w:t xml:space="preserve">does not engage in discrimination based on a patient’s ability to pay for services or the patient’s insurance. The Applicant currently receives referrals for GI procedures from primary care physicians (“PCPs”) across its service area, including PCPs at Manet Community Health Center in Taunton as well as Brockton Neighborhood Center which historically have provided care to underserved populations. </w:t>
      </w:r>
    </w:p>
    <w:p w14:paraId="63E0C573" w14:textId="77777777" w:rsidR="00173EAB" w:rsidRPr="00173EAB" w:rsidRDefault="00173EAB" w:rsidP="009A040F"/>
    <w:p w14:paraId="3BCFE581" w14:textId="789718C2" w:rsidR="00173EAB" w:rsidRDefault="00173EAB" w:rsidP="003547DA">
      <w:r w:rsidRPr="00173EAB">
        <w:t>The HPC’s research shows that ASCs in the Commonwealth are less frequently utilized by MassHealth patients than commercial patients, and more research is needed to understand and</w:t>
      </w:r>
      <w:r w:rsidR="003547DA">
        <w:t xml:space="preserve"> </w:t>
      </w:r>
      <w:r w:rsidRPr="00173EAB">
        <w:t>address drivers of this difference.</w:t>
      </w:r>
      <w:r w:rsidR="00C82F84" w:rsidRPr="00173EAB">
        <w:rPr>
          <w:vertAlign w:val="superscript"/>
        </w:rPr>
        <w:endnoteReference w:id="29"/>
      </w:r>
      <w:r w:rsidR="00C82F84" w:rsidRPr="00173EAB">
        <w:t xml:space="preserve"> </w:t>
      </w:r>
      <w:r w:rsidRPr="00173EAB">
        <w:t>The Applicant states it will continue to work with existing and New Physicians as well as referring PCP</w:t>
      </w:r>
      <w:r w:rsidR="00014554">
        <w:t>s</w:t>
      </w:r>
      <w:r w:rsidRPr="00173EAB">
        <w:t xml:space="preserve"> to promote access to the ASC for MassHealth patients and mitigate patients' barriers to</w:t>
      </w:r>
      <w:r w:rsidR="00270644">
        <w:t xml:space="preserve"> access thereby</w:t>
      </w:r>
      <w:r w:rsidRPr="00173EAB">
        <w:t xml:space="preserve"> promot</w:t>
      </w:r>
      <w:r w:rsidR="00270644">
        <w:t>ing</w:t>
      </w:r>
      <w:r w:rsidRPr="00173EAB">
        <w:t xml:space="preserve"> health equity.</w:t>
      </w:r>
    </w:p>
    <w:p w14:paraId="481B1F08" w14:textId="77777777" w:rsidR="00173EAB" w:rsidRPr="00173EAB" w:rsidRDefault="00173EAB" w:rsidP="009A040F"/>
    <w:p w14:paraId="47C474DF" w14:textId="1484C64F" w:rsidR="00173EAB" w:rsidRDefault="00173EAB" w:rsidP="009A040F">
      <w:r>
        <w:t>2</w:t>
      </w:r>
      <w:r w:rsidR="00704F11">
        <w:t xml:space="preserve">. </w:t>
      </w:r>
      <w:r>
        <w:t xml:space="preserve">The Applicant </w:t>
      </w:r>
      <w:r w:rsidR="00E4229F">
        <w:t>asserts it</w:t>
      </w:r>
      <w:r>
        <w:t xml:space="preserve"> does not discriminate based on patients’ physical ability, sensory or speech limitations, or religious, spiritual, and cultural beliefs. Additionally, the Applicant does not discriminate based on gender, race, religion, sexual orientation, disability status, financial situation, or any other status protected by law.</w:t>
      </w:r>
    </w:p>
    <w:p w14:paraId="31A465C6" w14:textId="53824601" w:rsidR="00173EAB" w:rsidRPr="00173EAB" w:rsidRDefault="00173EAB" w:rsidP="009A040F">
      <w:r w:rsidRPr="00173EAB">
        <w:t xml:space="preserve"> </w:t>
      </w:r>
    </w:p>
    <w:p w14:paraId="49420084" w14:textId="1F1CF438" w:rsidR="00C65670" w:rsidRDefault="00173EAB" w:rsidP="009A040F">
      <w:r>
        <w:t>3</w:t>
      </w:r>
      <w:r w:rsidR="00C65670">
        <w:t xml:space="preserve">. </w:t>
      </w:r>
      <w:r w:rsidR="00CA0B60">
        <w:t xml:space="preserve">The Applicant </w:t>
      </w:r>
      <w:r w:rsidR="00A359C7">
        <w:t>engages in cultural competency training for all staff and physicians</w:t>
      </w:r>
      <w:r w:rsidR="0094695B">
        <w:t>. Within 30 days of the start date and annually thereafter staff complete</w:t>
      </w:r>
      <w:r w:rsidR="009636BD">
        <w:t xml:space="preserve"> training on care delivery that is </w:t>
      </w:r>
      <w:r w:rsidR="00A51180">
        <w:t xml:space="preserve">culturally and age specific. </w:t>
      </w:r>
      <w:r w:rsidR="005C5AB5">
        <w:t xml:space="preserve">The applicant states that all staff had completed their training </w:t>
      </w:r>
      <w:r w:rsidR="4DE9DFBA">
        <w:t xml:space="preserve">by </w:t>
      </w:r>
      <w:r w:rsidR="005C5AB5">
        <w:t xml:space="preserve">October </w:t>
      </w:r>
      <w:r w:rsidR="00FD437D">
        <w:t>31, 2024.</w:t>
      </w:r>
    </w:p>
    <w:p w14:paraId="7B2877DA" w14:textId="77777777" w:rsidR="00A51180" w:rsidRDefault="00A51180" w:rsidP="009A040F"/>
    <w:p w14:paraId="0AE12397" w14:textId="43A153FF" w:rsidR="00173EAB" w:rsidRDefault="00C65670" w:rsidP="009A040F">
      <w:r>
        <w:t xml:space="preserve">4. </w:t>
      </w:r>
      <w:r w:rsidR="003B08A5">
        <w:t>T</w:t>
      </w:r>
      <w:r w:rsidR="00173EAB">
        <w:t>he Applicant</w:t>
      </w:r>
      <w:r w:rsidR="00E4229F">
        <w:t xml:space="preserve"> ad</w:t>
      </w:r>
      <w:r w:rsidR="00682C25">
        <w:t>ds it</w:t>
      </w:r>
      <w:r w:rsidR="00173EAB">
        <w:t xml:space="preserve"> is currently exploring transportation options with Uber Health to be able to provide improved access for patients who are unable to secure travel to or from their procedures based on financial or other barriers. Currently, because all of the procedures performed at the Facility require anesthesia, public transportation is not a viable </w:t>
      </w:r>
      <w:r w:rsidR="43B6670B">
        <w:t>option,</w:t>
      </w:r>
      <w:r w:rsidR="00173EAB">
        <w:t xml:space="preserve"> and patients must rely on a friend or relative to transport them home following their procedures.</w:t>
      </w:r>
    </w:p>
    <w:p w14:paraId="47B247F9" w14:textId="77777777" w:rsidR="00173EAB" w:rsidRPr="00173EAB" w:rsidRDefault="00173EAB" w:rsidP="009A040F"/>
    <w:p w14:paraId="77B937FF" w14:textId="29E7BAB0" w:rsidR="003B08A5" w:rsidRDefault="00FD437D" w:rsidP="009A040F">
      <w:r>
        <w:t xml:space="preserve">5. </w:t>
      </w:r>
      <w:r w:rsidR="003B08A5">
        <w:t xml:space="preserve">The Applicant </w:t>
      </w:r>
      <w:r w:rsidR="00682C25">
        <w:t xml:space="preserve">states it </w:t>
      </w:r>
      <w:r w:rsidR="003B08A5">
        <w:t>provides access to interpreter services and continues to explore options to improve this access to mitigate language barriers but does not track the number of translation services provided (</w:t>
      </w:r>
      <w:r w:rsidR="00014554">
        <w:t>a</w:t>
      </w:r>
      <w:r w:rsidR="003B08A5">
        <w:t>s part of</w:t>
      </w:r>
      <w:r w:rsidR="00014554">
        <w:t xml:space="preserve"> proposed</w:t>
      </w:r>
      <w:r w:rsidR="003B08A5">
        <w:t xml:space="preserve"> post-DoN </w:t>
      </w:r>
      <w:r w:rsidR="004E5120">
        <w:t xml:space="preserve">Approval </w:t>
      </w:r>
      <w:r w:rsidR="003B08A5">
        <w:t>reporting, the Applicant will be required to provide this information)</w:t>
      </w:r>
    </w:p>
    <w:p w14:paraId="4E7412FE" w14:textId="77777777" w:rsidR="00173EAB" w:rsidRDefault="00173EAB" w:rsidP="009A040F"/>
    <w:p w14:paraId="5E31B68F" w14:textId="77777777" w:rsidR="00AE0BF3" w:rsidRPr="00AE0BF3" w:rsidRDefault="00AE0BF3" w:rsidP="009A040F">
      <w:pPr>
        <w:rPr>
          <w:b/>
          <w:bCs/>
          <w:i/>
          <w:iCs/>
        </w:rPr>
      </w:pPr>
      <w:r w:rsidRPr="00AE0BF3">
        <w:rPr>
          <w:b/>
          <w:bCs/>
          <w:i/>
          <w:iCs/>
        </w:rPr>
        <w:t>Analysis</w:t>
      </w:r>
    </w:p>
    <w:p w14:paraId="0A6BBEC0" w14:textId="77777777" w:rsidR="00AE0BF3" w:rsidRDefault="00AE0BF3" w:rsidP="009A040F"/>
    <w:p w14:paraId="01983E43" w14:textId="77777777" w:rsidR="003547DA" w:rsidRDefault="00173EAB" w:rsidP="003547DA">
      <w:r w:rsidRPr="00173EAB">
        <w:t xml:space="preserve">As described throughout the application, the Proposed Project will increase access to high quality, lower cost GI care in the service area. This expands patient access to quality care. This also allows cases to move from HOPDs to ASCs, allowing Hospitals to have shorter wait times for more complex and inpatient cases. </w:t>
      </w:r>
    </w:p>
    <w:p w14:paraId="74BCD022" w14:textId="78565857" w:rsidR="001F16B3" w:rsidRPr="001F16B3" w:rsidRDefault="00B53CDC" w:rsidP="003547DA">
      <w:pPr>
        <w:rPr>
          <w:rFonts w:ascii="Calibri" w:eastAsia="Calibri" w:hAnsi="Calibri" w:cs="Times New Roman"/>
          <w:kern w:val="2"/>
          <w14:ligatures w14:val="standardContextual"/>
        </w:rPr>
      </w:pPr>
      <w:r w:rsidRPr="005A7B94">
        <w:rPr>
          <w:b/>
          <w:u w:val="single"/>
        </w:rPr>
        <w:br/>
      </w:r>
      <w:r w:rsidR="003B08A5">
        <w:rPr>
          <w:rFonts w:ascii="Calibri" w:eastAsia="Calibri" w:hAnsi="Calibri" w:cs="Times New Roman"/>
          <w:kern w:val="2"/>
          <w14:ligatures w14:val="standardContextual"/>
        </w:rPr>
        <w:t>The</w:t>
      </w:r>
      <w:r w:rsidR="001F16B3" w:rsidRPr="001F16B3">
        <w:rPr>
          <w:rFonts w:ascii="Calibri" w:eastAsia="Calibri" w:hAnsi="Calibri" w:cs="Times New Roman"/>
          <w:kern w:val="2"/>
          <w14:ligatures w14:val="standardContextual"/>
        </w:rPr>
        <w:t xml:space="preserve"> need to increase access </w:t>
      </w:r>
      <w:r w:rsidR="003B08A5">
        <w:rPr>
          <w:rFonts w:ascii="Calibri" w:eastAsia="Calibri" w:hAnsi="Calibri" w:cs="Times New Roman"/>
          <w:kern w:val="2"/>
          <w14:ligatures w14:val="standardContextual"/>
        </w:rPr>
        <w:t xml:space="preserve">to </w:t>
      </w:r>
      <w:r w:rsidR="001F16B3" w:rsidRPr="001F16B3">
        <w:rPr>
          <w:rFonts w:ascii="Calibri" w:eastAsia="Calibri" w:hAnsi="Calibri" w:cs="Times New Roman"/>
          <w:kern w:val="2"/>
          <w14:ligatures w14:val="standardContextual"/>
        </w:rPr>
        <w:t>lower cost</w:t>
      </w:r>
      <w:r w:rsidR="003B08A5">
        <w:rPr>
          <w:rFonts w:ascii="Calibri" w:eastAsia="Calibri" w:hAnsi="Calibri" w:cs="Times New Roman"/>
          <w:kern w:val="2"/>
          <w14:ligatures w14:val="standardContextual"/>
        </w:rPr>
        <w:t xml:space="preserve"> </w:t>
      </w:r>
      <w:r w:rsidR="00DC0630">
        <w:rPr>
          <w:rFonts w:ascii="Calibri" w:eastAsia="Calibri" w:hAnsi="Calibri" w:cs="Times New Roman"/>
          <w:kern w:val="2"/>
          <w14:ligatures w14:val="standardContextual"/>
        </w:rPr>
        <w:t>GI procedures</w:t>
      </w:r>
      <w:r w:rsidR="001F16B3" w:rsidRPr="001F16B3">
        <w:rPr>
          <w:rFonts w:ascii="Calibri" w:eastAsia="Calibri" w:hAnsi="Calibri" w:cs="Times New Roman"/>
          <w:kern w:val="2"/>
          <w14:ligatures w14:val="standardContextual"/>
        </w:rPr>
        <w:t xml:space="preserve"> is supported by the HPC findings from an analysis of the CHIA 2019 Massachusetts Health Insurance Survey, which indicates that among Massachusetts commercially insured patients with lower incomes, 59.3% had trouble accessing care due to cost; and that lower-income residents disproportionately </w:t>
      </w:r>
      <w:bookmarkStart w:id="42" w:name="_BPDCD_58"/>
      <w:r w:rsidR="001F16B3" w:rsidRPr="001F16B3">
        <w:rPr>
          <w:rFonts w:ascii="Calibri" w:eastAsia="Calibri" w:hAnsi="Calibri" w:cs="Times New Roman"/>
          <w:kern w:val="2"/>
          <w14:ligatures w14:val="standardContextual"/>
        </w:rPr>
        <w:t xml:space="preserve">forgo </w:t>
      </w:r>
      <w:bookmarkEnd w:id="42"/>
      <w:r w:rsidR="001F16B3" w:rsidRPr="001F16B3">
        <w:rPr>
          <w:rFonts w:ascii="Calibri" w:eastAsia="Calibri" w:hAnsi="Calibri" w:cs="Times New Roman"/>
          <w:kern w:val="2"/>
          <w14:ligatures w14:val="standardContextual"/>
        </w:rPr>
        <w:t>needed care.</w:t>
      </w:r>
      <w:r w:rsidR="00C82F84" w:rsidRPr="001F16B3">
        <w:rPr>
          <w:rFonts w:ascii="Calibri" w:eastAsia="Calibri" w:hAnsi="Calibri" w:cs="Times New Roman"/>
          <w:kern w:val="2"/>
          <w:vertAlign w:val="superscript"/>
          <w14:ligatures w14:val="standardContextual"/>
        </w:rPr>
        <w:endnoteReference w:id="30"/>
      </w:r>
      <w:r w:rsidR="00C82F84" w:rsidRPr="001F16B3">
        <w:rPr>
          <w:rFonts w:ascii="Calibri" w:eastAsia="Calibri" w:hAnsi="Calibri" w:cs="Times New Roman"/>
          <w:kern w:val="2"/>
          <w14:ligatures w14:val="standardContextual"/>
        </w:rPr>
        <w:t xml:space="preserve"> </w:t>
      </w:r>
      <w:r w:rsidR="001F16B3" w:rsidRPr="001F16B3">
        <w:rPr>
          <w:rFonts w:ascii="Calibri" w:eastAsia="Calibri" w:hAnsi="Calibri" w:cs="Times New Roman"/>
          <w:kern w:val="2"/>
          <w14:ligatures w14:val="standardContextual"/>
        </w:rPr>
        <w:t xml:space="preserve"> </w:t>
      </w:r>
    </w:p>
    <w:p w14:paraId="0A899B4C" w14:textId="77777777" w:rsidR="001F16B3" w:rsidRPr="001F16B3" w:rsidRDefault="001F16B3" w:rsidP="009A040F">
      <w:pPr>
        <w:rPr>
          <w:rFonts w:ascii="Calibri" w:eastAsia="Calibri" w:hAnsi="Calibri" w:cs="Times New Roman"/>
          <w:kern w:val="2"/>
          <w14:ligatures w14:val="standardContextual"/>
        </w:rPr>
      </w:pPr>
    </w:p>
    <w:p w14:paraId="31303881" w14:textId="51A9A965" w:rsidR="00BF0F71" w:rsidRPr="00C00E95" w:rsidRDefault="001F16B3" w:rsidP="009A040F">
      <w:pPr>
        <w:rPr>
          <w:rFonts w:ascii="Calibri" w:eastAsia="Calibri" w:hAnsi="Calibri" w:cs="Times New Roman"/>
          <w:kern w:val="2"/>
          <w14:ligatures w14:val="standardContextual"/>
        </w:rPr>
      </w:pPr>
      <w:r>
        <w:rPr>
          <w:rFonts w:ascii="Calibri" w:eastAsia="Calibri" w:hAnsi="Calibri" w:cs="Times New Roman"/>
          <w:kern w:val="2"/>
          <w14:ligatures w14:val="standardContextual"/>
        </w:rPr>
        <w:t xml:space="preserve">The Applicant </w:t>
      </w:r>
      <w:r w:rsidR="00AA2F70">
        <w:rPr>
          <w:rFonts w:ascii="Calibri" w:eastAsia="Calibri" w:hAnsi="Calibri" w:cs="Times New Roman"/>
          <w:kern w:val="2"/>
          <w14:ligatures w14:val="standardContextual"/>
        </w:rPr>
        <w:t xml:space="preserve">provided </w:t>
      </w:r>
      <w:r w:rsidR="00BF0F71" w:rsidRPr="00C00E95">
        <w:rPr>
          <w:rFonts w:ascii="Calibri" w:eastAsia="Calibri" w:hAnsi="Calibri" w:cs="Times New Roman"/>
          <w:kern w:val="2"/>
          <w14:ligatures w14:val="standardContextual"/>
        </w:rPr>
        <w:t>several measures to track to assess the impact of the Proposed Project</w:t>
      </w:r>
      <w:r w:rsidR="00B165F7">
        <w:rPr>
          <w:rFonts w:ascii="Calibri" w:eastAsia="Calibri" w:hAnsi="Calibri" w:cs="Times New Roman"/>
          <w:kern w:val="2"/>
          <w14:ligatures w14:val="standardContextual"/>
        </w:rPr>
        <w:t>,</w:t>
      </w:r>
      <w:r w:rsidR="00BF0F71" w:rsidRPr="00C00E95">
        <w:rPr>
          <w:rFonts w:ascii="Calibri" w:eastAsia="Calibri" w:hAnsi="Calibri" w:cs="Times New Roman"/>
          <w:kern w:val="2"/>
          <w14:ligatures w14:val="standardContextual"/>
        </w:rPr>
        <w:t xml:space="preserve"> which are found in Appendix 1. The Applicant will track and report the measures as part of their annual reporting. </w:t>
      </w:r>
    </w:p>
    <w:p w14:paraId="3BB95CC3" w14:textId="5214A815" w:rsidR="00822C58" w:rsidRPr="00C00E95" w:rsidRDefault="15451349" w:rsidP="005545A0">
      <w:pPr>
        <w:spacing w:before="240"/>
        <w:rPr>
          <w:b/>
          <w:bCs/>
          <w:i/>
          <w:iCs/>
          <w:sz w:val="28"/>
          <w:szCs w:val="28"/>
        </w:rPr>
      </w:pPr>
      <w:r w:rsidRPr="00C00E95">
        <w:t xml:space="preserve">Staff has reviewed </w:t>
      </w:r>
      <w:r w:rsidR="59F842AF" w:rsidRPr="00C00E95">
        <w:t xml:space="preserve">and concurs </w:t>
      </w:r>
      <w:r w:rsidR="18ABFE9A" w:rsidRPr="00C00E95">
        <w:t xml:space="preserve">that </w:t>
      </w:r>
      <w:r w:rsidR="37DD63E5" w:rsidRPr="00C00E95">
        <w:t xml:space="preserve">the </w:t>
      </w:r>
      <w:r w:rsidR="46CD4640" w:rsidRPr="00C00E95">
        <w:t>P</w:t>
      </w:r>
      <w:r w:rsidR="3FDFC2CB" w:rsidRPr="00C00E95">
        <w:t xml:space="preserve">roposed </w:t>
      </w:r>
      <w:r w:rsidR="46CD4640" w:rsidRPr="00C00E95">
        <w:t xml:space="preserve">Project </w:t>
      </w:r>
      <w:r w:rsidR="1E2B5125" w:rsidRPr="00C00E95">
        <w:t xml:space="preserve">will </w:t>
      </w:r>
      <w:r w:rsidR="1159FB78" w:rsidRPr="00C00E95">
        <w:t xml:space="preserve">add </w:t>
      </w:r>
      <w:r w:rsidR="45BF6CE0" w:rsidRPr="00C00E95">
        <w:t xml:space="preserve">to </w:t>
      </w:r>
      <w:r w:rsidR="1159FB78" w:rsidRPr="00C00E95">
        <w:t xml:space="preserve">public health value in terms of improved </w:t>
      </w:r>
      <w:r w:rsidR="00A31DE2" w:rsidRPr="00C00E95">
        <w:t xml:space="preserve">access, </w:t>
      </w:r>
      <w:r w:rsidR="1159FB78" w:rsidRPr="00C00E95">
        <w:t xml:space="preserve">health outcomes and quality of </w:t>
      </w:r>
      <w:r w:rsidR="00621161" w:rsidRPr="00C00E95">
        <w:t>life</w:t>
      </w:r>
      <w:r w:rsidR="1159FB78" w:rsidRPr="00C00E95">
        <w:t xml:space="preserve"> </w:t>
      </w:r>
      <w:r w:rsidR="00C00E95" w:rsidRPr="00C00E95">
        <w:t xml:space="preserve">and health equity </w:t>
      </w:r>
      <w:r w:rsidR="00DE313D" w:rsidRPr="00C00E95">
        <w:t xml:space="preserve">for </w:t>
      </w:r>
      <w:r w:rsidR="00653744" w:rsidRPr="00C00E95">
        <w:t>the</w:t>
      </w:r>
      <w:r w:rsidR="00A31DE2" w:rsidRPr="00C00E95">
        <w:t xml:space="preserve"> </w:t>
      </w:r>
      <w:r w:rsidR="1159FB78" w:rsidRPr="00C00E95">
        <w:t>Patient Panel.</w:t>
      </w:r>
      <w:r w:rsidR="29A2D2C1" w:rsidRPr="00C00E95">
        <w:t xml:space="preserve"> </w:t>
      </w:r>
    </w:p>
    <w:p w14:paraId="462CDF9A" w14:textId="77777777" w:rsidR="003E2749" w:rsidRPr="002B61BC" w:rsidRDefault="003E2749" w:rsidP="00B31381">
      <w:pPr>
        <w:pStyle w:val="Heading1"/>
        <w:spacing w:before="0" w:line="240" w:lineRule="auto"/>
        <w:rPr>
          <w:rFonts w:ascii="Garamond" w:hAnsi="Garamond"/>
          <w:color w:val="0070C0"/>
          <w:sz w:val="24"/>
          <w:szCs w:val="24"/>
        </w:rPr>
      </w:pPr>
      <w:bookmarkStart w:id="43" w:name="_Toc18922409"/>
      <w:bookmarkStart w:id="44" w:name="_Toc17151150"/>
      <w:bookmarkStart w:id="45" w:name="_Toc17322394"/>
      <w:bookmarkEnd w:id="40"/>
      <w:bookmarkEnd w:id="41"/>
    </w:p>
    <w:p w14:paraId="314988F0" w14:textId="18C4CB1F" w:rsidR="00653744" w:rsidRDefault="00BB7B4F" w:rsidP="00EC5F85">
      <w:pPr>
        <w:pStyle w:val="Heading1"/>
        <w:spacing w:before="0" w:line="240" w:lineRule="auto"/>
        <w:rPr>
          <w:rFonts w:asciiTheme="minorHAnsi" w:hAnsiTheme="minorHAnsi" w:cstheme="minorHAnsi"/>
        </w:rPr>
      </w:pPr>
      <w:bookmarkStart w:id="46" w:name="_Toc157428829"/>
      <w:bookmarkStart w:id="47" w:name="_Toc187325897"/>
      <w:r w:rsidRPr="00B13F08">
        <w:rPr>
          <w:rFonts w:asciiTheme="minorHAnsi" w:hAnsiTheme="minorHAnsi" w:cstheme="minorHAnsi"/>
        </w:rPr>
        <w:t xml:space="preserve">Factor 1: c) Efficiency, Continuity </w:t>
      </w:r>
      <w:r w:rsidR="001B5708">
        <w:rPr>
          <w:rFonts w:asciiTheme="minorHAnsi" w:hAnsiTheme="minorHAnsi" w:cstheme="minorHAnsi"/>
        </w:rPr>
        <w:t xml:space="preserve">and </w:t>
      </w:r>
      <w:r w:rsidRPr="00B13F08">
        <w:rPr>
          <w:rFonts w:asciiTheme="minorHAnsi" w:hAnsiTheme="minorHAnsi" w:cstheme="minorHAnsi"/>
        </w:rPr>
        <w:t>Coordination of Care</w:t>
      </w:r>
      <w:bookmarkEnd w:id="43"/>
      <w:bookmarkEnd w:id="44"/>
      <w:bookmarkEnd w:id="45"/>
      <w:bookmarkEnd w:id="46"/>
      <w:bookmarkEnd w:id="47"/>
    </w:p>
    <w:p w14:paraId="50057B73" w14:textId="77777777" w:rsidR="00EC5F85" w:rsidRPr="00EC5F85" w:rsidRDefault="00EC5F85" w:rsidP="00EC5F85"/>
    <w:p w14:paraId="69FE6AA2" w14:textId="29933FB0" w:rsidR="00C8256E" w:rsidRDefault="3A0885B1" w:rsidP="00C8256E">
      <w:r>
        <w:t xml:space="preserve">The Applicant attributes clinical efficiencies to its highly trained staff, and operational efficiencies to the partnership with AMSURG, an experienced ASC management company. </w:t>
      </w:r>
      <w:r w:rsidR="00C8256E">
        <w:t xml:space="preserve">The Applicant states the Proposed Project will operate efficiently and effectively through continuation of the Applicant's existing processes. The Applicant's patients are referred to the GI specialists by their PCPs if they are either symptomatic or need to schedule routine screening. The GI Specialists then schedule procedures at the Applicant's ASC or an HOPD. The Applicant provides patients with findings from the procedure and next steps prior to discharge and also faxes procedural operative notes to the patient's PCP on the day of the procedure. The GI specialist follows up with the patient following each procedure to ensure there are no post-procedure complications and to discuss if additional care is needed based on findings from the procedure. The Applicant has a recall system that schedules patients’ follow-up at the proper intervals based on their GI specialist's recommendations. </w:t>
      </w:r>
    </w:p>
    <w:p w14:paraId="2DD2EBB5" w14:textId="77777777" w:rsidR="00C8256E" w:rsidRPr="00C8256E" w:rsidRDefault="00C8256E" w:rsidP="00C8256E"/>
    <w:p w14:paraId="604DB6D8" w14:textId="4D935E33" w:rsidR="00C8256E" w:rsidRDefault="00C8256E" w:rsidP="00C8256E">
      <w:r>
        <w:t xml:space="preserve">The Applicant reports that patients have provided feedback indicating the patient flow process from booking all the way through to the completion of the procedure is much smoother and </w:t>
      </w:r>
      <w:r>
        <w:lastRenderedPageBreak/>
        <w:t>quicker than they have experienced at other facilities; it plans to continue to engage in close collaboration among patients</w:t>
      </w:r>
      <w:r w:rsidR="00F03949">
        <w:t>’</w:t>
      </w:r>
      <w:r>
        <w:t xml:space="preserve"> PCPs and GI specialists following completion of the Proposed Project.</w:t>
      </w:r>
    </w:p>
    <w:p w14:paraId="510235F7" w14:textId="77777777" w:rsidR="00C8256E" w:rsidRPr="00C8256E" w:rsidRDefault="00C8256E" w:rsidP="00C8256E"/>
    <w:p w14:paraId="3A9A9CCC" w14:textId="77777777" w:rsidR="003547DA" w:rsidRDefault="00C8256E" w:rsidP="00BE3DEF">
      <w:pPr>
        <w:rPr>
          <w:bCs/>
        </w:rPr>
      </w:pPr>
      <w:r w:rsidRPr="00C8256E">
        <w:rPr>
          <w:bCs/>
        </w:rPr>
        <w:t xml:space="preserve">Upon completion of the Project, the Applicant intends to upgrade to a new version of a system called </w:t>
      </w:r>
      <w:proofErr w:type="spellStart"/>
      <w:r w:rsidRPr="00C8256E">
        <w:rPr>
          <w:bCs/>
        </w:rPr>
        <w:t>Provation</w:t>
      </w:r>
      <w:proofErr w:type="spellEnd"/>
      <w:r w:rsidRPr="00C8256E">
        <w:rPr>
          <w:bCs/>
        </w:rPr>
        <w:t xml:space="preserve"> APEX</w:t>
      </w:r>
      <w:r w:rsidR="00BE3DEF">
        <w:rPr>
          <w:bCs/>
        </w:rPr>
        <w:t>.</w:t>
      </w:r>
      <w:r w:rsidRPr="00C8256E">
        <w:rPr>
          <w:bCs/>
        </w:rPr>
        <w:t xml:space="preserve"> </w:t>
      </w:r>
      <w:r w:rsidR="00BE3DEF" w:rsidRPr="006634E4">
        <w:rPr>
          <w:bCs/>
        </w:rPr>
        <w:t xml:space="preserve">The updated </w:t>
      </w:r>
      <w:proofErr w:type="spellStart"/>
      <w:r w:rsidR="00BE3DEF" w:rsidRPr="006634E4">
        <w:rPr>
          <w:bCs/>
        </w:rPr>
        <w:t>Provation</w:t>
      </w:r>
      <w:proofErr w:type="spellEnd"/>
      <w:r w:rsidR="00BE3DEF" w:rsidRPr="006634E4">
        <w:rPr>
          <w:bCs/>
        </w:rPr>
        <w:t xml:space="preserve"> APEX system is 98% paperless</w:t>
      </w:r>
      <w:r w:rsidR="00BE3DEF" w:rsidRPr="00BE3DEF">
        <w:rPr>
          <w:bCs/>
        </w:rPr>
        <w:t>. It is a w</w:t>
      </w:r>
      <w:r w:rsidR="00BE3DEF" w:rsidRPr="006634E4">
        <w:rPr>
          <w:bCs/>
        </w:rPr>
        <w:t>eb-based portal</w:t>
      </w:r>
      <w:r w:rsidR="00BE3DEF" w:rsidRPr="00BE3DEF">
        <w:rPr>
          <w:bCs/>
        </w:rPr>
        <w:t xml:space="preserve"> that will</w:t>
      </w:r>
      <w:r w:rsidR="00BE3DEF" w:rsidRPr="006634E4">
        <w:rPr>
          <w:bCs/>
        </w:rPr>
        <w:t xml:space="preserve"> allow physicians greater access to system, as well as better security safeguards</w:t>
      </w:r>
      <w:r w:rsidR="00BE3DEF" w:rsidRPr="00BE3DEF">
        <w:rPr>
          <w:bCs/>
        </w:rPr>
        <w:t xml:space="preserve"> and includes the following</w:t>
      </w:r>
      <w:r w:rsidR="00BE3DEF">
        <w:rPr>
          <w:bCs/>
        </w:rPr>
        <w:t xml:space="preserve"> features that will contribute to improved efficiencies and coordination of care:</w:t>
      </w:r>
    </w:p>
    <w:p w14:paraId="7BFE574B" w14:textId="4899428B" w:rsidR="00BE3DEF" w:rsidRPr="006634E4" w:rsidRDefault="00BE3DEF" w:rsidP="00BE3DEF">
      <w:pPr>
        <w:rPr>
          <w:bCs/>
        </w:rPr>
      </w:pPr>
      <w:r w:rsidRPr="006634E4">
        <w:rPr>
          <w:bCs/>
        </w:rPr>
        <w:t xml:space="preserve"> </w:t>
      </w:r>
    </w:p>
    <w:p w14:paraId="6767E230" w14:textId="77777777" w:rsidR="00BE3DEF" w:rsidRPr="00BE3DEF" w:rsidRDefault="00BE3DEF" w:rsidP="00BE3DEF">
      <w:pPr>
        <w:numPr>
          <w:ilvl w:val="0"/>
          <w:numId w:val="30"/>
        </w:numPr>
        <w:rPr>
          <w:bCs/>
        </w:rPr>
      </w:pPr>
      <w:r w:rsidRPr="00BE3DEF">
        <w:rPr>
          <w:bCs/>
        </w:rPr>
        <w:t xml:space="preserve">Ability to collect health information from patients prior to visit, which are incorporated into nursing notes before the patients arrive for their appointment, and allow staff to screen for patients who require a higher acuity setting; </w:t>
      </w:r>
    </w:p>
    <w:p w14:paraId="175D34B7" w14:textId="77777777" w:rsidR="00BE3DEF" w:rsidRPr="00BE3DEF" w:rsidRDefault="00BE3DEF" w:rsidP="00BE3DEF">
      <w:pPr>
        <w:numPr>
          <w:ilvl w:val="0"/>
          <w:numId w:val="30"/>
        </w:numPr>
        <w:rPr>
          <w:bCs/>
        </w:rPr>
      </w:pPr>
      <w:r w:rsidRPr="00BE3DEF">
        <w:rPr>
          <w:bCs/>
        </w:rPr>
        <w:t>Ability to track patients from arrival through discharge;</w:t>
      </w:r>
    </w:p>
    <w:p w14:paraId="6DBC0BD2" w14:textId="77777777" w:rsidR="00BE3DEF" w:rsidRPr="00BE3DEF" w:rsidRDefault="00081851" w:rsidP="00BE3DEF">
      <w:pPr>
        <w:numPr>
          <w:ilvl w:val="0"/>
          <w:numId w:val="30"/>
        </w:numPr>
        <w:rPr>
          <w:bCs/>
        </w:rPr>
      </w:pPr>
      <w:r w:rsidRPr="00BE3DEF">
        <w:rPr>
          <w:bCs/>
        </w:rPr>
        <w:t xml:space="preserve">Ability to collect and report </w:t>
      </w:r>
      <w:r w:rsidR="00BE3DEF" w:rsidRPr="00BE3DEF">
        <w:rPr>
          <w:bCs/>
        </w:rPr>
        <w:t>patient demographics such as</w:t>
      </w:r>
      <w:r w:rsidRPr="00BE3DEF">
        <w:rPr>
          <w:bCs/>
        </w:rPr>
        <w:t xml:space="preserve"> race and ethnicity information for each patient.</w:t>
      </w:r>
    </w:p>
    <w:p w14:paraId="621E7218" w14:textId="77777777" w:rsidR="00BE3DEF" w:rsidRPr="00BE3DEF" w:rsidRDefault="00BE3DEF" w:rsidP="00BE3DEF">
      <w:pPr>
        <w:numPr>
          <w:ilvl w:val="0"/>
          <w:numId w:val="30"/>
        </w:numPr>
        <w:rPr>
          <w:bCs/>
        </w:rPr>
      </w:pPr>
      <w:r w:rsidRPr="00BE3DEF">
        <w:rPr>
          <w:bCs/>
        </w:rPr>
        <w:t xml:space="preserve">Ability to create discharge letters printed for patients to take home.  </w:t>
      </w:r>
    </w:p>
    <w:p w14:paraId="450BF7D5" w14:textId="77777777" w:rsidR="00BE3DEF" w:rsidRPr="00BE3DEF" w:rsidRDefault="00BE3DEF" w:rsidP="00BE3DEF">
      <w:pPr>
        <w:numPr>
          <w:ilvl w:val="0"/>
          <w:numId w:val="30"/>
        </w:numPr>
        <w:rPr>
          <w:bCs/>
        </w:rPr>
      </w:pPr>
      <w:r w:rsidRPr="00BE3DEF">
        <w:rPr>
          <w:bCs/>
        </w:rPr>
        <w:t>Ability to communicate the patient reports with the patient’s PCP once completed by the physician creating the report;</w:t>
      </w:r>
    </w:p>
    <w:p w14:paraId="772F7C8B" w14:textId="77777777" w:rsidR="00BE3DEF" w:rsidRPr="00BE3DEF" w:rsidRDefault="00BE3DEF" w:rsidP="00BE3DEF">
      <w:pPr>
        <w:numPr>
          <w:ilvl w:val="0"/>
          <w:numId w:val="30"/>
        </w:numPr>
        <w:rPr>
          <w:bCs/>
        </w:rPr>
      </w:pPr>
      <w:r w:rsidRPr="00BE3DEF">
        <w:rPr>
          <w:bCs/>
        </w:rPr>
        <w:t xml:space="preserve">Ability to generate pathology letters to patients; </w:t>
      </w:r>
    </w:p>
    <w:p w14:paraId="73C9DC5A" w14:textId="77777777" w:rsidR="00BE3DEF" w:rsidRPr="00BE3DEF" w:rsidRDefault="00BE3DEF" w:rsidP="00BE3DEF">
      <w:pPr>
        <w:numPr>
          <w:ilvl w:val="0"/>
          <w:numId w:val="30"/>
        </w:numPr>
        <w:rPr>
          <w:bCs/>
        </w:rPr>
      </w:pPr>
      <w:r w:rsidRPr="00BE3DEF">
        <w:rPr>
          <w:bCs/>
        </w:rPr>
        <w:t xml:space="preserve">Automatic Coding upgrades to stay current so there is no need to wait for upgrades for accurate coding. </w:t>
      </w:r>
    </w:p>
    <w:p w14:paraId="16879226" w14:textId="77777777" w:rsidR="00C8256E" w:rsidRPr="00C8256E" w:rsidRDefault="00C8256E" w:rsidP="00653744"/>
    <w:p w14:paraId="3E46B0E2" w14:textId="58CEF486" w:rsidR="00621161" w:rsidRDefault="00653744" w:rsidP="00653744">
      <w:pPr>
        <w:rPr>
          <w:b/>
          <w:bCs/>
          <w:i/>
          <w:iCs/>
        </w:rPr>
      </w:pPr>
      <w:r w:rsidRPr="00653744">
        <w:rPr>
          <w:b/>
          <w:bCs/>
          <w:i/>
          <w:iCs/>
        </w:rPr>
        <w:t>Analysis</w:t>
      </w:r>
    </w:p>
    <w:p w14:paraId="53C70F40" w14:textId="77777777" w:rsidR="00653744" w:rsidRDefault="00653744" w:rsidP="00653744">
      <w:pPr>
        <w:rPr>
          <w:b/>
          <w:bCs/>
          <w:i/>
          <w:iCs/>
        </w:rPr>
      </w:pPr>
    </w:p>
    <w:p w14:paraId="37943E6C" w14:textId="5BA1BB1F" w:rsidR="00653744" w:rsidRDefault="5183B51D" w:rsidP="00653744">
      <w:r>
        <w:t xml:space="preserve">Consistent with reporting in the literature. </w:t>
      </w:r>
      <w:r w:rsidR="00C8256E">
        <w:t xml:space="preserve"> clinical efficiencies </w:t>
      </w:r>
      <w:r w:rsidR="6BA2D780">
        <w:t>have been attributed to</w:t>
      </w:r>
      <w:r w:rsidR="00C8256E">
        <w:t xml:space="preserve"> highly trained staff</w:t>
      </w:r>
      <w:r w:rsidR="00BC21E2">
        <w:t>.</w:t>
      </w:r>
      <w:r w:rsidR="00C8256E">
        <w:t xml:space="preserve">   </w:t>
      </w:r>
      <w:r w:rsidR="00653744">
        <w:t>Successful care coordination includes strong communication and effective care plan transitions among providers and the provision of clear and simple information that patients can understand.</w:t>
      </w:r>
      <w:r w:rsidR="00653744" w:rsidRPr="7A04B244">
        <w:rPr>
          <w:vertAlign w:val="superscript"/>
        </w:rPr>
        <w:t>ee</w:t>
      </w:r>
      <w:r w:rsidR="00653744">
        <w:t xml:space="preserve"> Effective care coordination can improve patient experience, increase patient safety</w:t>
      </w:r>
      <w:r w:rsidR="008C0770">
        <w:t>,</w:t>
      </w:r>
      <w:r w:rsidR="00653744">
        <w:t xml:space="preserve"> and reduce medical </w:t>
      </w:r>
      <w:proofErr w:type="spellStart"/>
      <w:r w:rsidR="00653744">
        <w:t>errors.</w:t>
      </w:r>
      <w:r w:rsidR="00653744" w:rsidRPr="7A04B244">
        <w:rPr>
          <w:vertAlign w:val="superscript"/>
        </w:rPr>
        <w:t>ff</w:t>
      </w:r>
      <w:proofErr w:type="spellEnd"/>
      <w:r w:rsidR="00653744">
        <w:t xml:space="preserve"> </w:t>
      </w:r>
      <w:r w:rsidR="006010CF">
        <w:t xml:space="preserve">While the Applicant’s EHR cannot be integrated with PCP offices, a strong referral base and positive patient feedback, and accreditation reflect a history of satisfaction that </w:t>
      </w:r>
      <w:r w:rsidR="12DA0A5A">
        <w:t xml:space="preserve">the Applicant </w:t>
      </w:r>
      <w:r w:rsidR="50488F6C">
        <w:t xml:space="preserve">believes has </w:t>
      </w:r>
      <w:proofErr w:type="spellStart"/>
      <w:r w:rsidR="50488F6C">
        <w:t>lead</w:t>
      </w:r>
      <w:proofErr w:type="spellEnd"/>
      <w:r w:rsidR="50488F6C">
        <w:t xml:space="preserve"> </w:t>
      </w:r>
      <w:r w:rsidR="12DA0A5A">
        <w:t xml:space="preserve">to its current </w:t>
      </w:r>
      <w:r w:rsidR="6A638AA4">
        <w:t>high utilization</w:t>
      </w:r>
      <w:r w:rsidR="12DA0A5A">
        <w:t xml:space="preserve">. </w:t>
      </w:r>
      <w:r w:rsidR="006010CF">
        <w:t xml:space="preserve"> . </w:t>
      </w:r>
    </w:p>
    <w:p w14:paraId="4A216D55" w14:textId="77777777" w:rsidR="006010CF" w:rsidRDefault="006010CF" w:rsidP="00653744"/>
    <w:p w14:paraId="7255EFB2" w14:textId="2F06C1AE" w:rsidR="006010CF" w:rsidRPr="00653744" w:rsidRDefault="006010CF" w:rsidP="00653744">
      <w:r w:rsidRPr="006010CF">
        <w:t xml:space="preserve">Staff has reviewed </w:t>
      </w:r>
      <w:r w:rsidR="007D6F88">
        <w:t xml:space="preserve">the information provided </w:t>
      </w:r>
      <w:r w:rsidRPr="006010CF">
        <w:t xml:space="preserve">and concurs that the Proposed Project will </w:t>
      </w:r>
      <w:r w:rsidR="007D6F88">
        <w:t xml:space="preserve">likely improve efficiencies with the additional capacity and upgraded EHR system. </w:t>
      </w:r>
    </w:p>
    <w:p w14:paraId="776A721D" w14:textId="77777777" w:rsidR="00E64DCD" w:rsidRPr="002B61BC" w:rsidRDefault="00E64DCD" w:rsidP="00621161">
      <w:pPr>
        <w:pStyle w:val="ListParagraph"/>
        <w:spacing w:after="0" w:line="240" w:lineRule="auto"/>
        <w:ind w:left="360"/>
        <w:rPr>
          <w:color w:val="0070C0"/>
        </w:rPr>
      </w:pPr>
    </w:p>
    <w:p w14:paraId="0521E143" w14:textId="2F89B1D0" w:rsidR="00E40FAA" w:rsidRDefault="00371842" w:rsidP="007C36FF">
      <w:pPr>
        <w:pStyle w:val="Heading1"/>
        <w:spacing w:before="0" w:line="240" w:lineRule="auto"/>
        <w:rPr>
          <w:rFonts w:asciiTheme="minorHAnsi" w:hAnsiTheme="minorHAnsi" w:cstheme="minorHAnsi"/>
        </w:rPr>
      </w:pPr>
      <w:bookmarkStart w:id="48" w:name="_Toc18922415"/>
      <w:bookmarkStart w:id="49" w:name="_Toc157428830"/>
      <w:bookmarkStart w:id="50" w:name="_Toc187325898"/>
      <w:r w:rsidRPr="008E54FA">
        <w:rPr>
          <w:rFonts w:asciiTheme="minorHAnsi" w:hAnsiTheme="minorHAnsi" w:cstheme="minorHAnsi"/>
        </w:rPr>
        <w:t>Factor 1: d) Consultatio</w:t>
      </w:r>
      <w:bookmarkEnd w:id="48"/>
      <w:r w:rsidR="00114B38" w:rsidRPr="008E54FA">
        <w:rPr>
          <w:rFonts w:asciiTheme="minorHAnsi" w:hAnsiTheme="minorHAnsi" w:cstheme="minorHAnsi"/>
        </w:rPr>
        <w:t>n</w:t>
      </w:r>
      <w:bookmarkEnd w:id="49"/>
      <w:bookmarkEnd w:id="50"/>
    </w:p>
    <w:p w14:paraId="42B5BE4E" w14:textId="77777777" w:rsidR="007B1DAB" w:rsidRPr="007B1DAB" w:rsidRDefault="007B1DAB" w:rsidP="007C36FF"/>
    <w:p w14:paraId="5EB74BF8" w14:textId="77777777" w:rsidR="00FF52C0" w:rsidRDefault="00C12BBA" w:rsidP="00FF52C0">
      <w:r w:rsidRPr="008E54FA">
        <w:t xml:space="preserve">The Applicant has provided evidence of consultation, both prior to and after the Filing Date, with all </w:t>
      </w:r>
      <w:r w:rsidR="00C06F05" w:rsidRPr="008E54FA">
        <w:t>government agencies that have</w:t>
      </w:r>
      <w:r w:rsidRPr="008E54FA">
        <w:t xml:space="preserve"> licensure, certification, or ot</w:t>
      </w:r>
      <w:r w:rsidR="00C06F05" w:rsidRPr="008E54FA">
        <w:t>her regulatory oversight, which has been done and will not be addressed further in this report.</w:t>
      </w:r>
      <w:bookmarkStart w:id="51" w:name="_Toc157428831"/>
      <w:bookmarkStart w:id="52" w:name="_Toc18922416"/>
    </w:p>
    <w:p w14:paraId="4CEFFA80" w14:textId="77777777" w:rsidR="004137EA" w:rsidRDefault="004137EA" w:rsidP="00FF52C0"/>
    <w:p w14:paraId="2D337550" w14:textId="6226CB1B" w:rsidR="0074546D" w:rsidRDefault="004137EA" w:rsidP="004137EA">
      <w:pPr>
        <w:pStyle w:val="Heading1"/>
        <w:spacing w:before="0" w:line="240" w:lineRule="auto"/>
        <w:rPr>
          <w:rFonts w:asciiTheme="minorHAnsi" w:hAnsiTheme="minorHAnsi" w:cstheme="minorHAnsi"/>
        </w:rPr>
      </w:pPr>
      <w:bookmarkStart w:id="53" w:name="_Toc187325899"/>
      <w:r w:rsidRPr="008E54FA">
        <w:rPr>
          <w:rFonts w:asciiTheme="minorHAnsi" w:hAnsiTheme="minorHAnsi" w:cstheme="minorHAnsi"/>
        </w:rPr>
        <w:lastRenderedPageBreak/>
        <w:t xml:space="preserve">Factor </w:t>
      </w:r>
      <w:r w:rsidR="00076B1A" w:rsidRPr="004137EA">
        <w:rPr>
          <w:rStyle w:val="Heading1Char"/>
          <w:rFonts w:asciiTheme="minorHAnsi" w:hAnsiTheme="minorHAnsi" w:cstheme="minorHAnsi"/>
          <w:b/>
          <w:bCs/>
        </w:rPr>
        <w:t>1: e) Evidence of Sound Community Engagement through the Patient Panel</w:t>
      </w:r>
      <w:bookmarkEnd w:id="51"/>
      <w:bookmarkEnd w:id="53"/>
    </w:p>
    <w:p w14:paraId="30ACB395" w14:textId="77777777" w:rsidR="008E7DC1" w:rsidRDefault="008E7DC1" w:rsidP="008E7DC1"/>
    <w:p w14:paraId="1FE28D10" w14:textId="77777777" w:rsidR="008E7DC1" w:rsidRPr="005C0BD1" w:rsidRDefault="008E7DC1" w:rsidP="005C0BD1">
      <w:r w:rsidRPr="005C0BD1">
        <w:t>The Department’s Guideline</w:t>
      </w:r>
      <w:r w:rsidRPr="005C0BD1">
        <w:rPr>
          <w:vertAlign w:val="superscript"/>
        </w:rPr>
        <w:endnoteReference w:id="31"/>
      </w:r>
      <w:r w:rsidRPr="005C0BD1">
        <w:t xml:space="preserve"> for community engagement defines “community” as the Patient Panel and requires that, at minimum, the Applicant must “consult” with groups representative of the Applicant’s Patient Panel. Regulations state that efforts in such consultation should consist of engaging “community coalitions statistically representative of the Patient Panel.”</w:t>
      </w:r>
      <w:r w:rsidRPr="005C0BD1">
        <w:rPr>
          <w:vertAlign w:val="superscript"/>
        </w:rPr>
        <w:endnoteReference w:id="32"/>
      </w:r>
      <w:r w:rsidRPr="005C0BD1">
        <w:t xml:space="preserve"> </w:t>
      </w:r>
    </w:p>
    <w:p w14:paraId="7464EAB2" w14:textId="77777777" w:rsidR="00891DA7" w:rsidRPr="005C0BD1" w:rsidRDefault="00891DA7" w:rsidP="005C0BD1"/>
    <w:p w14:paraId="35923ADB" w14:textId="77777777" w:rsidR="00FC0CEE" w:rsidRPr="005C0BD1" w:rsidRDefault="00FC0CEE" w:rsidP="005C0BD1">
      <w:r w:rsidRPr="005C0BD1">
        <w:t xml:space="preserve">The Applicant engaged patients and members of the community at 2 community meetings, held on July 11, </w:t>
      </w:r>
      <w:proofErr w:type="gramStart"/>
      <w:r w:rsidRPr="005C0BD1">
        <w:t>2024</w:t>
      </w:r>
      <w:proofErr w:type="gramEnd"/>
      <w:r w:rsidRPr="005C0BD1">
        <w:t xml:space="preserve"> and July 15, 2024 to ensure sound community engagement and consultation throughout the development of the Proposed Project.  </w:t>
      </w:r>
    </w:p>
    <w:p w14:paraId="58642A50" w14:textId="77777777" w:rsidR="00FC0CEE" w:rsidRPr="005C0BD1" w:rsidRDefault="00FC0CEE" w:rsidP="005C0BD1"/>
    <w:p w14:paraId="45E8C484" w14:textId="0B8236D1" w:rsidR="00FC0CEE" w:rsidRPr="005C0BD1" w:rsidRDefault="00FC0CEE" w:rsidP="005C0BD1">
      <w:r w:rsidRPr="005C0BD1">
        <w:t xml:space="preserve">The first session was held virtually via Zoom on July 11, 2024, with 10 attendees at the Town of Easton Economic Development Council meeting, The second was held on July 15, </w:t>
      </w:r>
      <w:proofErr w:type="gramStart"/>
      <w:r w:rsidRPr="005C0BD1">
        <w:t>2024</w:t>
      </w:r>
      <w:proofErr w:type="gramEnd"/>
      <w:r w:rsidRPr="005C0BD1">
        <w:t xml:space="preserve"> at an in-person Board meeting at the Easton Town Offices with 15 in-person attendees and additional virtual attendees. </w:t>
      </w:r>
    </w:p>
    <w:p w14:paraId="5294A81B" w14:textId="77777777" w:rsidR="00FC0CEE" w:rsidRPr="005C0BD1" w:rsidRDefault="00FC0CEE" w:rsidP="005C0BD1"/>
    <w:p w14:paraId="6FE3E672" w14:textId="0DC7D772" w:rsidR="001F10CC" w:rsidRPr="005C0BD1" w:rsidRDefault="00FC0CEE" w:rsidP="005C0BD1">
      <w:r w:rsidRPr="005C0BD1">
        <w:t>Prior to the meetings, Notices were emailed to patients and posted on the Applicant's website. Additionally, the Town of Easton publicized the meetings and agendas on its website. At the meetings, the Applicant provided information on the Proposed Project and the benefits of ambulatory surgery centers and solicited feedback from participants. All participants at the two community meetings expressed overwhelming favor of the Proposed Project and appreciation to have the Applicant expanding and relocating its ASC services to Easton.</w:t>
      </w:r>
    </w:p>
    <w:p w14:paraId="1C564B44" w14:textId="77777777" w:rsidR="00FC0CEE" w:rsidRPr="005C0BD1" w:rsidRDefault="00FC0CEE" w:rsidP="005C0BD1"/>
    <w:p w14:paraId="49F3200B" w14:textId="6A4B9018" w:rsidR="008E7DC1" w:rsidRPr="005C0BD1" w:rsidRDefault="008E7DC1" w:rsidP="005C0BD1">
      <w:pPr>
        <w:rPr>
          <w:b/>
          <w:bCs/>
          <w:i/>
          <w:iCs/>
        </w:rPr>
      </w:pPr>
      <w:r w:rsidRPr="005C0BD1">
        <w:rPr>
          <w:b/>
          <w:bCs/>
          <w:i/>
          <w:iCs/>
        </w:rPr>
        <w:t>Analysis</w:t>
      </w:r>
    </w:p>
    <w:p w14:paraId="0F21260F" w14:textId="021A4C3A" w:rsidR="008E7DC1" w:rsidRPr="005C0BD1" w:rsidRDefault="008E7DC1" w:rsidP="005C0BD1">
      <w:pPr>
        <w:rPr>
          <w:bCs/>
          <w:iCs/>
          <w:color w:val="0070C0"/>
        </w:rPr>
      </w:pPr>
    </w:p>
    <w:p w14:paraId="73D7263B" w14:textId="05BDBBAF" w:rsidR="008E7DC1" w:rsidRPr="005C0BD1" w:rsidRDefault="008E7DC1" w:rsidP="005C0BD1">
      <w:pPr>
        <w:rPr>
          <w:color w:val="000000" w:themeColor="text1"/>
        </w:rPr>
      </w:pPr>
      <w:r w:rsidRPr="005C0BD1">
        <w:rPr>
          <w:color w:val="000000" w:themeColor="text1"/>
        </w:rPr>
        <w:t>Staff reviewed the information on the Applicant’s community engagement and finds that it has met the required community engagement standard of Consult in the planning phase of the Proposed Project.</w:t>
      </w:r>
    </w:p>
    <w:p w14:paraId="3649F9F1" w14:textId="1256F64C" w:rsidR="007B1DAB" w:rsidRPr="005C0BD1" w:rsidRDefault="008B3C74" w:rsidP="005C0BD1">
      <w:pPr>
        <w:rPr>
          <w:color w:val="000000" w:themeColor="text1"/>
        </w:rPr>
      </w:pPr>
      <w:r w:rsidRPr="005C0BD1">
        <w:rPr>
          <w:rStyle w:val="Heading1Char"/>
          <w:rFonts w:asciiTheme="minorHAnsi" w:hAnsiTheme="minorHAnsi" w:cstheme="minorHAnsi"/>
          <w:color w:val="000000" w:themeColor="text1"/>
          <w:sz w:val="24"/>
          <w:szCs w:val="24"/>
        </w:rPr>
        <w:t xml:space="preserve"> </w:t>
      </w:r>
    </w:p>
    <w:p w14:paraId="4A960CCB" w14:textId="5F5F5FB9" w:rsidR="00E40FAA" w:rsidRPr="005C0BD1" w:rsidRDefault="00E40FAA" w:rsidP="005C0BD1">
      <w:pPr>
        <w:pStyle w:val="Heading1"/>
        <w:spacing w:before="0" w:line="240" w:lineRule="auto"/>
        <w:rPr>
          <w:rFonts w:asciiTheme="minorHAnsi" w:hAnsiTheme="minorHAnsi" w:cstheme="minorBidi"/>
          <w:sz w:val="24"/>
          <w:szCs w:val="24"/>
        </w:rPr>
      </w:pPr>
      <w:bookmarkStart w:id="54" w:name="_Toc18922417"/>
      <w:bookmarkStart w:id="55" w:name="_Toc157428832"/>
      <w:bookmarkStart w:id="56" w:name="_Toc187325900"/>
      <w:bookmarkStart w:id="57" w:name="_Toc17322399"/>
      <w:bookmarkEnd w:id="52"/>
      <w:r w:rsidRPr="0075297E">
        <w:rPr>
          <w:rFonts w:asciiTheme="minorHAnsi" w:hAnsiTheme="minorHAnsi" w:cstheme="minorBidi"/>
        </w:rPr>
        <w:t xml:space="preserve">Factor 1: f) Competition </w:t>
      </w:r>
      <w:r w:rsidR="00471349" w:rsidRPr="0075297E">
        <w:rPr>
          <w:rFonts w:asciiTheme="minorHAnsi" w:hAnsiTheme="minorHAnsi" w:cstheme="minorBidi"/>
        </w:rPr>
        <w:t>on Price, Total Medical Expenses (</w:t>
      </w:r>
      <w:r w:rsidR="00371842" w:rsidRPr="0075297E">
        <w:rPr>
          <w:rFonts w:asciiTheme="minorHAnsi" w:hAnsiTheme="minorHAnsi" w:cstheme="minorBidi"/>
        </w:rPr>
        <w:t>TME</w:t>
      </w:r>
      <w:r w:rsidR="00471349" w:rsidRPr="0075297E">
        <w:rPr>
          <w:rFonts w:asciiTheme="minorHAnsi" w:hAnsiTheme="minorHAnsi" w:cstheme="minorBidi"/>
        </w:rPr>
        <w:t>), Costs and Other Measures of Health Care Spending</w:t>
      </w:r>
      <w:bookmarkEnd w:id="54"/>
      <w:bookmarkEnd w:id="55"/>
      <w:bookmarkEnd w:id="56"/>
    </w:p>
    <w:p w14:paraId="2A24F9CA" w14:textId="77777777" w:rsidR="001F10CC" w:rsidRPr="005C0BD1" w:rsidRDefault="001F10CC" w:rsidP="005C0BD1"/>
    <w:p w14:paraId="7DD7CBFA" w14:textId="5C89C89E" w:rsidR="0002767A" w:rsidRPr="0006269B" w:rsidRDefault="00616FCA" w:rsidP="0006269B">
      <w:pPr>
        <w:contextualSpacing/>
        <w:jc w:val="both"/>
        <w:rPr>
          <w:bCs/>
          <w:iCs/>
        </w:rPr>
      </w:pPr>
      <w:bookmarkStart w:id="58" w:name="_Hlk160469667"/>
      <w:bookmarkEnd w:id="57"/>
      <w:r w:rsidRPr="0006269B">
        <w:rPr>
          <w:bCs/>
          <w:iCs/>
        </w:rPr>
        <w:t>The Applicant asserts the Proposed Project will have a positive impact on competition in the Massachusetts healthcare market based on price and total medical expense since the ASC is a lower cost alternative to outpatient GI procedures performed in an HOPD. ASCs are able to achieve this lower cost due to significantly lower overhead costs as compared to HOPD</w:t>
      </w:r>
      <w:r w:rsidR="00701F0C">
        <w:rPr>
          <w:bCs/>
          <w:iCs/>
        </w:rPr>
        <w:t>'</w:t>
      </w:r>
      <w:r w:rsidRPr="0006269B">
        <w:rPr>
          <w:bCs/>
          <w:iCs/>
        </w:rPr>
        <w:t>s. By expanding the capacity of the ASC, more patients in the primary service area will be able to utilize an ASC for GI procedures</w:t>
      </w:r>
      <w:r w:rsidR="005B48C9" w:rsidRPr="0006269B">
        <w:rPr>
          <w:bCs/>
          <w:iCs/>
        </w:rPr>
        <w:t xml:space="preserve">. </w:t>
      </w:r>
      <w:r w:rsidRPr="0006269B">
        <w:rPr>
          <w:bCs/>
          <w:iCs/>
        </w:rPr>
        <w:t xml:space="preserve"> </w:t>
      </w:r>
    </w:p>
    <w:p w14:paraId="10F2552C" w14:textId="77777777" w:rsidR="0045116F" w:rsidRPr="0006269B" w:rsidRDefault="0045116F" w:rsidP="0006269B">
      <w:pPr>
        <w:contextualSpacing/>
        <w:jc w:val="both"/>
        <w:rPr>
          <w:bCs/>
          <w:iCs/>
        </w:rPr>
      </w:pPr>
    </w:p>
    <w:p w14:paraId="76E9BE8B" w14:textId="67AEB3B6" w:rsidR="00B01BE6" w:rsidRPr="0006269B" w:rsidRDefault="0045116F" w:rsidP="0006269B">
      <w:pPr>
        <w:contextualSpacing/>
        <w:jc w:val="both"/>
        <w:rPr>
          <w:bCs/>
          <w:iCs/>
        </w:rPr>
      </w:pPr>
      <w:r w:rsidRPr="4E2208F8">
        <w:lastRenderedPageBreak/>
        <w:t xml:space="preserve">The Applicant provided the information in Table 8 for </w:t>
      </w:r>
      <w:r w:rsidR="00B01BE6" w:rsidRPr="4E2208F8">
        <w:t>comparing Medicare costs at an ASC vs. HOPD for the top five (5) procedures performed at the Applicant's ASC.</w:t>
      </w:r>
      <w:r w:rsidR="00B01BE6" w:rsidRPr="4E2208F8">
        <w:rPr>
          <w:rStyle w:val="FootnoteReference"/>
        </w:rPr>
        <w:footnoteReference w:id="9"/>
      </w:r>
      <w:r w:rsidR="005B48C9" w:rsidRPr="4E2208F8">
        <w:t xml:space="preserve"> Under the heading “Cost Variance”, the table shows the significant out of pocket savings for patients when using an ASC versus an HOPD; likewise, it shows significant savings for Medicare in payments to the provider</w:t>
      </w:r>
      <w:r w:rsidR="0006269B" w:rsidRPr="4E2208F8">
        <w:t xml:space="preserve"> in the ASC versus an HOPD.</w:t>
      </w:r>
    </w:p>
    <w:p w14:paraId="3BDB31D1" w14:textId="77777777" w:rsidR="00B01BE6" w:rsidRPr="0006269B" w:rsidRDefault="00B01BE6" w:rsidP="0006269B">
      <w:pPr>
        <w:contextualSpacing/>
        <w:rPr>
          <w:bCs/>
          <w:iCs/>
        </w:rPr>
      </w:pPr>
    </w:p>
    <w:tbl>
      <w:tblPr>
        <w:tblStyle w:val="TableGrid"/>
        <w:tblW w:w="10800" w:type="dxa"/>
        <w:tblInd w:w="-545" w:type="dxa"/>
        <w:tblLook w:val="04A0" w:firstRow="1" w:lastRow="0" w:firstColumn="1" w:lastColumn="0" w:noHBand="0" w:noVBand="1"/>
      </w:tblPr>
      <w:tblGrid>
        <w:gridCol w:w="3420"/>
        <w:gridCol w:w="1170"/>
        <w:gridCol w:w="1170"/>
        <w:gridCol w:w="1350"/>
        <w:gridCol w:w="1078"/>
        <w:gridCol w:w="1358"/>
        <w:gridCol w:w="1254"/>
      </w:tblGrid>
      <w:tr w:rsidR="0003214F" w:rsidRPr="0006269B" w14:paraId="2E6D34E9" w14:textId="77777777" w:rsidTr="0003214F">
        <w:trPr>
          <w:cantSplit/>
          <w:tblHeader/>
        </w:trPr>
        <w:tc>
          <w:tcPr>
            <w:tcW w:w="3420" w:type="dxa"/>
            <w:shd w:val="clear" w:color="auto" w:fill="D9FFFF"/>
          </w:tcPr>
          <w:p w14:paraId="240A9080" w14:textId="77777777" w:rsidR="0003214F" w:rsidRPr="0006269B" w:rsidRDefault="0003214F" w:rsidP="0003214F">
            <w:pPr>
              <w:contextualSpacing/>
              <w:rPr>
                <w:b/>
                <w:bCs/>
                <w:iCs/>
              </w:rPr>
            </w:pPr>
          </w:p>
        </w:tc>
        <w:tc>
          <w:tcPr>
            <w:tcW w:w="1170" w:type="dxa"/>
            <w:shd w:val="clear" w:color="auto" w:fill="D9FFFF"/>
          </w:tcPr>
          <w:p w14:paraId="3A840664" w14:textId="77777777" w:rsidR="0003214F" w:rsidRPr="0006269B" w:rsidRDefault="0003214F" w:rsidP="0003214F">
            <w:pPr>
              <w:contextualSpacing/>
              <w:jc w:val="center"/>
              <w:rPr>
                <w:b/>
                <w:bCs/>
                <w:iCs/>
              </w:rPr>
            </w:pPr>
            <w:r w:rsidRPr="0006269B">
              <w:rPr>
                <w:b/>
                <w:bCs/>
                <w:iCs/>
              </w:rPr>
              <w:t xml:space="preserve">ASC Costs </w:t>
            </w:r>
          </w:p>
        </w:tc>
        <w:tc>
          <w:tcPr>
            <w:tcW w:w="1170" w:type="dxa"/>
            <w:shd w:val="clear" w:color="auto" w:fill="D9FFFF"/>
          </w:tcPr>
          <w:p w14:paraId="3CECF148" w14:textId="1D3FE0C6" w:rsidR="0003214F" w:rsidRPr="0006269B" w:rsidRDefault="0003214F" w:rsidP="0003214F">
            <w:pPr>
              <w:contextualSpacing/>
              <w:jc w:val="center"/>
              <w:rPr>
                <w:b/>
                <w:bCs/>
                <w:iCs/>
              </w:rPr>
            </w:pPr>
            <w:r w:rsidRPr="0006269B">
              <w:rPr>
                <w:b/>
                <w:bCs/>
                <w:iCs/>
              </w:rPr>
              <w:t xml:space="preserve">ASC Costs </w:t>
            </w:r>
          </w:p>
        </w:tc>
        <w:tc>
          <w:tcPr>
            <w:tcW w:w="1350" w:type="dxa"/>
            <w:shd w:val="clear" w:color="auto" w:fill="D9FFFF"/>
          </w:tcPr>
          <w:p w14:paraId="420273ED" w14:textId="77777777" w:rsidR="0003214F" w:rsidRPr="0006269B" w:rsidRDefault="0003214F" w:rsidP="0003214F">
            <w:pPr>
              <w:contextualSpacing/>
              <w:jc w:val="center"/>
              <w:rPr>
                <w:b/>
                <w:bCs/>
                <w:iCs/>
              </w:rPr>
            </w:pPr>
            <w:r w:rsidRPr="0006269B">
              <w:rPr>
                <w:b/>
                <w:bCs/>
                <w:iCs/>
              </w:rPr>
              <w:t>HOPD Costs</w:t>
            </w:r>
          </w:p>
        </w:tc>
        <w:tc>
          <w:tcPr>
            <w:tcW w:w="1078" w:type="dxa"/>
            <w:shd w:val="clear" w:color="auto" w:fill="D9FFFF"/>
          </w:tcPr>
          <w:p w14:paraId="076D3E43" w14:textId="217C7548" w:rsidR="0003214F" w:rsidRPr="0006269B" w:rsidRDefault="0003214F" w:rsidP="0003214F">
            <w:pPr>
              <w:contextualSpacing/>
              <w:jc w:val="center"/>
              <w:rPr>
                <w:b/>
                <w:bCs/>
                <w:iCs/>
              </w:rPr>
            </w:pPr>
            <w:r w:rsidRPr="0006269B">
              <w:rPr>
                <w:b/>
                <w:bCs/>
                <w:iCs/>
              </w:rPr>
              <w:t>HOPD Costs</w:t>
            </w:r>
          </w:p>
        </w:tc>
        <w:tc>
          <w:tcPr>
            <w:tcW w:w="1358" w:type="dxa"/>
            <w:shd w:val="clear" w:color="auto" w:fill="D9FFFF"/>
          </w:tcPr>
          <w:p w14:paraId="4276BC5A" w14:textId="77777777" w:rsidR="0003214F" w:rsidRPr="0006269B" w:rsidRDefault="0003214F" w:rsidP="0003214F">
            <w:pPr>
              <w:contextualSpacing/>
              <w:jc w:val="center"/>
              <w:rPr>
                <w:b/>
                <w:bCs/>
                <w:iCs/>
              </w:rPr>
            </w:pPr>
            <w:r w:rsidRPr="0006269B">
              <w:rPr>
                <w:b/>
                <w:bCs/>
                <w:iCs/>
              </w:rPr>
              <w:t>Cost Variance- Savings</w:t>
            </w:r>
          </w:p>
        </w:tc>
        <w:tc>
          <w:tcPr>
            <w:tcW w:w="1254" w:type="dxa"/>
            <w:shd w:val="clear" w:color="auto" w:fill="D9FFFF"/>
          </w:tcPr>
          <w:p w14:paraId="0FA0FF42" w14:textId="1F10BE0E" w:rsidR="0003214F" w:rsidRPr="0006269B" w:rsidRDefault="0003214F" w:rsidP="0003214F">
            <w:pPr>
              <w:contextualSpacing/>
              <w:jc w:val="center"/>
              <w:rPr>
                <w:b/>
                <w:bCs/>
                <w:iCs/>
              </w:rPr>
            </w:pPr>
            <w:r w:rsidRPr="0006269B">
              <w:rPr>
                <w:b/>
                <w:bCs/>
                <w:iCs/>
              </w:rPr>
              <w:t>Cost Variance- Savings</w:t>
            </w:r>
          </w:p>
        </w:tc>
      </w:tr>
      <w:tr w:rsidR="0003214F" w:rsidRPr="0006269B" w14:paraId="30A2B5A5" w14:textId="77777777" w:rsidTr="0003214F">
        <w:trPr>
          <w:cantSplit/>
          <w:trHeight w:val="314"/>
          <w:tblHeader/>
        </w:trPr>
        <w:tc>
          <w:tcPr>
            <w:tcW w:w="3420" w:type="dxa"/>
            <w:shd w:val="clear" w:color="auto" w:fill="D9FFFF"/>
          </w:tcPr>
          <w:p w14:paraId="5F17FE5D" w14:textId="77777777" w:rsidR="0003214F" w:rsidRPr="00B01BE6" w:rsidRDefault="0003214F" w:rsidP="0003214F">
            <w:pPr>
              <w:contextualSpacing/>
              <w:rPr>
                <w:b/>
                <w:bCs/>
                <w:iCs/>
              </w:rPr>
            </w:pPr>
            <w:r w:rsidRPr="00B01BE6">
              <w:rPr>
                <w:b/>
                <w:bCs/>
                <w:iCs/>
              </w:rPr>
              <w:t>Procedure</w:t>
            </w:r>
          </w:p>
        </w:tc>
        <w:tc>
          <w:tcPr>
            <w:tcW w:w="1170" w:type="dxa"/>
            <w:shd w:val="clear" w:color="auto" w:fill="D9FFFF"/>
          </w:tcPr>
          <w:p w14:paraId="521D6742" w14:textId="14CAAC7B" w:rsidR="0003214F" w:rsidRPr="00B01BE6" w:rsidRDefault="0003214F" w:rsidP="0003214F">
            <w:pPr>
              <w:contextualSpacing/>
              <w:jc w:val="center"/>
              <w:rPr>
                <w:b/>
                <w:bCs/>
                <w:iCs/>
              </w:rPr>
            </w:pPr>
            <w:r w:rsidRPr="00B01BE6">
              <w:rPr>
                <w:b/>
                <w:bCs/>
                <w:iCs/>
              </w:rPr>
              <w:t>Total</w:t>
            </w:r>
          </w:p>
        </w:tc>
        <w:tc>
          <w:tcPr>
            <w:tcW w:w="1170" w:type="dxa"/>
            <w:shd w:val="clear" w:color="auto" w:fill="D9FFFF"/>
          </w:tcPr>
          <w:p w14:paraId="5C218EA1" w14:textId="6C9594B9" w:rsidR="0003214F" w:rsidRPr="00B01BE6" w:rsidRDefault="0003214F" w:rsidP="0003214F">
            <w:pPr>
              <w:contextualSpacing/>
              <w:jc w:val="center"/>
              <w:rPr>
                <w:b/>
                <w:bCs/>
                <w:iCs/>
              </w:rPr>
            </w:pPr>
            <w:r w:rsidRPr="00B01BE6">
              <w:rPr>
                <w:b/>
                <w:bCs/>
                <w:iCs/>
              </w:rPr>
              <w:t>Patient</w:t>
            </w:r>
          </w:p>
        </w:tc>
        <w:tc>
          <w:tcPr>
            <w:tcW w:w="1350" w:type="dxa"/>
            <w:shd w:val="clear" w:color="auto" w:fill="D9FFFF"/>
          </w:tcPr>
          <w:p w14:paraId="02657D1B" w14:textId="6DAE4DCF" w:rsidR="0003214F" w:rsidRPr="00B01BE6" w:rsidRDefault="0003214F" w:rsidP="0003214F">
            <w:pPr>
              <w:contextualSpacing/>
              <w:jc w:val="center"/>
              <w:rPr>
                <w:b/>
                <w:bCs/>
                <w:iCs/>
              </w:rPr>
            </w:pPr>
            <w:r w:rsidRPr="00B01BE6">
              <w:rPr>
                <w:b/>
                <w:bCs/>
                <w:iCs/>
              </w:rPr>
              <w:t>Total</w:t>
            </w:r>
          </w:p>
        </w:tc>
        <w:tc>
          <w:tcPr>
            <w:tcW w:w="1078" w:type="dxa"/>
            <w:shd w:val="clear" w:color="auto" w:fill="D9FFFF"/>
          </w:tcPr>
          <w:p w14:paraId="7EE6C589" w14:textId="780A058B" w:rsidR="0003214F" w:rsidRPr="00B01BE6" w:rsidRDefault="0003214F" w:rsidP="0003214F">
            <w:pPr>
              <w:contextualSpacing/>
              <w:jc w:val="center"/>
              <w:rPr>
                <w:b/>
                <w:bCs/>
                <w:iCs/>
              </w:rPr>
            </w:pPr>
            <w:r w:rsidRPr="00B01BE6">
              <w:rPr>
                <w:b/>
                <w:bCs/>
                <w:iCs/>
              </w:rPr>
              <w:t>Patient</w:t>
            </w:r>
          </w:p>
        </w:tc>
        <w:tc>
          <w:tcPr>
            <w:tcW w:w="1358" w:type="dxa"/>
            <w:shd w:val="clear" w:color="auto" w:fill="D9FFFF"/>
          </w:tcPr>
          <w:p w14:paraId="76350E3F" w14:textId="58611DE4" w:rsidR="0003214F" w:rsidRPr="00B01BE6" w:rsidRDefault="0003214F" w:rsidP="0003214F">
            <w:pPr>
              <w:contextualSpacing/>
              <w:jc w:val="center"/>
              <w:rPr>
                <w:b/>
                <w:bCs/>
                <w:iCs/>
              </w:rPr>
            </w:pPr>
            <w:r w:rsidRPr="00B01BE6">
              <w:rPr>
                <w:b/>
                <w:bCs/>
                <w:iCs/>
              </w:rPr>
              <w:t>Total</w:t>
            </w:r>
          </w:p>
        </w:tc>
        <w:tc>
          <w:tcPr>
            <w:tcW w:w="1254" w:type="dxa"/>
            <w:shd w:val="clear" w:color="auto" w:fill="D9FFFF"/>
          </w:tcPr>
          <w:p w14:paraId="6C7070C2" w14:textId="0B4DEE17" w:rsidR="0003214F" w:rsidRPr="00B01BE6" w:rsidRDefault="0003214F" w:rsidP="0003214F">
            <w:pPr>
              <w:contextualSpacing/>
              <w:jc w:val="center"/>
              <w:rPr>
                <w:b/>
                <w:bCs/>
                <w:iCs/>
              </w:rPr>
            </w:pPr>
            <w:r w:rsidRPr="00B01BE6">
              <w:rPr>
                <w:b/>
                <w:bCs/>
                <w:iCs/>
              </w:rPr>
              <w:t>Patient</w:t>
            </w:r>
          </w:p>
        </w:tc>
      </w:tr>
      <w:tr w:rsidR="0003214F" w:rsidRPr="0006269B" w14:paraId="55137FF4" w14:textId="77777777" w:rsidTr="0003214F">
        <w:trPr>
          <w:cantSplit/>
        </w:trPr>
        <w:tc>
          <w:tcPr>
            <w:tcW w:w="3420" w:type="dxa"/>
          </w:tcPr>
          <w:p w14:paraId="6D1F3575" w14:textId="77777777" w:rsidR="0003214F" w:rsidRPr="00B01BE6" w:rsidRDefault="0003214F" w:rsidP="0003214F">
            <w:pPr>
              <w:contextualSpacing/>
              <w:rPr>
                <w:bCs/>
                <w:iCs/>
              </w:rPr>
            </w:pPr>
            <w:r w:rsidRPr="00B01BE6">
              <w:rPr>
                <w:bCs/>
                <w:iCs/>
              </w:rPr>
              <w:t>45385- Lesion Removal Colonoscopy</w:t>
            </w:r>
          </w:p>
        </w:tc>
        <w:tc>
          <w:tcPr>
            <w:tcW w:w="1170" w:type="dxa"/>
          </w:tcPr>
          <w:p w14:paraId="6152C462" w14:textId="77777777" w:rsidR="0003214F" w:rsidRPr="00B01BE6" w:rsidRDefault="0003214F" w:rsidP="0003214F">
            <w:pPr>
              <w:contextualSpacing/>
              <w:jc w:val="right"/>
              <w:rPr>
                <w:bCs/>
                <w:iCs/>
              </w:rPr>
            </w:pPr>
            <w:r w:rsidRPr="00B01BE6">
              <w:rPr>
                <w:bCs/>
                <w:iCs/>
              </w:rPr>
              <w:t>$857.00</w:t>
            </w:r>
          </w:p>
        </w:tc>
        <w:tc>
          <w:tcPr>
            <w:tcW w:w="1170" w:type="dxa"/>
          </w:tcPr>
          <w:p w14:paraId="3F44DF9C" w14:textId="77777777" w:rsidR="0003214F" w:rsidRPr="00B01BE6" w:rsidRDefault="0003214F" w:rsidP="0003214F">
            <w:pPr>
              <w:contextualSpacing/>
              <w:jc w:val="right"/>
              <w:rPr>
                <w:bCs/>
                <w:iCs/>
              </w:rPr>
            </w:pPr>
            <w:r w:rsidRPr="00B01BE6">
              <w:rPr>
                <w:bCs/>
                <w:iCs/>
              </w:rPr>
              <w:t>$171.00</w:t>
            </w:r>
          </w:p>
        </w:tc>
        <w:tc>
          <w:tcPr>
            <w:tcW w:w="1350" w:type="dxa"/>
          </w:tcPr>
          <w:p w14:paraId="50432EC0" w14:textId="2F5FE259" w:rsidR="0003214F" w:rsidRPr="00B01BE6" w:rsidRDefault="0003214F" w:rsidP="0003214F">
            <w:pPr>
              <w:contextualSpacing/>
              <w:jc w:val="right"/>
            </w:pPr>
            <w:r>
              <w:t>$13,690.00</w:t>
            </w:r>
          </w:p>
        </w:tc>
        <w:tc>
          <w:tcPr>
            <w:tcW w:w="1078" w:type="dxa"/>
          </w:tcPr>
          <w:p w14:paraId="3C6555BD" w14:textId="77777777" w:rsidR="0003214F" w:rsidRPr="00B01BE6" w:rsidRDefault="0003214F" w:rsidP="0003214F">
            <w:pPr>
              <w:contextualSpacing/>
              <w:jc w:val="right"/>
              <w:rPr>
                <w:bCs/>
                <w:iCs/>
              </w:rPr>
            </w:pPr>
            <w:r w:rsidRPr="00B01BE6">
              <w:rPr>
                <w:bCs/>
                <w:iCs/>
              </w:rPr>
              <w:t>$273.00</w:t>
            </w:r>
          </w:p>
        </w:tc>
        <w:tc>
          <w:tcPr>
            <w:tcW w:w="1358" w:type="dxa"/>
          </w:tcPr>
          <w:p w14:paraId="16971346" w14:textId="77777777" w:rsidR="0003214F" w:rsidRPr="00B01BE6" w:rsidRDefault="0003214F" w:rsidP="0003214F">
            <w:pPr>
              <w:contextualSpacing/>
              <w:jc w:val="right"/>
              <w:rPr>
                <w:bCs/>
                <w:iCs/>
              </w:rPr>
            </w:pPr>
            <w:r w:rsidRPr="00B01BE6">
              <w:rPr>
                <w:bCs/>
                <w:iCs/>
              </w:rPr>
              <w:t>$12,833</w:t>
            </w:r>
          </w:p>
        </w:tc>
        <w:tc>
          <w:tcPr>
            <w:tcW w:w="1254" w:type="dxa"/>
          </w:tcPr>
          <w:p w14:paraId="3CCB0F37" w14:textId="77777777" w:rsidR="0003214F" w:rsidRPr="00B01BE6" w:rsidRDefault="0003214F" w:rsidP="0003214F">
            <w:pPr>
              <w:contextualSpacing/>
              <w:jc w:val="right"/>
              <w:rPr>
                <w:bCs/>
                <w:iCs/>
              </w:rPr>
            </w:pPr>
            <w:r w:rsidRPr="00B01BE6">
              <w:rPr>
                <w:bCs/>
                <w:iCs/>
              </w:rPr>
              <w:t>$102.00</w:t>
            </w:r>
          </w:p>
        </w:tc>
      </w:tr>
      <w:tr w:rsidR="0003214F" w:rsidRPr="0006269B" w14:paraId="50DA19CF" w14:textId="77777777" w:rsidTr="0003214F">
        <w:trPr>
          <w:cantSplit/>
        </w:trPr>
        <w:tc>
          <w:tcPr>
            <w:tcW w:w="3420" w:type="dxa"/>
          </w:tcPr>
          <w:p w14:paraId="68209EB6" w14:textId="77777777" w:rsidR="0003214F" w:rsidRPr="00B01BE6" w:rsidRDefault="0003214F" w:rsidP="0003214F">
            <w:pPr>
              <w:contextualSpacing/>
              <w:rPr>
                <w:bCs/>
                <w:iCs/>
              </w:rPr>
            </w:pPr>
            <w:r w:rsidRPr="00B01BE6">
              <w:rPr>
                <w:bCs/>
                <w:iCs/>
              </w:rPr>
              <w:t>43239- Upper GI Endoscopy, Biopsy</w:t>
            </w:r>
          </w:p>
        </w:tc>
        <w:tc>
          <w:tcPr>
            <w:tcW w:w="1170" w:type="dxa"/>
          </w:tcPr>
          <w:p w14:paraId="46759B9C" w14:textId="77777777" w:rsidR="0003214F" w:rsidRPr="00B01BE6" w:rsidRDefault="0003214F" w:rsidP="0003214F">
            <w:pPr>
              <w:contextualSpacing/>
              <w:jc w:val="right"/>
              <w:rPr>
                <w:bCs/>
                <w:iCs/>
              </w:rPr>
            </w:pPr>
            <w:r w:rsidRPr="00B01BE6">
              <w:rPr>
                <w:bCs/>
                <w:iCs/>
              </w:rPr>
              <w:t>$604.00</w:t>
            </w:r>
          </w:p>
        </w:tc>
        <w:tc>
          <w:tcPr>
            <w:tcW w:w="1170" w:type="dxa"/>
          </w:tcPr>
          <w:p w14:paraId="28DF944D" w14:textId="77777777" w:rsidR="0003214F" w:rsidRPr="00B01BE6" w:rsidRDefault="0003214F" w:rsidP="0003214F">
            <w:pPr>
              <w:contextualSpacing/>
              <w:jc w:val="right"/>
              <w:rPr>
                <w:bCs/>
                <w:iCs/>
              </w:rPr>
            </w:pPr>
            <w:r w:rsidRPr="00B01BE6">
              <w:rPr>
                <w:bCs/>
                <w:iCs/>
              </w:rPr>
              <w:t>$120.00</w:t>
            </w:r>
          </w:p>
        </w:tc>
        <w:tc>
          <w:tcPr>
            <w:tcW w:w="1350" w:type="dxa"/>
          </w:tcPr>
          <w:p w14:paraId="244925A4" w14:textId="77777777" w:rsidR="0003214F" w:rsidRPr="00B01BE6" w:rsidRDefault="0003214F" w:rsidP="0003214F">
            <w:pPr>
              <w:contextualSpacing/>
              <w:jc w:val="right"/>
              <w:rPr>
                <w:bCs/>
                <w:iCs/>
              </w:rPr>
            </w:pPr>
            <w:r w:rsidRPr="00B01BE6">
              <w:rPr>
                <w:bCs/>
                <w:iCs/>
              </w:rPr>
              <w:t>$997.00</w:t>
            </w:r>
          </w:p>
        </w:tc>
        <w:tc>
          <w:tcPr>
            <w:tcW w:w="1078" w:type="dxa"/>
          </w:tcPr>
          <w:p w14:paraId="2535CBFD" w14:textId="77777777" w:rsidR="0003214F" w:rsidRPr="00B01BE6" w:rsidRDefault="0003214F" w:rsidP="0003214F">
            <w:pPr>
              <w:contextualSpacing/>
              <w:jc w:val="right"/>
              <w:rPr>
                <w:bCs/>
                <w:iCs/>
              </w:rPr>
            </w:pPr>
            <w:r w:rsidRPr="00B01BE6">
              <w:rPr>
                <w:bCs/>
                <w:iCs/>
              </w:rPr>
              <w:t>$198.00</w:t>
            </w:r>
          </w:p>
        </w:tc>
        <w:tc>
          <w:tcPr>
            <w:tcW w:w="1358" w:type="dxa"/>
          </w:tcPr>
          <w:p w14:paraId="1BDF605C" w14:textId="77777777" w:rsidR="0003214F" w:rsidRPr="00B01BE6" w:rsidRDefault="0003214F" w:rsidP="0003214F">
            <w:pPr>
              <w:contextualSpacing/>
              <w:jc w:val="right"/>
              <w:rPr>
                <w:bCs/>
                <w:iCs/>
              </w:rPr>
            </w:pPr>
            <w:r w:rsidRPr="00B01BE6">
              <w:rPr>
                <w:bCs/>
                <w:iCs/>
              </w:rPr>
              <w:t>$393.00</w:t>
            </w:r>
          </w:p>
        </w:tc>
        <w:tc>
          <w:tcPr>
            <w:tcW w:w="1254" w:type="dxa"/>
          </w:tcPr>
          <w:p w14:paraId="63806CC8" w14:textId="77777777" w:rsidR="0003214F" w:rsidRPr="00B01BE6" w:rsidRDefault="0003214F" w:rsidP="0003214F">
            <w:pPr>
              <w:contextualSpacing/>
              <w:jc w:val="right"/>
              <w:rPr>
                <w:bCs/>
                <w:iCs/>
              </w:rPr>
            </w:pPr>
            <w:r w:rsidRPr="00B01BE6">
              <w:rPr>
                <w:bCs/>
                <w:iCs/>
              </w:rPr>
              <w:t>$78.00</w:t>
            </w:r>
          </w:p>
        </w:tc>
      </w:tr>
      <w:tr w:rsidR="0003214F" w:rsidRPr="0006269B" w14:paraId="0D5B95C5" w14:textId="77777777" w:rsidTr="0003214F">
        <w:trPr>
          <w:cantSplit/>
        </w:trPr>
        <w:tc>
          <w:tcPr>
            <w:tcW w:w="3420" w:type="dxa"/>
          </w:tcPr>
          <w:p w14:paraId="5A1CFC47" w14:textId="77777777" w:rsidR="0003214F" w:rsidRPr="00B01BE6" w:rsidRDefault="0003214F" w:rsidP="0003214F">
            <w:pPr>
              <w:contextualSpacing/>
              <w:rPr>
                <w:bCs/>
                <w:iCs/>
              </w:rPr>
            </w:pPr>
            <w:r w:rsidRPr="00B01BE6">
              <w:rPr>
                <w:bCs/>
                <w:iCs/>
              </w:rPr>
              <w:t>45380 - Coloscopy and Biopsy</w:t>
            </w:r>
          </w:p>
        </w:tc>
        <w:tc>
          <w:tcPr>
            <w:tcW w:w="1170" w:type="dxa"/>
          </w:tcPr>
          <w:p w14:paraId="25072715" w14:textId="77777777" w:rsidR="0003214F" w:rsidRPr="00B01BE6" w:rsidRDefault="0003214F" w:rsidP="0003214F">
            <w:pPr>
              <w:contextualSpacing/>
              <w:jc w:val="right"/>
              <w:rPr>
                <w:bCs/>
                <w:iCs/>
              </w:rPr>
            </w:pPr>
            <w:r w:rsidRPr="00B01BE6">
              <w:rPr>
                <w:bCs/>
                <w:iCs/>
              </w:rPr>
              <w:t>$805.00</w:t>
            </w:r>
          </w:p>
        </w:tc>
        <w:tc>
          <w:tcPr>
            <w:tcW w:w="1170" w:type="dxa"/>
          </w:tcPr>
          <w:p w14:paraId="1E730AB3" w14:textId="77777777" w:rsidR="0003214F" w:rsidRPr="00B01BE6" w:rsidRDefault="0003214F" w:rsidP="0003214F">
            <w:pPr>
              <w:contextualSpacing/>
              <w:jc w:val="right"/>
              <w:rPr>
                <w:bCs/>
                <w:iCs/>
              </w:rPr>
            </w:pPr>
            <w:r w:rsidRPr="00B01BE6">
              <w:rPr>
                <w:bCs/>
                <w:iCs/>
              </w:rPr>
              <w:t>$160.00</w:t>
            </w:r>
          </w:p>
        </w:tc>
        <w:tc>
          <w:tcPr>
            <w:tcW w:w="1350" w:type="dxa"/>
          </w:tcPr>
          <w:p w14:paraId="3E6E461A" w14:textId="77777777" w:rsidR="0003214F" w:rsidRPr="00B01BE6" w:rsidRDefault="0003214F" w:rsidP="0003214F">
            <w:pPr>
              <w:contextualSpacing/>
              <w:jc w:val="right"/>
              <w:rPr>
                <w:bCs/>
                <w:iCs/>
              </w:rPr>
            </w:pPr>
            <w:r w:rsidRPr="00B01BE6">
              <w:rPr>
                <w:bCs/>
                <w:iCs/>
              </w:rPr>
              <w:t>$1,317.00</w:t>
            </w:r>
          </w:p>
        </w:tc>
        <w:tc>
          <w:tcPr>
            <w:tcW w:w="1078" w:type="dxa"/>
          </w:tcPr>
          <w:p w14:paraId="27841B74" w14:textId="77777777" w:rsidR="0003214F" w:rsidRPr="00B01BE6" w:rsidRDefault="0003214F" w:rsidP="0003214F">
            <w:pPr>
              <w:contextualSpacing/>
              <w:jc w:val="right"/>
              <w:rPr>
                <w:bCs/>
                <w:iCs/>
              </w:rPr>
            </w:pPr>
            <w:r w:rsidRPr="00B01BE6">
              <w:rPr>
                <w:bCs/>
                <w:iCs/>
              </w:rPr>
              <w:t>$262.00</w:t>
            </w:r>
          </w:p>
        </w:tc>
        <w:tc>
          <w:tcPr>
            <w:tcW w:w="1358" w:type="dxa"/>
          </w:tcPr>
          <w:p w14:paraId="121DF9F9" w14:textId="77777777" w:rsidR="0003214F" w:rsidRPr="00B01BE6" w:rsidRDefault="0003214F" w:rsidP="0003214F">
            <w:pPr>
              <w:contextualSpacing/>
              <w:jc w:val="right"/>
              <w:rPr>
                <w:bCs/>
                <w:iCs/>
              </w:rPr>
            </w:pPr>
            <w:r w:rsidRPr="00B01BE6">
              <w:rPr>
                <w:bCs/>
                <w:iCs/>
              </w:rPr>
              <w:t>$512.00</w:t>
            </w:r>
          </w:p>
        </w:tc>
        <w:tc>
          <w:tcPr>
            <w:tcW w:w="1254" w:type="dxa"/>
          </w:tcPr>
          <w:p w14:paraId="230B8E37" w14:textId="77777777" w:rsidR="0003214F" w:rsidRPr="00B01BE6" w:rsidRDefault="0003214F" w:rsidP="0003214F">
            <w:pPr>
              <w:contextualSpacing/>
              <w:jc w:val="right"/>
              <w:rPr>
                <w:bCs/>
                <w:iCs/>
              </w:rPr>
            </w:pPr>
            <w:r w:rsidRPr="00B01BE6">
              <w:rPr>
                <w:bCs/>
                <w:iCs/>
              </w:rPr>
              <w:t>$102.00</w:t>
            </w:r>
          </w:p>
        </w:tc>
      </w:tr>
      <w:tr w:rsidR="0003214F" w:rsidRPr="0006269B" w14:paraId="6D288A48" w14:textId="77777777" w:rsidTr="0003214F">
        <w:trPr>
          <w:cantSplit/>
        </w:trPr>
        <w:tc>
          <w:tcPr>
            <w:tcW w:w="3420" w:type="dxa"/>
          </w:tcPr>
          <w:p w14:paraId="0D8D6C7A" w14:textId="77777777" w:rsidR="0003214F" w:rsidRPr="00B01BE6" w:rsidRDefault="0003214F" w:rsidP="0003214F">
            <w:pPr>
              <w:contextualSpacing/>
              <w:rPr>
                <w:bCs/>
                <w:iCs/>
              </w:rPr>
            </w:pPr>
            <w:r w:rsidRPr="00B01BE6">
              <w:rPr>
                <w:bCs/>
                <w:iCs/>
              </w:rPr>
              <w:t>G0121 - Colon Cancer Screening; not high risk</w:t>
            </w:r>
          </w:p>
        </w:tc>
        <w:tc>
          <w:tcPr>
            <w:tcW w:w="1170" w:type="dxa"/>
          </w:tcPr>
          <w:p w14:paraId="058749DC" w14:textId="77777777" w:rsidR="0003214F" w:rsidRPr="00B01BE6" w:rsidRDefault="0003214F" w:rsidP="0003214F">
            <w:pPr>
              <w:contextualSpacing/>
              <w:jc w:val="right"/>
              <w:rPr>
                <w:bCs/>
                <w:iCs/>
              </w:rPr>
            </w:pPr>
            <w:r w:rsidRPr="00B01BE6">
              <w:rPr>
                <w:bCs/>
                <w:iCs/>
              </w:rPr>
              <w:t>$652.00</w:t>
            </w:r>
          </w:p>
        </w:tc>
        <w:tc>
          <w:tcPr>
            <w:tcW w:w="1170" w:type="dxa"/>
          </w:tcPr>
          <w:p w14:paraId="32291F9D" w14:textId="77777777" w:rsidR="0003214F" w:rsidRPr="00B01BE6" w:rsidRDefault="0003214F" w:rsidP="0003214F">
            <w:pPr>
              <w:contextualSpacing/>
              <w:jc w:val="right"/>
              <w:rPr>
                <w:bCs/>
                <w:iCs/>
              </w:rPr>
            </w:pPr>
            <w:r w:rsidRPr="00B01BE6">
              <w:rPr>
                <w:bCs/>
                <w:iCs/>
              </w:rPr>
              <w:t>$0.00</w:t>
            </w:r>
          </w:p>
        </w:tc>
        <w:tc>
          <w:tcPr>
            <w:tcW w:w="1350" w:type="dxa"/>
          </w:tcPr>
          <w:p w14:paraId="6EAEA7B1" w14:textId="77777777" w:rsidR="0003214F" w:rsidRPr="00B01BE6" w:rsidRDefault="0003214F" w:rsidP="0003214F">
            <w:pPr>
              <w:contextualSpacing/>
              <w:jc w:val="right"/>
              <w:rPr>
                <w:bCs/>
                <w:iCs/>
              </w:rPr>
            </w:pPr>
            <w:r w:rsidRPr="00B01BE6">
              <w:rPr>
                <w:bCs/>
                <w:iCs/>
              </w:rPr>
              <w:t>$1,048.00</w:t>
            </w:r>
          </w:p>
        </w:tc>
        <w:tc>
          <w:tcPr>
            <w:tcW w:w="1078" w:type="dxa"/>
          </w:tcPr>
          <w:p w14:paraId="3D643374" w14:textId="77777777" w:rsidR="0003214F" w:rsidRPr="00B01BE6" w:rsidRDefault="0003214F" w:rsidP="0003214F">
            <w:pPr>
              <w:contextualSpacing/>
              <w:jc w:val="right"/>
              <w:rPr>
                <w:bCs/>
                <w:iCs/>
              </w:rPr>
            </w:pPr>
            <w:r w:rsidRPr="00B01BE6">
              <w:rPr>
                <w:bCs/>
                <w:iCs/>
              </w:rPr>
              <w:t>$0.00</w:t>
            </w:r>
          </w:p>
        </w:tc>
        <w:tc>
          <w:tcPr>
            <w:tcW w:w="1358" w:type="dxa"/>
          </w:tcPr>
          <w:p w14:paraId="4816B03F" w14:textId="77777777" w:rsidR="0003214F" w:rsidRPr="00B01BE6" w:rsidRDefault="0003214F" w:rsidP="0003214F">
            <w:pPr>
              <w:contextualSpacing/>
              <w:jc w:val="right"/>
              <w:rPr>
                <w:bCs/>
                <w:iCs/>
              </w:rPr>
            </w:pPr>
            <w:r w:rsidRPr="00B01BE6">
              <w:rPr>
                <w:bCs/>
                <w:iCs/>
              </w:rPr>
              <w:t>$396.00</w:t>
            </w:r>
          </w:p>
        </w:tc>
        <w:tc>
          <w:tcPr>
            <w:tcW w:w="1254" w:type="dxa"/>
          </w:tcPr>
          <w:p w14:paraId="29744930" w14:textId="77777777" w:rsidR="0003214F" w:rsidRPr="00B01BE6" w:rsidRDefault="0003214F" w:rsidP="0003214F">
            <w:pPr>
              <w:contextualSpacing/>
              <w:jc w:val="right"/>
              <w:rPr>
                <w:bCs/>
                <w:iCs/>
              </w:rPr>
            </w:pPr>
            <w:r w:rsidRPr="00B01BE6">
              <w:rPr>
                <w:bCs/>
                <w:iCs/>
              </w:rPr>
              <w:t>$0.00</w:t>
            </w:r>
          </w:p>
        </w:tc>
      </w:tr>
      <w:tr w:rsidR="0003214F" w:rsidRPr="0006269B" w14:paraId="691A198F" w14:textId="77777777" w:rsidTr="0003214F">
        <w:trPr>
          <w:cantSplit/>
        </w:trPr>
        <w:tc>
          <w:tcPr>
            <w:tcW w:w="3420" w:type="dxa"/>
          </w:tcPr>
          <w:p w14:paraId="474DCFD0" w14:textId="77777777" w:rsidR="0003214F" w:rsidRPr="00B01BE6" w:rsidRDefault="0003214F" w:rsidP="0003214F">
            <w:pPr>
              <w:contextualSpacing/>
              <w:rPr>
                <w:bCs/>
                <w:iCs/>
              </w:rPr>
            </w:pPr>
            <w:r w:rsidRPr="00B01BE6">
              <w:rPr>
                <w:bCs/>
                <w:iCs/>
              </w:rPr>
              <w:t>G0105 - Colon Cancer Screening; high risk individual</w:t>
            </w:r>
          </w:p>
        </w:tc>
        <w:tc>
          <w:tcPr>
            <w:tcW w:w="1170" w:type="dxa"/>
          </w:tcPr>
          <w:p w14:paraId="0F2A2885" w14:textId="77777777" w:rsidR="0003214F" w:rsidRPr="00B01BE6" w:rsidRDefault="0003214F" w:rsidP="0003214F">
            <w:pPr>
              <w:contextualSpacing/>
              <w:jc w:val="right"/>
              <w:rPr>
                <w:bCs/>
                <w:iCs/>
              </w:rPr>
            </w:pPr>
            <w:r w:rsidRPr="00B01BE6">
              <w:rPr>
                <w:bCs/>
                <w:iCs/>
              </w:rPr>
              <w:t>$652.00</w:t>
            </w:r>
          </w:p>
        </w:tc>
        <w:tc>
          <w:tcPr>
            <w:tcW w:w="1170" w:type="dxa"/>
          </w:tcPr>
          <w:p w14:paraId="5F613481" w14:textId="77777777" w:rsidR="0003214F" w:rsidRPr="00B01BE6" w:rsidRDefault="0003214F" w:rsidP="0003214F">
            <w:pPr>
              <w:contextualSpacing/>
              <w:jc w:val="right"/>
              <w:rPr>
                <w:bCs/>
                <w:iCs/>
              </w:rPr>
            </w:pPr>
            <w:r w:rsidRPr="00B01BE6">
              <w:rPr>
                <w:bCs/>
                <w:iCs/>
              </w:rPr>
              <w:t>$0.00</w:t>
            </w:r>
          </w:p>
        </w:tc>
        <w:tc>
          <w:tcPr>
            <w:tcW w:w="1350" w:type="dxa"/>
          </w:tcPr>
          <w:p w14:paraId="2F282FED" w14:textId="77777777" w:rsidR="0003214F" w:rsidRPr="00B01BE6" w:rsidRDefault="0003214F" w:rsidP="0003214F">
            <w:pPr>
              <w:contextualSpacing/>
              <w:jc w:val="right"/>
              <w:rPr>
                <w:bCs/>
                <w:iCs/>
              </w:rPr>
            </w:pPr>
            <w:r w:rsidRPr="00B01BE6">
              <w:rPr>
                <w:bCs/>
                <w:iCs/>
              </w:rPr>
              <w:t>$1,048.00</w:t>
            </w:r>
          </w:p>
        </w:tc>
        <w:tc>
          <w:tcPr>
            <w:tcW w:w="1078" w:type="dxa"/>
          </w:tcPr>
          <w:p w14:paraId="33C362A0" w14:textId="77777777" w:rsidR="0003214F" w:rsidRPr="00B01BE6" w:rsidRDefault="0003214F" w:rsidP="0003214F">
            <w:pPr>
              <w:contextualSpacing/>
              <w:jc w:val="right"/>
              <w:rPr>
                <w:bCs/>
                <w:iCs/>
              </w:rPr>
            </w:pPr>
            <w:r w:rsidRPr="00B01BE6">
              <w:rPr>
                <w:bCs/>
                <w:iCs/>
              </w:rPr>
              <w:t>$0.00</w:t>
            </w:r>
          </w:p>
        </w:tc>
        <w:tc>
          <w:tcPr>
            <w:tcW w:w="1358" w:type="dxa"/>
          </w:tcPr>
          <w:p w14:paraId="69AB718F" w14:textId="77777777" w:rsidR="0003214F" w:rsidRPr="00B01BE6" w:rsidRDefault="0003214F" w:rsidP="0003214F">
            <w:pPr>
              <w:contextualSpacing/>
              <w:jc w:val="right"/>
              <w:rPr>
                <w:bCs/>
                <w:iCs/>
              </w:rPr>
            </w:pPr>
            <w:r w:rsidRPr="00B01BE6">
              <w:rPr>
                <w:bCs/>
                <w:iCs/>
              </w:rPr>
              <w:t>$396.00</w:t>
            </w:r>
          </w:p>
        </w:tc>
        <w:tc>
          <w:tcPr>
            <w:tcW w:w="1254" w:type="dxa"/>
          </w:tcPr>
          <w:p w14:paraId="71306831" w14:textId="77777777" w:rsidR="0003214F" w:rsidRPr="00B01BE6" w:rsidRDefault="0003214F" w:rsidP="0003214F">
            <w:pPr>
              <w:contextualSpacing/>
              <w:jc w:val="right"/>
              <w:rPr>
                <w:bCs/>
                <w:iCs/>
              </w:rPr>
            </w:pPr>
            <w:r w:rsidRPr="00B01BE6">
              <w:rPr>
                <w:bCs/>
                <w:iCs/>
              </w:rPr>
              <w:t>$0.00</w:t>
            </w:r>
          </w:p>
        </w:tc>
      </w:tr>
    </w:tbl>
    <w:p w14:paraId="688DF801" w14:textId="77777777" w:rsidR="00B01BE6" w:rsidRPr="0006269B" w:rsidRDefault="00B01BE6" w:rsidP="0006269B">
      <w:pPr>
        <w:contextualSpacing/>
        <w:rPr>
          <w:bCs/>
          <w:iCs/>
        </w:rPr>
      </w:pPr>
    </w:p>
    <w:p w14:paraId="57095F52" w14:textId="0C08A604" w:rsidR="00C82F84" w:rsidRPr="0006269B" w:rsidRDefault="00616FCA" w:rsidP="0006269B">
      <w:pPr>
        <w:contextualSpacing/>
      </w:pPr>
      <w:r w:rsidRPr="4E2208F8">
        <w:t>Overall payments to ASCs are lower for the same procedures as hospitals</w:t>
      </w:r>
      <w:r w:rsidR="000B1063">
        <w:t>. F</w:t>
      </w:r>
      <w:r w:rsidRPr="4E2208F8">
        <w:t>or example</w:t>
      </w:r>
      <w:r w:rsidR="000B1063">
        <w:t>,</w:t>
      </w:r>
      <w:r w:rsidRPr="4E2208F8">
        <w:t xml:space="preserve"> Medicare pays ASCs 55% percent of what it pays hospitals for the same surgery.</w:t>
      </w:r>
      <w:r w:rsidR="00C82F84" w:rsidRPr="4E2208F8">
        <w:rPr>
          <w:vertAlign w:val="superscript"/>
        </w:rPr>
        <w:endnoteReference w:id="33"/>
      </w:r>
      <w:r w:rsidR="00C82F84" w:rsidRPr="4E2208F8">
        <w:t xml:space="preserve"> On average, the total cost of a colonoscopy (flexible with biopsy) is 41% less at an ASC as compared to an HOPD, and the total cost of a small intestinal endoscopy is 52% less at an ASC.</w:t>
      </w:r>
      <w:r w:rsidR="00C82F84" w:rsidRPr="4E2208F8">
        <w:rPr>
          <w:vertAlign w:val="superscript"/>
        </w:rPr>
        <w:endnoteReference w:id="34"/>
      </w:r>
      <w:r w:rsidR="00C82F84" w:rsidRPr="0006269B">
        <w:rPr>
          <w:bCs/>
          <w:iCs/>
        </w:rPr>
        <w:t xml:space="preserve"> </w:t>
      </w:r>
      <w:r w:rsidR="00C82F84" w:rsidRPr="4E2208F8">
        <w:t>MassHealth prices are also generally far lower in ASCs than in HOPDs with the difference in total price coming from lower facility prices in ASCs since MassHealth pays the same rate for professional services in ASCs and HOPDs.</w:t>
      </w:r>
    </w:p>
    <w:p w14:paraId="2C33B29E" w14:textId="77777777" w:rsidR="00C82F84" w:rsidRPr="0006269B" w:rsidRDefault="00C82F84" w:rsidP="0006269B">
      <w:pPr>
        <w:contextualSpacing/>
        <w:rPr>
          <w:bCs/>
          <w:iCs/>
        </w:rPr>
      </w:pPr>
    </w:p>
    <w:p w14:paraId="1D9ABB9C" w14:textId="77777777" w:rsidR="00C82F84" w:rsidRPr="0006269B" w:rsidRDefault="00C82F84" w:rsidP="0006269B">
      <w:pPr>
        <w:contextualSpacing/>
        <w:rPr>
          <w:bCs/>
          <w:iCs/>
        </w:rPr>
      </w:pPr>
      <w:r w:rsidRPr="4E2208F8">
        <w:t>Lower ASC prices typically result in lower patient cost sharing for patients. For example, the average commercial cost sharing for a colonoscopy with polyp removal was roughly 12% lower in an ASC.</w:t>
      </w:r>
      <w:r w:rsidRPr="4E2208F8">
        <w:rPr>
          <w:vertAlign w:val="superscript"/>
        </w:rPr>
        <w:endnoteReference w:id="35"/>
      </w:r>
      <w:r w:rsidRPr="4E2208F8">
        <w:t xml:space="preserve"> While MassHealth patients pay minimal cost sharing regardless of setting, the Commonwealth still benefits from reduced facility prices.</w:t>
      </w:r>
      <w:r w:rsidRPr="4E2208F8">
        <w:rPr>
          <w:vertAlign w:val="superscript"/>
        </w:rPr>
        <w:endnoteReference w:id="36"/>
      </w:r>
    </w:p>
    <w:p w14:paraId="36C37CEF" w14:textId="77777777" w:rsidR="005C0BD1" w:rsidRPr="0006269B" w:rsidRDefault="005C0BD1" w:rsidP="0006269B">
      <w:pPr>
        <w:contextualSpacing/>
        <w:rPr>
          <w:bCs/>
          <w:iCs/>
        </w:rPr>
      </w:pPr>
    </w:p>
    <w:p w14:paraId="541C1BF3" w14:textId="1591A7A3" w:rsidR="00616FCA" w:rsidRPr="0006269B" w:rsidRDefault="00616FCA" w:rsidP="0006269B">
      <w:pPr>
        <w:contextualSpacing/>
      </w:pPr>
      <w:r w:rsidRPr="03C54183">
        <w:t xml:space="preserve">Combined with the convenience offered by ASCs, the lower </w:t>
      </w:r>
      <w:r w:rsidR="0045116F" w:rsidRPr="03C54183">
        <w:t xml:space="preserve">out of pocket costs </w:t>
      </w:r>
      <w:r w:rsidRPr="03C54183">
        <w:t>may encourage more patients to seek the types of preventative services offered by the Facility</w:t>
      </w:r>
      <w:r w:rsidR="00223178">
        <w:rPr>
          <w:bCs/>
          <w:iCs/>
        </w:rPr>
        <w:t>,</w:t>
      </w:r>
      <w:r w:rsidRPr="03C54183">
        <w:t xml:space="preserve"> which the Applicant states will result in lower costs for the Commonwealth, as earlier detection of cancer and other illnesses results in better patient outcomes and fewer deaths and reduces overall health care costs in the long term.</w:t>
      </w:r>
      <w:r w:rsidR="00AF614D" w:rsidRPr="03C54183">
        <w:rPr>
          <w:vertAlign w:val="superscript"/>
        </w:rPr>
        <w:endnoteReference w:id="37"/>
      </w:r>
      <w:r w:rsidR="00AF614D" w:rsidRPr="0006269B">
        <w:rPr>
          <w:bCs/>
          <w:iCs/>
        </w:rPr>
        <w:t xml:space="preserve"> </w:t>
      </w:r>
      <w:r w:rsidRPr="0006269B">
        <w:rPr>
          <w:bCs/>
          <w:iCs/>
        </w:rPr>
        <w:t xml:space="preserve"> </w:t>
      </w:r>
    </w:p>
    <w:p w14:paraId="32B5EFCB" w14:textId="77777777" w:rsidR="00616FCA" w:rsidRDefault="00616FCA" w:rsidP="001F10CC">
      <w:pPr>
        <w:contextualSpacing/>
        <w:rPr>
          <w:bCs/>
          <w:iCs/>
        </w:rPr>
      </w:pPr>
    </w:p>
    <w:p w14:paraId="1FB49EBF" w14:textId="08CA0DAD" w:rsidR="00AB63C0" w:rsidRPr="00AB63C0" w:rsidRDefault="00AB63C0" w:rsidP="001F10CC">
      <w:pPr>
        <w:contextualSpacing/>
        <w:rPr>
          <w:b/>
          <w:i/>
        </w:rPr>
      </w:pPr>
      <w:r w:rsidRPr="00AB63C0">
        <w:rPr>
          <w:b/>
          <w:i/>
        </w:rPr>
        <w:t>Analysis</w:t>
      </w:r>
    </w:p>
    <w:p w14:paraId="6F7076BC" w14:textId="200A2937" w:rsidR="00196EC4" w:rsidRDefault="005C0BD1" w:rsidP="03C54183">
      <w:pPr>
        <w:spacing w:before="240" w:after="240"/>
        <w:rPr>
          <w:rFonts w:ascii="Calibri" w:eastAsia="PMingLiU" w:hAnsi="Calibri" w:cs="Times New Roman"/>
        </w:rPr>
      </w:pPr>
      <w:bookmarkStart w:id="59" w:name="_Hlk17663634"/>
      <w:bookmarkEnd w:id="58"/>
      <w:r w:rsidRPr="4E2208F8">
        <w:rPr>
          <w:rFonts w:ascii="Calibri" w:eastAsia="PMingLiU" w:hAnsi="Calibri" w:cs="Times New Roman"/>
        </w:rPr>
        <w:lastRenderedPageBreak/>
        <w:t>Consistent with the</w:t>
      </w:r>
      <w:r w:rsidR="0006269B" w:rsidRPr="4E2208F8">
        <w:rPr>
          <w:rFonts w:ascii="Calibri" w:eastAsia="PMingLiU" w:hAnsi="Calibri" w:cs="Times New Roman"/>
        </w:rPr>
        <w:t xml:space="preserve"> findings of the </w:t>
      </w:r>
      <w:r w:rsidRPr="4E2208F8">
        <w:rPr>
          <w:rFonts w:ascii="Calibri" w:eastAsia="PMingLiU" w:hAnsi="Calibri" w:cs="Times New Roman"/>
        </w:rPr>
        <w:t xml:space="preserve"> HPC’s 2024 Report: Trends in ASCs in Massachusetts</w:t>
      </w:r>
      <w:r w:rsidR="00C82F84" w:rsidRPr="4E2208F8">
        <w:rPr>
          <w:rFonts w:ascii="Calibri" w:eastAsia="PMingLiU" w:hAnsi="Calibri" w:cs="Times New Roman"/>
          <w:vertAlign w:val="superscript"/>
        </w:rPr>
        <w:endnoteReference w:id="38"/>
      </w:r>
      <w:r w:rsidR="00C82F84" w:rsidRPr="4E2208F8">
        <w:rPr>
          <w:rFonts w:ascii="Calibri" w:eastAsia="PMingLiU" w:hAnsi="Calibri" w:cs="Times New Roman"/>
        </w:rPr>
        <w:t xml:space="preserve"> and 2023 Cost Trends Report</w:t>
      </w:r>
      <w:r w:rsidR="00C82F84" w:rsidRPr="4E2208F8">
        <w:rPr>
          <w:rFonts w:ascii="Calibri" w:eastAsia="PMingLiU" w:hAnsi="Calibri" w:cs="Times New Roman"/>
          <w:vertAlign w:val="superscript"/>
        </w:rPr>
        <w:endnoteReference w:id="39"/>
      </w:r>
      <w:r w:rsidR="00C82F84" w:rsidRPr="4E2208F8">
        <w:rPr>
          <w:rFonts w:ascii="Calibri" w:eastAsia="PMingLiU" w:hAnsi="Calibri" w:cs="Times New Roman"/>
        </w:rPr>
        <w:t xml:space="preserve"> and DPH’s 2017 changes to the DoN Program</w:t>
      </w:r>
      <w:r w:rsidR="00C82F84" w:rsidRPr="4E2208F8">
        <w:rPr>
          <w:rFonts w:ascii="Calibri" w:eastAsia="PMingLiU" w:hAnsi="Calibri" w:cs="Times New Roman"/>
          <w:vertAlign w:val="superscript"/>
        </w:rPr>
        <w:endnoteReference w:id="40"/>
      </w:r>
      <w:r w:rsidR="00C82F84" w:rsidRPr="4E2208F8">
        <w:rPr>
          <w:rFonts w:ascii="Calibri" w:eastAsia="PMingLiU" w:hAnsi="Calibri" w:cs="Times New Roman"/>
        </w:rPr>
        <w:t>,</w:t>
      </w:r>
      <w:r w:rsidRPr="4E2208F8">
        <w:rPr>
          <w:rFonts w:ascii="Calibri" w:eastAsia="PMingLiU" w:hAnsi="Calibri" w:cs="Times New Roman"/>
        </w:rPr>
        <w:t xml:space="preserve"> the Proposed Project will compete based on price, total medical expense (“TME”), provider costs</w:t>
      </w:r>
      <w:r w:rsidR="00223178">
        <w:rPr>
          <w:rFonts w:ascii="Calibri" w:eastAsia="PMingLiU" w:hAnsi="Calibri" w:cs="Times New Roman"/>
        </w:rPr>
        <w:t>,</w:t>
      </w:r>
      <w:r w:rsidRPr="4E2208F8">
        <w:rPr>
          <w:rFonts w:ascii="Calibri" w:eastAsia="PMingLiU" w:hAnsi="Calibri" w:cs="Times New Roman"/>
        </w:rPr>
        <w:t xml:space="preserve"> and other recognized measures of health care spending because it will provide a lower cost alternative to higher cost HOPDs for the same surgical procedures.</w:t>
      </w:r>
      <w:r w:rsidR="00C82F84" w:rsidRPr="4E2208F8">
        <w:rPr>
          <w:rFonts w:ascii="Calibri" w:eastAsia="PMingLiU" w:hAnsi="Calibri" w:cs="Times New Roman"/>
          <w:vertAlign w:val="superscript"/>
        </w:rPr>
        <w:endnoteReference w:id="41"/>
      </w:r>
      <w:r w:rsidR="00C82F84" w:rsidRPr="4E2208F8">
        <w:rPr>
          <w:rFonts w:ascii="Calibri" w:eastAsia="PMingLiU" w:hAnsi="Calibri" w:cs="Times New Roman"/>
        </w:rPr>
        <w:t xml:space="preserve"> </w:t>
      </w:r>
    </w:p>
    <w:p w14:paraId="2FB0C438" w14:textId="17DC2B8B" w:rsidR="00CC0F59" w:rsidRPr="00196EC4" w:rsidRDefault="00CC0F59" w:rsidP="0006269B">
      <w:pPr>
        <w:spacing w:before="240" w:after="240"/>
        <w:rPr>
          <w:rFonts w:ascii="Calibri" w:eastAsia="PMingLiU" w:hAnsi="Calibri" w:cs="Times New Roman"/>
        </w:rPr>
      </w:pPr>
      <w:r w:rsidRPr="03C54183">
        <w:rPr>
          <w:rFonts w:ascii="Calibri" w:eastAsia="PMingLiU" w:hAnsi="Calibri" w:cs="Times New Roman"/>
        </w:rPr>
        <w:t xml:space="preserve">Staff finds the Proposed Project has the potential to reduce healthcare costs through expansion of its services at a lower cost ASC site. The Applicant provided data demonstrating cost savings that can result from surgeries performed in the ASC versus the HOPD. </w:t>
      </w:r>
      <w:r w:rsidR="00AB63C0" w:rsidRPr="03C54183">
        <w:rPr>
          <w:rFonts w:ascii="Calibri" w:eastAsia="PMingLiU" w:hAnsi="Calibri" w:cs="Times New Roman"/>
        </w:rPr>
        <w:t>Additionally</w:t>
      </w:r>
      <w:r w:rsidR="37167870" w:rsidRPr="03C54183">
        <w:rPr>
          <w:rFonts w:ascii="Calibri" w:eastAsia="PMingLiU" w:hAnsi="Calibri" w:cs="Times New Roman"/>
        </w:rPr>
        <w:t>,</w:t>
      </w:r>
      <w:r w:rsidR="00AB63C0" w:rsidRPr="03C54183">
        <w:rPr>
          <w:rFonts w:ascii="Calibri" w:eastAsia="PMingLiU" w:hAnsi="Calibri" w:cs="Times New Roman"/>
        </w:rPr>
        <w:t xml:space="preserve"> it has outlined</w:t>
      </w:r>
      <w:r w:rsidRPr="03C54183">
        <w:rPr>
          <w:rFonts w:ascii="Calibri" w:eastAsia="PMingLiU" w:hAnsi="Calibri" w:cs="Times New Roman"/>
        </w:rPr>
        <w:t xml:space="preserve"> savings </w:t>
      </w:r>
      <w:r w:rsidR="00AB63C0" w:rsidRPr="03C54183">
        <w:rPr>
          <w:rFonts w:ascii="Calibri" w:eastAsia="PMingLiU" w:hAnsi="Calibri" w:cs="Times New Roman"/>
        </w:rPr>
        <w:t xml:space="preserve">that </w:t>
      </w:r>
      <w:r w:rsidRPr="03C54183">
        <w:rPr>
          <w:rFonts w:ascii="Calibri" w:eastAsia="PMingLiU" w:hAnsi="Calibri" w:cs="Times New Roman"/>
        </w:rPr>
        <w:t>can occur for all payers and</w:t>
      </w:r>
      <w:r w:rsidR="63A44211" w:rsidRPr="03C54183">
        <w:rPr>
          <w:rFonts w:ascii="Calibri" w:eastAsia="PMingLiU" w:hAnsi="Calibri" w:cs="Times New Roman"/>
        </w:rPr>
        <w:t xml:space="preserve"> </w:t>
      </w:r>
      <w:r w:rsidRPr="03C54183">
        <w:rPr>
          <w:rFonts w:ascii="Calibri" w:eastAsia="PMingLiU" w:hAnsi="Calibri" w:cs="Times New Roman"/>
        </w:rPr>
        <w:t>patients through increasing access to services in a</w:t>
      </w:r>
      <w:r w:rsidR="00AB63C0" w:rsidRPr="03C54183">
        <w:rPr>
          <w:rFonts w:ascii="Calibri" w:eastAsia="PMingLiU" w:hAnsi="Calibri" w:cs="Times New Roman"/>
        </w:rPr>
        <w:t xml:space="preserve">n efficient </w:t>
      </w:r>
      <w:r w:rsidRPr="03C54183">
        <w:rPr>
          <w:rFonts w:ascii="Calibri" w:eastAsia="PMingLiU" w:hAnsi="Calibri" w:cs="Times New Roman"/>
        </w:rPr>
        <w:t xml:space="preserve">cost-effective setting </w:t>
      </w:r>
      <w:r w:rsidR="00AB63C0" w:rsidRPr="03C54183">
        <w:rPr>
          <w:rFonts w:ascii="Calibri" w:eastAsia="PMingLiU" w:hAnsi="Calibri" w:cs="Times New Roman"/>
        </w:rPr>
        <w:t xml:space="preserve">and </w:t>
      </w:r>
      <w:r w:rsidRPr="03C54183">
        <w:rPr>
          <w:rFonts w:ascii="Calibri" w:eastAsia="PMingLiU" w:hAnsi="Calibri" w:cs="Times New Roman"/>
        </w:rPr>
        <w:t xml:space="preserve">reducing </w:t>
      </w:r>
      <w:r w:rsidR="00AB63C0" w:rsidRPr="03C54183">
        <w:rPr>
          <w:rFonts w:ascii="Calibri" w:eastAsia="PMingLiU" w:hAnsi="Calibri" w:cs="Times New Roman"/>
        </w:rPr>
        <w:t>wait-times</w:t>
      </w:r>
      <w:r w:rsidRPr="03C54183">
        <w:rPr>
          <w:rFonts w:ascii="Calibri" w:eastAsia="PMingLiU" w:hAnsi="Calibri" w:cs="Times New Roman"/>
        </w:rPr>
        <w:t>. Staff finds that</w:t>
      </w:r>
      <w:r w:rsidR="00AB63C0" w:rsidRPr="03C54183">
        <w:rPr>
          <w:rFonts w:ascii="Calibri" w:eastAsia="PMingLiU" w:hAnsi="Calibri" w:cs="Times New Roman"/>
        </w:rPr>
        <w:t xml:space="preserve"> </w:t>
      </w:r>
      <w:r w:rsidRPr="03C54183">
        <w:rPr>
          <w:rFonts w:ascii="Calibri" w:eastAsia="PMingLiU" w:hAnsi="Calibri" w:cs="Times New Roman"/>
        </w:rPr>
        <w:t>the Proposed Project will likely compete on the basis of price, TME provider costs, and other measures of health care spending and therefore, the requirements of Factor 1f have been met.</w:t>
      </w:r>
    </w:p>
    <w:p w14:paraId="2BC86BE0" w14:textId="78F25651" w:rsidR="002D535F" w:rsidRPr="00BF6B51" w:rsidRDefault="002D535F" w:rsidP="00AC0EA6">
      <w:pPr>
        <w:pStyle w:val="Heading2"/>
        <w:spacing w:line="240" w:lineRule="auto"/>
        <w:rPr>
          <w:rFonts w:asciiTheme="minorHAnsi" w:hAnsiTheme="minorHAnsi" w:cstheme="minorHAnsi"/>
          <w:color w:val="42558C" w:themeColor="accent1" w:themeShade="BF"/>
          <w:sz w:val="24"/>
          <w:szCs w:val="24"/>
        </w:rPr>
      </w:pPr>
      <w:bookmarkStart w:id="62" w:name="_Toc106783922"/>
      <w:bookmarkStart w:id="63" w:name="_Toc157428833"/>
      <w:bookmarkStart w:id="64" w:name="_Toc187325901"/>
      <w:r w:rsidRPr="00BF6B51">
        <w:rPr>
          <w:rFonts w:asciiTheme="minorHAnsi" w:hAnsiTheme="minorHAnsi" w:cstheme="minorHAnsi"/>
          <w:color w:val="42558C" w:themeColor="accent1" w:themeShade="BF"/>
          <w:sz w:val="24"/>
          <w:szCs w:val="24"/>
        </w:rPr>
        <w:t xml:space="preserve">FACTOR 1 </w:t>
      </w:r>
      <w:r w:rsidR="008E54FA" w:rsidRPr="00BF6B51">
        <w:rPr>
          <w:rFonts w:asciiTheme="minorHAnsi" w:hAnsiTheme="minorHAnsi" w:cstheme="minorHAnsi"/>
          <w:color w:val="42558C" w:themeColor="accent1" w:themeShade="BF"/>
          <w:sz w:val="24"/>
          <w:szCs w:val="24"/>
        </w:rPr>
        <w:t>Summary Analysis</w:t>
      </w:r>
      <w:bookmarkEnd w:id="62"/>
      <w:bookmarkEnd w:id="63"/>
      <w:bookmarkEnd w:id="64"/>
    </w:p>
    <w:p w14:paraId="753464F1" w14:textId="77777777" w:rsidR="00764C52" w:rsidRPr="00AC0EA6" w:rsidRDefault="00764C52" w:rsidP="00AC0EA6">
      <w:pPr>
        <w:rPr>
          <w:strike/>
        </w:rPr>
      </w:pPr>
    </w:p>
    <w:p w14:paraId="55B9288B" w14:textId="77777777" w:rsidR="00CC0F59" w:rsidRPr="00CC0F59" w:rsidRDefault="00CC0F59" w:rsidP="00CC0F59">
      <w:pPr>
        <w:rPr>
          <w:color w:val="000000" w:themeColor="text1"/>
        </w:rPr>
      </w:pPr>
      <w:r w:rsidRPr="00CC0F59">
        <w:rPr>
          <w:color w:val="000000" w:themeColor="text1"/>
        </w:rPr>
        <w:t xml:space="preserve">As a result of information provided by the Applicant and additional analysis, staff finds that with the “Other Conditions” outlined below and the standard reporting requirements, the Applicant has demonstrated that the Proposed Project has met Factor 1(a-f). </w:t>
      </w:r>
    </w:p>
    <w:bookmarkEnd w:id="59"/>
    <w:p w14:paraId="3020A853" w14:textId="77777777" w:rsidR="00471349" w:rsidRPr="002B61BC" w:rsidRDefault="00471349" w:rsidP="0017310C">
      <w:pPr>
        <w:pStyle w:val="Heading1"/>
        <w:spacing w:before="0" w:line="240" w:lineRule="auto"/>
        <w:rPr>
          <w:rFonts w:asciiTheme="minorHAnsi" w:hAnsiTheme="minorHAnsi" w:cstheme="minorHAnsi"/>
          <w:color w:val="0070C0"/>
        </w:rPr>
      </w:pPr>
    </w:p>
    <w:p w14:paraId="36BC3E73" w14:textId="68E832AB" w:rsidR="002D535F" w:rsidRDefault="00664406" w:rsidP="00B31381">
      <w:pPr>
        <w:pStyle w:val="Heading1"/>
        <w:spacing w:before="0" w:line="240" w:lineRule="auto"/>
        <w:rPr>
          <w:rFonts w:asciiTheme="minorHAnsi" w:hAnsiTheme="minorHAnsi" w:cstheme="minorHAnsi"/>
        </w:rPr>
      </w:pPr>
      <w:bookmarkStart w:id="65" w:name="_Toc157428834"/>
      <w:bookmarkStart w:id="66" w:name="_Toc187325902"/>
      <w:r w:rsidRPr="008E54FA">
        <w:rPr>
          <w:rFonts w:asciiTheme="minorHAnsi" w:hAnsiTheme="minorHAnsi" w:cstheme="minorHAnsi"/>
        </w:rPr>
        <w:t>Factor</w:t>
      </w:r>
      <w:r w:rsidR="002D535F" w:rsidRPr="008E54FA">
        <w:rPr>
          <w:rFonts w:asciiTheme="minorHAnsi" w:hAnsiTheme="minorHAnsi" w:cstheme="minorHAnsi"/>
        </w:rPr>
        <w:t xml:space="preserve"> 2: Cost </w:t>
      </w:r>
      <w:r w:rsidR="00471349">
        <w:rPr>
          <w:rFonts w:asciiTheme="minorHAnsi" w:hAnsiTheme="minorHAnsi" w:cstheme="minorHAnsi"/>
        </w:rPr>
        <w:t>C</w:t>
      </w:r>
      <w:r w:rsidR="002D535F" w:rsidRPr="008E54FA">
        <w:rPr>
          <w:rFonts w:asciiTheme="minorHAnsi" w:hAnsiTheme="minorHAnsi" w:cstheme="minorHAnsi"/>
        </w:rPr>
        <w:t>ontainment, Improved Public Health Outcomes and Delivery System Transformation</w:t>
      </w:r>
      <w:bookmarkEnd w:id="65"/>
      <w:bookmarkEnd w:id="66"/>
      <w:r w:rsidR="00624990">
        <w:rPr>
          <w:rFonts w:asciiTheme="minorHAnsi" w:hAnsiTheme="minorHAnsi" w:cstheme="minorHAnsi"/>
        </w:rPr>
        <w:t xml:space="preserve"> </w:t>
      </w:r>
    </w:p>
    <w:p w14:paraId="44B4C547" w14:textId="66010C02" w:rsidR="00794127" w:rsidRDefault="00794127" w:rsidP="00794127"/>
    <w:p w14:paraId="7088443A" w14:textId="28721497" w:rsidR="00624990" w:rsidRDefault="00624990" w:rsidP="00624990">
      <w:pPr>
        <w:rPr>
          <w:rFonts w:ascii="Calibri" w:eastAsia="Calibri" w:hAnsi="Calibri" w:cs="Calibri"/>
          <w:b/>
        </w:rPr>
      </w:pPr>
      <w:r w:rsidRPr="00624990">
        <w:rPr>
          <w:rFonts w:ascii="Calibri" w:eastAsia="Calibri" w:hAnsi="Calibri" w:cs="Calibri"/>
          <w:b/>
        </w:rPr>
        <w:t xml:space="preserve">Cost Containment </w:t>
      </w:r>
    </w:p>
    <w:p w14:paraId="00E90B50" w14:textId="77777777" w:rsidR="00624990" w:rsidRPr="00624990" w:rsidRDefault="00624990" w:rsidP="00CC0F59">
      <w:pPr>
        <w:rPr>
          <w:rFonts w:ascii="Calibri" w:eastAsia="Calibri" w:hAnsi="Calibri" w:cs="Calibri"/>
          <w:b/>
        </w:rPr>
      </w:pPr>
    </w:p>
    <w:p w14:paraId="36AE45A7" w14:textId="0C01E48F" w:rsidR="00C82F84" w:rsidRDefault="00624990" w:rsidP="00CC0F59">
      <w:pPr>
        <w:rPr>
          <w:rFonts w:ascii="Calibri" w:eastAsia="Calibri" w:hAnsi="Calibri" w:cs="Calibri"/>
        </w:rPr>
      </w:pPr>
      <w:r w:rsidRPr="00624990">
        <w:rPr>
          <w:rFonts w:ascii="Calibri" w:eastAsia="Calibri" w:hAnsi="Calibri" w:cs="Calibri"/>
        </w:rPr>
        <w:t>The Applicant cited the HPCs goals for cost containment in Massachusetts. As stated on the mass.gov website, "The Massachusetts Health Policy Commission (HPC) is an independent state agency charged with monitoring health care spending growth in Massachusetts and providing data-driven policy recommendations regarding health care delivery and payment system reform…The HPC’s goal is better health and better care – at a lower cost – for all residents across the Commonwealth." The HPC continues to monitor performance toward this goal and at the HPC Board meeting on June 7, 2023, the Board included the following finding in its Selected Preliminary Findings from Cost Trends Report Chapters: Massachusetts has fewer than half as many ASCs as the average state; the same surgeries are typically paid 50-100% more when taking place in HOPDs.</w:t>
      </w:r>
      <w:r w:rsidR="00C82F84" w:rsidRPr="00624990">
        <w:rPr>
          <w:rFonts w:ascii="Calibri" w:eastAsia="Calibri" w:hAnsi="Calibri" w:cs="Calibri"/>
          <w:vertAlign w:val="superscript"/>
        </w:rPr>
        <w:endnoteReference w:id="42"/>
      </w:r>
    </w:p>
    <w:p w14:paraId="18B37764" w14:textId="77777777" w:rsidR="00C82F84" w:rsidRPr="00624990" w:rsidRDefault="00C82F84" w:rsidP="00CC0F59">
      <w:pPr>
        <w:rPr>
          <w:rFonts w:ascii="Calibri" w:eastAsia="Calibri" w:hAnsi="Calibri" w:cs="Calibri"/>
        </w:rPr>
      </w:pPr>
    </w:p>
    <w:p w14:paraId="56B2F6C0" w14:textId="31DC32AC" w:rsidR="003547DA" w:rsidRDefault="00C82F84" w:rsidP="00CC0F59">
      <w:pPr>
        <w:rPr>
          <w:rFonts w:ascii="Calibri" w:eastAsia="Calibri" w:hAnsi="Calibri" w:cs="Calibri"/>
        </w:rPr>
      </w:pPr>
      <w:r w:rsidRPr="00624990">
        <w:rPr>
          <w:rFonts w:ascii="Calibri" w:eastAsia="Calibri" w:hAnsi="Calibri" w:cs="Calibri"/>
        </w:rPr>
        <w:t xml:space="preserve">Aligning with these goals, the Applicant asserts the Proposed Project will meaningfully contribute to the Commonwealth’s goals for cost containment by increasing access to high-quality care in a lower-cost </w:t>
      </w:r>
      <w:r>
        <w:rPr>
          <w:rFonts w:ascii="Calibri" w:eastAsia="Calibri" w:hAnsi="Calibri" w:cs="Calibri"/>
        </w:rPr>
        <w:t>setting</w:t>
      </w:r>
      <w:r w:rsidRPr="00624990">
        <w:rPr>
          <w:rFonts w:ascii="Calibri" w:eastAsia="Calibri" w:hAnsi="Calibri" w:cs="Calibri"/>
        </w:rPr>
        <w:t xml:space="preserve">. As discussed under Factor 1(f), procedures occurring in an ASC </w:t>
      </w:r>
      <w:r>
        <w:rPr>
          <w:rFonts w:ascii="Calibri" w:eastAsia="Calibri" w:hAnsi="Calibri" w:cs="Calibri"/>
        </w:rPr>
        <w:t xml:space="preserve">bill less and </w:t>
      </w:r>
      <w:r w:rsidRPr="00624990">
        <w:rPr>
          <w:rFonts w:ascii="Calibri" w:eastAsia="Calibri" w:hAnsi="Calibri" w:cs="Calibri"/>
        </w:rPr>
        <w:t>are reimbursed at lower rates in comparison to HOPDs or inpatient settings.</w:t>
      </w:r>
      <w:r w:rsidRPr="00624990">
        <w:rPr>
          <w:rFonts w:ascii="Calibri" w:eastAsia="Calibri" w:hAnsi="Calibri" w:cs="Calibri"/>
          <w:vertAlign w:val="superscript"/>
        </w:rPr>
        <w:endnoteReference w:id="43"/>
      </w:r>
      <w:r>
        <w:rPr>
          <w:rFonts w:ascii="Calibri" w:eastAsia="Calibri" w:hAnsi="Calibri" w:cs="Calibri"/>
          <w:vertAlign w:val="superscript"/>
        </w:rPr>
        <w:t xml:space="preserve">, </w:t>
      </w:r>
      <w:r w:rsidRPr="00624990">
        <w:rPr>
          <w:rFonts w:ascii="Calibri" w:eastAsia="Calibri" w:hAnsi="Calibri" w:cs="Calibri"/>
          <w:vertAlign w:val="superscript"/>
        </w:rPr>
        <w:endnoteReference w:id="44"/>
      </w:r>
      <w:r w:rsidRPr="00624990">
        <w:rPr>
          <w:rFonts w:ascii="Calibri" w:eastAsia="Calibri" w:hAnsi="Calibri" w:cs="Calibri"/>
        </w:rPr>
        <w:t xml:space="preserve"> </w:t>
      </w:r>
      <w:r w:rsidR="00624990" w:rsidRPr="00624990">
        <w:rPr>
          <w:rFonts w:ascii="Calibri" w:eastAsia="Calibri" w:hAnsi="Calibri" w:cs="Calibri"/>
        </w:rPr>
        <w:t xml:space="preserve">By adding more procedure room capacity, the Proposed Project will allow more cases to be moved from the inpatient or HOPD settings to an ASC thereby contributing to healthcare cost containment. According to the Ambulatory Surgical Center Association (“ASCA”), patients </w:t>
      </w:r>
      <w:r w:rsidR="00624990" w:rsidRPr="00624990">
        <w:rPr>
          <w:rFonts w:ascii="Calibri" w:eastAsia="Calibri" w:hAnsi="Calibri" w:cs="Calibri"/>
        </w:rPr>
        <w:lastRenderedPageBreak/>
        <w:t>choosing to have surgeries at ASCs could result in up to $42.2 billion in savings across the healthcare industry.</w:t>
      </w:r>
      <w:r w:rsidR="003547DA" w:rsidRPr="00624990">
        <w:rPr>
          <w:rFonts w:ascii="Calibri" w:eastAsia="Calibri" w:hAnsi="Calibri" w:cs="Calibri"/>
          <w:vertAlign w:val="superscript"/>
        </w:rPr>
        <w:endnoteReference w:id="45"/>
      </w:r>
      <w:r w:rsidR="003547DA" w:rsidRPr="00624990">
        <w:rPr>
          <w:rFonts w:ascii="Calibri" w:eastAsia="Calibri" w:hAnsi="Calibri" w:cs="Calibri"/>
        </w:rPr>
        <w:t xml:space="preserve">  </w:t>
      </w:r>
    </w:p>
    <w:p w14:paraId="3C0ED1E4" w14:textId="77777777" w:rsidR="003547DA" w:rsidRPr="00624990" w:rsidRDefault="003547DA" w:rsidP="00CC0F59">
      <w:pPr>
        <w:rPr>
          <w:rFonts w:ascii="Calibri" w:eastAsia="Calibri" w:hAnsi="Calibri" w:cs="Calibri"/>
        </w:rPr>
      </w:pPr>
    </w:p>
    <w:p w14:paraId="2AB110D9" w14:textId="3051AEF5" w:rsidR="003547DA" w:rsidRDefault="003547DA" w:rsidP="00CC0F59">
      <w:pPr>
        <w:rPr>
          <w:rFonts w:ascii="Calibri" w:eastAsia="Calibri" w:hAnsi="Calibri" w:cs="Calibri"/>
        </w:rPr>
      </w:pPr>
      <w:r w:rsidRPr="00624990">
        <w:rPr>
          <w:rFonts w:ascii="Calibri" w:eastAsia="Calibri" w:hAnsi="Calibri" w:cs="Calibri"/>
        </w:rPr>
        <w:t>Also as discussed in Factor 1(f), because of ASCs’ lower pricing, out-of-pocket expenses for patients are lower, and therefore the Applicant asserts more patients are likely to seek the types of effective preventative services offered by the Facility. This in turn will result in lower costs for the Commonwealth, as earlier detection of cancer and other illnesses results in better patient outcomes and fewer deaths and reduces overall health care costs in the long term.</w:t>
      </w:r>
      <w:r w:rsidRPr="00624990">
        <w:rPr>
          <w:rFonts w:ascii="Calibri" w:eastAsia="Calibri" w:hAnsi="Calibri" w:cs="Calibri"/>
          <w:vertAlign w:val="superscript"/>
        </w:rPr>
        <w:endnoteReference w:id="46"/>
      </w:r>
      <w:r w:rsidRPr="00624990">
        <w:rPr>
          <w:rFonts w:ascii="Calibri" w:eastAsia="Calibri" w:hAnsi="Calibri" w:cs="Calibri"/>
        </w:rPr>
        <w:t xml:space="preserve"> </w:t>
      </w:r>
    </w:p>
    <w:p w14:paraId="21428851" w14:textId="77777777" w:rsidR="003547DA" w:rsidRPr="00624990" w:rsidRDefault="003547DA" w:rsidP="00CC0F59">
      <w:pPr>
        <w:rPr>
          <w:rFonts w:ascii="Calibri" w:eastAsia="Calibri" w:hAnsi="Calibri" w:cs="Calibri"/>
        </w:rPr>
      </w:pPr>
    </w:p>
    <w:p w14:paraId="2D0A3610" w14:textId="77777777" w:rsidR="00C82F84" w:rsidRDefault="00C82F84" w:rsidP="00CC0F59">
      <w:pPr>
        <w:rPr>
          <w:rFonts w:ascii="Calibri" w:eastAsia="Calibri" w:hAnsi="Calibri" w:cs="Calibri"/>
          <w:b/>
        </w:rPr>
      </w:pPr>
    </w:p>
    <w:p w14:paraId="583BE2F7" w14:textId="13D9FEA2" w:rsidR="003547DA" w:rsidRDefault="003547DA" w:rsidP="00CC0F59">
      <w:pPr>
        <w:rPr>
          <w:rFonts w:ascii="Calibri" w:eastAsia="Calibri" w:hAnsi="Calibri" w:cs="Calibri"/>
          <w:b/>
        </w:rPr>
      </w:pPr>
      <w:r w:rsidRPr="00624990">
        <w:rPr>
          <w:rFonts w:ascii="Calibri" w:eastAsia="Calibri" w:hAnsi="Calibri" w:cs="Calibri"/>
          <w:b/>
        </w:rPr>
        <w:t>Public Health Outcomes</w:t>
      </w:r>
    </w:p>
    <w:p w14:paraId="65E01A4A" w14:textId="107449B2" w:rsidR="003547DA" w:rsidRPr="00624990" w:rsidRDefault="003547DA" w:rsidP="00CC0F59">
      <w:pPr>
        <w:rPr>
          <w:rFonts w:ascii="Calibri" w:eastAsia="Calibri" w:hAnsi="Calibri" w:cs="Calibri"/>
          <w:b/>
        </w:rPr>
      </w:pPr>
      <w:r w:rsidRPr="00624990">
        <w:rPr>
          <w:rFonts w:ascii="Calibri" w:eastAsia="Calibri" w:hAnsi="Calibri" w:cs="Calibri"/>
          <w:b/>
        </w:rPr>
        <w:t xml:space="preserve"> </w:t>
      </w:r>
    </w:p>
    <w:p w14:paraId="615D7155" w14:textId="76389513" w:rsidR="003547DA" w:rsidRDefault="003547DA" w:rsidP="00CC0F59">
      <w:pPr>
        <w:rPr>
          <w:rFonts w:ascii="Calibri" w:eastAsia="Calibri" w:hAnsi="Calibri" w:cs="Calibri"/>
        </w:rPr>
      </w:pPr>
      <w:r w:rsidRPr="03C54183">
        <w:rPr>
          <w:rFonts w:ascii="Calibri" w:eastAsia="Calibri" w:hAnsi="Calibri" w:cs="Calibri"/>
        </w:rPr>
        <w:t>The Proposed Project will improve public health outcomes in several ways: by improving access to care in the ASC setting, by doubling the number of patients it can treat, by providing care in a more affordable setting, and by expanding its reporting to the GI Quality Improvement Consortium.</w:t>
      </w:r>
    </w:p>
    <w:p w14:paraId="4EFAD97C" w14:textId="77777777" w:rsidR="003547DA" w:rsidRPr="00624990" w:rsidRDefault="003547DA" w:rsidP="00CC0F59">
      <w:pPr>
        <w:rPr>
          <w:rFonts w:ascii="Calibri" w:eastAsia="Calibri" w:hAnsi="Calibri" w:cs="Calibri"/>
        </w:rPr>
      </w:pPr>
    </w:p>
    <w:p w14:paraId="58D1ABA9" w14:textId="1E79FDC8" w:rsidR="00624990" w:rsidRDefault="003547DA" w:rsidP="00CC0F59">
      <w:pPr>
        <w:rPr>
          <w:rFonts w:ascii="Calibri" w:eastAsia="Calibri" w:hAnsi="Calibri" w:cs="Calibri"/>
        </w:rPr>
      </w:pPr>
      <w:r>
        <w:rPr>
          <w:rFonts w:ascii="Calibri" w:eastAsia="Calibri" w:hAnsi="Calibri" w:cs="Calibri"/>
        </w:rPr>
        <w:t>T</w:t>
      </w:r>
      <w:r w:rsidRPr="00581423">
        <w:rPr>
          <w:rFonts w:ascii="Calibri" w:eastAsia="Calibri" w:hAnsi="Calibri" w:cs="Calibri"/>
        </w:rPr>
        <w:t xml:space="preserve">he doubling of capacity through the Proposed Project will provide improved access and reduce wait times for needed gastrointestinal care in a more convenient setting. </w:t>
      </w:r>
      <w:r w:rsidRPr="00624990">
        <w:rPr>
          <w:rFonts w:ascii="Calibri" w:eastAsia="Calibri" w:hAnsi="Calibri" w:cs="Calibri"/>
        </w:rPr>
        <w:t>As noted throughout the Application, cost is an important factor in patients’ ability to access high quality care</w:t>
      </w:r>
      <w:r>
        <w:rPr>
          <w:rFonts w:ascii="Calibri" w:eastAsia="Calibri" w:hAnsi="Calibri" w:cs="Calibri"/>
        </w:rPr>
        <w:t>. “</w:t>
      </w:r>
      <w:r w:rsidRPr="00B14E86">
        <w:rPr>
          <w:rFonts w:ascii="Calibri" w:eastAsia="Calibri" w:hAnsi="Calibri" w:cs="Calibri"/>
        </w:rPr>
        <w:t>In 2023, 27% of American adults skipped some form of medical treatment because they couldn’t afford it, according to the Federal Reserve. This is lower than the 32% who avoided care in 2013, when data collection began, but ties with 2015 and 2017 as the fourth-highest year on record.”</w:t>
      </w:r>
      <w:r>
        <w:rPr>
          <w:rStyle w:val="EndnoteReference"/>
          <w:rFonts w:ascii="Calibri" w:eastAsia="Calibri" w:hAnsi="Calibri" w:cs="Calibri"/>
        </w:rPr>
        <w:endnoteReference w:id="47"/>
      </w:r>
      <w:r w:rsidRPr="00624990">
        <w:rPr>
          <w:rFonts w:ascii="Calibri" w:eastAsia="Calibri" w:hAnsi="Calibri" w:cs="Calibri"/>
        </w:rPr>
        <w:t xml:space="preserve"> </w:t>
      </w:r>
      <w:r w:rsidR="00603D12" w:rsidRPr="00624990">
        <w:rPr>
          <w:rFonts w:ascii="Calibri" w:eastAsia="Calibri" w:hAnsi="Calibri" w:cs="Calibri"/>
        </w:rPr>
        <w:t xml:space="preserve">By allowing increased access to high quality care with lower </w:t>
      </w:r>
      <w:r w:rsidR="00603D12">
        <w:rPr>
          <w:rFonts w:ascii="Calibri" w:eastAsia="Calibri" w:hAnsi="Calibri" w:cs="Calibri"/>
        </w:rPr>
        <w:t xml:space="preserve">patient </w:t>
      </w:r>
      <w:r w:rsidR="00603D12" w:rsidRPr="00624990">
        <w:rPr>
          <w:rFonts w:ascii="Calibri" w:eastAsia="Calibri" w:hAnsi="Calibri" w:cs="Calibri"/>
        </w:rPr>
        <w:t>cost-sharing obligations, the Proposed Project will result in additional patients obtaining potentially life-saving screening</w:t>
      </w:r>
      <w:r w:rsidR="00603D12">
        <w:rPr>
          <w:rFonts w:ascii="Calibri" w:eastAsia="Calibri" w:hAnsi="Calibri" w:cs="Calibri"/>
        </w:rPr>
        <w:t xml:space="preserve"> including</w:t>
      </w:r>
      <w:r w:rsidR="00603D12" w:rsidRPr="00624990">
        <w:rPr>
          <w:rFonts w:ascii="Calibri" w:eastAsia="Calibri" w:hAnsi="Calibri" w:cs="Calibri"/>
        </w:rPr>
        <w:t xml:space="preserve"> screening endoscopies to detect colorectal cancer.</w:t>
      </w:r>
      <w:r w:rsidR="00603D12" w:rsidRPr="00624990">
        <w:rPr>
          <w:rFonts w:ascii="Calibri" w:eastAsia="Calibri" w:hAnsi="Calibri" w:cs="Calibri"/>
          <w:vertAlign w:val="superscript"/>
        </w:rPr>
        <w:endnoteReference w:id="48"/>
      </w:r>
      <w:r w:rsidR="00603D12" w:rsidRPr="00624990">
        <w:rPr>
          <w:rFonts w:ascii="Calibri" w:eastAsia="Calibri" w:hAnsi="Calibri" w:cs="Calibri"/>
        </w:rPr>
        <w:t xml:space="preserve"> </w:t>
      </w:r>
    </w:p>
    <w:p w14:paraId="5E41313C" w14:textId="77777777" w:rsidR="00624990" w:rsidRPr="00624990" w:rsidRDefault="00624990" w:rsidP="00CC0F59">
      <w:pPr>
        <w:rPr>
          <w:rFonts w:ascii="Calibri" w:eastAsia="Calibri" w:hAnsi="Calibri" w:cs="Calibri"/>
        </w:rPr>
      </w:pPr>
    </w:p>
    <w:p w14:paraId="3FBCC8C1" w14:textId="1BE11C31" w:rsidR="00624990" w:rsidRDefault="00624990" w:rsidP="00CC0F59">
      <w:pPr>
        <w:rPr>
          <w:rFonts w:ascii="Calibri" w:eastAsia="Calibri" w:hAnsi="Calibri" w:cs="Calibri"/>
        </w:rPr>
      </w:pPr>
      <w:r w:rsidRPr="00624990">
        <w:rPr>
          <w:rFonts w:ascii="Calibri" w:eastAsia="Calibri" w:hAnsi="Calibri" w:cs="Calibri"/>
        </w:rPr>
        <w:t>The Facility utilizes GI Quality Improvement Consortium, Ltd (“</w:t>
      </w:r>
      <w:proofErr w:type="spellStart"/>
      <w:r w:rsidRPr="00624990">
        <w:rPr>
          <w:rFonts w:ascii="Calibri" w:eastAsia="Calibri" w:hAnsi="Calibri" w:cs="Calibri"/>
        </w:rPr>
        <w:t>GIQuIC</w:t>
      </w:r>
      <w:proofErr w:type="spellEnd"/>
      <w:r w:rsidRPr="00624990">
        <w:rPr>
          <w:rFonts w:ascii="Calibri" w:eastAsia="Calibri" w:hAnsi="Calibri" w:cs="Calibri"/>
        </w:rPr>
        <w:t xml:space="preserve">”), a medical registry designed to collect, organize, and display data for the purpose of improving patient outcomes through benchmarking, identifying gaps in care, and developing specific and targeted quality improvement initiatives. The </w:t>
      </w:r>
      <w:proofErr w:type="spellStart"/>
      <w:r w:rsidRPr="00624990">
        <w:rPr>
          <w:rFonts w:ascii="Calibri" w:eastAsia="Calibri" w:hAnsi="Calibri" w:cs="Calibri"/>
        </w:rPr>
        <w:t>GIQuIC</w:t>
      </w:r>
      <w:proofErr w:type="spellEnd"/>
      <w:r w:rsidRPr="00624990">
        <w:rPr>
          <w:rFonts w:ascii="Calibri" w:eastAsia="Calibri" w:hAnsi="Calibri" w:cs="Calibri"/>
        </w:rPr>
        <w:t xml:space="preserve"> performance measures include adenoma detection rate, age-appropriate screening</w:t>
      </w:r>
      <w:r w:rsidR="00581423">
        <w:rPr>
          <w:rFonts w:ascii="Calibri" w:eastAsia="Calibri" w:hAnsi="Calibri" w:cs="Calibri"/>
        </w:rPr>
        <w:t>,</w:t>
      </w:r>
      <w:r w:rsidRPr="00624990">
        <w:rPr>
          <w:rFonts w:ascii="Calibri" w:eastAsia="Calibri" w:hAnsi="Calibri" w:cs="Calibri"/>
        </w:rPr>
        <w:t xml:space="preserve"> colonoscopy</w:t>
      </w:r>
      <w:r w:rsidR="00581423">
        <w:rPr>
          <w:rFonts w:ascii="Calibri" w:eastAsia="Calibri" w:hAnsi="Calibri" w:cs="Calibri"/>
        </w:rPr>
        <w:t>,</w:t>
      </w:r>
      <w:r w:rsidRPr="00624990">
        <w:rPr>
          <w:rFonts w:ascii="Calibri" w:eastAsia="Calibri" w:hAnsi="Calibri" w:cs="Calibri"/>
        </w:rPr>
        <w:t xml:space="preserve"> and appropriate follow up intervals based on colonoscopy findings. </w:t>
      </w:r>
    </w:p>
    <w:p w14:paraId="73BD9651" w14:textId="77777777" w:rsidR="00624990" w:rsidRPr="00624990" w:rsidRDefault="00624990" w:rsidP="00CC0F59">
      <w:pPr>
        <w:rPr>
          <w:rFonts w:ascii="Calibri" w:eastAsia="Calibri" w:hAnsi="Calibri" w:cs="Calibri"/>
        </w:rPr>
      </w:pPr>
    </w:p>
    <w:p w14:paraId="486E63C3" w14:textId="66141662" w:rsidR="00624990" w:rsidRDefault="00624990" w:rsidP="00CC0F59">
      <w:pPr>
        <w:rPr>
          <w:rFonts w:ascii="Calibri" w:eastAsia="Calibri" w:hAnsi="Calibri" w:cs="Calibri"/>
          <w:b/>
        </w:rPr>
      </w:pPr>
      <w:r w:rsidRPr="00624990">
        <w:rPr>
          <w:rFonts w:ascii="Calibri" w:eastAsia="Calibri" w:hAnsi="Calibri" w:cs="Calibri"/>
          <w:b/>
        </w:rPr>
        <w:t xml:space="preserve"> Delivery System Transformation </w:t>
      </w:r>
    </w:p>
    <w:p w14:paraId="23E44A79" w14:textId="77777777" w:rsidR="00624990" w:rsidRPr="00624990" w:rsidRDefault="00624990" w:rsidP="00CC0F59">
      <w:pPr>
        <w:rPr>
          <w:rFonts w:ascii="Calibri" w:eastAsia="Calibri" w:hAnsi="Calibri" w:cs="Calibri"/>
          <w:b/>
        </w:rPr>
      </w:pPr>
    </w:p>
    <w:p w14:paraId="702BABDD" w14:textId="60C1FC5D" w:rsidR="009F2890" w:rsidRPr="00624990" w:rsidRDefault="22504C74" w:rsidP="00CC0F59">
      <w:pPr>
        <w:rPr>
          <w:rFonts w:ascii="Calibri" w:eastAsia="Calibri" w:hAnsi="Calibri" w:cs="Calibri"/>
        </w:rPr>
      </w:pPr>
      <w:r w:rsidRPr="7A04B244">
        <w:rPr>
          <w:rFonts w:ascii="Calibri" w:eastAsia="Calibri" w:hAnsi="Calibri" w:cs="Calibri"/>
        </w:rPr>
        <w:t xml:space="preserve">Throughout the Application, the Applicant has described </w:t>
      </w:r>
      <w:r w:rsidR="7F17BC3B" w:rsidRPr="7A04B244">
        <w:rPr>
          <w:rFonts w:ascii="Calibri" w:eastAsia="Calibri" w:hAnsi="Calibri" w:cs="Calibri"/>
        </w:rPr>
        <w:t xml:space="preserve">current </w:t>
      </w:r>
      <w:r w:rsidR="1111BA4A" w:rsidRPr="7A04B244">
        <w:rPr>
          <w:rFonts w:ascii="Calibri" w:eastAsia="Calibri" w:hAnsi="Calibri" w:cs="Calibri"/>
        </w:rPr>
        <w:t>efforts and systems in place that are intended to promote</w:t>
      </w:r>
      <w:r w:rsidR="7751AD37" w:rsidRPr="7A04B244">
        <w:rPr>
          <w:rFonts w:ascii="Calibri" w:eastAsia="Calibri" w:hAnsi="Calibri" w:cs="Calibri"/>
        </w:rPr>
        <w:t xml:space="preserve"> equity, </w:t>
      </w:r>
      <w:r w:rsidR="1111BA4A" w:rsidRPr="7A04B244">
        <w:rPr>
          <w:rFonts w:ascii="Calibri" w:eastAsia="Calibri" w:hAnsi="Calibri" w:cs="Calibri"/>
        </w:rPr>
        <w:t>access, continuity and coordination of care</w:t>
      </w:r>
      <w:r w:rsidR="51B96BE8" w:rsidRPr="7A04B244">
        <w:rPr>
          <w:rFonts w:ascii="Calibri" w:eastAsia="Calibri" w:hAnsi="Calibri" w:cs="Calibri"/>
        </w:rPr>
        <w:t xml:space="preserve">; the applicant states its intension to expand and shore up these efforts with the New Physicians as </w:t>
      </w:r>
      <w:r w:rsidR="4614A884" w:rsidRPr="7A04B244">
        <w:rPr>
          <w:rFonts w:ascii="Calibri" w:eastAsia="Calibri" w:hAnsi="Calibri" w:cs="Calibri"/>
        </w:rPr>
        <w:t>the Patient Panel is expanded</w:t>
      </w:r>
      <w:r w:rsidR="4CF89839" w:rsidRPr="7A04B244">
        <w:rPr>
          <w:rFonts w:ascii="Calibri" w:eastAsia="Calibri" w:hAnsi="Calibri" w:cs="Calibri"/>
        </w:rPr>
        <w:t xml:space="preserve"> following the implementation of the Proposed Project, if approved</w:t>
      </w:r>
      <w:r w:rsidR="4614A884" w:rsidRPr="7A04B244">
        <w:rPr>
          <w:rFonts w:ascii="Calibri" w:eastAsia="Calibri" w:hAnsi="Calibri" w:cs="Calibri"/>
        </w:rPr>
        <w:t xml:space="preserve">. One </w:t>
      </w:r>
      <w:r w:rsidR="787813A4" w:rsidRPr="7A04B244">
        <w:rPr>
          <w:rFonts w:ascii="Calibri" w:eastAsia="Calibri" w:hAnsi="Calibri" w:cs="Calibri"/>
        </w:rPr>
        <w:t>initiative</w:t>
      </w:r>
      <w:r w:rsidR="4614A884" w:rsidRPr="7A04B244">
        <w:rPr>
          <w:rFonts w:ascii="Calibri" w:eastAsia="Calibri" w:hAnsi="Calibri" w:cs="Calibri"/>
        </w:rPr>
        <w:t xml:space="preserve"> is to</w:t>
      </w:r>
      <w:r w:rsidR="5DCE91CA" w:rsidRPr="7A04B244">
        <w:rPr>
          <w:rFonts w:ascii="Calibri" w:eastAsia="Calibri" w:hAnsi="Calibri" w:cs="Calibri"/>
        </w:rPr>
        <w:t xml:space="preserve"> </w:t>
      </w:r>
      <w:r w:rsidR="22D22632" w:rsidRPr="7A04B244">
        <w:rPr>
          <w:rFonts w:ascii="Calibri" w:eastAsia="Calibri" w:hAnsi="Calibri" w:cs="Calibri"/>
        </w:rPr>
        <w:t>serve more patients by</w:t>
      </w:r>
      <w:r w:rsidR="4614A884" w:rsidRPr="7A04B244">
        <w:rPr>
          <w:rFonts w:ascii="Calibri" w:eastAsia="Calibri" w:hAnsi="Calibri" w:cs="Calibri"/>
        </w:rPr>
        <w:t xml:space="preserve"> strengthen</w:t>
      </w:r>
      <w:r w:rsidR="6C92D85E" w:rsidRPr="7A04B244">
        <w:rPr>
          <w:rFonts w:ascii="Calibri" w:eastAsia="Calibri" w:hAnsi="Calibri" w:cs="Calibri"/>
        </w:rPr>
        <w:t xml:space="preserve">ing </w:t>
      </w:r>
      <w:r w:rsidR="4614A884" w:rsidRPr="7A04B244">
        <w:rPr>
          <w:rFonts w:ascii="Calibri" w:eastAsia="Calibri" w:hAnsi="Calibri" w:cs="Calibri"/>
        </w:rPr>
        <w:t>relationships with</w:t>
      </w:r>
      <w:r w:rsidR="0C4333C8" w:rsidRPr="7A04B244">
        <w:rPr>
          <w:rFonts w:ascii="Calibri" w:eastAsia="Calibri" w:hAnsi="Calibri" w:cs="Calibri"/>
        </w:rPr>
        <w:t xml:space="preserve"> </w:t>
      </w:r>
      <w:r w:rsidR="467DD291" w:rsidRPr="7A04B244">
        <w:rPr>
          <w:rFonts w:ascii="Calibri" w:eastAsia="Calibri" w:hAnsi="Calibri" w:cs="Calibri"/>
        </w:rPr>
        <w:t xml:space="preserve">the </w:t>
      </w:r>
      <w:r w:rsidR="4614A884" w:rsidRPr="7A04B244">
        <w:rPr>
          <w:rFonts w:ascii="Calibri" w:eastAsia="Calibri" w:hAnsi="Calibri" w:cs="Calibri"/>
        </w:rPr>
        <w:t>aforementioned community hea</w:t>
      </w:r>
      <w:r w:rsidR="7BB6F540" w:rsidRPr="7A04B244">
        <w:rPr>
          <w:rFonts w:ascii="Calibri" w:eastAsia="Calibri" w:hAnsi="Calibri" w:cs="Calibri"/>
        </w:rPr>
        <w:t>l</w:t>
      </w:r>
      <w:r w:rsidR="4614A884" w:rsidRPr="7A04B244">
        <w:rPr>
          <w:rFonts w:ascii="Calibri" w:eastAsia="Calibri" w:hAnsi="Calibri" w:cs="Calibri"/>
        </w:rPr>
        <w:t>th centers.</w:t>
      </w:r>
      <w:r w:rsidR="00A2551D" w:rsidRPr="7A04B244">
        <w:rPr>
          <w:rFonts w:ascii="Calibri" w:eastAsia="Calibri" w:hAnsi="Calibri" w:cs="Calibri"/>
        </w:rPr>
        <w:t xml:space="preserve"> </w:t>
      </w:r>
      <w:r w:rsidR="2942C91B" w:rsidRPr="7A04B244">
        <w:rPr>
          <w:rFonts w:ascii="Calibri" w:eastAsia="Calibri" w:hAnsi="Calibri" w:cs="Calibri"/>
        </w:rPr>
        <w:t>Further, t</w:t>
      </w:r>
      <w:r w:rsidR="00624990" w:rsidRPr="7A04B244">
        <w:rPr>
          <w:rFonts w:ascii="Calibri" w:eastAsia="Calibri" w:hAnsi="Calibri" w:cs="Calibri"/>
        </w:rPr>
        <w:t>he Applicant states</w:t>
      </w:r>
      <w:r w:rsidR="00581423" w:rsidRPr="7A04B244">
        <w:rPr>
          <w:rFonts w:ascii="Calibri" w:eastAsia="Calibri" w:hAnsi="Calibri" w:cs="Calibri"/>
        </w:rPr>
        <w:t xml:space="preserve"> that with </w:t>
      </w:r>
      <w:r w:rsidR="00011681" w:rsidRPr="7A04B244">
        <w:rPr>
          <w:rFonts w:ascii="Calibri" w:eastAsia="Calibri" w:hAnsi="Calibri" w:cs="Calibri"/>
        </w:rPr>
        <w:t xml:space="preserve">implementation of the </w:t>
      </w:r>
      <w:r w:rsidR="00581423" w:rsidRPr="7A04B244">
        <w:rPr>
          <w:rFonts w:ascii="Calibri" w:eastAsia="Calibri" w:hAnsi="Calibri" w:cs="Calibri"/>
        </w:rPr>
        <w:t xml:space="preserve">Proposed </w:t>
      </w:r>
      <w:r w:rsidR="00011681" w:rsidRPr="7A04B244">
        <w:rPr>
          <w:rFonts w:ascii="Calibri" w:eastAsia="Calibri" w:hAnsi="Calibri" w:cs="Calibri"/>
        </w:rPr>
        <w:t>Project, it</w:t>
      </w:r>
      <w:r w:rsidR="00624990" w:rsidRPr="7A04B244">
        <w:rPr>
          <w:rFonts w:ascii="Calibri" w:eastAsia="Calibri" w:hAnsi="Calibri" w:cs="Calibri"/>
        </w:rPr>
        <w:t xml:space="preserve"> will continue to work with patients and primary care providers </w:t>
      </w:r>
      <w:r w:rsidR="05CD999B" w:rsidRPr="7A04B244">
        <w:rPr>
          <w:rFonts w:ascii="Calibri" w:eastAsia="Calibri" w:hAnsi="Calibri" w:cs="Calibri"/>
        </w:rPr>
        <w:t xml:space="preserve">from the initial intake through procedure follow-up </w:t>
      </w:r>
      <w:r w:rsidR="00624990" w:rsidRPr="7A04B244">
        <w:rPr>
          <w:rFonts w:ascii="Calibri" w:eastAsia="Calibri" w:hAnsi="Calibri" w:cs="Calibri"/>
        </w:rPr>
        <w:t xml:space="preserve">to </w:t>
      </w:r>
      <w:r w:rsidR="3D61E1F3" w:rsidRPr="7A04B244">
        <w:rPr>
          <w:rFonts w:ascii="Calibri" w:eastAsia="Calibri" w:hAnsi="Calibri" w:cs="Calibri"/>
        </w:rPr>
        <w:t>identify</w:t>
      </w:r>
      <w:r w:rsidR="3D814C13" w:rsidRPr="7A04B244">
        <w:rPr>
          <w:rFonts w:ascii="Calibri" w:eastAsia="Calibri" w:hAnsi="Calibri" w:cs="Calibri"/>
        </w:rPr>
        <w:t xml:space="preserve"> SDOH </w:t>
      </w:r>
      <w:r w:rsidR="00624990" w:rsidRPr="7A04B244">
        <w:rPr>
          <w:rFonts w:ascii="Calibri" w:eastAsia="Calibri" w:hAnsi="Calibri" w:cs="Calibri"/>
        </w:rPr>
        <w:t>need</w:t>
      </w:r>
      <w:r w:rsidR="1CBE1DD9" w:rsidRPr="7A04B244">
        <w:rPr>
          <w:rFonts w:ascii="Calibri" w:eastAsia="Calibri" w:hAnsi="Calibri" w:cs="Calibri"/>
        </w:rPr>
        <w:t>s</w:t>
      </w:r>
      <w:r w:rsidR="00624990" w:rsidRPr="7A04B244">
        <w:rPr>
          <w:rFonts w:ascii="Calibri" w:eastAsia="Calibri" w:hAnsi="Calibri" w:cs="Calibri"/>
        </w:rPr>
        <w:t xml:space="preserve">. </w:t>
      </w:r>
    </w:p>
    <w:p w14:paraId="48C36289" w14:textId="77777777" w:rsidR="00BA6C02" w:rsidRPr="004F5131" w:rsidRDefault="00BA6C02" w:rsidP="00CC0F59">
      <w:pPr>
        <w:tabs>
          <w:tab w:val="left" w:pos="720"/>
        </w:tabs>
        <w:rPr>
          <w:rFonts w:ascii="Calibri" w:eastAsia="Calibri" w:hAnsi="Calibri" w:cs="Calibri"/>
          <w:b/>
          <w:u w:val="single"/>
        </w:rPr>
      </w:pPr>
    </w:p>
    <w:p w14:paraId="08B1F2AB" w14:textId="7882768C" w:rsidR="002D535F" w:rsidRPr="00235C1F" w:rsidRDefault="002D535F" w:rsidP="00CC0F59">
      <w:pPr>
        <w:contextualSpacing/>
        <w:rPr>
          <w:b/>
          <w:i/>
          <w:iCs/>
        </w:rPr>
      </w:pPr>
      <w:bookmarkStart w:id="67" w:name="_Toc17731330"/>
      <w:bookmarkStart w:id="68" w:name="_Toc17748250"/>
      <w:bookmarkStart w:id="69" w:name="_Toc17748477"/>
      <w:bookmarkStart w:id="70" w:name="_Toc17748721"/>
      <w:bookmarkStart w:id="71" w:name="_Toc18420200"/>
      <w:bookmarkStart w:id="72" w:name="_Toc18922421"/>
      <w:r w:rsidRPr="00235C1F">
        <w:rPr>
          <w:b/>
          <w:i/>
          <w:iCs/>
        </w:rPr>
        <w:t>Analysis</w:t>
      </w:r>
      <w:r w:rsidR="00661459" w:rsidRPr="00235C1F">
        <w:rPr>
          <w:b/>
          <w:i/>
          <w:iCs/>
        </w:rPr>
        <w:t xml:space="preserve"> </w:t>
      </w:r>
    </w:p>
    <w:p w14:paraId="131A8B75" w14:textId="77777777" w:rsidR="00155601" w:rsidRDefault="00155601" w:rsidP="00CC0F59">
      <w:pPr>
        <w:pStyle w:val="Heading1"/>
        <w:spacing w:before="0" w:line="240" w:lineRule="auto"/>
        <w:rPr>
          <w:rFonts w:ascii="Garamond" w:hAnsi="Garamond"/>
        </w:rPr>
      </w:pPr>
      <w:bookmarkStart w:id="73" w:name="_Toc17748725"/>
      <w:bookmarkStart w:id="74" w:name="_Toc17748726"/>
      <w:bookmarkEnd w:id="67"/>
      <w:bookmarkEnd w:id="68"/>
      <w:bookmarkEnd w:id="69"/>
      <w:bookmarkEnd w:id="70"/>
      <w:bookmarkEnd w:id="71"/>
      <w:bookmarkEnd w:id="72"/>
    </w:p>
    <w:p w14:paraId="40E20CBC" w14:textId="172D5302" w:rsidR="00C05378" w:rsidRPr="008E54FA" w:rsidRDefault="00011681" w:rsidP="00CC0F59">
      <w:pPr>
        <w:tabs>
          <w:tab w:val="left" w:pos="3240"/>
        </w:tabs>
        <w:contextualSpacing/>
      </w:pPr>
      <w:r>
        <w:t xml:space="preserve">The Applicant through the proposed project, has appropriately considered cost quality and access and their impact on public health outcomes. </w:t>
      </w:r>
      <w:r w:rsidR="00581423" w:rsidRPr="00581423">
        <w:t>As a result of information provided by the Applicant and additional analysis, staff finds that with</w:t>
      </w:r>
      <w:r>
        <w:t xml:space="preserve"> </w:t>
      </w:r>
      <w:r w:rsidR="00581423" w:rsidRPr="00581423">
        <w:t>the “Other Conditions” outlined below and the standard reporting conditions, the Applicant demonstrated that the Proposed Project has met Factor 2.</w:t>
      </w:r>
    </w:p>
    <w:p w14:paraId="0F6F08D8" w14:textId="77777777" w:rsidR="002D535F" w:rsidRPr="007A57C4" w:rsidRDefault="002D535F" w:rsidP="00B31381">
      <w:pPr>
        <w:contextualSpacing/>
        <w:rPr>
          <w:rFonts w:ascii="Garamond" w:eastAsia="Calibri" w:hAnsi="Garamond"/>
          <w:bCs/>
        </w:rPr>
      </w:pPr>
    </w:p>
    <w:p w14:paraId="31B30376" w14:textId="7D29045F" w:rsidR="002D535F" w:rsidRDefault="002D535F" w:rsidP="00B31381">
      <w:pPr>
        <w:pStyle w:val="Heading1"/>
        <w:spacing w:before="0" w:line="240" w:lineRule="auto"/>
        <w:contextualSpacing/>
        <w:rPr>
          <w:rFonts w:asciiTheme="minorHAnsi" w:hAnsiTheme="minorHAnsi" w:cstheme="minorHAnsi"/>
        </w:rPr>
      </w:pPr>
      <w:bookmarkStart w:id="75" w:name="_Toc157428835"/>
      <w:bookmarkStart w:id="76" w:name="_Toc187325903"/>
      <w:r w:rsidRPr="008E54FA">
        <w:rPr>
          <w:rFonts w:asciiTheme="minorHAnsi" w:hAnsiTheme="minorHAnsi" w:cstheme="minorHAnsi"/>
        </w:rPr>
        <w:t>Factor 3: Relevant Licensure/Oversight Compliance</w:t>
      </w:r>
      <w:bookmarkEnd w:id="73"/>
      <w:bookmarkEnd w:id="75"/>
      <w:bookmarkEnd w:id="76"/>
    </w:p>
    <w:p w14:paraId="0FD849BB" w14:textId="16D59225" w:rsidR="00DE4CD3" w:rsidRPr="00DE4CD3" w:rsidRDefault="008F1B14" w:rsidP="00B31381">
      <w:r>
        <w:t xml:space="preserve"> </w:t>
      </w:r>
    </w:p>
    <w:p w14:paraId="685EFDFE" w14:textId="564693CA" w:rsidR="002D535F" w:rsidRPr="008E54FA" w:rsidRDefault="00414E8A" w:rsidP="00B31381">
      <w:pPr>
        <w:contextualSpacing/>
      </w:pPr>
      <w:r w:rsidRPr="008E54FA">
        <w:t xml:space="preserve">The Applicant has provided evidence of compliance and good standing with federal, state, and local laws and regulations and </w:t>
      </w:r>
      <w:r w:rsidR="001377D8" w:rsidRPr="008E54FA">
        <w:t xml:space="preserve">this Factor </w:t>
      </w:r>
      <w:r w:rsidRPr="008E54FA">
        <w:t>will not be addressed further in this report. As a result of information provided by the Applicant, staff finds the Applicant has reasonably met the standards of Factor 3.</w:t>
      </w:r>
    </w:p>
    <w:p w14:paraId="745D1D6C" w14:textId="77777777" w:rsidR="004E3B63" w:rsidRDefault="004E3B63" w:rsidP="00B31381">
      <w:pPr>
        <w:pStyle w:val="Heading1"/>
        <w:spacing w:before="0" w:line="240" w:lineRule="auto"/>
        <w:contextualSpacing/>
        <w:rPr>
          <w:rFonts w:ascii="Garamond" w:hAnsi="Garamond"/>
        </w:rPr>
      </w:pPr>
    </w:p>
    <w:p w14:paraId="31057359" w14:textId="5DCCDA4E" w:rsidR="002C19B8" w:rsidRDefault="002D535F" w:rsidP="00581423">
      <w:pPr>
        <w:pStyle w:val="Heading1"/>
        <w:spacing w:before="0" w:line="240" w:lineRule="auto"/>
        <w:contextualSpacing/>
        <w:rPr>
          <w:rFonts w:eastAsia="Aptos"/>
        </w:rPr>
      </w:pPr>
      <w:bookmarkStart w:id="77" w:name="_Toc157428836"/>
      <w:bookmarkStart w:id="78" w:name="_Toc187325904"/>
      <w:r w:rsidRPr="008E54FA">
        <w:rPr>
          <w:rFonts w:asciiTheme="minorHAnsi" w:hAnsiTheme="minorHAnsi" w:cstheme="minorHAnsi"/>
        </w:rPr>
        <w:t>Factor 4: Demonstration of Sufficient Funds Independent CPA Analysis</w:t>
      </w:r>
      <w:bookmarkEnd w:id="74"/>
      <w:bookmarkEnd w:id="77"/>
      <w:bookmarkEnd w:id="78"/>
    </w:p>
    <w:p w14:paraId="1D5553DD" w14:textId="143E31B4" w:rsidR="00940CC4" w:rsidRPr="00940CC4" w:rsidRDefault="00940CC4" w:rsidP="00581423">
      <w:pPr>
        <w:spacing w:before="240" w:after="160"/>
        <w:rPr>
          <w:rFonts w:eastAsia="Aptos"/>
        </w:rPr>
      </w:pPr>
      <w:r w:rsidRPr="00940CC4">
        <w:rPr>
          <w:rFonts w:eastAsia="Aptos"/>
        </w:rPr>
        <w:t xml:space="preserve">Under factor 4, the Applicant must demonstrate that it has sufficient funds available for capital and operating costs necessary to support the Proposed Project without negative effects or consequences to the existing Patient Panel. Documentation sufficient to make such finding must be supported by an analysis by an independent CPA. </w:t>
      </w:r>
    </w:p>
    <w:p w14:paraId="1EB0D3F5" w14:textId="3F0C2994" w:rsidR="00FA75CF" w:rsidRDefault="00FA75CF" w:rsidP="00FA75CF">
      <w:pPr>
        <w:rPr>
          <w:rFonts w:ascii="Calibri" w:hAnsi="Calibri" w:cs="Calibri"/>
        </w:rPr>
      </w:pPr>
      <w:r w:rsidRPr="00FA75CF">
        <w:rPr>
          <w:rFonts w:ascii="Calibri" w:hAnsi="Calibri" w:cs="Calibri"/>
          <w:bCs/>
        </w:rPr>
        <w:t>To arrive at its conclusions</w:t>
      </w:r>
      <w:r w:rsidRPr="004D0D73">
        <w:rPr>
          <w:rFonts w:ascii="Calibri" w:hAnsi="Calibri" w:cs="Calibri"/>
        </w:rPr>
        <w:t>, the CPA reviewed the following information:</w:t>
      </w:r>
    </w:p>
    <w:p w14:paraId="564AB525" w14:textId="77777777" w:rsidR="00223F46" w:rsidRPr="00223F46" w:rsidRDefault="00223F46" w:rsidP="00223F46">
      <w:pPr>
        <w:numPr>
          <w:ilvl w:val="0"/>
          <w:numId w:val="15"/>
        </w:numPr>
        <w:rPr>
          <w:rFonts w:ascii="Calibri" w:hAnsi="Calibri" w:cs="Calibri"/>
        </w:rPr>
      </w:pPr>
      <w:r w:rsidRPr="00223F46">
        <w:rPr>
          <w:rFonts w:ascii="Calibri" w:hAnsi="Calibri" w:cs="Calibri"/>
        </w:rPr>
        <w:t xml:space="preserve">West Bridgewater MA Endoscopy ASC, LLC’s 5-Year Projected Financial Statements, and Assumptions, initially received from Management on July 10, </w:t>
      </w:r>
      <w:proofErr w:type="gramStart"/>
      <w:r w:rsidRPr="00223F46">
        <w:rPr>
          <w:rFonts w:ascii="Calibri" w:hAnsi="Calibri" w:cs="Calibri"/>
        </w:rPr>
        <w:t>2024</w:t>
      </w:r>
      <w:proofErr w:type="gramEnd"/>
      <w:r w:rsidRPr="00223F46">
        <w:rPr>
          <w:rFonts w:ascii="Calibri" w:hAnsi="Calibri" w:cs="Calibri"/>
        </w:rPr>
        <w:t xml:space="preserve"> with supporting documentation;</w:t>
      </w:r>
    </w:p>
    <w:p w14:paraId="0B14398A" w14:textId="2E987ED3" w:rsidR="00223F46" w:rsidRPr="00223F46" w:rsidRDefault="00223F46" w:rsidP="00223F46">
      <w:pPr>
        <w:numPr>
          <w:ilvl w:val="0"/>
          <w:numId w:val="15"/>
        </w:numPr>
        <w:rPr>
          <w:rFonts w:ascii="Calibri" w:hAnsi="Calibri" w:cs="Calibri"/>
        </w:rPr>
      </w:pPr>
      <w:r w:rsidRPr="00223F46">
        <w:rPr>
          <w:rFonts w:ascii="Calibri" w:hAnsi="Calibri" w:cs="Calibri"/>
        </w:rPr>
        <w:t>Three years of West Bridgewater MA Endoscopy ASC, LLC’s balance sheets and income statements;</w:t>
      </w:r>
    </w:p>
    <w:p w14:paraId="21F02898" w14:textId="77777777" w:rsidR="00223F46" w:rsidRPr="00223F46" w:rsidRDefault="00223F46" w:rsidP="00223F46">
      <w:pPr>
        <w:numPr>
          <w:ilvl w:val="0"/>
          <w:numId w:val="15"/>
        </w:numPr>
        <w:rPr>
          <w:rFonts w:ascii="Calibri" w:hAnsi="Calibri" w:cs="Calibri"/>
        </w:rPr>
      </w:pPr>
      <w:r w:rsidRPr="00223F46">
        <w:rPr>
          <w:rFonts w:ascii="Calibri" w:hAnsi="Calibri" w:cs="Calibri"/>
        </w:rPr>
        <w:t>West Bridgewater GI relocation and expansion presented by AMSURG to the AMSURG Board of Directors, prepared as of March 28, 2024;</w:t>
      </w:r>
    </w:p>
    <w:p w14:paraId="1552114F" w14:textId="77777777" w:rsidR="00223F46" w:rsidRPr="00223F46" w:rsidRDefault="00223F46" w:rsidP="00223F46">
      <w:pPr>
        <w:numPr>
          <w:ilvl w:val="0"/>
          <w:numId w:val="15"/>
        </w:numPr>
        <w:rPr>
          <w:rFonts w:ascii="Calibri" w:hAnsi="Calibri" w:cs="Calibri"/>
        </w:rPr>
      </w:pPr>
      <w:r w:rsidRPr="00223F46">
        <w:rPr>
          <w:rFonts w:ascii="Calibri" w:hAnsi="Calibri" w:cs="Calibri"/>
        </w:rPr>
        <w:t>Relevant Regulations and guidance documents from CMS, DPG and other;</w:t>
      </w:r>
    </w:p>
    <w:p w14:paraId="086EBF1F" w14:textId="4146D572" w:rsidR="00223F46" w:rsidRPr="00223F46" w:rsidRDefault="00223F46" w:rsidP="00223F46">
      <w:pPr>
        <w:numPr>
          <w:ilvl w:val="0"/>
          <w:numId w:val="15"/>
        </w:numPr>
        <w:rPr>
          <w:rFonts w:ascii="Calibri" w:hAnsi="Calibri" w:cs="Calibri"/>
        </w:rPr>
      </w:pPr>
      <w:r w:rsidRPr="03C54183">
        <w:rPr>
          <w:rFonts w:ascii="Calibri" w:hAnsi="Calibri" w:cs="Calibri"/>
        </w:rPr>
        <w:t xml:space="preserve">Industry marketing and forecasting materials (e.g. </w:t>
      </w:r>
      <w:hyperlink r:id="rId11" w:history="1">
        <w:r w:rsidRPr="0000189F">
          <w:rPr>
            <w:rStyle w:val="Hyperlink"/>
            <w:rFonts w:ascii="Calibri" w:hAnsi="Calibri" w:cs="Calibri"/>
            <w:color w:val="auto"/>
            <w:u w:val="none"/>
          </w:rPr>
          <w:t>Becker’s ASC</w:t>
        </w:r>
      </w:hyperlink>
      <w:r w:rsidRPr="0000189F">
        <w:rPr>
          <w:rFonts w:ascii="Calibri" w:hAnsi="Calibri" w:cs="Calibri"/>
        </w:rPr>
        <w:t xml:space="preserve">, </w:t>
      </w:r>
      <w:hyperlink r:id="rId12">
        <w:r w:rsidRPr="00BF6B51">
          <w:rPr>
            <w:rStyle w:val="Hyperlink"/>
            <w:rFonts w:ascii="Calibri" w:hAnsi="Calibri" w:cs="Calibri"/>
            <w:color w:val="234170" w:themeColor="text2" w:themeShade="BF"/>
          </w:rPr>
          <w:t>https://www.beckersasc.com</w:t>
        </w:r>
      </w:hyperlink>
      <w:r w:rsidRPr="03C54183">
        <w:rPr>
          <w:rFonts w:ascii="Calibri" w:hAnsi="Calibri" w:cs="Calibri"/>
          <w:u w:val="single"/>
        </w:rPr>
        <w:t xml:space="preserve">, </w:t>
      </w:r>
      <w:proofErr w:type="spellStart"/>
      <w:r w:rsidRPr="03C54183">
        <w:rPr>
          <w:rFonts w:ascii="Calibri" w:hAnsi="Calibri" w:cs="Calibri"/>
        </w:rPr>
        <w:t>Intellimarker</w:t>
      </w:r>
      <w:proofErr w:type="spellEnd"/>
      <w:r w:rsidRPr="03C54183">
        <w:rPr>
          <w:rFonts w:ascii="Calibri" w:hAnsi="Calibri" w:cs="Calibri"/>
        </w:rPr>
        <w:t xml:space="preserve">™ - by VMG Health, ASC benchmarking study, </w:t>
      </w:r>
      <w:hyperlink r:id="rId13" w:history="1">
        <w:r w:rsidRPr="0000189F">
          <w:rPr>
            <w:rStyle w:val="Hyperlink"/>
            <w:rFonts w:ascii="Calibri" w:hAnsi="Calibri" w:cs="Calibri"/>
            <w:color w:val="auto"/>
            <w:u w:val="none"/>
          </w:rPr>
          <w:t>Gastrointestinal Specialists website</w:t>
        </w:r>
      </w:hyperlink>
      <w:r w:rsidRPr="03C54183">
        <w:rPr>
          <w:rFonts w:ascii="Calibri" w:hAnsi="Calibri" w:cs="Calibri"/>
        </w:rPr>
        <w:t xml:space="preserve"> </w:t>
      </w:r>
      <w:hyperlink r:id="rId14">
        <w:r w:rsidRPr="00BF6B51">
          <w:rPr>
            <w:rStyle w:val="Hyperlink"/>
            <w:rFonts w:ascii="Calibri" w:hAnsi="Calibri" w:cs="Calibri"/>
            <w:color w:val="234170" w:themeColor="text2" w:themeShade="BF"/>
          </w:rPr>
          <w:t>https://gisdoc.com</w:t>
        </w:r>
      </w:hyperlink>
      <w:r w:rsidRPr="03C54183">
        <w:rPr>
          <w:rFonts w:ascii="Calibri" w:hAnsi="Calibri" w:cs="Calibri"/>
          <w:u w:val="single"/>
        </w:rPr>
        <w:t>.);</w:t>
      </w:r>
    </w:p>
    <w:p w14:paraId="1BA6BD50" w14:textId="7CAFA3BC" w:rsidR="00223F46" w:rsidRPr="00223F46" w:rsidRDefault="0000189F" w:rsidP="00223F46">
      <w:pPr>
        <w:numPr>
          <w:ilvl w:val="0"/>
          <w:numId w:val="15"/>
        </w:numPr>
        <w:rPr>
          <w:rFonts w:ascii="Calibri" w:hAnsi="Calibri" w:cs="Calibri"/>
        </w:rPr>
      </w:pPr>
      <w:hyperlink r:id="rId15" w:history="1">
        <w:r w:rsidR="00223F46" w:rsidRPr="0000189F">
          <w:rPr>
            <w:rStyle w:val="Hyperlink"/>
            <w:rFonts w:ascii="Calibri" w:hAnsi="Calibri" w:cs="Calibri"/>
            <w:color w:val="auto"/>
            <w:u w:val="none"/>
          </w:rPr>
          <w:t>AMSURG website</w:t>
        </w:r>
      </w:hyperlink>
      <w:r w:rsidR="00223F46" w:rsidRPr="00223F46">
        <w:rPr>
          <w:rFonts w:ascii="Calibri" w:hAnsi="Calibri" w:cs="Calibri"/>
        </w:rPr>
        <w:t xml:space="preserve"> </w:t>
      </w:r>
      <w:hyperlink r:id="rId16" w:history="1">
        <w:r w:rsidR="00223F46" w:rsidRPr="00BF6B51">
          <w:rPr>
            <w:rStyle w:val="Hyperlink"/>
            <w:rFonts w:ascii="Calibri" w:hAnsi="Calibri" w:cs="Calibri"/>
            <w:color w:val="234170" w:themeColor="text2" w:themeShade="BF"/>
          </w:rPr>
          <w:t>https://amsurg.com</w:t>
        </w:r>
      </w:hyperlink>
      <w:r w:rsidR="00223F46" w:rsidRPr="00223F46">
        <w:rPr>
          <w:rFonts w:ascii="Calibri" w:hAnsi="Calibri" w:cs="Calibri"/>
          <w:u w:val="single"/>
        </w:rPr>
        <w:t>.</w:t>
      </w:r>
    </w:p>
    <w:p w14:paraId="66B9709D" w14:textId="77777777" w:rsidR="00223F46" w:rsidRPr="00223F46" w:rsidRDefault="00223F46" w:rsidP="00223F46">
      <w:pPr>
        <w:numPr>
          <w:ilvl w:val="0"/>
          <w:numId w:val="15"/>
        </w:numPr>
        <w:rPr>
          <w:rFonts w:ascii="Calibri" w:hAnsi="Calibri" w:cs="Calibri"/>
        </w:rPr>
      </w:pPr>
      <w:r w:rsidRPr="00223F46">
        <w:rPr>
          <w:rFonts w:ascii="Calibri" w:hAnsi="Calibri" w:cs="Calibri"/>
        </w:rPr>
        <w:t>Key Financial Metrics.</w:t>
      </w:r>
      <w:r w:rsidRPr="00223F46">
        <w:rPr>
          <w:rFonts w:ascii="Calibri" w:hAnsi="Calibri" w:cs="Calibri"/>
          <w:vertAlign w:val="superscript"/>
        </w:rPr>
        <w:footnoteReference w:id="10"/>
      </w:r>
      <w:r w:rsidRPr="00223F46">
        <w:rPr>
          <w:rFonts w:ascii="Calibri" w:hAnsi="Calibri" w:cs="Calibri"/>
        </w:rPr>
        <w:t xml:space="preserve"> </w:t>
      </w:r>
    </w:p>
    <w:p w14:paraId="73222CF8" w14:textId="77777777" w:rsidR="00223F46" w:rsidRPr="00223F46" w:rsidRDefault="00223F46" w:rsidP="00223F46">
      <w:pPr>
        <w:rPr>
          <w:rFonts w:ascii="Calibri" w:hAnsi="Calibri" w:cs="Calibri"/>
          <w:b/>
          <w:bCs/>
        </w:rPr>
      </w:pPr>
    </w:p>
    <w:p w14:paraId="0124228E" w14:textId="77777777" w:rsidR="00223F46" w:rsidRPr="00223F46" w:rsidRDefault="00223F46" w:rsidP="00223F46">
      <w:pPr>
        <w:rPr>
          <w:rFonts w:ascii="Calibri" w:hAnsi="Calibri" w:cs="Calibri"/>
          <w:b/>
          <w:bCs/>
        </w:rPr>
      </w:pPr>
      <w:r w:rsidRPr="00223F46">
        <w:rPr>
          <w:rFonts w:ascii="Calibri" w:hAnsi="Calibri" w:cs="Calibri"/>
          <w:b/>
          <w:bCs/>
        </w:rPr>
        <w:lastRenderedPageBreak/>
        <w:t xml:space="preserve">Revenues </w:t>
      </w:r>
    </w:p>
    <w:p w14:paraId="624E49D2" w14:textId="77777777" w:rsidR="00223F46" w:rsidRPr="00223F46" w:rsidRDefault="00223F46" w:rsidP="00223F46">
      <w:pPr>
        <w:rPr>
          <w:rFonts w:ascii="Calibri" w:hAnsi="Calibri" w:cs="Calibri"/>
          <w:b/>
          <w:bCs/>
        </w:rPr>
      </w:pPr>
    </w:p>
    <w:p w14:paraId="7072EBE2" w14:textId="567FB20D" w:rsidR="00223F46" w:rsidRPr="00223F46" w:rsidRDefault="00223F46" w:rsidP="00223F46">
      <w:pPr>
        <w:rPr>
          <w:rFonts w:ascii="Calibri" w:hAnsi="Calibri" w:cs="Calibri"/>
        </w:rPr>
      </w:pPr>
      <w:r w:rsidRPr="4E2208F8">
        <w:rPr>
          <w:rFonts w:ascii="Calibri" w:hAnsi="Calibri" w:cs="Calibri"/>
        </w:rPr>
        <w:t>In order to determine the reasonableness of the projected revenues, the CPA reviewed the underlying assumptions upon which Management relied. Since the new location is in the same patient service area</w:t>
      </w:r>
      <w:r w:rsidR="5FA235ED" w:rsidRPr="4E2208F8">
        <w:rPr>
          <w:rFonts w:ascii="Calibri" w:hAnsi="Calibri" w:cs="Calibri"/>
        </w:rPr>
        <w:t>,</w:t>
      </w:r>
      <w:r w:rsidRPr="4E2208F8">
        <w:rPr>
          <w:rFonts w:ascii="Calibri" w:hAnsi="Calibri" w:cs="Calibri"/>
        </w:rPr>
        <w:t xml:space="preserve"> </w:t>
      </w:r>
      <w:r w:rsidR="3EBDA4C2" w:rsidRPr="4E2208F8">
        <w:rPr>
          <w:rFonts w:ascii="Calibri" w:hAnsi="Calibri" w:cs="Calibri"/>
        </w:rPr>
        <w:t xml:space="preserve">the </w:t>
      </w:r>
      <w:r w:rsidRPr="4E2208F8">
        <w:rPr>
          <w:rFonts w:ascii="Calibri" w:hAnsi="Calibri" w:cs="Calibri"/>
        </w:rPr>
        <w:t>payer-mix</w:t>
      </w:r>
      <w:r w:rsidR="3BE9F58B" w:rsidRPr="4E2208F8">
        <w:rPr>
          <w:rFonts w:ascii="Calibri" w:hAnsi="Calibri" w:cs="Calibri"/>
        </w:rPr>
        <w:t>,</w:t>
      </w:r>
      <w:r w:rsidRPr="4E2208F8">
        <w:rPr>
          <w:rFonts w:ascii="Calibri" w:hAnsi="Calibri" w:cs="Calibri"/>
        </w:rPr>
        <w:t xml:space="preserve"> and reimbursement was based upon the historic mix and payments from all payers, including Medicare, Medicaid and commercial insurance payments. </w:t>
      </w:r>
    </w:p>
    <w:p w14:paraId="03D0264E" w14:textId="31FD2EBA" w:rsidR="00223F46" w:rsidRPr="00223F46" w:rsidRDefault="00223F46" w:rsidP="00223F46">
      <w:pPr>
        <w:rPr>
          <w:rFonts w:ascii="Calibri" w:hAnsi="Calibri" w:cs="Calibri"/>
        </w:rPr>
      </w:pPr>
      <w:r w:rsidRPr="00223F46">
        <w:rPr>
          <w:rFonts w:ascii="Calibri" w:hAnsi="Calibri" w:cs="Calibri"/>
        </w:rPr>
        <w:t xml:space="preserve">The reasonableness of the projected volume was based on the Applicants historical data of services at the current location; then it created a utilization table, using what the CPA identified as conservative estimates of the volume </w:t>
      </w:r>
      <w:proofErr w:type="gramStart"/>
      <w:r w:rsidRPr="00223F46">
        <w:rPr>
          <w:rFonts w:ascii="Calibri" w:hAnsi="Calibri" w:cs="Calibri"/>
        </w:rPr>
        <w:t>taking into account</w:t>
      </w:r>
      <w:proofErr w:type="gramEnd"/>
      <w:r w:rsidRPr="00223F46">
        <w:rPr>
          <w:rFonts w:ascii="Calibri" w:hAnsi="Calibri" w:cs="Calibri"/>
        </w:rPr>
        <w:t xml:space="preserve"> benchmark data for the procedure room average minutes to arrive at year 1 (2026) cases and procedures with 3% annual growth projection through 2030. The CPA compared the </w:t>
      </w:r>
      <w:r w:rsidR="4F317088" w:rsidRPr="00223F46">
        <w:rPr>
          <w:rFonts w:ascii="Calibri" w:hAnsi="Calibri" w:cs="Calibri"/>
        </w:rPr>
        <w:t>Applicant</w:t>
      </w:r>
      <w:r w:rsidRPr="00223F46">
        <w:rPr>
          <w:rFonts w:ascii="Calibri" w:hAnsi="Calibri" w:cs="Calibri"/>
        </w:rPr>
        <w:t xml:space="preserve">’s benchmark data to an outside, independent survey of </w:t>
      </w:r>
      <w:r w:rsidR="63EAD1E4" w:rsidRPr="00223F46">
        <w:rPr>
          <w:rFonts w:ascii="Calibri" w:hAnsi="Calibri" w:cs="Calibri"/>
        </w:rPr>
        <w:t>ASC</w:t>
      </w:r>
      <w:r w:rsidRPr="00223F46">
        <w:rPr>
          <w:rFonts w:ascii="Calibri" w:hAnsi="Calibri" w:cs="Calibri"/>
        </w:rPr>
        <w:t>s</w:t>
      </w:r>
      <w:r w:rsidRPr="00223F46">
        <w:rPr>
          <w:rFonts w:ascii="Calibri" w:hAnsi="Calibri" w:cs="Calibri"/>
          <w:vertAlign w:val="superscript"/>
        </w:rPr>
        <w:footnoteReference w:id="11"/>
      </w:r>
      <w:r w:rsidRPr="00223F46">
        <w:rPr>
          <w:rFonts w:ascii="Calibri" w:hAnsi="Calibri" w:cs="Calibri"/>
        </w:rPr>
        <w:t xml:space="preserve"> and found that the </w:t>
      </w:r>
      <w:r w:rsidR="19E5B994" w:rsidRPr="00223F46">
        <w:rPr>
          <w:rFonts w:ascii="Calibri" w:hAnsi="Calibri" w:cs="Calibri"/>
        </w:rPr>
        <w:t>Applicant</w:t>
      </w:r>
      <w:r w:rsidRPr="00223F46">
        <w:rPr>
          <w:rFonts w:ascii="Calibri" w:hAnsi="Calibri" w:cs="Calibri"/>
        </w:rPr>
        <w:t xml:space="preserve">’s benchmark data used was reasonable, and that the number of projected cases and procedures per procedure room in 2030 (year 5) were within the ranges of currently operating ambulatory surgery centers included in the independent survey. </w:t>
      </w:r>
    </w:p>
    <w:p w14:paraId="635A32B6" w14:textId="77777777" w:rsidR="00223F46" w:rsidRPr="00223F46" w:rsidRDefault="00223F46" w:rsidP="00223F46">
      <w:pPr>
        <w:rPr>
          <w:rFonts w:ascii="Calibri" w:hAnsi="Calibri" w:cs="Calibri"/>
        </w:rPr>
      </w:pPr>
    </w:p>
    <w:p w14:paraId="165848AF" w14:textId="77777777" w:rsidR="00223F46" w:rsidRPr="00223F46" w:rsidRDefault="00223F46" w:rsidP="00223F46">
      <w:pPr>
        <w:rPr>
          <w:rFonts w:ascii="Calibri" w:hAnsi="Calibri" w:cs="Calibri"/>
        </w:rPr>
      </w:pPr>
      <w:r w:rsidRPr="00223F46">
        <w:rPr>
          <w:rFonts w:ascii="Calibri" w:hAnsi="Calibri" w:cs="Calibri"/>
        </w:rPr>
        <w:t xml:space="preserve">To determine the reasonableness of using the actual payer mix for the twelve months ended February 2024 in the projections, the CPA utilized the Gastrointestinal Specialists’ Productivity Analysis for the calendar year ended December 2023 which provided units, charges and payments by the various payers and compared this to the independent survey's payer mix for the Northeast and found them to be within the range. The CPA used a comparable method to test the reimbursement rates to the Applicant and determined it to be similar. </w:t>
      </w:r>
    </w:p>
    <w:p w14:paraId="53E92FE0" w14:textId="77777777" w:rsidR="00223F46" w:rsidRPr="00223F46" w:rsidRDefault="00223F46" w:rsidP="00223F46">
      <w:pPr>
        <w:rPr>
          <w:rFonts w:ascii="Calibri" w:hAnsi="Calibri" w:cs="Calibri"/>
        </w:rPr>
      </w:pPr>
    </w:p>
    <w:p w14:paraId="33DE7719" w14:textId="77777777" w:rsidR="00223F46" w:rsidRPr="00223F46" w:rsidRDefault="00223F46" w:rsidP="00223F46">
      <w:pPr>
        <w:rPr>
          <w:rFonts w:ascii="Calibri" w:hAnsi="Calibri" w:cs="Calibri"/>
        </w:rPr>
      </w:pPr>
      <w:r w:rsidRPr="00223F46">
        <w:rPr>
          <w:rFonts w:ascii="Calibri" w:hAnsi="Calibri" w:cs="Calibri"/>
        </w:rPr>
        <w:t xml:space="preserve">The CPA concluded that based upon its analysis, the revenue projected by Management reflects a reasonable estimation of future revenues of the Center. </w:t>
      </w:r>
    </w:p>
    <w:p w14:paraId="249BF572" w14:textId="77777777" w:rsidR="00223F46" w:rsidRPr="00223F46" w:rsidRDefault="00223F46" w:rsidP="00223F46">
      <w:pPr>
        <w:rPr>
          <w:rFonts w:ascii="Calibri" w:hAnsi="Calibri" w:cs="Calibri"/>
        </w:rPr>
      </w:pPr>
    </w:p>
    <w:p w14:paraId="0E23E791" w14:textId="77777777" w:rsidR="00223F46" w:rsidRPr="00223F46" w:rsidRDefault="00223F46" w:rsidP="00223F46">
      <w:pPr>
        <w:rPr>
          <w:rFonts w:ascii="Calibri" w:hAnsi="Calibri" w:cs="Calibri"/>
          <w:b/>
          <w:bCs/>
        </w:rPr>
      </w:pPr>
      <w:r w:rsidRPr="00223F46">
        <w:rPr>
          <w:rFonts w:ascii="Calibri" w:hAnsi="Calibri" w:cs="Calibri"/>
          <w:b/>
          <w:bCs/>
        </w:rPr>
        <w:t xml:space="preserve">Expenses </w:t>
      </w:r>
    </w:p>
    <w:p w14:paraId="12774E4A" w14:textId="77777777" w:rsidR="00223F46" w:rsidRPr="00223F46" w:rsidRDefault="00223F46" w:rsidP="00223F46">
      <w:pPr>
        <w:rPr>
          <w:rFonts w:ascii="Calibri" w:hAnsi="Calibri" w:cs="Calibri"/>
          <w:b/>
          <w:bCs/>
        </w:rPr>
      </w:pPr>
    </w:p>
    <w:p w14:paraId="06033199" w14:textId="0B87CD98" w:rsidR="00223F46" w:rsidRPr="00223F46" w:rsidRDefault="00223F46" w:rsidP="003547DA">
      <w:pPr>
        <w:rPr>
          <w:rFonts w:ascii="Calibri" w:hAnsi="Calibri" w:cs="Calibri"/>
        </w:rPr>
      </w:pPr>
      <w:r w:rsidRPr="00223F46">
        <w:rPr>
          <w:rFonts w:ascii="Calibri" w:hAnsi="Calibri" w:cs="Calibri"/>
        </w:rPr>
        <w:t>The operating expenses in the analysis include salaries and benefits, medical supplies, facility rent, management fees, other operating expenses, and depreciation and amortization.</w:t>
      </w:r>
      <w:r w:rsidR="00C934F2">
        <w:rPr>
          <w:rFonts w:ascii="Calibri" w:hAnsi="Calibri" w:cs="Calibri"/>
        </w:rPr>
        <w:t xml:space="preserve"> </w:t>
      </w:r>
    </w:p>
    <w:p w14:paraId="43925D59" w14:textId="77777777" w:rsidR="00223F46" w:rsidRPr="00223F46" w:rsidRDefault="00223F46" w:rsidP="003547DA">
      <w:pPr>
        <w:rPr>
          <w:rFonts w:ascii="Calibri" w:hAnsi="Calibri" w:cs="Calibri"/>
        </w:rPr>
      </w:pPr>
    </w:p>
    <w:p w14:paraId="611403F6" w14:textId="5773E4D8" w:rsidR="00223F46" w:rsidRPr="00223F46" w:rsidRDefault="00223F46" w:rsidP="003547DA">
      <w:pPr>
        <w:rPr>
          <w:rFonts w:ascii="Calibri" w:hAnsi="Calibri" w:cs="Calibri"/>
        </w:rPr>
      </w:pPr>
      <w:r w:rsidRPr="03C54183">
        <w:rPr>
          <w:rFonts w:ascii="Calibri" w:hAnsi="Calibri" w:cs="Calibri"/>
        </w:rPr>
        <w:t xml:space="preserve">Actual Salaries were converted to a per case </w:t>
      </w:r>
      <w:r w:rsidR="0F02BD99" w:rsidRPr="03C54183">
        <w:rPr>
          <w:rFonts w:ascii="Calibri" w:hAnsi="Calibri" w:cs="Calibri"/>
        </w:rPr>
        <w:t>amount and</w:t>
      </w:r>
      <w:r w:rsidRPr="03C54183">
        <w:rPr>
          <w:rFonts w:ascii="Calibri" w:hAnsi="Calibri" w:cs="Calibri"/>
        </w:rPr>
        <w:t xml:space="preserve"> then multiplied by the total cases for each of the projection years, and then inflated by 3% each year.  Benefits were increased each year based on the actual benefits to salaries ratio from the previous twelve months ended February 2024. Salaries and Benefits amounts were compared to the Survey and were found to be consistent. </w:t>
      </w:r>
    </w:p>
    <w:p w14:paraId="57E8CC08" w14:textId="77777777" w:rsidR="00223F46" w:rsidRPr="00223F46" w:rsidRDefault="00223F46" w:rsidP="003547DA">
      <w:pPr>
        <w:rPr>
          <w:rFonts w:ascii="Calibri" w:hAnsi="Calibri" w:cs="Calibri"/>
        </w:rPr>
      </w:pPr>
    </w:p>
    <w:p w14:paraId="18E83CAE" w14:textId="77777777" w:rsidR="00223F46" w:rsidRPr="00223F46" w:rsidRDefault="00223F46" w:rsidP="003547DA">
      <w:pPr>
        <w:rPr>
          <w:rFonts w:ascii="Calibri" w:hAnsi="Calibri" w:cs="Calibri"/>
        </w:rPr>
      </w:pPr>
      <w:r w:rsidRPr="00223F46">
        <w:rPr>
          <w:rFonts w:ascii="Calibri" w:hAnsi="Calibri" w:cs="Calibri"/>
        </w:rPr>
        <w:t>Medical Surgical Supplies and Other Expenses included in the projections were also compared to the Survey and found to be consistent with the Survey’s ranges. These were also projected to increase 3% per year after the baseline year, 2026.</w:t>
      </w:r>
    </w:p>
    <w:p w14:paraId="206C96A9" w14:textId="77777777" w:rsidR="00223F46" w:rsidRPr="00223F46" w:rsidRDefault="00223F46" w:rsidP="003547DA">
      <w:pPr>
        <w:rPr>
          <w:rFonts w:ascii="Calibri" w:hAnsi="Calibri" w:cs="Calibri"/>
        </w:rPr>
      </w:pPr>
    </w:p>
    <w:p w14:paraId="00DC94C2" w14:textId="77777777" w:rsidR="00223F46" w:rsidRPr="00223F46" w:rsidRDefault="00223F46" w:rsidP="003547DA">
      <w:pPr>
        <w:rPr>
          <w:rFonts w:ascii="Calibri" w:hAnsi="Calibri" w:cs="Calibri"/>
        </w:rPr>
      </w:pPr>
      <w:r w:rsidRPr="00223F46">
        <w:rPr>
          <w:rFonts w:ascii="Calibri" w:hAnsi="Calibri" w:cs="Calibri"/>
        </w:rPr>
        <w:lastRenderedPageBreak/>
        <w:t xml:space="preserve">The CPA concluded that the forecasted operating expenses are based on reasonable assumptions and are feasible for the Applicant. </w:t>
      </w:r>
    </w:p>
    <w:p w14:paraId="29439545" w14:textId="77777777" w:rsidR="00223F46" w:rsidRPr="00223F46" w:rsidRDefault="00223F46" w:rsidP="00223F46">
      <w:pPr>
        <w:rPr>
          <w:rFonts w:ascii="Calibri" w:hAnsi="Calibri" w:cs="Calibri"/>
        </w:rPr>
      </w:pPr>
    </w:p>
    <w:p w14:paraId="20C233CA" w14:textId="77777777" w:rsidR="00223F46" w:rsidRPr="00223F46" w:rsidRDefault="00223F46" w:rsidP="00223F46">
      <w:pPr>
        <w:rPr>
          <w:rFonts w:ascii="Calibri" w:hAnsi="Calibri" w:cs="Calibri"/>
          <w:b/>
          <w:bCs/>
        </w:rPr>
      </w:pPr>
      <w:r w:rsidRPr="00223F46">
        <w:rPr>
          <w:rFonts w:ascii="Calibri" w:hAnsi="Calibri" w:cs="Calibri"/>
          <w:b/>
          <w:bCs/>
        </w:rPr>
        <w:t>Capital Expenditures and Cash Flows</w:t>
      </w:r>
    </w:p>
    <w:p w14:paraId="55498271" w14:textId="77777777" w:rsidR="00223F46" w:rsidRPr="00223F46" w:rsidRDefault="00223F46" w:rsidP="00223F46">
      <w:pPr>
        <w:rPr>
          <w:rFonts w:ascii="Calibri" w:hAnsi="Calibri" w:cs="Calibri"/>
        </w:rPr>
      </w:pPr>
    </w:p>
    <w:p w14:paraId="73E6F797" w14:textId="16439640" w:rsidR="00C934F2" w:rsidRPr="00C934F2" w:rsidRDefault="00223F46" w:rsidP="00C934F2">
      <w:pPr>
        <w:rPr>
          <w:rFonts w:ascii="Calibri" w:hAnsi="Calibri" w:cs="Calibri"/>
        </w:rPr>
      </w:pPr>
      <w:r w:rsidRPr="4E2208F8">
        <w:rPr>
          <w:rFonts w:ascii="Calibri" w:hAnsi="Calibri" w:cs="Calibri"/>
        </w:rPr>
        <w:t xml:space="preserve">The CPA reviewed the lease terms, the projected capital expenditures and the future cash flows of the </w:t>
      </w:r>
      <w:r w:rsidR="687E00BA" w:rsidRPr="4E2208F8">
        <w:rPr>
          <w:rFonts w:ascii="Calibri" w:hAnsi="Calibri" w:cs="Calibri"/>
        </w:rPr>
        <w:t>Applicant</w:t>
      </w:r>
      <w:r w:rsidRPr="4E2208F8">
        <w:rPr>
          <w:rFonts w:ascii="Calibri" w:hAnsi="Calibri" w:cs="Calibri"/>
        </w:rPr>
        <w:t xml:space="preserve"> </w:t>
      </w:r>
      <w:proofErr w:type="gramStart"/>
      <w:r w:rsidRPr="4E2208F8">
        <w:rPr>
          <w:rFonts w:ascii="Calibri" w:hAnsi="Calibri" w:cs="Calibri"/>
        </w:rPr>
        <w:t xml:space="preserve">in order </w:t>
      </w:r>
      <w:bookmarkStart w:id="79" w:name="_Hlk50111292"/>
      <w:r w:rsidRPr="4E2208F8">
        <w:rPr>
          <w:rFonts w:ascii="Calibri" w:hAnsi="Calibri" w:cs="Calibri"/>
        </w:rPr>
        <w:t>to</w:t>
      </w:r>
      <w:proofErr w:type="gramEnd"/>
      <w:r w:rsidRPr="4E2208F8">
        <w:rPr>
          <w:rFonts w:ascii="Calibri" w:hAnsi="Calibri" w:cs="Calibri"/>
        </w:rPr>
        <w:t xml:space="preserve"> determine whether sufficient funds would be available to support the lease of </w:t>
      </w:r>
      <w:r w:rsidR="1EDF9B77" w:rsidRPr="4E2208F8">
        <w:rPr>
          <w:rFonts w:ascii="Calibri" w:hAnsi="Calibri" w:cs="Calibri"/>
        </w:rPr>
        <w:t>new site</w:t>
      </w:r>
      <w:r w:rsidRPr="4E2208F8">
        <w:rPr>
          <w:rFonts w:ascii="Calibri" w:hAnsi="Calibri" w:cs="Calibri"/>
        </w:rPr>
        <w:t xml:space="preserve">, payment of the financed construction and equipment debt service </w:t>
      </w:r>
      <w:bookmarkEnd w:id="79"/>
      <w:r w:rsidRPr="4E2208F8">
        <w:rPr>
          <w:rFonts w:ascii="Calibri" w:hAnsi="Calibri" w:cs="Calibri"/>
        </w:rPr>
        <w:t xml:space="preserve">and whether the cash flow would be able to support the continued operations. </w:t>
      </w:r>
      <w:r w:rsidR="00C934F2" w:rsidRPr="4E2208F8">
        <w:rPr>
          <w:rFonts w:ascii="Calibri" w:hAnsi="Calibri" w:cs="Calibri"/>
        </w:rPr>
        <w:t xml:space="preserve">The </w:t>
      </w:r>
      <w:r w:rsidR="023DA6FE" w:rsidRPr="4E2208F8">
        <w:rPr>
          <w:rFonts w:ascii="Calibri" w:hAnsi="Calibri" w:cs="Calibri"/>
        </w:rPr>
        <w:t>Applicant</w:t>
      </w:r>
      <w:r w:rsidR="00C934F2" w:rsidRPr="4E2208F8">
        <w:rPr>
          <w:rFonts w:ascii="Calibri" w:hAnsi="Calibri" w:cs="Calibri"/>
        </w:rPr>
        <w:t xml:space="preserve"> has reported lease payments as rent expense as incurred which would impact the debt to capitalization ratio.</w:t>
      </w:r>
    </w:p>
    <w:p w14:paraId="1D90A1E0" w14:textId="77777777" w:rsidR="00223F46" w:rsidRPr="00223F46" w:rsidRDefault="00223F46" w:rsidP="00223F46">
      <w:pPr>
        <w:rPr>
          <w:rFonts w:ascii="Calibri" w:hAnsi="Calibri" w:cs="Calibri"/>
        </w:rPr>
      </w:pPr>
    </w:p>
    <w:p w14:paraId="509ED9D4" w14:textId="6A7D1719" w:rsidR="00223F46" w:rsidRPr="00223F46" w:rsidRDefault="00223F46" w:rsidP="00223F46">
      <w:pPr>
        <w:rPr>
          <w:rFonts w:ascii="Calibri" w:hAnsi="Calibri" w:cs="Calibri"/>
        </w:rPr>
      </w:pPr>
      <w:r w:rsidRPr="4E2208F8">
        <w:rPr>
          <w:rFonts w:ascii="Calibri" w:hAnsi="Calibri" w:cs="Calibri"/>
        </w:rPr>
        <w:t xml:space="preserve">The CPA determined that the pro-forma capital expenditures, facility lease, terms of construction, equipment and working capital financing and the resulting impact on the cash flows of the </w:t>
      </w:r>
      <w:r w:rsidR="7C0D01EA" w:rsidRPr="4E2208F8">
        <w:rPr>
          <w:rFonts w:ascii="Calibri" w:hAnsi="Calibri" w:cs="Calibri"/>
        </w:rPr>
        <w:t>Applicant</w:t>
      </w:r>
      <w:r w:rsidRPr="4E2208F8">
        <w:rPr>
          <w:rFonts w:ascii="Calibri" w:hAnsi="Calibri" w:cs="Calibri"/>
        </w:rPr>
        <w:t xml:space="preserve"> are reasonable.</w:t>
      </w:r>
    </w:p>
    <w:p w14:paraId="79177EDE" w14:textId="77777777" w:rsidR="00223F46" w:rsidRPr="00223F46" w:rsidRDefault="00223F46" w:rsidP="00223F46">
      <w:pPr>
        <w:rPr>
          <w:rFonts w:ascii="Calibri" w:hAnsi="Calibri" w:cs="Calibri"/>
        </w:rPr>
      </w:pPr>
    </w:p>
    <w:p w14:paraId="156AF739" w14:textId="77777777" w:rsidR="00223F46" w:rsidRPr="00223F46" w:rsidRDefault="00223F46" w:rsidP="00223F46">
      <w:pPr>
        <w:rPr>
          <w:rFonts w:ascii="Calibri" w:hAnsi="Calibri" w:cs="Calibri"/>
        </w:rPr>
      </w:pPr>
      <w:r w:rsidRPr="00223F46">
        <w:rPr>
          <w:rFonts w:ascii="Calibri" w:hAnsi="Calibri" w:cs="Calibri"/>
        </w:rPr>
        <w:t xml:space="preserve">The CPA determined that the prospective capital requirements and resulting impact on the cash flows are reasonable. </w:t>
      </w:r>
    </w:p>
    <w:p w14:paraId="439B00D3" w14:textId="77777777" w:rsidR="00223F46" w:rsidRPr="00223F46" w:rsidRDefault="00223F46" w:rsidP="00223F46">
      <w:pPr>
        <w:rPr>
          <w:rFonts w:ascii="Calibri" w:hAnsi="Calibri" w:cs="Calibri"/>
        </w:rPr>
      </w:pPr>
    </w:p>
    <w:p w14:paraId="2C7B848E" w14:textId="77777777" w:rsidR="00223F46" w:rsidRPr="00223F46" w:rsidRDefault="00223F46" w:rsidP="00223F46">
      <w:pPr>
        <w:rPr>
          <w:rFonts w:ascii="Calibri" w:hAnsi="Calibri" w:cs="Calibri"/>
          <w:b/>
          <w:bCs/>
        </w:rPr>
      </w:pPr>
      <w:r w:rsidRPr="4E2208F8">
        <w:rPr>
          <w:rFonts w:ascii="Calibri" w:hAnsi="Calibri" w:cs="Calibri"/>
          <w:b/>
          <w:bCs/>
        </w:rPr>
        <w:t>Conclusion</w:t>
      </w:r>
    </w:p>
    <w:p w14:paraId="04FBCAAF" w14:textId="14309EDD" w:rsidR="4E2208F8" w:rsidRDefault="4E2208F8" w:rsidP="4E2208F8">
      <w:pPr>
        <w:rPr>
          <w:rFonts w:ascii="Calibri" w:hAnsi="Calibri" w:cs="Calibri"/>
        </w:rPr>
      </w:pPr>
    </w:p>
    <w:p w14:paraId="3F4B056B" w14:textId="7DF894C2" w:rsidR="00223F46" w:rsidRPr="00223F46" w:rsidRDefault="00E84440" w:rsidP="00223F46">
      <w:pPr>
        <w:rPr>
          <w:rFonts w:ascii="Calibri" w:hAnsi="Calibri" w:cs="Calibri"/>
        </w:rPr>
      </w:pPr>
      <w:r w:rsidRPr="4E2208F8">
        <w:rPr>
          <w:rFonts w:ascii="Calibri" w:hAnsi="Calibri" w:cs="Calibri"/>
        </w:rPr>
        <w:t>Following t</w:t>
      </w:r>
      <w:r w:rsidR="00C934F2" w:rsidRPr="4E2208F8">
        <w:rPr>
          <w:rFonts w:ascii="Calibri" w:hAnsi="Calibri" w:cs="Calibri"/>
        </w:rPr>
        <w:t>he CPA</w:t>
      </w:r>
      <w:r w:rsidR="3511AD86" w:rsidRPr="4E2208F8">
        <w:rPr>
          <w:rFonts w:ascii="Calibri" w:hAnsi="Calibri" w:cs="Calibri"/>
        </w:rPr>
        <w:t>’</w:t>
      </w:r>
      <w:r w:rsidRPr="4E2208F8">
        <w:rPr>
          <w:rFonts w:ascii="Calibri" w:hAnsi="Calibri" w:cs="Calibri"/>
        </w:rPr>
        <w:t>s</w:t>
      </w:r>
      <w:r w:rsidR="00223F46" w:rsidRPr="4E2208F8">
        <w:rPr>
          <w:rFonts w:ascii="Calibri" w:hAnsi="Calibri" w:cs="Calibri"/>
        </w:rPr>
        <w:t xml:space="preserve"> review</w:t>
      </w:r>
      <w:r w:rsidRPr="4E2208F8">
        <w:rPr>
          <w:rFonts w:ascii="Calibri" w:hAnsi="Calibri" w:cs="Calibri"/>
        </w:rPr>
        <w:t xml:space="preserve"> of</w:t>
      </w:r>
      <w:r w:rsidR="00223F46" w:rsidRPr="4E2208F8">
        <w:rPr>
          <w:rFonts w:ascii="Calibri" w:hAnsi="Calibri" w:cs="Calibri"/>
        </w:rPr>
        <w:t xml:space="preserve"> the </w:t>
      </w:r>
      <w:r w:rsidRPr="4E2208F8">
        <w:rPr>
          <w:rFonts w:ascii="Calibri" w:hAnsi="Calibri" w:cs="Calibri"/>
        </w:rPr>
        <w:t>aforementioned</w:t>
      </w:r>
      <w:r w:rsidR="00223F46" w:rsidRPr="4E2208F8">
        <w:rPr>
          <w:rFonts w:ascii="Calibri" w:hAnsi="Calibri" w:cs="Calibri"/>
        </w:rPr>
        <w:t xml:space="preserve"> documents and </w:t>
      </w:r>
      <w:r w:rsidRPr="4E2208F8">
        <w:rPr>
          <w:rFonts w:ascii="Calibri" w:hAnsi="Calibri" w:cs="Calibri"/>
        </w:rPr>
        <w:t xml:space="preserve">analysis of </w:t>
      </w:r>
      <w:r w:rsidR="00223F46" w:rsidRPr="4E2208F8">
        <w:rPr>
          <w:rFonts w:ascii="Calibri" w:hAnsi="Calibri" w:cs="Calibri"/>
        </w:rPr>
        <w:t xml:space="preserve">the financial </w:t>
      </w:r>
      <w:r w:rsidRPr="4E2208F8">
        <w:rPr>
          <w:rFonts w:ascii="Calibri" w:hAnsi="Calibri" w:cs="Calibri"/>
        </w:rPr>
        <w:t xml:space="preserve">projections, </w:t>
      </w:r>
      <w:r w:rsidR="00C934F2" w:rsidRPr="4E2208F8">
        <w:rPr>
          <w:rFonts w:ascii="Calibri" w:hAnsi="Calibri" w:cs="Calibri"/>
        </w:rPr>
        <w:t>it</w:t>
      </w:r>
      <w:r w:rsidR="00223F46" w:rsidRPr="4E2208F8">
        <w:rPr>
          <w:rFonts w:ascii="Calibri" w:hAnsi="Calibri" w:cs="Calibri"/>
        </w:rPr>
        <w:t xml:space="preserve"> determined the project and continued operating surplus are reasonable and are based upon feasible financial assumptions. </w:t>
      </w:r>
      <w:r w:rsidRPr="4E2208F8">
        <w:rPr>
          <w:rFonts w:ascii="Calibri" w:hAnsi="Calibri" w:cs="Calibri"/>
        </w:rPr>
        <w:t xml:space="preserve">Therefore, it </w:t>
      </w:r>
      <w:r w:rsidR="00223F46" w:rsidRPr="4E2208F8">
        <w:rPr>
          <w:rFonts w:ascii="Calibri" w:hAnsi="Calibri" w:cs="Calibri"/>
        </w:rPr>
        <w:t>determined that the Projections are feasible and sustainable and not likely to have a negative impact on the patient panel or result in a liquidation of assets of West Bridgewater MA Endoscopy ASC, LLC.</w:t>
      </w:r>
    </w:p>
    <w:p w14:paraId="3C1BB25D" w14:textId="77777777" w:rsidR="00223F46" w:rsidRPr="00223F46" w:rsidRDefault="00223F46" w:rsidP="00223F46">
      <w:pPr>
        <w:rPr>
          <w:rFonts w:ascii="Calibri" w:hAnsi="Calibri" w:cs="Calibri"/>
        </w:rPr>
      </w:pPr>
    </w:p>
    <w:p w14:paraId="0D96611F" w14:textId="77777777" w:rsidR="00223F46" w:rsidRDefault="00223F46" w:rsidP="00223F46">
      <w:pPr>
        <w:rPr>
          <w:rFonts w:ascii="Calibri" w:hAnsi="Calibri" w:cs="Calibri"/>
          <w:b/>
          <w:bCs/>
          <w:i/>
          <w:iCs/>
        </w:rPr>
      </w:pPr>
      <w:r w:rsidRPr="00223F46">
        <w:rPr>
          <w:rFonts w:ascii="Calibri" w:hAnsi="Calibri" w:cs="Calibri"/>
          <w:b/>
          <w:bCs/>
          <w:i/>
          <w:iCs/>
        </w:rPr>
        <w:t>Analysis</w:t>
      </w:r>
    </w:p>
    <w:p w14:paraId="37AFFDB4" w14:textId="77777777" w:rsidR="00CC5451" w:rsidRPr="00223F46" w:rsidRDefault="00CC5451" w:rsidP="00223F46">
      <w:pPr>
        <w:rPr>
          <w:rFonts w:ascii="Calibri" w:hAnsi="Calibri" w:cs="Calibri"/>
          <w:b/>
          <w:bCs/>
          <w:i/>
          <w:iCs/>
        </w:rPr>
      </w:pPr>
    </w:p>
    <w:p w14:paraId="5D1892BD" w14:textId="77777777" w:rsidR="00223F46" w:rsidRDefault="00223F46" w:rsidP="00223F46">
      <w:pPr>
        <w:rPr>
          <w:rFonts w:ascii="Calibri" w:hAnsi="Calibri" w:cs="Calibri"/>
        </w:rPr>
      </w:pPr>
      <w:r w:rsidRPr="00223F46">
        <w:rPr>
          <w:rFonts w:ascii="Calibri" w:hAnsi="Calibri" w:cs="Calibri"/>
        </w:rPr>
        <w:t>Staff is satisfied with the CPA’s analysis of the Proposed Project’s projections. As a result of information provided by the Applicant and additional analysis, staff finds that the Applicant has demonstrated that the Proposed Project has met Factor 4.</w:t>
      </w:r>
    </w:p>
    <w:p w14:paraId="4A0A09CC" w14:textId="77777777" w:rsidR="00CC5451" w:rsidRPr="00223F46" w:rsidRDefault="00CC5451" w:rsidP="00223F46">
      <w:pPr>
        <w:rPr>
          <w:rFonts w:ascii="Calibri" w:hAnsi="Calibri" w:cs="Calibri"/>
        </w:rPr>
      </w:pPr>
    </w:p>
    <w:p w14:paraId="21EFEEA8" w14:textId="737113E4" w:rsidR="002D535F" w:rsidRDefault="002D535F" w:rsidP="00B31381">
      <w:pPr>
        <w:pStyle w:val="Heading1"/>
        <w:spacing w:before="0" w:line="240" w:lineRule="auto"/>
        <w:contextualSpacing/>
        <w:rPr>
          <w:rFonts w:asciiTheme="minorHAnsi" w:hAnsiTheme="minorHAnsi" w:cstheme="minorBidi"/>
        </w:rPr>
      </w:pPr>
      <w:bookmarkStart w:id="80" w:name="_Toc157428837"/>
      <w:bookmarkStart w:id="81" w:name="_Toc187325905"/>
      <w:r w:rsidRPr="4F519356">
        <w:rPr>
          <w:rFonts w:asciiTheme="minorHAnsi" w:hAnsiTheme="minorHAnsi" w:cstheme="minorBidi"/>
        </w:rPr>
        <w:t>Factor 5: Relative Merit</w:t>
      </w:r>
      <w:bookmarkEnd w:id="80"/>
      <w:bookmarkEnd w:id="81"/>
    </w:p>
    <w:p w14:paraId="33F2B716" w14:textId="77777777" w:rsidR="007B3EF0" w:rsidRDefault="007B3EF0" w:rsidP="007B3EF0"/>
    <w:p w14:paraId="7F6C0CF7" w14:textId="77777777" w:rsidR="007B3EF0" w:rsidRDefault="007B3EF0" w:rsidP="007B3EF0">
      <w:pPr>
        <w:rPr>
          <w:bCs/>
        </w:rPr>
      </w:pPr>
      <w:r w:rsidRPr="007B3EF0">
        <w:rPr>
          <w:bCs/>
        </w:rPr>
        <w:t xml:space="preserve">The Applicant has provided sufficient evidence that the Proposed Project, on balance, is superior to alternative and substitute methods for meeting the existing Patient Panel needs identified by the Applicant pursuant to 105 CMR 100.210(A)(1). Evaluation of 105 CMR 100.210(A)(5) shall </w:t>
      </w:r>
      <w:bookmarkStart w:id="82" w:name="_Int_BedYxzXG"/>
      <w:proofErr w:type="gramStart"/>
      <w:r w:rsidRPr="007B3EF0">
        <w:rPr>
          <w:bCs/>
        </w:rPr>
        <w:t>take into account</w:t>
      </w:r>
      <w:bookmarkEnd w:id="82"/>
      <w:proofErr w:type="gramEnd"/>
      <w:r w:rsidRPr="007B3EF0">
        <w:rPr>
          <w:bCs/>
        </w:rPr>
        <w:t>, at a minimum, the quality, efficiency, and capital and operating costs of the Proposed Project relative to potential alternatives or substitutes, including alternative evidence-based strategies and public health interventions.</w:t>
      </w:r>
    </w:p>
    <w:p w14:paraId="5290DA12" w14:textId="77777777" w:rsidR="007B3EF0" w:rsidRPr="007B3EF0" w:rsidRDefault="007B3EF0" w:rsidP="007B3EF0">
      <w:pPr>
        <w:rPr>
          <w:bCs/>
        </w:rPr>
      </w:pPr>
    </w:p>
    <w:p w14:paraId="4E998698" w14:textId="0E5DE6E7" w:rsidR="007C3B78" w:rsidRPr="007C3B78" w:rsidRDefault="007C3B78" w:rsidP="4E2208F8">
      <w:pPr>
        <w:rPr>
          <w:rFonts w:ascii="Calibri" w:eastAsia="Aptos" w:hAnsi="Calibri" w:cs="Calibri"/>
          <w:b/>
          <w:bCs/>
        </w:rPr>
      </w:pPr>
      <w:r w:rsidRPr="4E2208F8">
        <w:rPr>
          <w:rFonts w:ascii="Calibri" w:eastAsia="Aptos" w:hAnsi="Calibri" w:cs="Calibri"/>
        </w:rPr>
        <w:t>The Applicant asserts it selected the Proposed Project after considering several alternatives including doing nothing, expansion at the current location, and</w:t>
      </w:r>
      <w:r w:rsidR="007A7615">
        <w:rPr>
          <w:rFonts w:ascii="Calibri" w:eastAsia="Aptos" w:hAnsi="Calibri" w:cs="Calibri"/>
        </w:rPr>
        <w:t xml:space="preserve"> evaluating</w:t>
      </w:r>
      <w:r w:rsidRPr="4E2208F8">
        <w:rPr>
          <w:rFonts w:ascii="Calibri" w:eastAsia="Aptos" w:hAnsi="Calibri" w:cs="Calibri"/>
        </w:rPr>
        <w:t xml:space="preserve"> 4 alternate sites. As </w:t>
      </w:r>
      <w:r w:rsidRPr="4E2208F8">
        <w:rPr>
          <w:rFonts w:ascii="Calibri" w:eastAsia="Aptos" w:hAnsi="Calibri" w:cs="Calibri"/>
        </w:rPr>
        <w:lastRenderedPageBreak/>
        <w:t>described below, it determined that the Proposed Project is the superior alternative for meeting the existing patient panel needs identified. The Proposed Project seeks to increase access by adding 2 additional procedure rooms in order to serve more patients. As an accredited ASC</w:t>
      </w:r>
      <w:r w:rsidRPr="4E2208F8">
        <w:rPr>
          <w:rFonts w:ascii="Calibri" w:eastAsia="Aptos" w:hAnsi="Calibri" w:cs="Calibri"/>
          <w:vertAlign w:val="superscript"/>
        </w:rPr>
        <w:footnoteReference w:id="12"/>
      </w:r>
      <w:r w:rsidRPr="4E2208F8">
        <w:rPr>
          <w:rFonts w:ascii="Calibri" w:eastAsia="Aptos" w:hAnsi="Calibri" w:cs="Calibri"/>
        </w:rPr>
        <w:t xml:space="preserve"> the quality will remain </w:t>
      </w:r>
      <w:r w:rsidR="1326E962" w:rsidRPr="4E2208F8">
        <w:rPr>
          <w:rFonts w:ascii="Calibri" w:eastAsia="Aptos" w:hAnsi="Calibri" w:cs="Calibri"/>
        </w:rPr>
        <w:t>high,</w:t>
      </w:r>
      <w:r w:rsidR="0031200C">
        <w:rPr>
          <w:rFonts w:ascii="Calibri" w:eastAsia="Aptos" w:hAnsi="Calibri" w:cs="Calibri"/>
        </w:rPr>
        <w:t xml:space="preserve"> and</w:t>
      </w:r>
      <w:r w:rsidRPr="4E2208F8">
        <w:rPr>
          <w:rFonts w:ascii="Calibri" w:eastAsia="Aptos" w:hAnsi="Calibri" w:cs="Calibri"/>
        </w:rPr>
        <w:t xml:space="preserve"> efficiencies may improve as patient throughput increases thereby decreasing staff scheduling pressures. </w:t>
      </w:r>
      <w:r w:rsidR="0031200C">
        <w:rPr>
          <w:rFonts w:ascii="Calibri" w:eastAsia="Aptos" w:hAnsi="Calibri" w:cs="Calibri"/>
        </w:rPr>
        <w:t>T</w:t>
      </w:r>
      <w:r w:rsidRPr="4E2208F8">
        <w:rPr>
          <w:rFonts w:ascii="Calibri" w:eastAsia="Aptos" w:hAnsi="Calibri" w:cs="Calibri"/>
        </w:rPr>
        <w:t xml:space="preserve">he Applicant states that based on </w:t>
      </w:r>
      <w:proofErr w:type="spellStart"/>
      <w:r w:rsidRPr="4E2208F8">
        <w:rPr>
          <w:rFonts w:ascii="Calibri" w:eastAsia="Aptos" w:hAnsi="Calibri" w:cs="Calibri"/>
        </w:rPr>
        <w:t>Amsurg’s</w:t>
      </w:r>
      <w:proofErr w:type="spellEnd"/>
      <w:r w:rsidRPr="4E2208F8">
        <w:rPr>
          <w:rFonts w:ascii="Calibri" w:eastAsia="Aptos" w:hAnsi="Calibri" w:cs="Calibri"/>
        </w:rPr>
        <w:t xml:space="preserve"> management experience with other ASC’s,</w:t>
      </w:r>
      <w:r w:rsidRPr="4E2208F8">
        <w:rPr>
          <w:rFonts w:ascii="Calibri" w:eastAsia="Aptos" w:hAnsi="Calibri" w:cs="Calibri"/>
          <w:b/>
          <w:bCs/>
        </w:rPr>
        <w:t xml:space="preserve"> </w:t>
      </w:r>
      <w:r w:rsidRPr="4E2208F8">
        <w:rPr>
          <w:rFonts w:ascii="Calibri" w:eastAsia="Aptos" w:hAnsi="Calibri" w:cs="Calibri"/>
        </w:rPr>
        <w:t>the Proposed Project will result in appropriate capital expenditures for the construction of an ambulatory surgery center while incremental operating expenses are anticipated to be $3,304,293.00 in year 1 of operation.</w:t>
      </w:r>
      <w:r w:rsidRPr="4E2208F8">
        <w:rPr>
          <w:rFonts w:ascii="Calibri" w:eastAsia="Aptos" w:hAnsi="Calibri" w:cs="Calibri"/>
          <w:b/>
          <w:bCs/>
        </w:rPr>
        <w:t xml:space="preserve"> </w:t>
      </w:r>
    </w:p>
    <w:p w14:paraId="72CD4F6E" w14:textId="77777777" w:rsidR="007C3B78" w:rsidRPr="007C3B78" w:rsidRDefault="007C3B78" w:rsidP="007C3B78">
      <w:pPr>
        <w:rPr>
          <w:rFonts w:ascii="Calibri" w:eastAsia="Aptos" w:hAnsi="Calibri" w:cs="Calibri"/>
        </w:rPr>
      </w:pPr>
    </w:p>
    <w:p w14:paraId="496D2379" w14:textId="5052902D" w:rsidR="007C3B78" w:rsidRPr="007C3B78" w:rsidRDefault="007C3B78" w:rsidP="4E2208F8">
      <w:pPr>
        <w:rPr>
          <w:rFonts w:ascii="Calibri" w:eastAsia="Aptos" w:hAnsi="Calibri" w:cs="Calibri"/>
        </w:rPr>
      </w:pPr>
      <w:r w:rsidRPr="03C54183">
        <w:rPr>
          <w:rFonts w:ascii="Calibri" w:eastAsia="Aptos" w:hAnsi="Calibri" w:cs="Calibri"/>
          <w:b/>
          <w:bCs/>
        </w:rPr>
        <w:t>Alternative Proposal #1</w:t>
      </w:r>
      <w:r w:rsidR="6618C831" w:rsidRPr="03C54183">
        <w:rPr>
          <w:rFonts w:ascii="Calibri" w:eastAsia="Aptos" w:hAnsi="Calibri" w:cs="Calibri"/>
          <w:b/>
          <w:bCs/>
        </w:rPr>
        <w:t xml:space="preserve"> </w:t>
      </w:r>
      <w:r w:rsidR="6618C831" w:rsidRPr="03C54183">
        <w:rPr>
          <w:rFonts w:ascii="Calibri" w:eastAsia="Aptos" w:hAnsi="Calibri" w:cs="Calibri"/>
        </w:rPr>
        <w:t>Maintain current</w:t>
      </w:r>
      <w:r w:rsidR="6618C831" w:rsidRPr="03C54183">
        <w:rPr>
          <w:rFonts w:ascii="Calibri" w:eastAsia="Aptos" w:hAnsi="Calibri" w:cs="Calibri"/>
          <w:b/>
          <w:bCs/>
        </w:rPr>
        <w:t xml:space="preserve"> </w:t>
      </w:r>
      <w:r w:rsidRPr="03C54183">
        <w:rPr>
          <w:rFonts w:ascii="Calibri" w:eastAsia="Aptos" w:hAnsi="Calibri" w:cs="Calibri"/>
        </w:rPr>
        <w:t xml:space="preserve">2 procedure room ASC at the current location.  This alternative is not a viable solution because the current ASC is operating at </w:t>
      </w:r>
      <w:r w:rsidR="0031200C" w:rsidRPr="03C54183">
        <w:rPr>
          <w:rFonts w:ascii="Calibri" w:eastAsia="Aptos" w:hAnsi="Calibri" w:cs="Calibri"/>
        </w:rPr>
        <w:t xml:space="preserve">100% </w:t>
      </w:r>
      <w:r w:rsidRPr="03C54183">
        <w:rPr>
          <w:rFonts w:ascii="Calibri" w:eastAsia="Aptos" w:hAnsi="Calibri" w:cs="Calibri"/>
        </w:rPr>
        <w:t xml:space="preserve">capacity, Monday to Friday, 8 hours per day.  </w:t>
      </w:r>
      <w:r w:rsidR="01459500" w:rsidRPr="03C54183">
        <w:rPr>
          <w:rFonts w:ascii="Calibri" w:eastAsia="Aptos" w:hAnsi="Calibri" w:cs="Calibri"/>
        </w:rPr>
        <w:t>With the addition of the New Physicians to address patients</w:t>
      </w:r>
      <w:r w:rsidR="002C3E08" w:rsidRPr="03C54183">
        <w:rPr>
          <w:rFonts w:ascii="Calibri" w:eastAsia="Aptos" w:hAnsi="Calibri" w:cs="Calibri"/>
        </w:rPr>
        <w:t>’</w:t>
      </w:r>
      <w:r w:rsidR="01459500" w:rsidRPr="03C54183">
        <w:rPr>
          <w:rFonts w:ascii="Calibri" w:eastAsia="Aptos" w:hAnsi="Calibri" w:cs="Calibri"/>
        </w:rPr>
        <w:t xml:space="preserve"> needs, the </w:t>
      </w:r>
      <w:r w:rsidR="3A03D110" w:rsidRPr="03C54183">
        <w:rPr>
          <w:rFonts w:ascii="Calibri" w:eastAsia="Aptos" w:hAnsi="Calibri" w:cs="Calibri"/>
        </w:rPr>
        <w:t>number of booking slots cannot be expanded to mee</w:t>
      </w:r>
      <w:r w:rsidR="7FFD6581" w:rsidRPr="03C54183">
        <w:rPr>
          <w:rFonts w:ascii="Calibri" w:eastAsia="Aptos" w:hAnsi="Calibri" w:cs="Calibri"/>
        </w:rPr>
        <w:t xml:space="preserve">t </w:t>
      </w:r>
      <w:r w:rsidR="3A03D110" w:rsidRPr="03C54183">
        <w:rPr>
          <w:rFonts w:ascii="Calibri" w:eastAsia="Aptos" w:hAnsi="Calibri" w:cs="Calibri"/>
        </w:rPr>
        <w:t xml:space="preserve">the need. </w:t>
      </w:r>
      <w:r w:rsidRPr="03C54183">
        <w:rPr>
          <w:rFonts w:ascii="Calibri" w:eastAsia="Aptos" w:hAnsi="Calibri" w:cs="Calibri"/>
        </w:rPr>
        <w:t xml:space="preserve">Efforts to expand operating hours to Saturdays have been unsuccessful in the past due to nursing and anesthesia staffing challenges. </w:t>
      </w:r>
      <w:r w:rsidR="66C2D462" w:rsidRPr="03C54183">
        <w:rPr>
          <w:rFonts w:ascii="Calibri" w:eastAsia="Aptos" w:hAnsi="Calibri" w:cs="Calibri"/>
        </w:rPr>
        <w:t>With this option, q</w:t>
      </w:r>
      <w:r w:rsidRPr="03C54183">
        <w:rPr>
          <w:rFonts w:ascii="Calibri" w:eastAsia="Aptos" w:hAnsi="Calibri" w:cs="Calibri"/>
        </w:rPr>
        <w:t xml:space="preserve">uality and </w:t>
      </w:r>
      <w:r w:rsidR="09368129" w:rsidRPr="03C54183">
        <w:rPr>
          <w:rFonts w:ascii="Calibri" w:eastAsia="Aptos" w:hAnsi="Calibri" w:cs="Calibri"/>
        </w:rPr>
        <w:t>e</w:t>
      </w:r>
      <w:r w:rsidR="34EB60B1" w:rsidRPr="03C54183">
        <w:rPr>
          <w:rFonts w:ascii="Calibri" w:eastAsia="Aptos" w:hAnsi="Calibri" w:cs="Calibri"/>
        </w:rPr>
        <w:t>f</w:t>
      </w:r>
      <w:r w:rsidRPr="03C54183">
        <w:rPr>
          <w:rFonts w:ascii="Calibri" w:eastAsia="Aptos" w:hAnsi="Calibri" w:cs="Calibri"/>
        </w:rPr>
        <w:t xml:space="preserve">ficiency would remain the same, and operating costs would only increase incrementally </w:t>
      </w:r>
      <w:r w:rsidR="44D65104" w:rsidRPr="03C54183">
        <w:rPr>
          <w:rFonts w:ascii="Calibri" w:eastAsia="Aptos" w:hAnsi="Calibri" w:cs="Calibri"/>
        </w:rPr>
        <w:t>for staffing and supp</w:t>
      </w:r>
      <w:r w:rsidR="574849EA" w:rsidRPr="03C54183">
        <w:rPr>
          <w:rFonts w:ascii="Calibri" w:eastAsia="Aptos" w:hAnsi="Calibri" w:cs="Calibri"/>
        </w:rPr>
        <w:t>l</w:t>
      </w:r>
      <w:r w:rsidR="44D65104" w:rsidRPr="03C54183">
        <w:rPr>
          <w:rFonts w:ascii="Calibri" w:eastAsia="Aptos" w:hAnsi="Calibri" w:cs="Calibri"/>
        </w:rPr>
        <w:t xml:space="preserve">ies, </w:t>
      </w:r>
      <w:r w:rsidRPr="03C54183">
        <w:rPr>
          <w:rFonts w:ascii="Calibri" w:eastAsia="Aptos" w:hAnsi="Calibri" w:cs="Calibri"/>
        </w:rPr>
        <w:t xml:space="preserve">if extended operating hours were feasible. </w:t>
      </w:r>
    </w:p>
    <w:p w14:paraId="7AF6C42D" w14:textId="77777777" w:rsidR="007C3B78" w:rsidRPr="007C3B78" w:rsidRDefault="007C3B78" w:rsidP="007C3B78">
      <w:pPr>
        <w:rPr>
          <w:rFonts w:ascii="Calibri" w:eastAsia="Aptos" w:hAnsi="Calibri" w:cs="Calibri"/>
        </w:rPr>
      </w:pPr>
      <w:r w:rsidRPr="007C3B78">
        <w:rPr>
          <w:rFonts w:ascii="Calibri" w:eastAsia="Aptos" w:hAnsi="Calibri" w:cs="Calibri"/>
        </w:rPr>
        <w:t xml:space="preserve"> </w:t>
      </w:r>
    </w:p>
    <w:p w14:paraId="0ABE9D49" w14:textId="444D7E47" w:rsidR="007C3B78" w:rsidRPr="007C3B78" w:rsidRDefault="007C3B78" w:rsidP="4E2208F8">
      <w:pPr>
        <w:rPr>
          <w:rFonts w:ascii="Times New Roman" w:eastAsia="Times New Roman" w:hAnsi="Times New Roman" w:cs="Times New Roman"/>
          <w:color w:val="000000" w:themeColor="text1"/>
        </w:rPr>
      </w:pPr>
      <w:r w:rsidRPr="03C54183">
        <w:rPr>
          <w:b/>
          <w:bCs/>
        </w:rPr>
        <w:t xml:space="preserve">Alternative Proposal #2: </w:t>
      </w:r>
      <w:r>
        <w:t>Efforts to</w:t>
      </w:r>
      <w:r w:rsidRPr="03C54183">
        <w:rPr>
          <w:b/>
          <w:bCs/>
        </w:rPr>
        <w:t xml:space="preserve"> </w:t>
      </w:r>
      <w:r>
        <w:t>expand the ASC from 2 procedure rooms to 4 procedure rooms at current site were not possible</w:t>
      </w:r>
      <w:r w:rsidR="4F87335E">
        <w:t xml:space="preserve"> within the current building configuration</w:t>
      </w:r>
      <w:r w:rsidR="22D6648A">
        <w:t>. The Applicant was not able to lease adjacent space in its current location.</w:t>
      </w:r>
    </w:p>
    <w:p w14:paraId="558B81D4" w14:textId="2D39FCB1" w:rsidR="007C3B78" w:rsidRPr="007C3B78" w:rsidRDefault="007C3B78" w:rsidP="007C3B78">
      <w:pPr>
        <w:rPr>
          <w:rFonts w:ascii="Calibri" w:eastAsia="Aptos" w:hAnsi="Calibri" w:cs="Calibri"/>
        </w:rPr>
      </w:pPr>
      <w:r w:rsidRPr="4E2208F8">
        <w:rPr>
          <w:rFonts w:ascii="Calibri" w:eastAsia="Aptos" w:hAnsi="Calibri" w:cs="Calibri"/>
        </w:rPr>
        <w:t xml:space="preserve">    </w:t>
      </w:r>
    </w:p>
    <w:p w14:paraId="6400885E" w14:textId="77777777" w:rsidR="007C3B78" w:rsidRPr="007C3B78" w:rsidRDefault="007C3B78" w:rsidP="007C3B78">
      <w:pPr>
        <w:rPr>
          <w:rFonts w:ascii="Calibri" w:eastAsia="Aptos" w:hAnsi="Calibri" w:cs="Calibri"/>
          <w:bCs/>
        </w:rPr>
      </w:pPr>
      <w:r w:rsidRPr="007C3B78">
        <w:rPr>
          <w:rFonts w:ascii="Calibri" w:eastAsia="Aptos" w:hAnsi="Calibri" w:cs="Calibri"/>
          <w:b/>
        </w:rPr>
        <w:t xml:space="preserve">Alternative Proposal #3: </w:t>
      </w:r>
      <w:r w:rsidRPr="007C3B78">
        <w:rPr>
          <w:rFonts w:ascii="Calibri" w:eastAsia="Aptos" w:hAnsi="Calibri" w:cs="Calibri"/>
          <w:bCs/>
        </w:rPr>
        <w:t>Expand from 2 procedure rooms to 4 procedure rooms at a different site in West Bridgewater, Bridgewater or Brockton.  The Applicant asserts it explored four other alternate sites for expansion which were not acceptable for various reasons including:  1) one was on second floor with no elevator consequently worsening patient access; 2) another had no water supply or direct access thereby negatively impacting cost, quality and access; 3) the building management company did not want an ASC in the building; and 4) a former bank space which was not suitable for ASC and would require significant increased costs associated with construction and the inability to remove a large vault in the space.</w:t>
      </w:r>
    </w:p>
    <w:p w14:paraId="27EBCFC9" w14:textId="427D5570" w:rsidR="007B3EF0" w:rsidRPr="007B3EF0" w:rsidRDefault="007C3B78" w:rsidP="007B3EF0">
      <w:pPr>
        <w:rPr>
          <w:b/>
        </w:rPr>
      </w:pPr>
      <w:r w:rsidRPr="007C3B78">
        <w:rPr>
          <w:rFonts w:ascii="Calibri" w:eastAsia="Aptos" w:hAnsi="Calibri" w:cs="Calibri"/>
        </w:rPr>
        <w:t xml:space="preserve"> </w:t>
      </w:r>
    </w:p>
    <w:p w14:paraId="7D34B982" w14:textId="77777777" w:rsidR="007B3EF0" w:rsidRPr="007B3EF0" w:rsidRDefault="007B3EF0" w:rsidP="007B3EF0">
      <w:pPr>
        <w:rPr>
          <w:b/>
          <w:bCs/>
          <w:i/>
          <w:iCs/>
        </w:rPr>
      </w:pPr>
      <w:r w:rsidRPr="007B3EF0">
        <w:rPr>
          <w:b/>
          <w:bCs/>
          <w:i/>
          <w:iCs/>
        </w:rPr>
        <w:t xml:space="preserve">Analysis </w:t>
      </w:r>
    </w:p>
    <w:p w14:paraId="6ABDA3D7" w14:textId="77777777" w:rsidR="007B3EF0" w:rsidRPr="007B3EF0" w:rsidRDefault="007B3EF0" w:rsidP="00E84440">
      <w:pPr>
        <w:spacing w:before="240"/>
        <w:rPr>
          <w:bCs/>
        </w:rPr>
      </w:pPr>
      <w:r w:rsidRPr="007B3EF0">
        <w:rPr>
          <w:bCs/>
        </w:rPr>
        <w:t>Staff finds that the Applicant has appropriately considered the quality, efficiency, and capital and operating costs of the Proposed Project relative to potential alternatives. As a result of information provided by the Applicant and additional analysis, staff finds the Applicant has reasonably met the standards of Factor 5.</w:t>
      </w:r>
    </w:p>
    <w:p w14:paraId="1AB25283" w14:textId="523FB8A8" w:rsidR="00923527" w:rsidRDefault="00923527" w:rsidP="00B31381">
      <w:pPr>
        <w:pStyle w:val="Heading1"/>
        <w:tabs>
          <w:tab w:val="left" w:pos="8910"/>
        </w:tabs>
        <w:spacing w:before="0" w:line="240" w:lineRule="auto"/>
        <w:rPr>
          <w:rFonts w:asciiTheme="minorHAnsi" w:eastAsia="Times New Roman" w:hAnsiTheme="minorHAnsi" w:cstheme="minorHAnsi"/>
        </w:rPr>
      </w:pPr>
      <w:bookmarkStart w:id="83" w:name="_Toc17151192"/>
      <w:bookmarkStart w:id="84" w:name="_Toc17322410"/>
    </w:p>
    <w:p w14:paraId="28431165" w14:textId="1006E2BD" w:rsidR="00E255D1" w:rsidRPr="00E255D1" w:rsidRDefault="00FF3353" w:rsidP="00E255D1">
      <w:pPr>
        <w:pStyle w:val="Heading1"/>
        <w:spacing w:before="0" w:line="240" w:lineRule="auto"/>
        <w:rPr>
          <w:rFonts w:asciiTheme="minorHAnsi" w:eastAsia="Times New Roman" w:hAnsiTheme="minorHAnsi" w:cstheme="minorHAnsi"/>
        </w:rPr>
      </w:pPr>
      <w:bookmarkStart w:id="85" w:name="_Toc150336177"/>
      <w:bookmarkStart w:id="86" w:name="_Toc157428838"/>
      <w:bookmarkStart w:id="87" w:name="_Toc187325906"/>
      <w:r w:rsidRPr="00AB7675">
        <w:rPr>
          <w:rFonts w:asciiTheme="minorHAnsi" w:eastAsia="Times New Roman" w:hAnsiTheme="minorHAnsi" w:cstheme="minorHAnsi"/>
        </w:rPr>
        <w:t>Factor 6: Community-based Health Initiatives</w:t>
      </w:r>
      <w:bookmarkEnd w:id="85"/>
      <w:bookmarkEnd w:id="86"/>
      <w:bookmarkEnd w:id="87"/>
    </w:p>
    <w:p w14:paraId="16B5A9FB" w14:textId="77777777" w:rsidR="00E81E84" w:rsidRDefault="00E81E84" w:rsidP="00E81E84"/>
    <w:p w14:paraId="25A82670" w14:textId="12C7D150" w:rsidR="00E81E84" w:rsidRPr="00E84440" w:rsidRDefault="00E81E84" w:rsidP="00E84440">
      <w:r w:rsidRPr="00E84440">
        <w:t xml:space="preserve">Since this is a DoN project for a freestanding ASC that is not affiliated with a hospital, the proposed project does not require the submission of CHI forms. West Bridgewater MA </w:t>
      </w:r>
      <w:r w:rsidRPr="00E84440">
        <w:lastRenderedPageBreak/>
        <w:t xml:space="preserve">Endoscopy ASC, LLC will fulfill Factor 6 requirements by directing their full CHI contribution to the Statewide Community Health and Healthy Aging Funds (CHHAF). </w:t>
      </w:r>
    </w:p>
    <w:p w14:paraId="51B598BE" w14:textId="77777777" w:rsidR="00E81E84" w:rsidRPr="00E84440" w:rsidRDefault="00E81E84" w:rsidP="00E84440"/>
    <w:p w14:paraId="3ED75627" w14:textId="77777777" w:rsidR="00E81E84" w:rsidRDefault="00E81E84" w:rsidP="00E84440">
      <w:r w:rsidRPr="00E84440">
        <w:t>With fulfillment of the below conditions, the Applicant will have demonstrated that the Proposed Project has met Factor 6.</w:t>
      </w:r>
    </w:p>
    <w:p w14:paraId="381E092D" w14:textId="77777777" w:rsidR="00603D12" w:rsidRPr="00E84440" w:rsidRDefault="00603D12" w:rsidP="00E84440"/>
    <w:p w14:paraId="7C159929" w14:textId="4660C094" w:rsidR="00BB40B4" w:rsidRPr="00603D12" w:rsidRDefault="00BB40B4" w:rsidP="00E84440">
      <w:pPr>
        <w:pStyle w:val="Heading1"/>
        <w:spacing w:before="0" w:line="240" w:lineRule="auto"/>
        <w:rPr>
          <w:rFonts w:asciiTheme="minorHAnsi" w:hAnsiTheme="minorHAnsi" w:cstheme="minorHAnsi"/>
        </w:rPr>
      </w:pPr>
      <w:bookmarkStart w:id="88" w:name="_Toc157428840"/>
      <w:bookmarkStart w:id="89" w:name="_Toc187325907"/>
      <w:bookmarkEnd w:id="83"/>
      <w:bookmarkEnd w:id="84"/>
      <w:r w:rsidRPr="00603D12">
        <w:rPr>
          <w:rFonts w:asciiTheme="minorHAnsi" w:hAnsiTheme="minorHAnsi" w:cstheme="minorHAnsi"/>
        </w:rPr>
        <w:t>Findings and Recommendations</w:t>
      </w:r>
      <w:bookmarkEnd w:id="88"/>
      <w:bookmarkEnd w:id="89"/>
    </w:p>
    <w:p w14:paraId="08F9C49A" w14:textId="77777777" w:rsidR="00D20EF6" w:rsidRPr="00E84440" w:rsidRDefault="00D20EF6" w:rsidP="00E84440"/>
    <w:p w14:paraId="5873F0C2" w14:textId="77777777" w:rsidR="00CC5451" w:rsidRDefault="006B46D1" w:rsidP="00CC5451">
      <w:r w:rsidRPr="00E84440">
        <w:t xml:space="preserve">Based upon a review of the materials submitted, Staff finds that </w:t>
      </w:r>
      <w:r w:rsidR="00E84440" w:rsidRPr="00E84440">
        <w:t xml:space="preserve">with the “Other Conditions” </w:t>
      </w:r>
      <w:r w:rsidRPr="00E84440">
        <w:t>the Applicant has met each DoN Factor for the Proposed Project and recommends that the Department approve this Determination of Need, subject to all applicable Standard and Other Conditions.</w:t>
      </w:r>
      <w:bookmarkStart w:id="90" w:name="_Toc157428841"/>
    </w:p>
    <w:p w14:paraId="4D56C3D0" w14:textId="77777777" w:rsidR="00CC5451" w:rsidRDefault="00CC5451" w:rsidP="00CC5451"/>
    <w:p w14:paraId="08DD22A9" w14:textId="72E81ABD" w:rsidR="006B46D1" w:rsidRPr="00CC5451" w:rsidRDefault="00E81E84" w:rsidP="00CC5451">
      <w:pPr>
        <w:rPr>
          <w:rStyle w:val="normaltextrun"/>
          <w:rFonts w:ascii="Calibri" w:hAnsi="Calibri" w:cs="Calibri"/>
          <w:b/>
          <w:bCs/>
          <w:color w:val="2F5496"/>
        </w:rPr>
      </w:pPr>
      <w:r w:rsidRPr="00CC5451">
        <w:rPr>
          <w:rStyle w:val="normaltextrun"/>
          <w:rFonts w:ascii="Calibri" w:hAnsi="Calibri" w:cs="Calibri"/>
          <w:b/>
          <w:bCs/>
          <w:color w:val="2F5496"/>
        </w:rPr>
        <w:t xml:space="preserve">Other </w:t>
      </w:r>
      <w:r w:rsidR="006B46D1" w:rsidRPr="00CC5451">
        <w:rPr>
          <w:rStyle w:val="normaltextrun"/>
          <w:rFonts w:ascii="Calibri" w:hAnsi="Calibri" w:cs="Calibri"/>
          <w:b/>
          <w:bCs/>
          <w:color w:val="2F5496"/>
        </w:rPr>
        <w:t>Conditions</w:t>
      </w:r>
      <w:bookmarkStart w:id="91" w:name="_Toc150336180"/>
      <w:bookmarkEnd w:id="90"/>
      <w:r w:rsidR="006B46D1" w:rsidRPr="00CC5451">
        <w:rPr>
          <w:rStyle w:val="normaltextrun"/>
          <w:rFonts w:ascii="Calibri" w:hAnsi="Calibri" w:cs="Calibri"/>
          <w:b/>
          <w:bCs/>
          <w:color w:val="2F5496"/>
        </w:rPr>
        <w:t xml:space="preserve"> </w:t>
      </w:r>
      <w:bookmarkEnd w:id="91"/>
    </w:p>
    <w:p w14:paraId="3FB09042" w14:textId="01276359" w:rsidR="00E81E84" w:rsidRPr="00E84440" w:rsidRDefault="00E81E84" w:rsidP="00E84440"/>
    <w:p w14:paraId="739B196D" w14:textId="77777777" w:rsidR="00E81E84" w:rsidRPr="00E84440" w:rsidRDefault="00E81E84" w:rsidP="00E84440">
      <w:pPr>
        <w:numPr>
          <w:ilvl w:val="0"/>
          <w:numId w:val="22"/>
        </w:numPr>
      </w:pPr>
      <w:r w:rsidRPr="00E84440">
        <w:t xml:space="preserve">The total required CHI contribution of $518,569.20 will be directed to the Massachusetts Statewide CHHAF and will be paid by West Bridgewater MA Endoscopy ASC, LLC in two installments of $259,284.60. Payments should be made out to: </w:t>
      </w:r>
    </w:p>
    <w:p w14:paraId="202B688E" w14:textId="77777777" w:rsidR="00E81E84" w:rsidRPr="00E84440" w:rsidRDefault="00E81E84" w:rsidP="00E84440">
      <w:pPr>
        <w:ind w:left="1440"/>
      </w:pPr>
      <w:r w:rsidRPr="00E84440">
        <w:t xml:space="preserve">Health Resources in Action, Inc. (HRiA)  </w:t>
      </w:r>
    </w:p>
    <w:p w14:paraId="3C56D01A" w14:textId="77777777" w:rsidR="00E81E84" w:rsidRPr="00E84440" w:rsidRDefault="00E81E84" w:rsidP="00E84440">
      <w:pPr>
        <w:ind w:left="1440"/>
      </w:pPr>
      <w:r w:rsidRPr="00E84440">
        <w:t xml:space="preserve">2 Boylston Street, 4th Floor  </w:t>
      </w:r>
    </w:p>
    <w:p w14:paraId="697A37FB" w14:textId="77777777" w:rsidR="00E81E84" w:rsidRPr="00E84440" w:rsidRDefault="00E81E84" w:rsidP="00E84440">
      <w:pPr>
        <w:ind w:left="1440"/>
      </w:pPr>
      <w:r w:rsidRPr="00E84440">
        <w:t xml:space="preserve">Boston, MA 02116 Attn: MACHHAF c/o Bora Toro  </w:t>
      </w:r>
    </w:p>
    <w:p w14:paraId="10C27D6A" w14:textId="45BD97AC" w:rsidR="00E81E84" w:rsidRPr="00E84440" w:rsidRDefault="00E81E84" w:rsidP="00E84440">
      <w:pPr>
        <w:ind w:left="1440"/>
      </w:pPr>
      <w:r w:rsidRPr="00E84440">
        <w:t xml:space="preserve">DoN project #: CEC-24082115-AS </w:t>
      </w:r>
    </w:p>
    <w:p w14:paraId="10520E32" w14:textId="77777777" w:rsidR="00E81E84" w:rsidRPr="00E84440" w:rsidRDefault="00E81E84" w:rsidP="00E84440">
      <w:r w:rsidRPr="00E84440">
        <w:t xml:space="preserve"> </w:t>
      </w:r>
    </w:p>
    <w:p w14:paraId="36F760F7" w14:textId="77777777" w:rsidR="00E81E84" w:rsidRPr="00E84440" w:rsidRDefault="00E81E84" w:rsidP="00E84440">
      <w:pPr>
        <w:numPr>
          <w:ilvl w:val="0"/>
          <w:numId w:val="21"/>
        </w:numPr>
      </w:pPr>
      <w:r w:rsidRPr="00E84440">
        <w:t xml:space="preserve">The first payment of $259,284.60 will be due to HRiA </w:t>
      </w:r>
      <w:r w:rsidRPr="00E84440">
        <w:rPr>
          <w:b/>
          <w:bCs/>
        </w:rPr>
        <w:t>within 30 days</w:t>
      </w:r>
      <w:r w:rsidRPr="00E84440">
        <w:t xml:space="preserve"> from the date of the Notice of Approval. The second installment is due to HRiA within 1 year of the Notice of Approval date. </w:t>
      </w:r>
    </w:p>
    <w:p w14:paraId="6A9D3E7E" w14:textId="4B4FC48A" w:rsidR="00E81E84" w:rsidRPr="00BF6B51" w:rsidRDefault="00E81E84" w:rsidP="00E84440">
      <w:pPr>
        <w:ind w:left="720"/>
        <w:rPr>
          <w:rStyle w:val="Hyperlink"/>
          <w:color w:val="234170" w:themeColor="text2" w:themeShade="BF"/>
          <w:lang w:val="fr"/>
        </w:rPr>
      </w:pPr>
      <w:r w:rsidRPr="00E84440">
        <w:t>Please send a PDF image of the check or</w:t>
      </w:r>
      <w:r w:rsidRPr="00E84440">
        <w:rPr>
          <w:b/>
          <w:bCs/>
        </w:rPr>
        <w:t xml:space="preserve"> confirmation of payment</w:t>
      </w:r>
      <w:r w:rsidRPr="00E84440">
        <w:t xml:space="preserve"> to </w:t>
      </w:r>
      <w:hyperlink>
        <w:r w:rsidRPr="00BF6B51">
          <w:rPr>
            <w:rStyle w:val="Hyperlink"/>
            <w:color w:val="234170" w:themeColor="text2" w:themeShade="BF"/>
          </w:rPr>
          <w:t>DONCHI@Mass.gov</w:t>
        </w:r>
      </w:hyperlink>
      <w:r w:rsidRPr="00E84440">
        <w:t xml:space="preserve"> and </w:t>
      </w:r>
      <w:hyperlink r:id="rId17">
        <w:r w:rsidRPr="00BF6B51">
          <w:rPr>
            <w:rStyle w:val="Hyperlink"/>
            <w:color w:val="234170" w:themeColor="text2" w:themeShade="BF"/>
            <w:lang w:val="fr"/>
          </w:rPr>
          <w:t>dongrants@hria.org</w:t>
        </w:r>
      </w:hyperlink>
    </w:p>
    <w:p w14:paraId="587D8C1E" w14:textId="77777777" w:rsidR="0075297E" w:rsidRDefault="0075297E" w:rsidP="00E84440">
      <w:pPr>
        <w:ind w:left="720"/>
      </w:pPr>
    </w:p>
    <w:p w14:paraId="6498C010" w14:textId="300F8526" w:rsidR="002A0383" w:rsidRPr="002A0383" w:rsidRDefault="002A0383" w:rsidP="002A0383">
      <w:pPr>
        <w:numPr>
          <w:ilvl w:val="0"/>
          <w:numId w:val="29"/>
        </w:numPr>
      </w:pPr>
      <w:r w:rsidRPr="002A0383">
        <w:t xml:space="preserve">In addition to </w:t>
      </w:r>
      <w:r w:rsidR="000F4E0F">
        <w:t xml:space="preserve">West Bridgewater Endoscopy’s </w:t>
      </w:r>
      <w:r w:rsidRPr="002A0383">
        <w:t>obligation to participate in MassHealth, pursuant to 105 CMR 100.310(11), the Holder must certify annually that all physicians and health professionals who practice at the facility are enrolled as participating providers of MassHealth to support equitable access to all clinicians at the facility regardless of payer.</w:t>
      </w:r>
    </w:p>
    <w:p w14:paraId="530D057F" w14:textId="77777777" w:rsidR="002A0383" w:rsidRPr="002A0383" w:rsidRDefault="002A0383" w:rsidP="002A0383"/>
    <w:p w14:paraId="3598B141" w14:textId="29594FFE" w:rsidR="002A0383" w:rsidRPr="002A0383" w:rsidRDefault="002A0383" w:rsidP="002A0383">
      <w:pPr>
        <w:numPr>
          <w:ilvl w:val="0"/>
          <w:numId w:val="29"/>
        </w:numPr>
      </w:pPr>
      <w:r w:rsidRPr="002A0383">
        <w:t xml:space="preserve">In order to support equitable access to services, the Holder will report on annual efforts to promote health equity, including </w:t>
      </w:r>
      <w:r w:rsidR="00740F33">
        <w:t xml:space="preserve">at </w:t>
      </w:r>
      <w:r w:rsidR="00740F33" w:rsidRPr="00740F33">
        <w:t xml:space="preserve">Manet Community Health Center in Taunton </w:t>
      </w:r>
      <w:r w:rsidR="00740F33">
        <w:t>and</w:t>
      </w:r>
      <w:r w:rsidR="00740F33" w:rsidRPr="00740F33">
        <w:t xml:space="preserve"> Brockton Neighborhood Cente</w:t>
      </w:r>
      <w:r w:rsidR="00740F33">
        <w:t>r</w:t>
      </w:r>
      <w:r w:rsidR="0055043B">
        <w:t xml:space="preserve">, </w:t>
      </w:r>
      <w:r w:rsidRPr="002A0383">
        <w:t xml:space="preserve">and efforts to advance the provision of culturally and linguistically appropriate services at </w:t>
      </w:r>
      <w:r w:rsidR="00AD58C1">
        <w:t>the ASC</w:t>
      </w:r>
      <w:r w:rsidRPr="002A0383">
        <w:t xml:space="preserve">. The annual report will discuss specific programs in place, efforts to improve linkages to referral partners, </w:t>
      </w:r>
      <w:r w:rsidR="00AD58C1">
        <w:t xml:space="preserve">including </w:t>
      </w:r>
      <w:r w:rsidRPr="002A0383">
        <w:t xml:space="preserve">timeframe of implementation, patients served, and impact. </w:t>
      </w:r>
    </w:p>
    <w:p w14:paraId="3DD4D578" w14:textId="77777777" w:rsidR="002A0383" w:rsidRPr="002A0383" w:rsidRDefault="002A0383" w:rsidP="002A0383"/>
    <w:p w14:paraId="290E21AE" w14:textId="45BCC7C9" w:rsidR="002A0383" w:rsidRPr="002A0383" w:rsidRDefault="002A0383" w:rsidP="002A0383">
      <w:pPr>
        <w:numPr>
          <w:ilvl w:val="0"/>
          <w:numId w:val="29"/>
        </w:numPr>
      </w:pPr>
      <w:r w:rsidRPr="002A0383">
        <w:t>The Holder shall report on endoscopy</w:t>
      </w:r>
      <w:r w:rsidR="007D7804">
        <w:t xml:space="preserve"> </w:t>
      </w:r>
      <w:r w:rsidR="00CF65AE">
        <w:t>volume</w:t>
      </w:r>
      <w:r w:rsidR="00515942">
        <w:t>s</w:t>
      </w:r>
      <w:r w:rsidR="00CF65AE">
        <w:t xml:space="preserve"> </w:t>
      </w:r>
      <w:r w:rsidRPr="002A0383">
        <w:t xml:space="preserve">stratified by </w:t>
      </w:r>
      <w:r w:rsidR="00603D12">
        <w:t xml:space="preserve">age, by </w:t>
      </w:r>
      <w:r w:rsidRPr="002A0383">
        <w:t xml:space="preserve">race and ethnicity, and by payer mix. </w:t>
      </w:r>
    </w:p>
    <w:p w14:paraId="3DE53B9A" w14:textId="77777777" w:rsidR="002A0383" w:rsidRPr="002A0383" w:rsidRDefault="002A0383" w:rsidP="002A0383"/>
    <w:p w14:paraId="7A68F6B5" w14:textId="1148009F" w:rsidR="002A0383" w:rsidRDefault="002A0383" w:rsidP="002A0383">
      <w:pPr>
        <w:numPr>
          <w:ilvl w:val="0"/>
          <w:numId w:val="29"/>
        </w:numPr>
      </w:pPr>
      <w:r>
        <w:t>The Holder shall report on wait times for scheduling surgical procedures</w:t>
      </w:r>
      <w:r w:rsidR="00263DA2">
        <w:t xml:space="preserve"> differentiating between screening and diagnostic procedures</w:t>
      </w:r>
      <w:r>
        <w:t>. The Holder shall provide a description of how wait time is calculated.</w:t>
      </w:r>
    </w:p>
    <w:p w14:paraId="046B7E5C" w14:textId="77777777" w:rsidR="00603D12" w:rsidRDefault="00603D12" w:rsidP="00603D12">
      <w:pPr>
        <w:pStyle w:val="ListParagraph"/>
      </w:pPr>
    </w:p>
    <w:p w14:paraId="224CD080" w14:textId="05D134B5" w:rsidR="004B7CA1" w:rsidRPr="0075297E" w:rsidRDefault="004B7CA1" w:rsidP="0075297E">
      <w:pPr>
        <w:pStyle w:val="Heading1"/>
        <w:spacing w:before="0" w:line="240" w:lineRule="auto"/>
        <w:rPr>
          <w:rFonts w:ascii="Segoe UI" w:hAnsi="Segoe UI" w:cs="Segoe UI"/>
        </w:rPr>
      </w:pPr>
      <w:bookmarkStart w:id="92" w:name="_Toc157428842"/>
      <w:bookmarkStart w:id="93" w:name="_Toc187325908"/>
      <w:r w:rsidRPr="0075297E">
        <w:rPr>
          <w:rFonts w:asciiTheme="minorHAnsi" w:hAnsiTheme="minorHAnsi" w:cstheme="minorHAnsi"/>
        </w:rPr>
        <w:t>Appendix 1</w:t>
      </w:r>
      <w:bookmarkEnd w:id="92"/>
      <w:bookmarkEnd w:id="93"/>
    </w:p>
    <w:p w14:paraId="785BEE86" w14:textId="79DA93CC" w:rsidR="004B7CA1" w:rsidRPr="00E84440" w:rsidRDefault="004B7CA1" w:rsidP="00E84440"/>
    <w:p w14:paraId="109E685D" w14:textId="5B66273E" w:rsidR="00053725" w:rsidRPr="00E84440" w:rsidRDefault="004B7CA1" w:rsidP="00E84440">
      <w:pPr>
        <w:rPr>
          <w:rFonts w:ascii="Calibri" w:eastAsia="Calibri" w:hAnsi="Calibri" w:cs="Calibri"/>
        </w:rPr>
      </w:pPr>
      <w:r w:rsidRPr="00E84440">
        <w:t xml:space="preserve">The Holder shall provide, in its annual report to the Department the following outcome measures. These metrics will become part of the annual reporting on the approved DoN, required pursuant to 105 CMR 100.310(A)(12). </w:t>
      </w:r>
      <w:r w:rsidR="00053725" w:rsidRPr="00E84440">
        <w:rPr>
          <w:rFonts w:ascii="Calibri" w:eastAsia="Calibri" w:hAnsi="Calibri" w:cs="Calibri"/>
        </w:rPr>
        <w:t xml:space="preserve">To assess the impact of the Proposed Project, </w:t>
      </w:r>
      <w:r w:rsidR="00ED115A" w:rsidRPr="00E84440">
        <w:rPr>
          <w:rFonts w:ascii="Calibri" w:eastAsia="Calibri" w:hAnsi="Calibri" w:cs="Calibri"/>
        </w:rPr>
        <w:t xml:space="preserve">annually </w:t>
      </w:r>
      <w:r w:rsidR="00053725" w:rsidRPr="00E84440">
        <w:rPr>
          <w:rFonts w:ascii="Calibri" w:eastAsia="Calibri" w:hAnsi="Calibri" w:cs="Calibri"/>
        </w:rPr>
        <w:t xml:space="preserve">the Applicant will evaluate </w:t>
      </w:r>
      <w:r w:rsidR="00ED115A" w:rsidRPr="00E84440">
        <w:rPr>
          <w:rFonts w:ascii="Calibri" w:eastAsia="Calibri" w:hAnsi="Calibri" w:cs="Calibri"/>
        </w:rPr>
        <w:t xml:space="preserve">and report </w:t>
      </w:r>
      <w:r w:rsidR="00053725" w:rsidRPr="00E84440">
        <w:rPr>
          <w:rFonts w:ascii="Calibri" w:eastAsia="Calibri" w:hAnsi="Calibri" w:cs="Calibri"/>
        </w:rPr>
        <w:t>the following measures</w:t>
      </w:r>
      <w:r w:rsidR="00ED115A" w:rsidRPr="00E84440">
        <w:rPr>
          <w:rFonts w:ascii="Calibri" w:eastAsia="Calibri" w:hAnsi="Calibri" w:cs="Calibri"/>
        </w:rPr>
        <w:t xml:space="preserve"> by quarter</w:t>
      </w:r>
      <w:r w:rsidR="00053725" w:rsidRPr="00E84440">
        <w:rPr>
          <w:rFonts w:ascii="Calibri" w:eastAsia="Calibri" w:hAnsi="Calibri" w:cs="Calibri"/>
        </w:rPr>
        <w:t>:</w:t>
      </w:r>
    </w:p>
    <w:p w14:paraId="0CD87D60" w14:textId="77777777" w:rsidR="00CF74BC" w:rsidRPr="00E84440" w:rsidRDefault="00CF74BC" w:rsidP="00E84440">
      <w:pPr>
        <w:rPr>
          <w:rFonts w:ascii="Calibri" w:eastAsia="Calibri" w:hAnsi="Calibri" w:cs="Calibri"/>
        </w:rPr>
      </w:pPr>
    </w:p>
    <w:p w14:paraId="3618FA25" w14:textId="77777777" w:rsidR="00CF74BC" w:rsidRPr="00E84440" w:rsidRDefault="00CF74BC" w:rsidP="00E84440">
      <w:pPr>
        <w:rPr>
          <w:rFonts w:ascii="Calibri" w:eastAsia="Calibri" w:hAnsi="Calibri" w:cs="Calibri"/>
        </w:rPr>
      </w:pPr>
      <w:r w:rsidRPr="00E84440">
        <w:rPr>
          <w:rFonts w:ascii="Calibri" w:eastAsia="Calibri" w:hAnsi="Calibri" w:cs="Calibri"/>
        </w:rPr>
        <w:t xml:space="preserve">All measures will be reported on an annual basis following the first year of the Proposed Project’s implementation.  The measures are discussed below: </w:t>
      </w:r>
    </w:p>
    <w:p w14:paraId="774120B9" w14:textId="77777777" w:rsidR="00CF74BC" w:rsidRPr="00E84440" w:rsidRDefault="00CF74BC" w:rsidP="00E84440">
      <w:pPr>
        <w:rPr>
          <w:rFonts w:ascii="Calibri" w:eastAsia="Calibri" w:hAnsi="Calibri" w:cs="Calibri"/>
        </w:rPr>
      </w:pPr>
    </w:p>
    <w:p w14:paraId="1B710F66" w14:textId="35C10F7F" w:rsidR="000F2B0C" w:rsidRPr="00E84440" w:rsidRDefault="000F2B0C" w:rsidP="00E84440">
      <w:r w:rsidRPr="00E84440">
        <w:rPr>
          <w:b/>
          <w:bCs/>
        </w:rPr>
        <w:t>1</w:t>
      </w:r>
      <w:r w:rsidRPr="00E84440">
        <w:rPr>
          <w:b/>
          <w:bCs/>
          <w:i/>
          <w:iCs/>
        </w:rPr>
        <w:t>. Measure</w:t>
      </w:r>
      <w:r w:rsidRPr="00E84440">
        <w:t xml:space="preserve">: The Outpatient &amp; Ambulatory Surgery Community Assessment of Healthcare Providers and Systems (OAS-CAHPS) survey will be provided to all eligible patients through a partnership the Applicant will maintain with Press Ganey. The OAS-CAHPS survey focuses on the following areas: </w:t>
      </w:r>
    </w:p>
    <w:p w14:paraId="5B6874D9" w14:textId="77777777" w:rsidR="000F2B0C" w:rsidRPr="00E84440" w:rsidRDefault="000F2B0C" w:rsidP="00E84440">
      <w:pPr>
        <w:numPr>
          <w:ilvl w:val="0"/>
          <w:numId w:val="20"/>
        </w:numPr>
      </w:pPr>
      <w:r w:rsidRPr="00E84440">
        <w:t>Preparation for the surgery or procedure;</w:t>
      </w:r>
    </w:p>
    <w:p w14:paraId="51579CE5" w14:textId="77777777" w:rsidR="000F2B0C" w:rsidRPr="00E84440" w:rsidRDefault="000F2B0C" w:rsidP="00E84440">
      <w:pPr>
        <w:numPr>
          <w:ilvl w:val="0"/>
          <w:numId w:val="20"/>
        </w:numPr>
      </w:pPr>
      <w:r w:rsidRPr="00E84440">
        <w:t>Check-in and pre-operative processes;</w:t>
      </w:r>
    </w:p>
    <w:p w14:paraId="292AE4E5" w14:textId="77777777" w:rsidR="000F2B0C" w:rsidRPr="00E84440" w:rsidRDefault="000F2B0C" w:rsidP="00E84440">
      <w:pPr>
        <w:numPr>
          <w:ilvl w:val="0"/>
          <w:numId w:val="20"/>
        </w:numPr>
      </w:pPr>
      <w:r w:rsidRPr="00E84440">
        <w:t>Cleanliness of the surgery facility;</w:t>
      </w:r>
    </w:p>
    <w:p w14:paraId="6D9BE7A6" w14:textId="77777777" w:rsidR="000F2B0C" w:rsidRPr="00E84440" w:rsidRDefault="000F2B0C" w:rsidP="00E84440">
      <w:pPr>
        <w:numPr>
          <w:ilvl w:val="0"/>
          <w:numId w:val="20"/>
        </w:numPr>
      </w:pPr>
      <w:r w:rsidRPr="00E84440">
        <w:t>The surgery facility staff;</w:t>
      </w:r>
    </w:p>
    <w:p w14:paraId="1112CFEE" w14:textId="77777777" w:rsidR="000F2B0C" w:rsidRPr="00E84440" w:rsidRDefault="000F2B0C" w:rsidP="00E84440">
      <w:pPr>
        <w:numPr>
          <w:ilvl w:val="0"/>
          <w:numId w:val="20"/>
        </w:numPr>
      </w:pPr>
      <w:r w:rsidRPr="00E84440">
        <w:t>Discharge from the facility;</w:t>
      </w:r>
    </w:p>
    <w:p w14:paraId="19BFA46C" w14:textId="77777777" w:rsidR="000F2B0C" w:rsidRPr="00E84440" w:rsidRDefault="000F2B0C" w:rsidP="00E84440">
      <w:pPr>
        <w:numPr>
          <w:ilvl w:val="0"/>
          <w:numId w:val="20"/>
        </w:numPr>
      </w:pPr>
      <w:r w:rsidRPr="00E84440">
        <w:t>Preparation for recovering at home;</w:t>
      </w:r>
    </w:p>
    <w:p w14:paraId="6813773C" w14:textId="77777777" w:rsidR="000F2B0C" w:rsidRPr="00E84440" w:rsidRDefault="000F2B0C" w:rsidP="00E84440">
      <w:pPr>
        <w:numPr>
          <w:ilvl w:val="0"/>
          <w:numId w:val="20"/>
        </w:numPr>
      </w:pPr>
      <w:r w:rsidRPr="00E84440">
        <w:t>Communication; and</w:t>
      </w:r>
    </w:p>
    <w:p w14:paraId="4DD214E2" w14:textId="77777777" w:rsidR="000F2B0C" w:rsidRPr="00E84440" w:rsidRDefault="000F2B0C" w:rsidP="00E84440">
      <w:pPr>
        <w:numPr>
          <w:ilvl w:val="0"/>
          <w:numId w:val="20"/>
        </w:numPr>
      </w:pPr>
      <w:r w:rsidRPr="00E84440">
        <w:t xml:space="preserve">Overall experience and recommendation. </w:t>
      </w:r>
    </w:p>
    <w:p w14:paraId="0F780503" w14:textId="77777777" w:rsidR="000F2B0C" w:rsidRPr="00E84440" w:rsidRDefault="000F2B0C" w:rsidP="00E84440">
      <w:pPr>
        <w:spacing w:after="200"/>
      </w:pPr>
    </w:p>
    <w:p w14:paraId="0A64EE94" w14:textId="77777777" w:rsidR="000F2B0C" w:rsidRPr="00E84440" w:rsidRDefault="000F2B0C" w:rsidP="00E84440">
      <w:pPr>
        <w:spacing w:after="200"/>
      </w:pPr>
      <w:r w:rsidRPr="00E84440">
        <w:rPr>
          <w:b/>
          <w:bCs/>
          <w:i/>
          <w:iCs/>
        </w:rPr>
        <w:t xml:space="preserve">Monitoring: </w:t>
      </w:r>
      <w:r w:rsidRPr="00E84440">
        <w:t xml:space="preserve">Reports provided by Press Ganey will be reviewed at quarterly QAPI meetings as well as Applicant board meetings. Areas for improvement based on scores will be analyzed with changes in policy and practice implemented as necessary.  The Applicant will monitor improvements accordingly.  </w:t>
      </w:r>
    </w:p>
    <w:p w14:paraId="5D2156DE" w14:textId="1E2FEF68" w:rsidR="000F2B0C" w:rsidRPr="00E84440" w:rsidRDefault="000F2B0C" w:rsidP="00E84440">
      <w:pPr>
        <w:spacing w:after="200"/>
        <w:rPr>
          <w:b/>
          <w:bCs/>
        </w:rPr>
      </w:pPr>
      <w:r w:rsidRPr="00E84440">
        <w:t xml:space="preserve">2.  </w:t>
      </w:r>
      <w:r w:rsidRPr="00E84440">
        <w:rPr>
          <w:b/>
          <w:bCs/>
        </w:rPr>
        <w:t xml:space="preserve">Infection Rates: </w:t>
      </w:r>
      <w:r w:rsidRPr="00E84440">
        <w:t xml:space="preserve">Infections at the Facility are detected through surveillance (i.e. reports received from physician, patient, or any other sources of information which confirms post-operative infection). Infections are captured by submission to AMSURG’s risk management event reporting platform. The intent is to reduce the number of admissions (patients) who experience infections at the Facility.  AMSURG utilizes an internal dashboard to track and trend post operative infection rates per center and benchmarks rates as compared to the Ambulatory Surgery Center Quality Collaboration (“ASCQC”). </w:t>
      </w:r>
    </w:p>
    <w:p w14:paraId="630E57D7" w14:textId="77777777" w:rsidR="000F2B0C" w:rsidRPr="00E84440" w:rsidRDefault="000F2B0C" w:rsidP="00E84440">
      <w:pPr>
        <w:spacing w:after="200"/>
      </w:pPr>
      <w:r w:rsidRPr="00E84440">
        <w:t xml:space="preserve"> </w:t>
      </w:r>
      <w:r w:rsidRPr="00E84440">
        <w:rPr>
          <w:b/>
          <w:bCs/>
          <w:i/>
          <w:iCs/>
        </w:rPr>
        <w:t xml:space="preserve">Measure: </w:t>
      </w:r>
      <w:r w:rsidRPr="00E84440">
        <w:t xml:space="preserve">The number of admissions (patients) with infections. </w:t>
      </w:r>
    </w:p>
    <w:p w14:paraId="384CC11A" w14:textId="77777777" w:rsidR="000F2B0C" w:rsidRPr="00E84440" w:rsidRDefault="000F2B0C" w:rsidP="00E84440">
      <w:pPr>
        <w:spacing w:after="200"/>
      </w:pPr>
      <w:r w:rsidRPr="00E84440">
        <w:lastRenderedPageBreak/>
        <w:t xml:space="preserve"> </w:t>
      </w:r>
      <w:r w:rsidRPr="00E84440">
        <w:rPr>
          <w:b/>
          <w:bCs/>
          <w:i/>
          <w:iCs/>
        </w:rPr>
        <w:t xml:space="preserve">Projections: </w:t>
      </w:r>
      <w:r w:rsidRPr="00E84440">
        <w:t xml:space="preserve">The Applicant sets quarterly targets and compares performance to </w:t>
      </w:r>
      <w:proofErr w:type="spellStart"/>
      <w:r w:rsidRPr="00E84440">
        <w:t>AmSurg</w:t>
      </w:r>
      <w:proofErr w:type="spellEnd"/>
      <w:r w:rsidRPr="00E84440">
        <w:t xml:space="preserve"> Benchmarks.</w:t>
      </w:r>
    </w:p>
    <w:p w14:paraId="7398CECB" w14:textId="77777777" w:rsidR="000F2B0C" w:rsidRPr="00E84440" w:rsidRDefault="000F2B0C" w:rsidP="00E84440">
      <w:pPr>
        <w:spacing w:after="200"/>
      </w:pPr>
      <w:r w:rsidRPr="00E84440">
        <w:rPr>
          <w:b/>
          <w:bCs/>
          <w:i/>
          <w:iCs/>
        </w:rPr>
        <w:t xml:space="preserve">Monitoring: </w:t>
      </w:r>
      <w:r w:rsidRPr="00E84440">
        <w:t>By participating in the ASCQC, AMSURG and the Applicant have the ability to measure, track, and benchmark clinical outcome metrics with other ASCs to improve quality and enhance patient safety. Events are reviewed on a routine basis, trends noted are assessed, and performance improvement plans implemented.</w:t>
      </w:r>
    </w:p>
    <w:p w14:paraId="316FF306" w14:textId="3859A022" w:rsidR="000F2B0C" w:rsidRPr="00E84440" w:rsidRDefault="000F2B0C" w:rsidP="00E84440">
      <w:r w:rsidRPr="4E2208F8">
        <w:rPr>
          <w:b/>
          <w:bCs/>
        </w:rPr>
        <w:t>2. Fall rates</w:t>
      </w:r>
      <w:r>
        <w:t xml:space="preserve">: Falls are captured by Facility submission via AMSURG’s risk management event reporting platform. The intent is to reduce the number of admissions (patients) who experience a fall within the Facility.  AMSURG utilizes an internal dashboard to track, and trend falls that occur in the </w:t>
      </w:r>
      <w:r w:rsidR="03248A93">
        <w:t>ASC</w:t>
      </w:r>
      <w:r>
        <w:t xml:space="preserve"> and benchmark rates as compared to the ASCQC. </w:t>
      </w:r>
    </w:p>
    <w:p w14:paraId="2ECAEC45" w14:textId="77777777" w:rsidR="000F2B0C" w:rsidRPr="00E84440" w:rsidRDefault="000F2B0C" w:rsidP="00E84440">
      <w:pPr>
        <w:spacing w:after="200"/>
      </w:pPr>
      <w:r w:rsidRPr="00E84440">
        <w:rPr>
          <w:b/>
          <w:bCs/>
          <w:i/>
          <w:iCs/>
        </w:rPr>
        <w:t xml:space="preserve">Measure: </w:t>
      </w:r>
      <w:r w:rsidRPr="00E84440">
        <w:t xml:space="preserve">The number of admissions (patients) who experience a fall within the Facility. </w:t>
      </w:r>
    </w:p>
    <w:p w14:paraId="39D6EAA9" w14:textId="77777777" w:rsidR="000F2B0C" w:rsidRPr="00E84440" w:rsidRDefault="000F2B0C" w:rsidP="00E84440">
      <w:pPr>
        <w:spacing w:after="200"/>
        <w:rPr>
          <w:b/>
          <w:bCs/>
          <w:i/>
          <w:iCs/>
        </w:rPr>
      </w:pPr>
      <w:r w:rsidRPr="00E84440">
        <w:rPr>
          <w:b/>
          <w:bCs/>
          <w:i/>
          <w:iCs/>
        </w:rPr>
        <w:t xml:space="preserve">Projections: </w:t>
      </w:r>
      <w:r w:rsidRPr="00E84440">
        <w:t xml:space="preserve">The Applicant sets quarterly targets and compares performance to </w:t>
      </w:r>
      <w:proofErr w:type="spellStart"/>
      <w:r w:rsidRPr="00E84440">
        <w:t>AmSurg</w:t>
      </w:r>
      <w:proofErr w:type="spellEnd"/>
      <w:r w:rsidRPr="00E84440">
        <w:t xml:space="preserve"> Benchmarks.</w:t>
      </w:r>
    </w:p>
    <w:p w14:paraId="04F515D6" w14:textId="77777777" w:rsidR="000F2B0C" w:rsidRPr="00E84440" w:rsidRDefault="000F2B0C" w:rsidP="00E84440">
      <w:pPr>
        <w:spacing w:after="200"/>
        <w:rPr>
          <w:b/>
          <w:bCs/>
          <w:i/>
          <w:iCs/>
        </w:rPr>
      </w:pPr>
      <w:r w:rsidRPr="00E84440">
        <w:rPr>
          <w:b/>
          <w:bCs/>
          <w:i/>
          <w:iCs/>
        </w:rPr>
        <w:t xml:space="preserve"> Monitoring: </w:t>
      </w:r>
      <w:r w:rsidRPr="00E84440">
        <w:t>Debrief huddles are performed in the Facility immediately following a fall. Events are reviewed on a routine basis, trends noted are assessed, and performance improvement plans implemented.</w:t>
      </w:r>
    </w:p>
    <w:p w14:paraId="49536E4F" w14:textId="39326DF2" w:rsidR="000F2B0C" w:rsidRPr="00E84440" w:rsidRDefault="000F2B0C" w:rsidP="00E84440">
      <w:pPr>
        <w:spacing w:after="200"/>
      </w:pPr>
      <w:r w:rsidRPr="00E84440">
        <w:t xml:space="preserve">3.  </w:t>
      </w:r>
      <w:r w:rsidRPr="00E84440">
        <w:rPr>
          <w:b/>
          <w:bCs/>
        </w:rPr>
        <w:t>Other Metrics:</w:t>
      </w:r>
      <w:r w:rsidRPr="00E84440">
        <w:t xml:space="preserve"> In addition to infections and falls, AMSURG tracks burns, wrongs (that is all ASC admissions experiencing a wrong site, wrong side, wrong patient, wrong procedure or wrong implant (including wrong device or lens)), hospital transfers, medication variances, unplanned anterior vitrectomy, normothermia, colon perforations, adenoma detection, scope reprocessing issues, serious safety events, mortality rate, as well as incident reporting rates per applicable center. These measures are tracked and trended via AMSURG’s internal dashboard and where an ASCQC benchmark is available are compared to those national benchmarks for quality improvement. ASCQC benchmarks are available for burns, falls, wrongs, hospital transfers, infections, medication variances, unplanned anterior vitrectomy, and normothermia. Where the national ASCQC benchmark is not available, AMSURG tracks center variances and implements performance improvement plans.</w:t>
      </w:r>
    </w:p>
    <w:p w14:paraId="0248112C" w14:textId="47A4AE4B" w:rsidR="00F14924" w:rsidRDefault="00F14924" w:rsidP="00F14924">
      <w:pPr>
        <w:spacing w:after="200" w:line="276" w:lineRule="auto"/>
        <w:sectPr w:rsidR="00F14924" w:rsidSect="00A5446E">
          <w:headerReference w:type="even" r:id="rId18"/>
          <w:headerReference w:type="default" r:id="rId19"/>
          <w:footerReference w:type="even" r:id="rId20"/>
          <w:footerReference w:type="default" r:id="rId21"/>
          <w:headerReference w:type="first" r:id="rId22"/>
          <w:footerReference w:type="first" r:id="rId23"/>
          <w:type w:val="continuous"/>
          <w:pgSz w:w="12240" w:h="15840"/>
          <w:pgMar w:top="1440" w:right="1440" w:bottom="1440" w:left="1440" w:header="720" w:footer="432" w:gutter="0"/>
          <w:cols w:space="720"/>
          <w:titlePg/>
          <w:docGrid w:linePitch="360"/>
        </w:sectPr>
      </w:pPr>
    </w:p>
    <w:p w14:paraId="5C88A18A" w14:textId="3A305B6A" w:rsidR="00F61BC0" w:rsidRPr="001E489E" w:rsidRDefault="00F61BC0" w:rsidP="001B10BB"/>
    <w:sectPr w:rsidR="00F61BC0" w:rsidRPr="001E489E" w:rsidSect="00A5446E">
      <w:headerReference w:type="even" r:id="rId24"/>
      <w:headerReference w:type="default" r:id="rId25"/>
      <w:footerReference w:type="even" r:id="rId26"/>
      <w:footerReference w:type="default" r:id="rId27"/>
      <w:headerReference w:type="first" r:id="rId28"/>
      <w:footerReference w:type="first" r:id="rId29"/>
      <w:endnotePr>
        <w:numFmt w:val="lowerLetter"/>
      </w:endnotePr>
      <w:type w:val="continuous"/>
      <w:pgSz w:w="12240" w:h="15840"/>
      <w:pgMar w:top="90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73258" w14:textId="77777777" w:rsidR="00B97000" w:rsidRDefault="00B97000" w:rsidP="008C0709">
      <w:r>
        <w:separator/>
      </w:r>
    </w:p>
  </w:endnote>
  <w:endnote w:type="continuationSeparator" w:id="0">
    <w:p w14:paraId="11EBDE64" w14:textId="77777777" w:rsidR="00B97000" w:rsidRDefault="00B97000" w:rsidP="008C0709">
      <w:r>
        <w:continuationSeparator/>
      </w:r>
    </w:p>
  </w:endnote>
  <w:endnote w:type="continuationNotice" w:id="1">
    <w:p w14:paraId="69B2B5D4" w14:textId="77777777" w:rsidR="00B97000" w:rsidRDefault="00B97000"/>
  </w:endnote>
  <w:endnote w:id="2">
    <w:p w14:paraId="63770763" w14:textId="3A7FD17D" w:rsidR="001179F0" w:rsidRPr="00CC5451" w:rsidRDefault="001179F0" w:rsidP="00362B3B">
      <w:pPr>
        <w:pStyle w:val="EndnoteText"/>
        <w:rPr>
          <w:rFonts w:cstheme="minorHAnsi"/>
        </w:rPr>
      </w:pPr>
      <w:r w:rsidRPr="00CC5451">
        <w:rPr>
          <w:rStyle w:val="EndnoteReference"/>
          <w:rFonts w:cstheme="minorHAnsi"/>
        </w:rPr>
        <w:endnoteRef/>
      </w:r>
      <w:r w:rsidRPr="00CC5451">
        <w:rPr>
          <w:rFonts w:cstheme="minorHAnsi"/>
        </w:rPr>
        <w:t xml:space="preserve"> Islami F, Goding Sauer A, Miller KD, et al. </w:t>
      </w:r>
      <w:hyperlink r:id="rId1" w:history="1">
        <w:r w:rsidRPr="009D5869">
          <w:rPr>
            <w:rStyle w:val="Hyperlink"/>
            <w:rFonts w:cstheme="minorHAnsi"/>
            <w:color w:val="auto"/>
            <w:u w:val="none"/>
          </w:rPr>
          <w:t>Proportion and number of cancer cases and deaths attributable to potentially modifiable risk factors in the United States</w:t>
        </w:r>
      </w:hyperlink>
      <w:r w:rsidRPr="009D5869">
        <w:rPr>
          <w:rFonts w:cstheme="minorHAnsi"/>
        </w:rPr>
        <w:t>. </w:t>
      </w:r>
      <w:r w:rsidRPr="00CC5451">
        <w:rPr>
          <w:rFonts w:cstheme="minorHAnsi"/>
          <w:i/>
          <w:iCs/>
        </w:rPr>
        <w:t>CA Cancer J Clin</w:t>
      </w:r>
      <w:r w:rsidRPr="00CC5451">
        <w:rPr>
          <w:rFonts w:cstheme="minorHAnsi"/>
        </w:rPr>
        <w:t>. 2018; 68(1): 31-54. doi:</w:t>
      </w:r>
      <w:hyperlink r:id="rId2" w:history="1">
        <w:r w:rsidRPr="001E4025">
          <w:rPr>
            <w:rStyle w:val="Hyperlink"/>
            <w:rFonts w:cstheme="minorHAnsi"/>
            <w:color w:val="auto"/>
          </w:rPr>
          <w:t>10.3322/caac.21440</w:t>
        </w:r>
      </w:hyperlink>
    </w:p>
  </w:endnote>
  <w:endnote w:id="3">
    <w:p w14:paraId="68635E9E" w14:textId="77777777" w:rsidR="001179F0" w:rsidRPr="00CC5451" w:rsidRDefault="001179F0" w:rsidP="00362B3B">
      <w:pPr>
        <w:pStyle w:val="EndnoteText"/>
        <w:rPr>
          <w:rFonts w:cstheme="minorHAnsi"/>
        </w:rPr>
      </w:pPr>
      <w:r w:rsidRPr="00CC5451">
        <w:rPr>
          <w:rStyle w:val="EndnoteReference"/>
          <w:rFonts w:cstheme="minorHAnsi"/>
        </w:rPr>
        <w:endnoteRef/>
      </w:r>
      <w:r w:rsidRPr="00CC5451">
        <w:rPr>
          <w:rFonts w:cstheme="minorHAnsi"/>
        </w:rPr>
        <w:t xml:space="preserve"> </w:t>
      </w:r>
      <w:r w:rsidRPr="00CC5451">
        <w:rPr>
          <w:rFonts w:cstheme="minorHAnsi"/>
          <w:i/>
          <w:iCs/>
        </w:rPr>
        <w:t>id</w:t>
      </w:r>
    </w:p>
  </w:endnote>
  <w:endnote w:id="4">
    <w:p w14:paraId="4731C4B1" w14:textId="48267D46" w:rsidR="001179F0" w:rsidRPr="00CC5451" w:rsidRDefault="001179F0" w:rsidP="00362B3B">
      <w:pPr>
        <w:pStyle w:val="EndnoteText"/>
        <w:rPr>
          <w:rFonts w:cstheme="minorHAnsi"/>
        </w:rPr>
      </w:pPr>
      <w:r w:rsidRPr="00CC5451">
        <w:rPr>
          <w:rStyle w:val="EndnoteReference"/>
          <w:rFonts w:cstheme="minorHAnsi"/>
        </w:rPr>
        <w:endnoteRef/>
      </w:r>
      <w:r w:rsidRPr="00CC5451">
        <w:rPr>
          <w:rFonts w:cstheme="minorHAnsi"/>
        </w:rPr>
        <w:t xml:space="preserve"> Chen FW, Sundaram V, Chew TA, Ladabaum U. </w:t>
      </w:r>
      <w:hyperlink r:id="rId3" w:history="1">
        <w:r w:rsidRPr="00A916FF">
          <w:rPr>
            <w:rStyle w:val="Hyperlink"/>
            <w:rFonts w:cstheme="minorHAnsi"/>
            <w:color w:val="auto"/>
            <w:u w:val="none"/>
          </w:rPr>
          <w:t>Advanced-stage colorectal cancer in persons younger than 50 years not associated with longer duration of symptoms or time to diagnosis</w:t>
        </w:r>
      </w:hyperlink>
      <w:r w:rsidRPr="00A916FF">
        <w:rPr>
          <w:rFonts w:cstheme="minorHAnsi"/>
        </w:rPr>
        <w:t>. </w:t>
      </w:r>
      <w:r w:rsidRPr="00CC5451">
        <w:rPr>
          <w:rFonts w:cstheme="minorHAnsi"/>
          <w:i/>
          <w:iCs/>
        </w:rPr>
        <w:t>Clin Gastroenterol Hepatol</w:t>
      </w:r>
      <w:r w:rsidRPr="00CC5451">
        <w:rPr>
          <w:rFonts w:cstheme="minorHAnsi"/>
        </w:rPr>
        <w:t>. 2017; 15(5): 728-737.e3. doi:</w:t>
      </w:r>
      <w:hyperlink r:id="rId4" w:history="1">
        <w:r w:rsidRPr="00BF6B51">
          <w:rPr>
            <w:rStyle w:val="Hyperlink"/>
            <w:rFonts w:cstheme="minorHAnsi"/>
            <w:color w:val="234170" w:themeColor="text2" w:themeShade="BF"/>
          </w:rPr>
          <w:t>10.1016/j.cgh.2016.10.038</w:t>
        </w:r>
      </w:hyperlink>
    </w:p>
  </w:endnote>
  <w:endnote w:id="5">
    <w:p w14:paraId="5B53865A" w14:textId="77777777" w:rsidR="00C82F84" w:rsidRDefault="00C82F84" w:rsidP="00362B3B">
      <w:pPr>
        <w:pStyle w:val="EndnoteText"/>
      </w:pPr>
      <w:r>
        <w:rPr>
          <w:rStyle w:val="EndnoteReference"/>
        </w:rPr>
        <w:endnoteRef/>
      </w:r>
      <w:r>
        <w:t xml:space="preserve"> </w:t>
      </w:r>
      <w:r w:rsidRPr="005C12FC">
        <w:rPr>
          <w:i/>
          <w:iCs/>
        </w:rPr>
        <w:t xml:space="preserve">Source:  </w:t>
      </w:r>
      <w:hyperlink r:id="rId5" w:history="1">
        <w:r w:rsidRPr="00BF6B51">
          <w:rPr>
            <w:rStyle w:val="Hyperlink"/>
            <w:i/>
            <w:iCs/>
            <w:color w:val="234170" w:themeColor="text2" w:themeShade="BF"/>
          </w:rPr>
          <w:t>UMass Donahue Institute Massachusetts population projections</w:t>
        </w:r>
      </w:hyperlink>
      <w:r w:rsidRPr="005C12FC">
        <w:rPr>
          <w:i/>
          <w:iCs/>
        </w:rPr>
        <w:t xml:space="preserve"> updated May 2024. accessed at </w:t>
      </w:r>
      <w:hyperlink r:id="rId6" w:history="1">
        <w:r w:rsidRPr="00BF6B51">
          <w:rPr>
            <w:rStyle w:val="Hyperlink"/>
            <w:i/>
            <w:iCs/>
            <w:color w:val="234170" w:themeColor="text2" w:themeShade="BF"/>
          </w:rPr>
          <w:t>http://www.pep.donahue-institute.org/</w:t>
        </w:r>
      </w:hyperlink>
    </w:p>
  </w:endnote>
  <w:endnote w:id="6">
    <w:p w14:paraId="2E56128C" w14:textId="0CD5FD75" w:rsidR="001179F0" w:rsidRPr="00CC5451" w:rsidRDefault="001179F0" w:rsidP="00362B3B">
      <w:pPr>
        <w:pStyle w:val="EndnoteText"/>
        <w:rPr>
          <w:rFonts w:cstheme="minorHAnsi"/>
        </w:rPr>
      </w:pPr>
      <w:r w:rsidRPr="00CC5451">
        <w:rPr>
          <w:rStyle w:val="EndnoteReference"/>
          <w:rFonts w:cstheme="minorHAnsi"/>
        </w:rPr>
        <w:endnoteRef/>
      </w:r>
      <w:r w:rsidRPr="00CC5451">
        <w:rPr>
          <w:rFonts w:cstheme="minorHAnsi"/>
        </w:rPr>
        <w:t xml:space="preserve"> </w:t>
      </w:r>
      <w:hyperlink r:id="rId7" w:history="1">
        <w:r w:rsidRPr="00BF6B51">
          <w:rPr>
            <w:rStyle w:val="Hyperlink"/>
            <w:rFonts w:cstheme="minorHAnsi"/>
            <w:color w:val="234170" w:themeColor="text2" w:themeShade="BF"/>
          </w:rPr>
          <w:t>https://www.beckersasc.com/gastroenterology-and-endoscopy/gastroenterology-in-2030-what-the-specialty-will-look-like-in-10-years.html</w:t>
        </w:r>
      </w:hyperlink>
      <w:r w:rsidRPr="00CC5451">
        <w:rPr>
          <w:rFonts w:cstheme="minorHAnsi"/>
        </w:rPr>
        <w:t xml:space="preserve">   </w:t>
      </w:r>
      <w:hyperlink r:id="rId8" w:history="1">
        <w:r w:rsidRPr="00A916FF">
          <w:rPr>
            <w:rStyle w:val="Hyperlink"/>
            <w:rFonts w:cstheme="minorHAnsi"/>
            <w:color w:val="auto"/>
            <w:u w:val="none"/>
          </w:rPr>
          <w:t>Gastroenterology in 2030: What the specialty will look like in 10 years</w:t>
        </w:r>
      </w:hyperlink>
      <w:r w:rsidRPr="00A916FF">
        <w:rPr>
          <w:rFonts w:cstheme="minorHAnsi"/>
        </w:rPr>
        <w:t>...</w:t>
      </w:r>
      <w:r w:rsidRPr="00CC5451">
        <w:rPr>
          <w:rFonts w:cstheme="minorHAnsi"/>
        </w:rPr>
        <w:t>Updated Friday, December 20th, 2019, accessed July 2024</w:t>
      </w:r>
    </w:p>
  </w:endnote>
  <w:endnote w:id="7">
    <w:p w14:paraId="37125542" w14:textId="77777777" w:rsidR="001179F0" w:rsidRPr="00CC5451" w:rsidRDefault="001179F0" w:rsidP="00362B3B">
      <w:pPr>
        <w:pStyle w:val="EndnoteText"/>
        <w:rPr>
          <w:rFonts w:cstheme="minorHAnsi"/>
        </w:rPr>
      </w:pPr>
      <w:r w:rsidRPr="00CC5451">
        <w:rPr>
          <w:rStyle w:val="EndnoteReference"/>
          <w:rFonts w:cstheme="minorHAnsi"/>
        </w:rPr>
        <w:endnoteRef/>
      </w:r>
      <w:r w:rsidRPr="00CC5451">
        <w:rPr>
          <w:rFonts w:cstheme="minorHAnsi"/>
        </w:rPr>
        <w:t xml:space="preserve"> Sg2 </w:t>
      </w:r>
      <w:hyperlink r:id="rId9" w:history="1">
        <w:r w:rsidRPr="00BF6B51">
          <w:rPr>
            <w:rStyle w:val="Hyperlink"/>
            <w:rFonts w:cstheme="minorHAnsi"/>
            <w:color w:val="234170" w:themeColor="text2" w:themeShade="BF"/>
          </w:rPr>
          <w:t>2023 Impact of Change Forecast Highlights</w:t>
        </w:r>
      </w:hyperlink>
      <w:r w:rsidRPr="00CC5451">
        <w:rPr>
          <w:rFonts w:cstheme="minorHAnsi"/>
        </w:rPr>
        <w:t xml:space="preserve">, page 13, viewed at </w:t>
      </w:r>
      <w:hyperlink r:id="rId10" w:history="1">
        <w:r w:rsidRPr="00BF6B51">
          <w:rPr>
            <w:rStyle w:val="Hyperlink"/>
            <w:rFonts w:cstheme="minorHAnsi"/>
            <w:color w:val="234170" w:themeColor="text2" w:themeShade="BF"/>
          </w:rPr>
          <w:t>https://www.ascfocus.org/ascfocus/content/articles-content/articles/2023/digital-debut/sg2-2023-annual-report-forecasts-significant-growth-in-asc-volume</w:t>
        </w:r>
      </w:hyperlink>
      <w:r w:rsidRPr="00CC5451">
        <w:rPr>
          <w:rFonts w:cstheme="minorHAnsi"/>
        </w:rPr>
        <w:t xml:space="preserve">  accessed July 2024</w:t>
      </w:r>
    </w:p>
  </w:endnote>
  <w:endnote w:id="8">
    <w:p w14:paraId="555D9AFE" w14:textId="0BE25BFF" w:rsidR="00C82F84" w:rsidRPr="005B6C0D" w:rsidRDefault="00C82F84" w:rsidP="00362B3B">
      <w:pPr>
        <w:pStyle w:val="BodyText"/>
        <w:spacing w:after="0" w:line="240" w:lineRule="auto"/>
        <w:rPr>
          <w:sz w:val="20"/>
          <w:szCs w:val="20"/>
        </w:rPr>
      </w:pPr>
      <w:r w:rsidRPr="005B6C0D">
        <w:rPr>
          <w:rStyle w:val="EndnoteReference"/>
          <w:sz w:val="20"/>
          <w:szCs w:val="20"/>
        </w:rPr>
        <w:endnoteRef/>
      </w:r>
      <w:r w:rsidRPr="005B6C0D">
        <w:rPr>
          <w:sz w:val="20"/>
          <w:szCs w:val="20"/>
        </w:rPr>
        <w:t xml:space="preserve"> </w:t>
      </w:r>
      <w:hyperlink r:id="rId11" w:history="1">
        <w:r w:rsidRPr="00935824">
          <w:rPr>
            <w:rStyle w:val="Hyperlink"/>
            <w:i/>
            <w:color w:val="auto"/>
            <w:sz w:val="20"/>
            <w:szCs w:val="20"/>
            <w:u w:val="none"/>
          </w:rPr>
          <w:t>HPC DataPoints, Issue 26: Trends in Ambulatory Surgical Centers in Massachusetts</w:t>
        </w:r>
        <w:r w:rsidRPr="00935824">
          <w:rPr>
            <w:rStyle w:val="Hyperlink"/>
            <w:color w:val="auto"/>
            <w:sz w:val="20"/>
            <w:szCs w:val="20"/>
            <w:u w:val="none"/>
          </w:rPr>
          <w:t>,</w:t>
        </w:r>
      </w:hyperlink>
      <w:r w:rsidRPr="00935824">
        <w:rPr>
          <w:sz w:val="20"/>
          <w:szCs w:val="20"/>
        </w:rPr>
        <w:t xml:space="preserve"> </w:t>
      </w:r>
      <w:r w:rsidRPr="00935824">
        <w:rPr>
          <w:smallCaps/>
          <w:sz w:val="20"/>
          <w:szCs w:val="20"/>
        </w:rPr>
        <w:t>Mass</w:t>
      </w:r>
      <w:r w:rsidRPr="005B6C0D">
        <w:rPr>
          <w:smallCaps/>
          <w:sz w:val="20"/>
          <w:szCs w:val="20"/>
        </w:rPr>
        <w:t>. Health Policy Comm. (</w:t>
      </w:r>
      <w:r w:rsidRPr="005B6C0D">
        <w:rPr>
          <w:sz w:val="20"/>
          <w:szCs w:val="20"/>
        </w:rPr>
        <w:t>Hereafter</w:t>
      </w:r>
      <w:r w:rsidRPr="005B6C0D">
        <w:rPr>
          <w:smallCaps/>
          <w:sz w:val="20"/>
          <w:szCs w:val="20"/>
        </w:rPr>
        <w:t xml:space="preserve"> “HPC”)</w:t>
      </w:r>
      <w:r w:rsidRPr="005B6C0D">
        <w:rPr>
          <w:sz w:val="20"/>
          <w:szCs w:val="20"/>
        </w:rPr>
        <w:t xml:space="preserve"> (Feb. 15, 2024) (</w:t>
      </w:r>
      <w:hyperlink r:id="rId12" w:history="1">
        <w:r w:rsidRPr="00BF6B51">
          <w:rPr>
            <w:rStyle w:val="Hyperlink"/>
            <w:color w:val="234170" w:themeColor="text2" w:themeShade="BF"/>
            <w:sz w:val="20"/>
            <w:szCs w:val="20"/>
          </w:rPr>
          <w:t>https://www.mass.gov/info-details/hpc-datapoints-issue-26</w:t>
        </w:r>
      </w:hyperlink>
      <w:r w:rsidRPr="00BF6B51">
        <w:rPr>
          <w:rStyle w:val="Hyperlink"/>
          <w:color w:val="234170" w:themeColor="text2" w:themeShade="BF"/>
          <w:sz w:val="20"/>
          <w:szCs w:val="20"/>
        </w:rPr>
        <w:t>)</w:t>
      </w:r>
      <w:r w:rsidRPr="005B6C0D">
        <w:rPr>
          <w:sz w:val="20"/>
          <w:szCs w:val="20"/>
        </w:rPr>
        <w:t xml:space="preserve"> (updating the June 2023 findings that Massachusetts has the six fewest ASCs per capita among all states), and </w:t>
      </w:r>
      <w:hyperlink r:id="rId13" w:history="1">
        <w:r w:rsidRPr="00AF0088">
          <w:rPr>
            <w:rStyle w:val="Hyperlink"/>
            <w:i/>
            <w:color w:val="auto"/>
            <w:sz w:val="20"/>
            <w:szCs w:val="20"/>
            <w:u w:val="none"/>
          </w:rPr>
          <w:t xml:space="preserve">HPC Board Meeting </w:t>
        </w:r>
        <w:r w:rsidRPr="00AF0088">
          <w:rPr>
            <w:rStyle w:val="Hyperlink"/>
            <w:color w:val="auto"/>
            <w:sz w:val="20"/>
            <w:szCs w:val="20"/>
            <w:u w:val="none"/>
          </w:rPr>
          <w:t>27</w:t>
        </w:r>
      </w:hyperlink>
      <w:r w:rsidRPr="00AF0088">
        <w:rPr>
          <w:sz w:val="20"/>
          <w:szCs w:val="20"/>
        </w:rPr>
        <w:t xml:space="preserve">, </w:t>
      </w:r>
      <w:r w:rsidRPr="005B6C0D">
        <w:rPr>
          <w:smallCaps/>
          <w:sz w:val="20"/>
          <w:szCs w:val="20"/>
        </w:rPr>
        <w:t>HPC</w:t>
      </w:r>
      <w:r w:rsidRPr="005B6C0D">
        <w:rPr>
          <w:sz w:val="20"/>
          <w:szCs w:val="20"/>
        </w:rPr>
        <w:t xml:space="preserve"> (June 07, 2023) (</w:t>
      </w:r>
      <w:hyperlink r:id="rId14" w:history="1">
        <w:r w:rsidRPr="00BF6B51">
          <w:rPr>
            <w:rStyle w:val="Hyperlink"/>
            <w:color w:val="234170" w:themeColor="text2" w:themeShade="BF"/>
            <w:sz w:val="20"/>
            <w:szCs w:val="20"/>
          </w:rPr>
          <w:t>https://www.mass.gov/doc/presentation-board-meeting-june-7-2023/download</w:t>
        </w:r>
      </w:hyperlink>
      <w:r w:rsidRPr="005B6C0D">
        <w:rPr>
          <w:sz w:val="20"/>
          <w:szCs w:val="20"/>
        </w:rPr>
        <w:t>).</w:t>
      </w:r>
    </w:p>
  </w:endnote>
  <w:endnote w:id="9">
    <w:p w14:paraId="030FF033" w14:textId="3DB0EFFB" w:rsidR="00C82F84" w:rsidRPr="005B6C0D" w:rsidRDefault="00C82F84" w:rsidP="00362B3B">
      <w:pPr>
        <w:pStyle w:val="BodyText"/>
        <w:spacing w:after="0" w:line="240" w:lineRule="auto"/>
        <w:rPr>
          <w:sz w:val="20"/>
          <w:szCs w:val="20"/>
        </w:rPr>
      </w:pPr>
      <w:r w:rsidRPr="000C7105">
        <w:rPr>
          <w:rStyle w:val="EndnoteReference"/>
          <w:sz w:val="20"/>
          <w:szCs w:val="20"/>
        </w:rPr>
        <w:endnoteRef/>
      </w:r>
      <w:r w:rsidRPr="000C7105">
        <w:rPr>
          <w:sz w:val="20"/>
          <w:szCs w:val="20"/>
        </w:rPr>
        <w:t xml:space="preserve"> </w:t>
      </w:r>
      <w:r w:rsidRPr="000C7105">
        <w:rPr>
          <w:i/>
          <w:sz w:val="20"/>
          <w:szCs w:val="20"/>
        </w:rPr>
        <w:t>Supra</w:t>
      </w:r>
      <w:r w:rsidRPr="000C7105">
        <w:rPr>
          <w:sz w:val="20"/>
          <w:szCs w:val="20"/>
        </w:rPr>
        <w:t xml:space="preserve">, note </w:t>
      </w:r>
      <w:r>
        <w:rPr>
          <w:sz w:val="20"/>
          <w:szCs w:val="20"/>
        </w:rPr>
        <w:t>5</w:t>
      </w:r>
      <w:r w:rsidRPr="000C7105">
        <w:rPr>
          <w:sz w:val="20"/>
          <w:szCs w:val="20"/>
        </w:rPr>
        <w:t xml:space="preserve"> HPC</w:t>
      </w:r>
      <w:r w:rsidRPr="005B6C0D">
        <w:rPr>
          <w:sz w:val="20"/>
          <w:szCs w:val="20"/>
        </w:rPr>
        <w:t xml:space="preserve"> Board Meeting; </w:t>
      </w:r>
      <w:r w:rsidRPr="005B6C0D">
        <w:rPr>
          <w:i/>
          <w:sz w:val="20"/>
          <w:szCs w:val="20"/>
        </w:rPr>
        <w:t>See also</w:t>
      </w:r>
      <w:r w:rsidRPr="005B6C0D">
        <w:rPr>
          <w:sz w:val="20"/>
          <w:szCs w:val="20"/>
        </w:rPr>
        <w:t xml:space="preserve">, </w:t>
      </w:r>
      <w:hyperlink r:id="rId15" w:history="1">
        <w:r w:rsidRPr="00AF0088">
          <w:rPr>
            <w:rStyle w:val="Hyperlink"/>
            <w:i/>
            <w:color w:val="auto"/>
            <w:sz w:val="20"/>
            <w:szCs w:val="20"/>
            <w:u w:val="none"/>
          </w:rPr>
          <w:t>Proposed Revisions of the Determination of Need Regulations 105 CMR 100.100</w:t>
        </w:r>
      </w:hyperlink>
      <w:r w:rsidRPr="00AF0088">
        <w:rPr>
          <w:sz w:val="20"/>
          <w:szCs w:val="20"/>
        </w:rPr>
        <w:t xml:space="preserve">, </w:t>
      </w:r>
      <w:r w:rsidRPr="005B6C0D">
        <w:rPr>
          <w:smallCaps/>
          <w:sz w:val="20"/>
          <w:szCs w:val="20"/>
        </w:rPr>
        <w:t>Mass. DPH</w:t>
      </w:r>
      <w:r w:rsidRPr="005B6C0D">
        <w:rPr>
          <w:sz w:val="20"/>
          <w:szCs w:val="20"/>
        </w:rPr>
        <w:t xml:space="preserve"> (Aug. 23, 2016) (available at </w:t>
      </w:r>
      <w:hyperlink r:id="rId16" w:history="1">
        <w:r w:rsidRPr="00BF6B51">
          <w:rPr>
            <w:rStyle w:val="Hyperlink"/>
            <w:color w:val="234170" w:themeColor="text2" w:themeShade="BF"/>
            <w:sz w:val="20"/>
            <w:szCs w:val="20"/>
          </w:rPr>
          <w:t>https://www.mintz.com/sites/default/files/viewpoints/orig/8/2016/08/Proposed-Revision-Presentation-8.23.16.pdf</w:t>
        </w:r>
      </w:hyperlink>
      <w:r w:rsidRPr="005B6C0D">
        <w:rPr>
          <w:sz w:val="20"/>
          <w:szCs w:val="20"/>
        </w:rPr>
        <w:t xml:space="preserve">); </w:t>
      </w:r>
      <w:r w:rsidRPr="005B6C0D">
        <w:rPr>
          <w:i/>
          <w:sz w:val="20"/>
          <w:szCs w:val="20"/>
        </w:rPr>
        <w:t>See also</w:t>
      </w:r>
      <w:r w:rsidRPr="005B6C0D">
        <w:rPr>
          <w:sz w:val="20"/>
          <w:szCs w:val="20"/>
        </w:rPr>
        <w:t xml:space="preserve">, </w:t>
      </w:r>
      <w:r w:rsidRPr="005B6C0D">
        <w:rPr>
          <w:smallCaps/>
          <w:sz w:val="20"/>
          <w:szCs w:val="20"/>
        </w:rPr>
        <w:t xml:space="preserve">Jay Youmans, et al., </w:t>
      </w:r>
      <w:hyperlink r:id="rId17" w:history="1">
        <w:r w:rsidRPr="003E16F2">
          <w:rPr>
            <w:rStyle w:val="Hyperlink"/>
            <w:smallCaps/>
            <w:color w:val="auto"/>
            <w:sz w:val="20"/>
            <w:szCs w:val="20"/>
            <w:u w:val="none"/>
          </w:rPr>
          <w:t>Final Proposed Revisions of 105 CMR 100.00:  Determination of Need Memorandum</w:t>
        </w:r>
      </w:hyperlink>
      <w:r w:rsidRPr="003E16F2">
        <w:rPr>
          <w:sz w:val="20"/>
          <w:szCs w:val="20"/>
        </w:rPr>
        <w:t xml:space="preserve"> (Jan. </w:t>
      </w:r>
      <w:r w:rsidRPr="005B6C0D">
        <w:rPr>
          <w:sz w:val="20"/>
          <w:szCs w:val="20"/>
        </w:rPr>
        <w:t xml:space="preserve">11, 2017) (available at </w:t>
      </w:r>
      <w:hyperlink r:id="rId18" w:history="1">
        <w:r w:rsidRPr="00BF6B51">
          <w:rPr>
            <w:rStyle w:val="Hyperlink"/>
            <w:color w:val="234170" w:themeColor="text2" w:themeShade="BF"/>
            <w:sz w:val="20"/>
            <w:szCs w:val="20"/>
          </w:rPr>
          <w:t>https://www.mintz.com/sites/default/files/viewpoints/orig/8/2017/01/DPH-Final-PHC-Memo-Determination-of-Need-105-CMR-100.000-FINAL-1-11-17.pdf</w:t>
        </w:r>
      </w:hyperlink>
      <w:r w:rsidRPr="005B6C0D">
        <w:rPr>
          <w:sz w:val="20"/>
          <w:szCs w:val="20"/>
        </w:rPr>
        <w:t xml:space="preserve">).  </w:t>
      </w:r>
    </w:p>
  </w:endnote>
  <w:endnote w:id="10">
    <w:p w14:paraId="157E738D" w14:textId="464A24AA" w:rsidR="00C82F84" w:rsidRPr="000C7105" w:rsidRDefault="00C82F84" w:rsidP="00362B3B">
      <w:pPr>
        <w:pStyle w:val="BodyText"/>
        <w:spacing w:after="0" w:line="240" w:lineRule="auto"/>
        <w:rPr>
          <w:sz w:val="20"/>
          <w:szCs w:val="20"/>
        </w:rPr>
      </w:pPr>
      <w:r w:rsidRPr="005B6C0D">
        <w:rPr>
          <w:rStyle w:val="EndnoteReference"/>
          <w:sz w:val="20"/>
          <w:szCs w:val="20"/>
        </w:rPr>
        <w:endnoteRef/>
      </w:r>
      <w:r w:rsidRPr="005B6C0D">
        <w:rPr>
          <w:sz w:val="20"/>
          <w:szCs w:val="20"/>
        </w:rPr>
        <w:t xml:space="preserve"> </w:t>
      </w:r>
      <w:r w:rsidRPr="000C7105">
        <w:rPr>
          <w:i/>
          <w:sz w:val="20"/>
          <w:szCs w:val="20"/>
        </w:rPr>
        <w:t>Supra</w:t>
      </w:r>
      <w:r w:rsidRPr="000C7105">
        <w:rPr>
          <w:sz w:val="20"/>
          <w:szCs w:val="20"/>
        </w:rPr>
        <w:t xml:space="preserve">, note </w:t>
      </w:r>
      <w:r>
        <w:rPr>
          <w:sz w:val="20"/>
          <w:szCs w:val="20"/>
        </w:rPr>
        <w:t>5</w:t>
      </w:r>
      <w:r w:rsidRPr="000C7105">
        <w:rPr>
          <w:sz w:val="20"/>
          <w:szCs w:val="20"/>
        </w:rPr>
        <w:t xml:space="preserve"> HPC Board Meeting.</w:t>
      </w:r>
    </w:p>
  </w:endnote>
  <w:endnote w:id="11">
    <w:p w14:paraId="2F23A358" w14:textId="579DC908" w:rsidR="00C82F84" w:rsidRPr="0052580B" w:rsidRDefault="00C82F84" w:rsidP="00362B3B">
      <w:pPr>
        <w:pStyle w:val="EndnoteText"/>
        <w:rPr>
          <w:rFonts w:ascii="Times New Roman" w:hAnsi="Times New Roman" w:cs="Times New Roman"/>
        </w:rPr>
      </w:pPr>
      <w:r>
        <w:rPr>
          <w:rStyle w:val="EndnoteReference"/>
        </w:rPr>
        <w:endnoteRef/>
      </w:r>
      <w:r>
        <w:t xml:space="preserve"> </w:t>
      </w:r>
      <w:hyperlink r:id="rId19" w:history="1">
        <w:r w:rsidRPr="00BF6B51">
          <w:rPr>
            <w:rStyle w:val="Hyperlink"/>
            <w:rFonts w:ascii="Times New Roman" w:hAnsi="Times New Roman" w:cs="Times New Roman"/>
            <w:color w:val="234170" w:themeColor="text2" w:themeShade="BF"/>
          </w:rPr>
          <w:t>https://masshpc.gov/publications/datapoints-series/issue-26-trends-ambulatory-surgical-centers-massachusetts</w:t>
        </w:r>
      </w:hyperlink>
      <w:r w:rsidRPr="00A72F4F">
        <w:rPr>
          <w:rFonts w:ascii="Times New Roman" w:hAnsi="Times New Roman" w:cs="Times New Roman"/>
        </w:rPr>
        <w:t xml:space="preserve">   </w:t>
      </w:r>
      <w:r w:rsidRPr="0052580B">
        <w:rPr>
          <w:rFonts w:ascii="Times New Roman" w:hAnsi="Times New Roman" w:cs="Times New Roman"/>
        </w:rPr>
        <w:t>accessed July 2024</w:t>
      </w:r>
      <w:r>
        <w:rPr>
          <w:rFonts w:ascii="Times New Roman" w:hAnsi="Times New Roman" w:cs="Times New Roman"/>
        </w:rPr>
        <w:t>.</w:t>
      </w:r>
    </w:p>
  </w:endnote>
  <w:endnote w:id="12">
    <w:p w14:paraId="5BA801B1" w14:textId="6217E010" w:rsidR="003547DA" w:rsidRPr="00CC5451" w:rsidRDefault="003547DA" w:rsidP="0074350E">
      <w:pPr>
        <w:pStyle w:val="EndnoteText"/>
        <w:rPr>
          <w:rFonts w:cstheme="minorHAnsi"/>
        </w:rPr>
      </w:pPr>
      <w:r w:rsidRPr="00CC5451">
        <w:rPr>
          <w:rStyle w:val="EndnoteReference"/>
          <w:rFonts w:cstheme="minorHAnsi"/>
        </w:rPr>
        <w:endnoteRef/>
      </w:r>
      <w:r w:rsidRPr="00CC5451">
        <w:rPr>
          <w:rFonts w:cstheme="minorHAnsi"/>
        </w:rPr>
        <w:t xml:space="preserve"> The Commonwealth Fund, </w:t>
      </w:r>
      <w:hyperlink r:id="rId20" w:history="1">
        <w:r w:rsidRPr="00BF6B51">
          <w:rPr>
            <w:rStyle w:val="Hyperlink"/>
            <w:rFonts w:cstheme="minorHAnsi"/>
            <w:color w:val="234170" w:themeColor="text2" w:themeShade="BF"/>
          </w:rPr>
          <w:t>U.S. Health Care from a Global Perspective, 2022:  Accelerating Spending, Worsening Outcome</w:t>
        </w:r>
      </w:hyperlink>
      <w:r w:rsidRPr="00CC5451">
        <w:rPr>
          <w:rFonts w:cstheme="minorHAnsi"/>
        </w:rPr>
        <w:t xml:space="preserve"> (January 31, 2023), available at </w:t>
      </w:r>
      <w:hyperlink r:id="rId21" w:history="1">
        <w:r w:rsidRPr="00BF6B51">
          <w:rPr>
            <w:rStyle w:val="Hyperlink"/>
            <w:rFonts w:cstheme="minorHAnsi"/>
            <w:color w:val="234170" w:themeColor="text2" w:themeShade="BF"/>
          </w:rPr>
          <w:t>https://www.commonwealthfund.org/publications/issue-briefs/2023/jan/us-health-care-global-perspective-2022</w:t>
        </w:r>
      </w:hyperlink>
      <w:r w:rsidRPr="00CC5451">
        <w:rPr>
          <w:rFonts w:cstheme="minorHAnsi"/>
        </w:rPr>
        <w:t xml:space="preserve">. </w:t>
      </w:r>
    </w:p>
  </w:endnote>
  <w:endnote w:id="13">
    <w:p w14:paraId="0F978815" w14:textId="14A2E5D8" w:rsidR="003547DA" w:rsidRPr="00CC5451" w:rsidRDefault="003547DA" w:rsidP="00584A87">
      <w:pPr>
        <w:pStyle w:val="EndnoteText"/>
        <w:rPr>
          <w:rFonts w:cstheme="minorHAnsi"/>
        </w:rPr>
      </w:pPr>
      <w:r w:rsidRPr="00CC5451">
        <w:rPr>
          <w:rStyle w:val="EndnoteReference"/>
          <w:rFonts w:cstheme="minorHAnsi"/>
        </w:rPr>
        <w:endnoteRef/>
      </w:r>
      <w:r w:rsidRPr="00CC5451">
        <w:rPr>
          <w:rFonts w:cstheme="minorHAnsi"/>
        </w:rPr>
        <w:t xml:space="preserve"> Megan A. Adams et. al,</w:t>
      </w:r>
      <w:r w:rsidRPr="00CC5451">
        <w:rPr>
          <w:rFonts w:cstheme="minorHAnsi"/>
          <w:i/>
          <w:iCs/>
        </w:rPr>
        <w:t xml:space="preserve"> </w:t>
      </w:r>
      <w:hyperlink r:id="rId22" w:anchor=":~:text=At%20the%20facility%20with%20the,26%20days%2C%20respectively" w:history="1">
        <w:r w:rsidRPr="00BF6B51">
          <w:rPr>
            <w:rStyle w:val="Hyperlink"/>
            <w:rFonts w:cstheme="minorHAnsi"/>
            <w:i/>
            <w:iCs/>
            <w:color w:val="234170" w:themeColor="text2" w:themeShade="BF"/>
          </w:rPr>
          <w:t>Trends in Wait Time for Outpatient Colonoscopy in the Veterans Health Administration, 2008-2015</w:t>
        </w:r>
      </w:hyperlink>
      <w:r w:rsidRPr="00CC5451">
        <w:rPr>
          <w:rFonts w:cstheme="minorHAnsi"/>
          <w:i/>
          <w:iCs/>
        </w:rPr>
        <w:t xml:space="preserve">, </w:t>
      </w:r>
      <w:r w:rsidRPr="00CC5451">
        <w:rPr>
          <w:rFonts w:cstheme="minorHAnsi"/>
        </w:rPr>
        <w:t xml:space="preserve">J Gen Intern Med 35(6):1776-82 (Published Online March 24, 2020), available at </w:t>
      </w:r>
      <w:hyperlink r:id="rId23" w:anchor=":~:text=At%20the%20facility%20with%20the,26%20days%2C%20respectively" w:history="1">
        <w:r w:rsidRPr="00BF6B51">
          <w:rPr>
            <w:rStyle w:val="Hyperlink"/>
            <w:rFonts w:cstheme="minorHAnsi"/>
            <w:color w:val="234170" w:themeColor="text2" w:themeShade="BF"/>
          </w:rPr>
          <w:t>https://www.ncbi.nlm.nih.gov/pmc/articles/PMC7280466/#:~:text=At%20the%20facility%20with%20the,26%20days%2C%20respectively</w:t>
        </w:r>
      </w:hyperlink>
      <w:r w:rsidRPr="00CC5451">
        <w:rPr>
          <w:rFonts w:cstheme="minorHAnsi"/>
        </w:rPr>
        <w:t>).</w:t>
      </w:r>
    </w:p>
  </w:endnote>
  <w:endnote w:id="14">
    <w:p w14:paraId="17369A26" w14:textId="77777777" w:rsidR="001179F0" w:rsidRPr="00CC5451" w:rsidRDefault="001179F0" w:rsidP="00173EAB">
      <w:pPr>
        <w:pStyle w:val="EndnoteText"/>
        <w:rPr>
          <w:rFonts w:cstheme="minorHAnsi"/>
        </w:rPr>
      </w:pPr>
      <w:r w:rsidRPr="00CC5451">
        <w:rPr>
          <w:rStyle w:val="EndnoteReference"/>
          <w:rFonts w:cstheme="minorHAnsi"/>
        </w:rPr>
        <w:endnoteRef/>
      </w:r>
      <w:r w:rsidRPr="00CC5451">
        <w:rPr>
          <w:rFonts w:cstheme="minorHAnsi"/>
        </w:rPr>
        <w:t xml:space="preserve"> </w:t>
      </w:r>
      <w:hyperlink r:id="rId24" w:history="1">
        <w:r w:rsidRPr="00BF6B51">
          <w:rPr>
            <w:rStyle w:val="Hyperlink"/>
            <w:rFonts w:cstheme="minorHAnsi"/>
            <w:color w:val="234170" w:themeColor="text2" w:themeShade="BF"/>
          </w:rPr>
          <w:t>Colorectal Cancer Screening</w:t>
        </w:r>
      </w:hyperlink>
      <w:r w:rsidRPr="00CC5451">
        <w:rPr>
          <w:rFonts w:cstheme="minorHAnsi"/>
        </w:rPr>
        <w:t xml:space="preserve">, AM. SOC’Y FOR GASTROINTESTINAL ENDOSCOPY, </w:t>
      </w:r>
      <w:hyperlink r:id="rId25" w:history="1">
        <w:r w:rsidRPr="00BF6B51">
          <w:rPr>
            <w:rStyle w:val="Hyperlink"/>
            <w:rFonts w:cstheme="minorHAnsi"/>
            <w:color w:val="234170" w:themeColor="text2" w:themeShade="BF"/>
          </w:rPr>
          <w:t>https://www.asge.org/home/about-asge/newsroom/media-backgrounders-detail/colorectal-cancer-screening</w:t>
        </w:r>
      </w:hyperlink>
      <w:r w:rsidRPr="00CC5451">
        <w:rPr>
          <w:rFonts w:cstheme="minorHAnsi"/>
        </w:rPr>
        <w:t xml:space="preserve"> (last reviewed 2017).  </w:t>
      </w:r>
    </w:p>
  </w:endnote>
  <w:endnote w:id="15">
    <w:p w14:paraId="24C4619F" w14:textId="77777777" w:rsidR="001179F0" w:rsidRPr="00CC5451" w:rsidRDefault="001179F0" w:rsidP="00173EAB">
      <w:pPr>
        <w:pStyle w:val="EndnoteText"/>
        <w:rPr>
          <w:rFonts w:cstheme="minorHAnsi"/>
        </w:rPr>
      </w:pPr>
      <w:r w:rsidRPr="00CC5451">
        <w:rPr>
          <w:rStyle w:val="EndnoteReference"/>
          <w:rFonts w:cstheme="minorHAnsi"/>
        </w:rPr>
        <w:endnoteRef/>
      </w:r>
      <w:r w:rsidRPr="00CC5451">
        <w:rPr>
          <w:rFonts w:cstheme="minorHAnsi"/>
        </w:rPr>
        <w:t xml:space="preserve"> </w:t>
      </w:r>
      <w:hyperlink r:id="rId26" w:history="1">
        <w:r w:rsidRPr="00BF6B51">
          <w:rPr>
            <w:rStyle w:val="Hyperlink"/>
            <w:rFonts w:cstheme="minorHAnsi"/>
            <w:color w:val="234170" w:themeColor="text2" w:themeShade="BF"/>
          </w:rPr>
          <w:t>Colorectal Cancer Screening</w:t>
        </w:r>
      </w:hyperlink>
      <w:r w:rsidRPr="00CC5451">
        <w:rPr>
          <w:rFonts w:cstheme="minorHAnsi"/>
        </w:rPr>
        <w:t xml:space="preserve">, AM. SOC’Y FOR GASTROINTESTINAL ENDOSCOPY, </w:t>
      </w:r>
      <w:hyperlink r:id="rId27" w:history="1">
        <w:r w:rsidRPr="00BF6B51">
          <w:rPr>
            <w:rStyle w:val="Hyperlink"/>
            <w:rFonts w:cstheme="minorHAnsi"/>
            <w:color w:val="234170" w:themeColor="text2" w:themeShade="BF"/>
          </w:rPr>
          <w:t>https://www.asge.org/home/about-asge/newsroom/media-backgrounders-detail/colorectal-cancer-screening</w:t>
        </w:r>
      </w:hyperlink>
      <w:r w:rsidRPr="00CC5451">
        <w:rPr>
          <w:rFonts w:cstheme="minorHAnsi"/>
        </w:rPr>
        <w:t xml:space="preserve"> (last reviewed 2017).  </w:t>
      </w:r>
    </w:p>
  </w:endnote>
  <w:endnote w:id="16">
    <w:p w14:paraId="3949B3C0" w14:textId="77777777" w:rsidR="00173EAB" w:rsidRPr="00CC5451" w:rsidRDefault="00173EAB" w:rsidP="00173EAB">
      <w:pPr>
        <w:pStyle w:val="EndnoteText"/>
        <w:rPr>
          <w:rFonts w:cstheme="minorHAnsi"/>
        </w:rPr>
      </w:pPr>
      <w:r w:rsidRPr="00CC5451">
        <w:rPr>
          <w:rStyle w:val="EndnoteReference"/>
          <w:rFonts w:cstheme="minorHAnsi"/>
        </w:rPr>
        <w:endnoteRef/>
      </w:r>
      <w:r w:rsidRPr="00CC5451">
        <w:rPr>
          <w:rFonts w:cstheme="minorHAnsi"/>
        </w:rPr>
        <w:t xml:space="preserve"> </w:t>
      </w:r>
      <w:hyperlink r:id="rId28" w:anchor=":~:text=The%20American%20Cancer%20Society's%20estimates,men%20and%2018%2C890%20in%20women" w:history="1">
        <w:r w:rsidRPr="00BF6B51">
          <w:rPr>
            <w:rStyle w:val="Hyperlink"/>
            <w:rFonts w:cstheme="minorHAnsi"/>
            <w:color w:val="234170" w:themeColor="text2" w:themeShade="BF"/>
          </w:rPr>
          <w:t>American Cancer Society. Key Statistics for Colorectal Cancer.</w:t>
        </w:r>
      </w:hyperlink>
      <w:r w:rsidRPr="00CC5451">
        <w:rPr>
          <w:rFonts w:cstheme="minorHAnsi"/>
        </w:rPr>
        <w:t xml:space="preserve"> </w:t>
      </w:r>
    </w:p>
    <w:p w14:paraId="5B81A397" w14:textId="77777777" w:rsidR="00173EAB" w:rsidRPr="00CC5451" w:rsidRDefault="00173EAB" w:rsidP="00173EAB">
      <w:pPr>
        <w:pStyle w:val="EndnoteText"/>
        <w:rPr>
          <w:rFonts w:cstheme="minorHAnsi"/>
        </w:rPr>
      </w:pPr>
      <w:hyperlink r:id="rId29" w:anchor=":~:text=The%20American%20Cancer%20Society's%20estimates,men%20and%2018%2C890%20in%20women" w:history="1">
        <w:r w:rsidRPr="00BF6B51">
          <w:rPr>
            <w:rStyle w:val="Hyperlink"/>
            <w:rFonts w:cstheme="minorHAnsi"/>
            <w:color w:val="234170" w:themeColor="text2" w:themeShade="BF"/>
          </w:rPr>
          <w:t>https://www.cancer.org/cancer/types/colon-rectal-cancer/about/key-statistics.html#:~:text=The%20American%20Cancer%20Society's%20estimates,men%20and%2018%2C890%20in%20women</w:t>
        </w:r>
      </w:hyperlink>
      <w:r w:rsidRPr="00CC5451">
        <w:rPr>
          <w:rFonts w:cstheme="minorHAnsi"/>
        </w:rPr>
        <w:t xml:space="preserve"> </w:t>
      </w:r>
    </w:p>
  </w:endnote>
  <w:endnote w:id="17">
    <w:p w14:paraId="694648CE" w14:textId="437E6672" w:rsidR="00173EAB" w:rsidRPr="00CC5451" w:rsidRDefault="00173EAB" w:rsidP="00173EAB">
      <w:pPr>
        <w:pStyle w:val="EndnoteText"/>
        <w:rPr>
          <w:rFonts w:cstheme="minorHAnsi"/>
        </w:rPr>
      </w:pPr>
      <w:r w:rsidRPr="00CC5451">
        <w:rPr>
          <w:rStyle w:val="EndnoteReference"/>
          <w:rFonts w:cstheme="minorHAnsi"/>
        </w:rPr>
        <w:endnoteRef/>
      </w:r>
      <w:r w:rsidRPr="00CC5451">
        <w:rPr>
          <w:rFonts w:cstheme="minorHAnsi"/>
        </w:rPr>
        <w:t xml:space="preserve"> </w:t>
      </w:r>
      <w:hyperlink r:id="rId30" w:anchor=":~:text=The%20American%20Cancer%20Society's%20estimates,men%20and%2018%2C890%20in%20women" w:history="1">
        <w:r w:rsidRPr="00BF6B51">
          <w:rPr>
            <w:rStyle w:val="Hyperlink"/>
            <w:rFonts w:cstheme="minorHAnsi"/>
            <w:color w:val="234170" w:themeColor="text2" w:themeShade="BF"/>
          </w:rPr>
          <w:t>American Cancer Society. Key Statistics for Colorectal Cancer.</w:t>
        </w:r>
      </w:hyperlink>
      <w:r w:rsidRPr="00CC5451">
        <w:rPr>
          <w:rFonts w:cstheme="minorHAnsi"/>
        </w:rPr>
        <w:t xml:space="preserve"> </w:t>
      </w:r>
      <w:hyperlink r:id="rId31" w:anchor=":~:text=The%20American%20Cancer%20Society's%20estimates,men%20and%2018%2C890%20in%20women" w:history="1">
        <w:r w:rsidR="00CC5451" w:rsidRPr="00BF6B51">
          <w:rPr>
            <w:rStyle w:val="Hyperlink"/>
            <w:rFonts w:cstheme="minorHAnsi"/>
            <w:color w:val="234170" w:themeColor="text2" w:themeShade="BF"/>
          </w:rPr>
          <w:t>https://www.cancer.org/cancer/types/colon-rectal-cancer/about/key-statistics.html#:~:text=The%20American%20Cancer%20Society's%20estimates,men%20and%2018%2C890%20in%20women</w:t>
        </w:r>
      </w:hyperlink>
      <w:r w:rsidRPr="00CC5451">
        <w:rPr>
          <w:rFonts w:cstheme="minorHAnsi"/>
        </w:rPr>
        <w:t xml:space="preserve"> </w:t>
      </w:r>
    </w:p>
  </w:endnote>
  <w:endnote w:id="18">
    <w:p w14:paraId="4863EC70" w14:textId="77777777" w:rsidR="00173EAB" w:rsidRPr="00CC5451" w:rsidRDefault="00173EAB" w:rsidP="00173EAB">
      <w:pPr>
        <w:pStyle w:val="EndnoteText"/>
        <w:rPr>
          <w:rFonts w:cstheme="minorHAnsi"/>
        </w:rPr>
      </w:pPr>
      <w:r w:rsidRPr="00CC5451">
        <w:rPr>
          <w:rStyle w:val="EndnoteReference"/>
          <w:rFonts w:cstheme="minorHAnsi"/>
        </w:rPr>
        <w:endnoteRef/>
      </w:r>
      <w:r w:rsidRPr="00CC5451">
        <w:rPr>
          <w:rFonts w:cstheme="minorHAnsi"/>
        </w:rPr>
        <w:t xml:space="preserve"> </w:t>
      </w:r>
      <w:hyperlink r:id="rId32" w:anchor=":~:text=The%20American%20Cancer%20Society's%20estimates,men%20and%2018%2C890%20in%20women" w:history="1">
        <w:r w:rsidRPr="00BF6B51">
          <w:rPr>
            <w:rStyle w:val="Hyperlink"/>
            <w:rFonts w:cstheme="minorHAnsi"/>
            <w:color w:val="234170" w:themeColor="text2" w:themeShade="BF"/>
          </w:rPr>
          <w:t>American Cancer Society. Key Statistics for Colorectal Cancer.</w:t>
        </w:r>
      </w:hyperlink>
      <w:r w:rsidRPr="00CC5451">
        <w:rPr>
          <w:rFonts w:cstheme="minorHAnsi"/>
        </w:rPr>
        <w:t xml:space="preserve"> </w:t>
      </w:r>
    </w:p>
    <w:p w14:paraId="3C726A37" w14:textId="77777777" w:rsidR="00173EAB" w:rsidRPr="00CC5451" w:rsidRDefault="00173EAB" w:rsidP="00173EAB">
      <w:pPr>
        <w:pStyle w:val="EndnoteText"/>
        <w:rPr>
          <w:rFonts w:cstheme="minorHAnsi"/>
        </w:rPr>
      </w:pPr>
      <w:hyperlink r:id="rId33" w:anchor=":~:text=The%20American%20Cancer%20Society's%20estimates,men%20and%2018%2C890%20in%20women" w:history="1">
        <w:r w:rsidRPr="00BF6B51">
          <w:rPr>
            <w:rStyle w:val="Hyperlink"/>
            <w:rFonts w:cstheme="minorHAnsi"/>
            <w:color w:val="234170" w:themeColor="text2" w:themeShade="BF"/>
          </w:rPr>
          <w:t>https://www.cancer.org/cancer/types/colon-rectal-cancer/about/key-statistics.html#:~:text=The%20American%20Cancer%20Society's%20estimates,men%20and%2018%2C890%20in%20women</w:t>
        </w:r>
      </w:hyperlink>
      <w:r w:rsidRPr="00CC5451">
        <w:rPr>
          <w:rFonts w:cstheme="minorHAnsi"/>
        </w:rPr>
        <w:t xml:space="preserve"> </w:t>
      </w:r>
    </w:p>
  </w:endnote>
  <w:endnote w:id="19">
    <w:p w14:paraId="0C619E8B" w14:textId="3239D417" w:rsidR="00173EAB" w:rsidRPr="00CC5451" w:rsidRDefault="00173EAB" w:rsidP="00173EAB">
      <w:pPr>
        <w:pStyle w:val="EndnoteText"/>
        <w:rPr>
          <w:rFonts w:cstheme="minorHAnsi"/>
        </w:rPr>
      </w:pPr>
      <w:r w:rsidRPr="00CC5451">
        <w:rPr>
          <w:rStyle w:val="EndnoteReference"/>
          <w:rFonts w:cstheme="minorHAnsi"/>
        </w:rPr>
        <w:endnoteRef/>
      </w:r>
      <w:r w:rsidRPr="00CC5451">
        <w:rPr>
          <w:rFonts w:cstheme="minorHAnsi"/>
        </w:rPr>
        <w:t xml:space="preserve"> Koh B, Tan DJH, Ng CH, et al. Patterns in Cancer Incidence Among People Younger Than 50 Years in the US, 2010 to 2019. JAMA Netw Open. 2023;6(8):e2328171. doi:10.1001/jamanetworkopen.2023.28171</w:t>
      </w:r>
    </w:p>
  </w:endnote>
  <w:endnote w:id="20">
    <w:p w14:paraId="180BF6D1" w14:textId="77777777" w:rsidR="00173EAB" w:rsidRPr="00CC5451" w:rsidRDefault="00173EAB" w:rsidP="00173EAB">
      <w:pPr>
        <w:pStyle w:val="EndnoteText"/>
        <w:rPr>
          <w:rFonts w:cstheme="minorHAnsi"/>
        </w:rPr>
      </w:pPr>
      <w:r w:rsidRPr="00CC5451">
        <w:rPr>
          <w:rStyle w:val="EndnoteReference"/>
          <w:rFonts w:cstheme="minorHAnsi"/>
        </w:rPr>
        <w:endnoteRef/>
      </w:r>
      <w:r w:rsidRPr="00CC5451">
        <w:rPr>
          <w:rFonts w:cstheme="minorHAnsi"/>
        </w:rPr>
        <w:t xml:space="preserve"> </w:t>
      </w:r>
      <w:hyperlink r:id="rId34" w:history="1">
        <w:r w:rsidRPr="00BF6B51">
          <w:rPr>
            <w:rStyle w:val="Hyperlink"/>
            <w:rFonts w:cstheme="minorHAnsi"/>
            <w:color w:val="234170" w:themeColor="text2" w:themeShade="BF"/>
          </w:rPr>
          <w:t>Clinician Summary of USPSTF Recommendation Screening for Colorectal Cancer</w:t>
        </w:r>
      </w:hyperlink>
      <w:r w:rsidRPr="00CC5451">
        <w:rPr>
          <w:rFonts w:cstheme="minorHAnsi"/>
        </w:rPr>
        <w:t xml:space="preserve">. May 2021. </w:t>
      </w:r>
      <w:hyperlink r:id="rId35" w:history="1">
        <w:r w:rsidRPr="00BF6B51">
          <w:rPr>
            <w:rStyle w:val="Hyperlink"/>
            <w:rFonts w:cstheme="minorHAnsi"/>
            <w:color w:val="234170" w:themeColor="text2" w:themeShade="BF"/>
          </w:rPr>
          <w:t>file:///C:/Users/LClarke/Downloads/colorectal-cancer-screening-final-rec-clinician-summary.pdf</w:t>
        </w:r>
      </w:hyperlink>
      <w:r w:rsidRPr="00CC5451">
        <w:rPr>
          <w:rFonts w:cstheme="minorHAnsi"/>
        </w:rPr>
        <w:t xml:space="preserve"> </w:t>
      </w:r>
    </w:p>
  </w:endnote>
  <w:endnote w:id="21">
    <w:p w14:paraId="1E086BDF" w14:textId="77777777" w:rsidR="00173EAB" w:rsidRPr="00CC5451" w:rsidRDefault="00173EAB" w:rsidP="00173EAB">
      <w:pPr>
        <w:pStyle w:val="EndnoteText"/>
        <w:rPr>
          <w:rFonts w:cstheme="minorHAnsi"/>
        </w:rPr>
      </w:pPr>
      <w:r w:rsidRPr="00CC5451">
        <w:rPr>
          <w:rStyle w:val="EndnoteReference"/>
          <w:rFonts w:cstheme="minorHAnsi"/>
        </w:rPr>
        <w:endnoteRef/>
      </w:r>
      <w:r w:rsidRPr="00CC5451">
        <w:rPr>
          <w:rFonts w:cstheme="minorHAnsi"/>
        </w:rPr>
        <w:t xml:space="preserve"> Desai, N. Harvard Health Publishing. </w:t>
      </w:r>
      <w:hyperlink r:id="rId36" w:history="1">
        <w:r w:rsidRPr="00BF6B51">
          <w:rPr>
            <w:rStyle w:val="Hyperlink"/>
            <w:rFonts w:cstheme="minorHAnsi"/>
            <w:color w:val="234170" w:themeColor="text2" w:themeShade="BF"/>
          </w:rPr>
          <w:t>Colon cancer screening decisions: What's the best option and when?</w:t>
        </w:r>
      </w:hyperlink>
      <w:r w:rsidRPr="00CC5451">
        <w:rPr>
          <w:rFonts w:cstheme="minorHAnsi"/>
        </w:rPr>
        <w:t xml:space="preserve"> June 15, 2022. </w:t>
      </w:r>
      <w:hyperlink r:id="rId37" w:history="1">
        <w:r w:rsidRPr="00BF6B51">
          <w:rPr>
            <w:rStyle w:val="Hyperlink"/>
            <w:rFonts w:cstheme="minorHAnsi"/>
            <w:color w:val="234170" w:themeColor="text2" w:themeShade="BF"/>
          </w:rPr>
          <w:t>https://www.health.harvard.edu/blog/colon-cancer-screening-decisions-whats-the-best-option-and-when-202206152762</w:t>
        </w:r>
      </w:hyperlink>
      <w:r w:rsidRPr="00CC5451">
        <w:rPr>
          <w:rFonts w:cstheme="minorHAnsi"/>
        </w:rPr>
        <w:t xml:space="preserve"> </w:t>
      </w:r>
    </w:p>
  </w:endnote>
  <w:endnote w:id="22">
    <w:p w14:paraId="441F097A" w14:textId="77777777" w:rsidR="00173EAB" w:rsidRPr="00CC5451" w:rsidRDefault="00173EAB" w:rsidP="00173EAB">
      <w:pPr>
        <w:pStyle w:val="EndnoteText"/>
        <w:rPr>
          <w:rFonts w:cstheme="minorHAnsi"/>
        </w:rPr>
      </w:pPr>
      <w:r w:rsidRPr="00CC5451">
        <w:rPr>
          <w:rStyle w:val="EndnoteReference"/>
          <w:rFonts w:cstheme="minorHAnsi"/>
        </w:rPr>
        <w:endnoteRef/>
      </w:r>
      <w:r w:rsidRPr="00CC5451">
        <w:rPr>
          <w:rFonts w:cstheme="minorHAnsi"/>
        </w:rPr>
        <w:t xml:space="preserve"> </w:t>
      </w:r>
      <w:hyperlink r:id="rId38" w:history="1">
        <w:r w:rsidRPr="00BF6B51">
          <w:rPr>
            <w:rStyle w:val="Hyperlink"/>
            <w:rFonts w:cstheme="minorHAnsi"/>
            <w:color w:val="234170" w:themeColor="text2" w:themeShade="BF"/>
          </w:rPr>
          <w:t>Clinician Summary of USPSTF Recommendation Screening for Colorectal Cancer</w:t>
        </w:r>
      </w:hyperlink>
      <w:r w:rsidRPr="00CC5451">
        <w:rPr>
          <w:rFonts w:cstheme="minorHAnsi"/>
        </w:rPr>
        <w:t xml:space="preserve">. May 2021. </w:t>
      </w:r>
      <w:hyperlink r:id="rId39" w:history="1">
        <w:r w:rsidRPr="00BF6B51">
          <w:rPr>
            <w:rStyle w:val="Hyperlink"/>
            <w:rFonts w:cstheme="minorHAnsi"/>
            <w:color w:val="234170" w:themeColor="text2" w:themeShade="BF"/>
          </w:rPr>
          <w:t>file:///C:/Users/LClarke/Downloads/colorectal-cancer-screening-final-rec-clinician-summary.pdf</w:t>
        </w:r>
      </w:hyperlink>
      <w:r w:rsidRPr="00CC5451">
        <w:rPr>
          <w:rFonts w:cstheme="minorHAnsi"/>
        </w:rPr>
        <w:t xml:space="preserve"> </w:t>
      </w:r>
    </w:p>
  </w:endnote>
  <w:endnote w:id="23">
    <w:p w14:paraId="75BB6163" w14:textId="77777777" w:rsidR="00173EAB" w:rsidRPr="00CC5451" w:rsidRDefault="00173EAB" w:rsidP="00173EAB">
      <w:pPr>
        <w:pStyle w:val="EndnoteText"/>
        <w:rPr>
          <w:rFonts w:cstheme="minorHAnsi"/>
        </w:rPr>
      </w:pPr>
      <w:r w:rsidRPr="00CC5451">
        <w:rPr>
          <w:rStyle w:val="EndnoteReference"/>
          <w:rFonts w:cstheme="minorHAnsi"/>
        </w:rPr>
        <w:endnoteRef/>
      </w:r>
      <w:r w:rsidRPr="00CC5451">
        <w:rPr>
          <w:rFonts w:cstheme="minorHAnsi"/>
        </w:rPr>
        <w:t xml:space="preserve"> Corley DA, Jensen CD, Marks AR, Zhao WK, Lee JK, Doubeni CA, Zauber AG, de Boer J, Fireman BH, Schottinger JE, Quinn VP, Ghai NR, Levin TR, Quesenberry CP. Adenoma detection rate and risk of colorectal cancer and death. N Engl J Med. 2014 Apr 3;370(14):1298-306. doi: 10.1056/NEJMoa1309086. PMID: 24693890; PMCID: PMC4036494.</w:t>
      </w:r>
    </w:p>
  </w:endnote>
  <w:endnote w:id="24">
    <w:p w14:paraId="30940B87" w14:textId="77777777" w:rsidR="00173EAB" w:rsidRPr="00CC5451" w:rsidRDefault="00173EAB" w:rsidP="00173EAB">
      <w:pPr>
        <w:pStyle w:val="EndnoteText"/>
        <w:rPr>
          <w:rFonts w:cstheme="minorHAnsi"/>
        </w:rPr>
      </w:pPr>
      <w:r w:rsidRPr="00CC5451">
        <w:rPr>
          <w:rStyle w:val="EndnoteReference"/>
          <w:rFonts w:cstheme="minorHAnsi"/>
        </w:rPr>
        <w:endnoteRef/>
      </w:r>
      <w:r w:rsidRPr="00CC5451">
        <w:rPr>
          <w:rFonts w:cstheme="minorHAnsi"/>
        </w:rPr>
        <w:t xml:space="preserve"> </w:t>
      </w:r>
      <w:hyperlink r:id="rId40" w:history="1">
        <w:r w:rsidRPr="00BF6B51">
          <w:rPr>
            <w:rStyle w:val="Hyperlink"/>
            <w:rFonts w:cstheme="minorHAnsi"/>
            <w:color w:val="234170" w:themeColor="text2" w:themeShade="BF"/>
          </w:rPr>
          <w:t>American Gastroenterological Association. Follow-up after colonoscopy and polypectomy.</w:t>
        </w:r>
      </w:hyperlink>
      <w:r w:rsidRPr="00CC5451">
        <w:rPr>
          <w:rFonts w:cstheme="minorHAnsi"/>
        </w:rPr>
        <w:t xml:space="preserve"> </w:t>
      </w:r>
    </w:p>
    <w:p w14:paraId="3A8AF78F" w14:textId="77777777" w:rsidR="00173EAB" w:rsidRPr="00CC5451" w:rsidRDefault="00173EAB" w:rsidP="00173EAB">
      <w:pPr>
        <w:pStyle w:val="EndnoteText"/>
        <w:rPr>
          <w:rFonts w:cstheme="minorHAnsi"/>
        </w:rPr>
      </w:pPr>
      <w:hyperlink r:id="rId41" w:history="1">
        <w:r w:rsidRPr="00BF6B51">
          <w:rPr>
            <w:rStyle w:val="Hyperlink"/>
            <w:rFonts w:cstheme="minorHAnsi"/>
            <w:color w:val="234170" w:themeColor="text2" w:themeShade="BF"/>
          </w:rPr>
          <w:t>https://gastro.org/clinical-guidance/follow-up-after-colonoscopy-and-polypectomy-a-consensus-update-by-the-u-s-multi-society-task-force-on-colorectal-cancer/</w:t>
        </w:r>
      </w:hyperlink>
      <w:r w:rsidRPr="00CC5451">
        <w:rPr>
          <w:rFonts w:cstheme="minorHAnsi"/>
        </w:rPr>
        <w:t xml:space="preserve"> </w:t>
      </w:r>
    </w:p>
  </w:endnote>
  <w:endnote w:id="25">
    <w:p w14:paraId="004807AA" w14:textId="77777777" w:rsidR="00173EAB" w:rsidRPr="00CC5451" w:rsidRDefault="00173EAB" w:rsidP="00173EAB">
      <w:pPr>
        <w:pStyle w:val="EndnoteText"/>
        <w:rPr>
          <w:rFonts w:cstheme="minorHAnsi"/>
        </w:rPr>
      </w:pPr>
      <w:r w:rsidRPr="00CC5451">
        <w:rPr>
          <w:rStyle w:val="EndnoteReference"/>
          <w:rFonts w:cstheme="minorHAnsi"/>
        </w:rPr>
        <w:endnoteRef/>
      </w:r>
      <w:r w:rsidRPr="00CC5451">
        <w:rPr>
          <w:rFonts w:cstheme="minorHAnsi"/>
        </w:rPr>
        <w:t xml:space="preserve"> </w:t>
      </w:r>
      <w:hyperlink r:id="rId42" w:history="1">
        <w:r w:rsidRPr="00BF6B51">
          <w:rPr>
            <w:rStyle w:val="Hyperlink"/>
            <w:rFonts w:cstheme="minorHAnsi"/>
            <w:color w:val="234170" w:themeColor="text2" w:themeShade="BF"/>
          </w:rPr>
          <w:t>Gastroenterology Consultants of San Antonio. Is a Cologuard Test as Good as a Colonoscopy?</w:t>
        </w:r>
      </w:hyperlink>
      <w:r w:rsidRPr="00CC5451">
        <w:rPr>
          <w:rFonts w:cstheme="minorHAnsi"/>
        </w:rPr>
        <w:t xml:space="preserve"> February 3, 2023. </w:t>
      </w:r>
      <w:hyperlink r:id="rId43" w:history="1">
        <w:r w:rsidRPr="00BF6B51">
          <w:rPr>
            <w:rStyle w:val="Hyperlink"/>
            <w:rFonts w:cstheme="minorHAnsi"/>
            <w:color w:val="234170" w:themeColor="text2" w:themeShade="BF"/>
          </w:rPr>
          <w:t>https://www.gastroconsa.com/is-cologuard-as-good-as-colonoscopy/</w:t>
        </w:r>
      </w:hyperlink>
      <w:r w:rsidRPr="00CC5451">
        <w:rPr>
          <w:rFonts w:cstheme="minorHAnsi"/>
        </w:rPr>
        <w:t xml:space="preserve"> </w:t>
      </w:r>
    </w:p>
  </w:endnote>
  <w:endnote w:id="26">
    <w:p w14:paraId="665AA8A5" w14:textId="77777777" w:rsidR="00173EAB" w:rsidRPr="00CC5451" w:rsidRDefault="00173EAB" w:rsidP="00173EAB">
      <w:pPr>
        <w:pStyle w:val="EndnoteText"/>
        <w:rPr>
          <w:rFonts w:cstheme="minorHAnsi"/>
        </w:rPr>
      </w:pPr>
      <w:r w:rsidRPr="00CC5451">
        <w:rPr>
          <w:rStyle w:val="EndnoteReference"/>
          <w:rFonts w:cstheme="minorHAnsi"/>
        </w:rPr>
        <w:endnoteRef/>
      </w:r>
      <w:r w:rsidRPr="00CC5451">
        <w:rPr>
          <w:rFonts w:cstheme="minorHAnsi"/>
        </w:rPr>
        <w:t xml:space="preserve"> Desai, N. Harvard Health Publishing. </w:t>
      </w:r>
      <w:hyperlink r:id="rId44" w:history="1">
        <w:r w:rsidRPr="00BF6B51">
          <w:rPr>
            <w:rStyle w:val="Hyperlink"/>
            <w:rFonts w:cstheme="minorHAnsi"/>
            <w:color w:val="234170" w:themeColor="text2" w:themeShade="BF"/>
          </w:rPr>
          <w:t>Colon cancer screening decisions: What's the best option and when?</w:t>
        </w:r>
      </w:hyperlink>
      <w:r w:rsidRPr="00CC5451">
        <w:rPr>
          <w:rFonts w:cstheme="minorHAnsi"/>
        </w:rPr>
        <w:t xml:space="preserve"> June 15, 2022. </w:t>
      </w:r>
      <w:hyperlink r:id="rId45" w:history="1">
        <w:r w:rsidRPr="00BF6B51">
          <w:rPr>
            <w:rStyle w:val="Hyperlink"/>
            <w:rFonts w:cstheme="minorHAnsi"/>
            <w:color w:val="234170" w:themeColor="text2" w:themeShade="BF"/>
          </w:rPr>
          <w:t>https://www.health.harvard.edu/blog/colon-cancer-screening-decisions-whats-the-best-option-and-when-202206152762</w:t>
        </w:r>
      </w:hyperlink>
      <w:r w:rsidRPr="00CC5451">
        <w:rPr>
          <w:rFonts w:cstheme="minorHAnsi"/>
        </w:rPr>
        <w:t xml:space="preserve"> </w:t>
      </w:r>
    </w:p>
  </w:endnote>
  <w:endnote w:id="27">
    <w:p w14:paraId="337C71C4" w14:textId="77777777" w:rsidR="00173EAB" w:rsidRPr="00CC5451" w:rsidRDefault="00173EAB" w:rsidP="00173EAB">
      <w:pPr>
        <w:pStyle w:val="EndnoteText"/>
        <w:rPr>
          <w:rFonts w:cstheme="minorHAnsi"/>
        </w:rPr>
      </w:pPr>
      <w:r w:rsidRPr="00CC5451">
        <w:rPr>
          <w:rStyle w:val="EndnoteReference"/>
          <w:rFonts w:cstheme="minorHAnsi"/>
        </w:rPr>
        <w:endnoteRef/>
      </w:r>
      <w:r w:rsidRPr="00CC5451">
        <w:rPr>
          <w:rFonts w:cstheme="minorHAnsi"/>
        </w:rPr>
        <w:t xml:space="preserve"> Munnich EL, Parente ST. Returns to specialization: Evidence from the outpatient surgery market. J Health Econ. 2018 Jan;57:147-167. doi: 10.1016/j.jhealeco.2017.11.004. Epub 2017 Dec 9. PMID: 29274521.</w:t>
      </w:r>
    </w:p>
  </w:endnote>
  <w:endnote w:id="28">
    <w:p w14:paraId="482549F0" w14:textId="77777777" w:rsidR="00173EAB" w:rsidRPr="00CC5451" w:rsidRDefault="00173EAB" w:rsidP="00173EAB">
      <w:pPr>
        <w:pStyle w:val="EndnoteText"/>
        <w:rPr>
          <w:rFonts w:cstheme="minorHAnsi"/>
        </w:rPr>
      </w:pPr>
      <w:r w:rsidRPr="00CC5451">
        <w:rPr>
          <w:rStyle w:val="EndnoteReference"/>
          <w:rFonts w:cstheme="minorHAnsi"/>
        </w:rPr>
        <w:endnoteRef/>
      </w:r>
      <w:r w:rsidRPr="00CC5451">
        <w:rPr>
          <w:rFonts w:cstheme="minorHAnsi"/>
        </w:rPr>
        <w:t xml:space="preserve"> Mukerji, S. </w:t>
      </w:r>
      <w:hyperlink r:id="rId46" w:history="1">
        <w:r w:rsidRPr="00BF6B51">
          <w:rPr>
            <w:rStyle w:val="Hyperlink"/>
            <w:rFonts w:cstheme="minorHAnsi"/>
            <w:i/>
            <w:iCs/>
            <w:color w:val="234170" w:themeColor="text2" w:themeShade="BF"/>
          </w:rPr>
          <w:t>Study Examines Patient Outcomes Across Settings Findings show ASCs, on average, provide higher quality care for outpatient procedures than hospitals</w:t>
        </w:r>
      </w:hyperlink>
      <w:r w:rsidRPr="00CC5451">
        <w:rPr>
          <w:rFonts w:cstheme="minorHAnsi"/>
          <w:i/>
          <w:iCs/>
        </w:rPr>
        <w:t>.</w:t>
      </w:r>
      <w:r w:rsidRPr="00CC5451">
        <w:rPr>
          <w:rFonts w:cstheme="minorHAnsi"/>
        </w:rPr>
        <w:t xml:space="preserve"> ASC Focus. June, 2018. </w:t>
      </w:r>
      <w:hyperlink r:id="rId47" w:history="1">
        <w:r w:rsidRPr="00BF6B51">
          <w:rPr>
            <w:rStyle w:val="Hyperlink"/>
            <w:rFonts w:cstheme="minorHAnsi"/>
            <w:color w:val="234170" w:themeColor="text2" w:themeShade="BF"/>
          </w:rPr>
          <w:t>https://www.ascfocus.org/ascfocus/content/articles-content/articles/2018/digital-debut/study-examines-patient-outcomes-across-settings</w:t>
        </w:r>
      </w:hyperlink>
      <w:r w:rsidRPr="00CC5451">
        <w:rPr>
          <w:rFonts w:cstheme="minorHAnsi"/>
        </w:rPr>
        <w:t xml:space="preserve"> </w:t>
      </w:r>
    </w:p>
  </w:endnote>
  <w:endnote w:id="29">
    <w:p w14:paraId="211A5152" w14:textId="77777777" w:rsidR="00C82F84" w:rsidRPr="00AF614D" w:rsidRDefault="00C82F84" w:rsidP="00173EAB">
      <w:pPr>
        <w:pStyle w:val="EndnoteText"/>
        <w:rPr>
          <w:rFonts w:cstheme="minorHAnsi"/>
        </w:rPr>
      </w:pPr>
      <w:r w:rsidRPr="00AF614D">
        <w:rPr>
          <w:rStyle w:val="EndnoteReference"/>
          <w:rFonts w:cstheme="minorHAnsi"/>
        </w:rPr>
        <w:endnoteRef/>
      </w:r>
      <w:r w:rsidRPr="00AF614D">
        <w:rPr>
          <w:rFonts w:cstheme="minorHAnsi"/>
        </w:rPr>
        <w:t xml:space="preserve"> </w:t>
      </w:r>
      <w:hyperlink r:id="rId48" w:history="1">
        <w:r w:rsidRPr="00BF6B51">
          <w:rPr>
            <w:rStyle w:val="Hyperlink"/>
            <w:rFonts w:cstheme="minorHAnsi"/>
            <w:color w:val="234170" w:themeColor="text2" w:themeShade="BF"/>
          </w:rPr>
          <w:t>Massachusetts Health Policy Commission, Issue 26: Trends in Ambulatory Surgical Centers in Massachusetts</w:t>
        </w:r>
      </w:hyperlink>
      <w:r w:rsidRPr="00AF614D">
        <w:rPr>
          <w:rFonts w:cstheme="minorHAnsi"/>
        </w:rPr>
        <w:t xml:space="preserve"> published in February viewed on July 18, 2024 at </w:t>
      </w:r>
      <w:hyperlink r:id="rId49" w:history="1">
        <w:r w:rsidRPr="00BF6B51">
          <w:rPr>
            <w:rStyle w:val="Hyperlink"/>
            <w:rFonts w:cstheme="minorHAnsi"/>
            <w:color w:val="234170" w:themeColor="text2" w:themeShade="BF"/>
          </w:rPr>
          <w:t>https://masshpc.gov/publications/datapoints-series/issue-26-trends-ambulatory-surgical-centers-massachusetts</w:t>
        </w:r>
      </w:hyperlink>
      <w:r w:rsidRPr="00AF614D">
        <w:rPr>
          <w:rFonts w:cstheme="minorHAnsi"/>
        </w:rPr>
        <w:t xml:space="preserve">  accessed July 2024</w:t>
      </w:r>
    </w:p>
  </w:endnote>
  <w:endnote w:id="30">
    <w:p w14:paraId="5C176F3A" w14:textId="39EC0EFB" w:rsidR="00C82F84" w:rsidRPr="001179F0" w:rsidRDefault="00C82F84" w:rsidP="001F16B3">
      <w:pPr>
        <w:pStyle w:val="BodyText"/>
        <w:rPr>
          <w:rFonts w:cstheme="minorHAnsi"/>
          <w:sz w:val="20"/>
          <w:szCs w:val="20"/>
        </w:rPr>
      </w:pPr>
      <w:r w:rsidRPr="001179F0">
        <w:rPr>
          <w:rStyle w:val="EndnoteReference"/>
          <w:rFonts w:cstheme="minorHAnsi"/>
          <w:sz w:val="20"/>
          <w:szCs w:val="20"/>
        </w:rPr>
        <w:endnoteRef/>
      </w:r>
      <w:r w:rsidRPr="001179F0">
        <w:rPr>
          <w:rFonts w:cstheme="minorHAnsi"/>
          <w:sz w:val="20"/>
          <w:szCs w:val="20"/>
        </w:rPr>
        <w:t xml:space="preserve"> </w:t>
      </w:r>
      <w:hyperlink r:id="rId50" w:history="1">
        <w:r w:rsidRPr="006946DB">
          <w:rPr>
            <w:rStyle w:val="Hyperlink"/>
            <w:rFonts w:cstheme="minorHAnsi"/>
            <w:i/>
            <w:color w:val="auto"/>
            <w:sz w:val="20"/>
            <w:szCs w:val="20"/>
            <w:u w:val="none"/>
          </w:rPr>
          <w:t>2021 Annual Health Care Cost Trends Report</w:t>
        </w:r>
      </w:hyperlink>
      <w:r w:rsidRPr="006946DB">
        <w:rPr>
          <w:rFonts w:cstheme="minorHAnsi"/>
          <w:sz w:val="20"/>
          <w:szCs w:val="20"/>
        </w:rPr>
        <w:t xml:space="preserve">, </w:t>
      </w:r>
      <w:r w:rsidRPr="001179F0">
        <w:rPr>
          <w:rFonts w:cstheme="minorHAnsi"/>
          <w:sz w:val="20"/>
          <w:szCs w:val="20"/>
        </w:rPr>
        <w:t>HPC (Sep. 2021) (</w:t>
      </w:r>
      <w:hyperlink r:id="rId51" w:history="1">
        <w:r w:rsidRPr="001179F0">
          <w:rPr>
            <w:rStyle w:val="Hyperlink1"/>
            <w:rFonts w:cstheme="minorHAnsi"/>
            <w:sz w:val="20"/>
            <w:szCs w:val="20"/>
          </w:rPr>
          <w:t>https://www.mass.gov/doc/2021-health-care-cost-trends-report/download</w:t>
        </w:r>
      </w:hyperlink>
      <w:r w:rsidRPr="001179F0">
        <w:rPr>
          <w:rFonts w:cstheme="minorHAnsi"/>
          <w:sz w:val="20"/>
          <w:szCs w:val="20"/>
        </w:rPr>
        <w:t xml:space="preserve">). </w:t>
      </w:r>
    </w:p>
  </w:endnote>
  <w:endnote w:id="31">
    <w:p w14:paraId="6A143A08" w14:textId="147DC22F" w:rsidR="008E7DC1" w:rsidRPr="00CC5451" w:rsidRDefault="008E7DC1" w:rsidP="008E7DC1">
      <w:pPr>
        <w:pStyle w:val="EndnoteText"/>
        <w:contextualSpacing/>
        <w:rPr>
          <w:rFonts w:cstheme="minorHAnsi"/>
        </w:rPr>
      </w:pPr>
      <w:r w:rsidRPr="00CC5451">
        <w:rPr>
          <w:rStyle w:val="EndnoteReference"/>
          <w:rFonts w:cstheme="minorHAnsi"/>
        </w:rPr>
        <w:endnoteRef/>
      </w:r>
      <w:r w:rsidRPr="00CC5451">
        <w:rPr>
          <w:rFonts w:cstheme="minorHAnsi"/>
        </w:rPr>
        <w:t xml:space="preserve"> </w:t>
      </w:r>
      <w:hyperlink r:id="rId52" w:history="1">
        <w:r w:rsidRPr="006946DB">
          <w:rPr>
            <w:rStyle w:val="Hyperlink"/>
            <w:rFonts w:eastAsia="Times New Roman" w:cstheme="minorHAnsi"/>
            <w:color w:val="auto"/>
            <w:u w:val="none"/>
          </w:rPr>
          <w:t>Community Engagement Standards for Community Health Planning Guideline</w:t>
        </w:r>
      </w:hyperlink>
      <w:r w:rsidRPr="006946DB">
        <w:rPr>
          <w:rFonts w:eastAsia="Times New Roman" w:cstheme="minorHAnsi"/>
        </w:rPr>
        <w:t xml:space="preserve">. </w:t>
      </w:r>
      <w:hyperlink r:id="rId53" w:history="1">
        <w:r w:rsidR="006946DB" w:rsidRPr="006946DB">
          <w:rPr>
            <w:rStyle w:val="Hyperlink"/>
            <w:rFonts w:eastAsia="Times New Roman" w:cstheme="minorHAnsi"/>
            <w:color w:val="auto"/>
            <w:u w:val="none"/>
          </w:rPr>
          <w:t>https://www.mass.gov/doc/community-engagement-guidelines-for-community-health-planning-pdf/download</w:t>
        </w:r>
      </w:hyperlink>
      <w:r w:rsidR="006946DB" w:rsidRPr="006946DB">
        <w:rPr>
          <w:rFonts w:eastAsia="Times New Roman" w:cstheme="minorHAnsi"/>
        </w:rPr>
        <w:t xml:space="preserve"> </w:t>
      </w:r>
      <w:r w:rsidRPr="006946DB">
        <w:rPr>
          <w:rFonts w:eastAsia="Times New Roman" w:cstheme="minorHAnsi"/>
        </w:rPr>
        <w:t>.</w:t>
      </w:r>
      <w:r w:rsidRPr="006946DB">
        <w:rPr>
          <w:rFonts w:cstheme="minorHAnsi"/>
        </w:rPr>
        <w:t xml:space="preserve"> </w:t>
      </w:r>
    </w:p>
  </w:endnote>
  <w:endnote w:id="32">
    <w:p w14:paraId="2503475C" w14:textId="6691E927" w:rsidR="008E7DC1" w:rsidRPr="00CC5451" w:rsidRDefault="008E7DC1" w:rsidP="008E7DC1">
      <w:pPr>
        <w:pStyle w:val="EndnoteText"/>
        <w:rPr>
          <w:rFonts w:cstheme="minorHAnsi"/>
        </w:rPr>
      </w:pPr>
      <w:r w:rsidRPr="00CC5451">
        <w:rPr>
          <w:rStyle w:val="EndnoteReference"/>
          <w:rFonts w:cstheme="minorHAnsi"/>
        </w:rPr>
        <w:endnoteRef/>
      </w:r>
      <w:r w:rsidRPr="00CC5451">
        <w:rPr>
          <w:rFonts w:cstheme="minorHAnsi"/>
        </w:rPr>
        <w:t xml:space="preserve"> </w:t>
      </w:r>
      <w:hyperlink r:id="rId54" w:history="1">
        <w:r w:rsidRPr="00BF6B51">
          <w:rPr>
            <w:rStyle w:val="Hyperlink"/>
            <w:rFonts w:cstheme="minorHAnsi"/>
            <w:color w:val="234170" w:themeColor="text2" w:themeShade="BF"/>
            <w:u w:val="none"/>
          </w:rPr>
          <w:t>DoN Regulation 100.210 (A)(1)(e)</w:t>
        </w:r>
        <w:r w:rsidRPr="00BF6B51">
          <w:rPr>
            <w:rStyle w:val="Hyperlink"/>
            <w:rFonts w:cstheme="minorHAnsi"/>
            <w:color w:val="234170" w:themeColor="text2" w:themeShade="BF"/>
          </w:rPr>
          <w:t>.</w:t>
        </w:r>
      </w:hyperlink>
      <w:r w:rsidRPr="00CC5451">
        <w:rPr>
          <w:rFonts w:cstheme="minorHAnsi"/>
        </w:rPr>
        <w:t xml:space="preserve"> </w:t>
      </w:r>
      <w:hyperlink r:id="rId55" w:history="1">
        <w:r w:rsidRPr="00CC5451">
          <w:rPr>
            <w:rStyle w:val="Hyperlink"/>
            <w:rFonts w:cstheme="minorHAnsi"/>
            <w:color w:val="auto"/>
          </w:rPr>
          <w:t>at https://www.mass.gov/files/documents/2018/12/31/jud-lib-105cmr100.pdf</w:t>
        </w:r>
      </w:hyperlink>
      <w:r w:rsidRPr="00CC5451">
        <w:rPr>
          <w:rStyle w:val="Hyperlink"/>
          <w:rFonts w:cstheme="minorHAnsi"/>
          <w:color w:val="auto"/>
          <w:u w:val="none"/>
        </w:rPr>
        <w:t>.</w:t>
      </w:r>
    </w:p>
  </w:endnote>
  <w:endnote w:id="33">
    <w:p w14:paraId="55690FAB" w14:textId="77777777" w:rsidR="00C82F84" w:rsidRPr="0002195D" w:rsidRDefault="00C82F84" w:rsidP="00616FCA">
      <w:pPr>
        <w:pStyle w:val="EndnoteText"/>
        <w:rPr>
          <w:rFonts w:ascii="Calibri" w:hAnsi="Calibri" w:cs="Calibri"/>
        </w:rPr>
      </w:pPr>
      <w:r w:rsidRPr="0002195D">
        <w:rPr>
          <w:rStyle w:val="EndnoteReference"/>
          <w:rFonts w:ascii="Calibri" w:hAnsi="Calibri" w:cs="Calibri"/>
        </w:rPr>
        <w:endnoteRef/>
      </w:r>
      <w:r w:rsidRPr="0002195D">
        <w:rPr>
          <w:rFonts w:ascii="Calibri" w:hAnsi="Calibri" w:cs="Calibri"/>
        </w:rPr>
        <w:t xml:space="preserve"> </w:t>
      </w:r>
      <w:hyperlink r:id="rId56" w:history="1">
        <w:r w:rsidRPr="00BF6B51">
          <w:rPr>
            <w:rStyle w:val="Hyperlink"/>
            <w:rFonts w:ascii="Calibri" w:hAnsi="Calibri" w:cs="Calibri"/>
            <w:color w:val="234170" w:themeColor="text2" w:themeShade="BF"/>
          </w:rPr>
          <w:t>https://www.provista.com/blog/blog-listing/huge-cost-savings-and-other-benefits-boost-ambulatory-surgery-center-growth</w:t>
        </w:r>
      </w:hyperlink>
      <w:r w:rsidRPr="0002195D">
        <w:rPr>
          <w:rFonts w:ascii="Calibri" w:hAnsi="Calibri" w:cs="Calibri"/>
        </w:rPr>
        <w:t xml:space="preserve"> </w:t>
      </w:r>
    </w:p>
  </w:endnote>
  <w:endnote w:id="34">
    <w:p w14:paraId="3A8AFD85" w14:textId="77777777" w:rsidR="00C82F84" w:rsidRPr="00CC5451" w:rsidRDefault="00C82F84" w:rsidP="00616FCA">
      <w:pPr>
        <w:pStyle w:val="EndnoteText"/>
        <w:rPr>
          <w:rFonts w:cstheme="minorHAnsi"/>
        </w:rPr>
      </w:pPr>
      <w:r w:rsidRPr="00CC5451">
        <w:rPr>
          <w:rStyle w:val="EndnoteReference"/>
          <w:rFonts w:cstheme="minorHAnsi"/>
        </w:rPr>
        <w:endnoteRef/>
      </w:r>
      <w:r w:rsidRPr="00CC5451">
        <w:rPr>
          <w:rFonts w:cstheme="minorHAnsi"/>
        </w:rPr>
        <w:t xml:space="preserve"> </w:t>
      </w:r>
      <w:hyperlink r:id="rId57" w:history="1">
        <w:r w:rsidRPr="00BF6B51">
          <w:rPr>
            <w:rStyle w:val="Hyperlink"/>
            <w:rFonts w:cstheme="minorHAnsi"/>
            <w:color w:val="234170" w:themeColor="text2" w:themeShade="BF"/>
          </w:rPr>
          <w:t>https://www.beckersasc.com/gastroenterology-and-endoscopy/asc-vs-hopd-costs-for-5-most-common-gastroenterology-procedures.html</w:t>
        </w:r>
      </w:hyperlink>
      <w:r w:rsidRPr="00CC5451">
        <w:rPr>
          <w:rFonts w:cstheme="minorHAnsi"/>
        </w:rPr>
        <w:t xml:space="preserve"> </w:t>
      </w:r>
    </w:p>
  </w:endnote>
  <w:endnote w:id="35">
    <w:p w14:paraId="012CAE76" w14:textId="77777777" w:rsidR="00C82F84" w:rsidRPr="0002195D" w:rsidRDefault="00C82F84" w:rsidP="00616FCA">
      <w:pPr>
        <w:pStyle w:val="EndnoteText"/>
        <w:rPr>
          <w:rFonts w:ascii="Calibri" w:hAnsi="Calibri" w:cs="Calibri"/>
        </w:rPr>
      </w:pPr>
      <w:r w:rsidRPr="0002195D">
        <w:rPr>
          <w:rStyle w:val="EndnoteReference"/>
          <w:rFonts w:ascii="Calibri" w:hAnsi="Calibri" w:cs="Calibri"/>
        </w:rPr>
        <w:endnoteRef/>
      </w:r>
      <w:r w:rsidRPr="0002195D">
        <w:rPr>
          <w:rFonts w:ascii="Calibri" w:hAnsi="Calibri" w:cs="Calibri"/>
        </w:rPr>
        <w:t xml:space="preserve"> </w:t>
      </w:r>
      <w:hyperlink r:id="rId58" w:history="1">
        <w:r w:rsidRPr="00BF6B51">
          <w:rPr>
            <w:rStyle w:val="Hyperlink"/>
            <w:rFonts w:ascii="Calibri" w:hAnsi="Calibri" w:cs="Calibri"/>
            <w:color w:val="234170" w:themeColor="text2" w:themeShade="BF"/>
          </w:rPr>
          <w:t>Massachusetts Health Policy Commission, Issue 26: Trends in Ambulatory Surgical Centers in Massachusetts</w:t>
        </w:r>
      </w:hyperlink>
      <w:r w:rsidRPr="0002195D">
        <w:rPr>
          <w:rFonts w:ascii="Calibri" w:hAnsi="Calibri" w:cs="Calibri"/>
        </w:rPr>
        <w:t xml:space="preserve"> published in February viewed on July 18, 2024 at </w:t>
      </w:r>
      <w:hyperlink r:id="rId59" w:history="1">
        <w:r w:rsidRPr="00BF6B51">
          <w:rPr>
            <w:rStyle w:val="Hyperlink"/>
            <w:rFonts w:ascii="Calibri" w:hAnsi="Calibri" w:cs="Calibri"/>
            <w:color w:val="234170" w:themeColor="text2" w:themeShade="BF"/>
          </w:rPr>
          <w:t>https://masshpc.gov/publications/datapoints-series/issue-26-trends-ambulatory-surgical-centers-massachusetts</w:t>
        </w:r>
      </w:hyperlink>
      <w:r w:rsidRPr="0002195D">
        <w:rPr>
          <w:rFonts w:ascii="Calibri" w:hAnsi="Calibri" w:cs="Calibri"/>
        </w:rPr>
        <w:t xml:space="preserve">  accessed July 2024</w:t>
      </w:r>
    </w:p>
  </w:endnote>
  <w:endnote w:id="36">
    <w:p w14:paraId="2A2DA1DC" w14:textId="77777777" w:rsidR="00C82F84" w:rsidRPr="0002195D" w:rsidRDefault="00C82F84" w:rsidP="00616FCA">
      <w:pPr>
        <w:pStyle w:val="EndnoteText"/>
        <w:rPr>
          <w:rFonts w:ascii="Calibri" w:hAnsi="Calibri" w:cs="Calibri"/>
        </w:rPr>
      </w:pPr>
      <w:r w:rsidRPr="0002195D">
        <w:rPr>
          <w:rStyle w:val="EndnoteReference"/>
          <w:rFonts w:ascii="Calibri" w:hAnsi="Calibri" w:cs="Calibri"/>
        </w:rPr>
        <w:endnoteRef/>
      </w:r>
      <w:r w:rsidRPr="0002195D">
        <w:rPr>
          <w:rFonts w:ascii="Calibri" w:hAnsi="Calibri" w:cs="Calibri"/>
        </w:rPr>
        <w:t xml:space="preserve"> </w:t>
      </w:r>
      <w:hyperlink r:id="rId60" w:history="1">
        <w:r w:rsidRPr="00BF6B51">
          <w:rPr>
            <w:rStyle w:val="Hyperlink"/>
            <w:rFonts w:ascii="Calibri" w:hAnsi="Calibri" w:cs="Calibri"/>
            <w:color w:val="234170" w:themeColor="text2" w:themeShade="BF"/>
          </w:rPr>
          <w:t>Massachusetts Health Policy Commission, Issue 26: Trends in Ambulatory Surgical Centers in Massachusetts</w:t>
        </w:r>
      </w:hyperlink>
      <w:r w:rsidRPr="0002195D">
        <w:rPr>
          <w:rFonts w:ascii="Calibri" w:hAnsi="Calibri" w:cs="Calibri"/>
        </w:rPr>
        <w:t xml:space="preserve"> published in February viewed on July 18, 2024 at </w:t>
      </w:r>
      <w:hyperlink r:id="rId61" w:history="1">
        <w:r w:rsidRPr="00BF6B51">
          <w:rPr>
            <w:rStyle w:val="Hyperlink"/>
            <w:rFonts w:ascii="Calibri" w:hAnsi="Calibri" w:cs="Calibri"/>
            <w:color w:val="234170" w:themeColor="text2" w:themeShade="BF"/>
          </w:rPr>
          <w:t>https://masshpc.gov/publications/datapoints-series/issue-26-trends-ambulatory-surgical-centers-massachusetts</w:t>
        </w:r>
      </w:hyperlink>
      <w:r w:rsidRPr="0002195D">
        <w:rPr>
          <w:rFonts w:ascii="Calibri" w:hAnsi="Calibri" w:cs="Calibri"/>
        </w:rPr>
        <w:t xml:space="preserve">  accessed July 2024</w:t>
      </w:r>
    </w:p>
  </w:endnote>
  <w:endnote w:id="37">
    <w:p w14:paraId="33A74938" w14:textId="77777777" w:rsidR="00AF614D" w:rsidRPr="00CC5451" w:rsidRDefault="00AF614D" w:rsidP="00616FCA">
      <w:pPr>
        <w:pStyle w:val="EndnoteText"/>
        <w:rPr>
          <w:rFonts w:cstheme="minorHAnsi"/>
        </w:rPr>
      </w:pPr>
      <w:r w:rsidRPr="00CC5451">
        <w:rPr>
          <w:rStyle w:val="EndnoteReference"/>
          <w:rFonts w:cstheme="minorHAnsi"/>
        </w:rPr>
        <w:endnoteRef/>
      </w:r>
      <w:r w:rsidRPr="00CC5451">
        <w:rPr>
          <w:rFonts w:cstheme="minorHAnsi"/>
        </w:rPr>
        <w:t xml:space="preserve"> </w:t>
      </w:r>
      <w:hyperlink r:id="rId62" w:history="1">
        <w:r w:rsidRPr="00BF6B51">
          <w:rPr>
            <w:rStyle w:val="Hyperlink"/>
            <w:rFonts w:cstheme="minorHAnsi"/>
            <w:color w:val="234170" w:themeColor="text2" w:themeShade="BF"/>
          </w:rPr>
          <w:t>Preventing Breast, Cervical, and Colorectal Cancer Deaths:  Assessing the Impact of Increased Screening</w:t>
        </w:r>
      </w:hyperlink>
      <w:r w:rsidRPr="00CC5451">
        <w:rPr>
          <w:rFonts w:cstheme="minorHAnsi"/>
        </w:rPr>
        <w:t xml:space="preserve">; CDC; Preventing Chronic Disease; Krishna P. Sharma, PhD; Scott D. Grosse, PhD; Michael V. Maciosek, PhD; Djenaba Joseph, MD, MPH; Kakoli Roy, PhD; Lisa C. Richardson, MD, MPH; Harold Jaffe, MD.; </w:t>
      </w:r>
      <w:r w:rsidRPr="00CC5451">
        <w:rPr>
          <w:rFonts w:cstheme="minorHAnsi"/>
          <w:i/>
          <w:iCs/>
        </w:rPr>
        <w:t>available at</w:t>
      </w:r>
      <w:r w:rsidRPr="00CC5451">
        <w:rPr>
          <w:rFonts w:cstheme="minorHAnsi"/>
        </w:rPr>
        <w:t xml:space="preserve"> </w:t>
      </w:r>
      <w:hyperlink r:id="rId63" w:history="1">
        <w:r w:rsidRPr="00BF6B51">
          <w:rPr>
            <w:rStyle w:val="Hyperlink"/>
            <w:rFonts w:cstheme="minorHAnsi"/>
            <w:color w:val="234170" w:themeColor="text2" w:themeShade="BF"/>
          </w:rPr>
          <w:t>https://www.cdc.gov/pcd/issues/2020/20_0039.htm</w:t>
        </w:r>
      </w:hyperlink>
      <w:r w:rsidRPr="00CC5451">
        <w:rPr>
          <w:rFonts w:cstheme="minorHAnsi"/>
        </w:rPr>
        <w:t xml:space="preserve">.  </w:t>
      </w:r>
    </w:p>
  </w:endnote>
  <w:endnote w:id="38">
    <w:p w14:paraId="708DFD4C" w14:textId="65EBF019" w:rsidR="00C82F84" w:rsidRPr="00DF2901" w:rsidRDefault="00C82F84" w:rsidP="005C0BD1">
      <w:pPr>
        <w:pStyle w:val="BodyText"/>
        <w:spacing w:after="0" w:line="240" w:lineRule="auto"/>
        <w:rPr>
          <w:rFonts w:cstheme="minorHAnsi"/>
          <w:sz w:val="20"/>
          <w:szCs w:val="20"/>
        </w:rPr>
      </w:pPr>
      <w:r w:rsidRPr="00DF2901">
        <w:rPr>
          <w:rStyle w:val="EndnoteReference"/>
          <w:rFonts w:cstheme="minorHAnsi"/>
          <w:sz w:val="20"/>
          <w:szCs w:val="20"/>
        </w:rPr>
        <w:endnoteRef/>
      </w:r>
      <w:r w:rsidRPr="00DF2901">
        <w:rPr>
          <w:rFonts w:cstheme="minorHAnsi"/>
          <w:sz w:val="20"/>
          <w:szCs w:val="20"/>
        </w:rPr>
        <w:t xml:space="preserve"> </w:t>
      </w:r>
      <w:r w:rsidRPr="00DF2901">
        <w:rPr>
          <w:rFonts w:cstheme="minorHAnsi"/>
          <w:i/>
          <w:sz w:val="20"/>
          <w:szCs w:val="20"/>
        </w:rPr>
        <w:t>Supra</w:t>
      </w:r>
      <w:r w:rsidRPr="00DF2901">
        <w:rPr>
          <w:rFonts w:cstheme="minorHAnsi"/>
          <w:sz w:val="20"/>
          <w:szCs w:val="20"/>
        </w:rPr>
        <w:t xml:space="preserve">, note </w:t>
      </w:r>
      <w:r>
        <w:rPr>
          <w:rFonts w:cstheme="minorHAnsi"/>
          <w:sz w:val="20"/>
          <w:szCs w:val="20"/>
        </w:rPr>
        <w:t>5</w:t>
      </w:r>
      <w:r w:rsidRPr="00DF2901">
        <w:rPr>
          <w:rFonts w:cstheme="minorHAnsi"/>
          <w:sz w:val="20"/>
          <w:szCs w:val="20"/>
        </w:rPr>
        <w:t xml:space="preserve"> HPC DataPoints.</w:t>
      </w:r>
    </w:p>
  </w:endnote>
  <w:endnote w:id="39">
    <w:p w14:paraId="123B403A" w14:textId="04945BD5" w:rsidR="00C82F84" w:rsidRPr="00DF2901" w:rsidRDefault="00C82F84" w:rsidP="005C0BD1">
      <w:pPr>
        <w:pStyle w:val="BodyText"/>
        <w:spacing w:after="0" w:line="240" w:lineRule="auto"/>
        <w:rPr>
          <w:rFonts w:cstheme="minorHAnsi"/>
          <w:spacing w:val="-2"/>
          <w:sz w:val="20"/>
          <w:szCs w:val="20"/>
        </w:rPr>
      </w:pPr>
      <w:r w:rsidRPr="00DF2901">
        <w:rPr>
          <w:rStyle w:val="EndnoteReference"/>
          <w:rFonts w:cstheme="minorHAnsi"/>
          <w:sz w:val="20"/>
          <w:szCs w:val="20"/>
        </w:rPr>
        <w:endnoteRef/>
      </w:r>
      <w:r w:rsidRPr="00DF2901">
        <w:rPr>
          <w:rFonts w:cstheme="minorHAnsi"/>
          <w:sz w:val="20"/>
          <w:szCs w:val="20"/>
        </w:rPr>
        <w:t xml:space="preserve"> </w:t>
      </w:r>
      <w:r w:rsidRPr="00DF2901">
        <w:rPr>
          <w:rFonts w:cstheme="minorHAnsi"/>
          <w:i/>
          <w:sz w:val="20"/>
          <w:szCs w:val="20"/>
        </w:rPr>
        <w:t xml:space="preserve">See, </w:t>
      </w:r>
      <w:hyperlink r:id="rId64" w:history="1">
        <w:r w:rsidRPr="00894AD4">
          <w:rPr>
            <w:rStyle w:val="Hyperlink"/>
            <w:rFonts w:cstheme="minorHAnsi"/>
            <w:i/>
            <w:color w:val="auto"/>
            <w:sz w:val="20"/>
            <w:szCs w:val="20"/>
            <w:u w:val="none"/>
          </w:rPr>
          <w:t>2023 Annual Health Care Cost Trends Report and Policy Recommendations</w:t>
        </w:r>
      </w:hyperlink>
      <w:r w:rsidRPr="00894AD4">
        <w:rPr>
          <w:rFonts w:cstheme="minorHAnsi"/>
          <w:sz w:val="20"/>
          <w:szCs w:val="20"/>
        </w:rPr>
        <w:t xml:space="preserve"> 28, </w:t>
      </w:r>
      <w:r w:rsidRPr="00DF2901">
        <w:rPr>
          <w:rFonts w:cstheme="minorHAnsi"/>
          <w:smallCaps/>
          <w:sz w:val="20"/>
          <w:szCs w:val="20"/>
        </w:rPr>
        <w:t>HPC</w:t>
      </w:r>
      <w:r w:rsidRPr="00DF2901">
        <w:rPr>
          <w:rFonts w:cstheme="minorHAnsi"/>
          <w:sz w:val="20"/>
          <w:szCs w:val="20"/>
        </w:rPr>
        <w:t xml:space="preserve"> (Sep. 2023) (</w:t>
      </w:r>
      <w:hyperlink r:id="rId65" w:history="1">
        <w:r w:rsidRPr="00BF6B51">
          <w:rPr>
            <w:rStyle w:val="Hyperlink"/>
            <w:rFonts w:cstheme="minorHAnsi"/>
            <w:color w:val="234170" w:themeColor="text2" w:themeShade="BF"/>
            <w:sz w:val="20"/>
            <w:szCs w:val="20"/>
          </w:rPr>
          <w:t>https://www.mass.gov/doc/2023-health-care-cost-trends-report/download</w:t>
        </w:r>
      </w:hyperlink>
      <w:r w:rsidRPr="00DF2901">
        <w:rPr>
          <w:rFonts w:cstheme="minorHAnsi"/>
          <w:sz w:val="20"/>
          <w:szCs w:val="20"/>
        </w:rPr>
        <w:t xml:space="preserve">) (finding that most prices for most ambulatory services provided in HOPDs typically exceeded the Medicare-based benchmark, most care delivered in HOPDs can be safely provided in ASCs, and that </w:t>
      </w:r>
      <w:bookmarkStart w:id="60" w:name="Exhibit_4.1._Percentage_of_Original_Medi"/>
      <w:bookmarkStart w:id="61" w:name="_bookmark0"/>
      <w:bookmarkEnd w:id="60"/>
      <w:bookmarkEnd w:id="61"/>
      <w:r w:rsidRPr="00DF2901">
        <w:rPr>
          <w:rFonts w:cstheme="minorHAnsi"/>
          <w:sz w:val="20"/>
          <w:szCs w:val="20"/>
        </w:rPr>
        <w:t>payments for ASCs are typically lower than for hospitals for the same procedure</w:t>
      </w:r>
      <w:r w:rsidRPr="00DF2901">
        <w:rPr>
          <w:rFonts w:cstheme="minorHAnsi"/>
          <w:spacing w:val="-2"/>
          <w:sz w:val="20"/>
          <w:szCs w:val="20"/>
        </w:rPr>
        <w:t xml:space="preserve">).  </w:t>
      </w:r>
    </w:p>
  </w:endnote>
  <w:endnote w:id="40">
    <w:p w14:paraId="061BAF0A" w14:textId="589AA8AC" w:rsidR="00C82F84" w:rsidRPr="00DF2901" w:rsidRDefault="00C82F84" w:rsidP="005C0BD1">
      <w:pPr>
        <w:pStyle w:val="BodyText"/>
        <w:spacing w:after="0" w:line="240" w:lineRule="auto"/>
        <w:rPr>
          <w:rFonts w:cstheme="minorHAnsi"/>
          <w:sz w:val="20"/>
          <w:szCs w:val="20"/>
        </w:rPr>
      </w:pPr>
      <w:r w:rsidRPr="00DF2901">
        <w:rPr>
          <w:rStyle w:val="EndnoteReference"/>
          <w:rFonts w:cstheme="minorHAnsi"/>
          <w:sz w:val="20"/>
          <w:szCs w:val="20"/>
        </w:rPr>
        <w:endnoteRef/>
      </w:r>
      <w:r w:rsidRPr="00DF2901">
        <w:rPr>
          <w:rFonts w:cstheme="minorHAnsi"/>
          <w:sz w:val="20"/>
          <w:szCs w:val="20"/>
        </w:rPr>
        <w:t xml:space="preserve"> </w:t>
      </w:r>
      <w:r w:rsidRPr="00DF2901">
        <w:rPr>
          <w:rFonts w:cstheme="minorHAnsi"/>
          <w:i/>
          <w:sz w:val="20"/>
          <w:szCs w:val="20"/>
        </w:rPr>
        <w:t>See</w:t>
      </w:r>
      <w:r w:rsidRPr="00DF2901">
        <w:rPr>
          <w:rFonts w:cstheme="minorHAnsi"/>
          <w:sz w:val="20"/>
          <w:szCs w:val="20"/>
        </w:rPr>
        <w:t>,</w:t>
      </w:r>
      <w:r w:rsidRPr="00DF2901">
        <w:rPr>
          <w:rFonts w:cstheme="minorHAnsi"/>
          <w:i/>
          <w:sz w:val="20"/>
          <w:szCs w:val="20"/>
        </w:rPr>
        <w:t xml:space="preserve"> supra</w:t>
      </w:r>
      <w:r w:rsidRPr="00DF2901">
        <w:rPr>
          <w:rFonts w:cstheme="minorHAnsi"/>
          <w:sz w:val="20"/>
          <w:szCs w:val="20"/>
        </w:rPr>
        <w:t xml:space="preserve"> note </w:t>
      </w:r>
      <w:r>
        <w:rPr>
          <w:rFonts w:cstheme="minorHAnsi"/>
          <w:sz w:val="20"/>
          <w:szCs w:val="20"/>
        </w:rPr>
        <w:t>6</w:t>
      </w:r>
      <w:r w:rsidRPr="00DF2901">
        <w:rPr>
          <w:rFonts w:cstheme="minorHAnsi"/>
          <w:sz w:val="20"/>
          <w:szCs w:val="20"/>
        </w:rPr>
        <w:t xml:space="preserve"> Youmans; </w:t>
      </w:r>
      <w:r w:rsidRPr="00DF2901">
        <w:rPr>
          <w:rFonts w:cstheme="minorHAnsi"/>
          <w:i/>
          <w:sz w:val="20"/>
          <w:szCs w:val="20"/>
        </w:rPr>
        <w:t>See also</w:t>
      </w:r>
      <w:r w:rsidRPr="00DF2901">
        <w:rPr>
          <w:rFonts w:cstheme="minorHAnsi"/>
          <w:sz w:val="20"/>
          <w:szCs w:val="20"/>
        </w:rPr>
        <w:t xml:space="preserve">, </w:t>
      </w:r>
      <w:r w:rsidRPr="00DF2901">
        <w:rPr>
          <w:rFonts w:cstheme="minorHAnsi"/>
          <w:i/>
          <w:sz w:val="20"/>
          <w:szCs w:val="20"/>
        </w:rPr>
        <w:t>supra</w:t>
      </w:r>
      <w:r w:rsidRPr="00DF2901">
        <w:rPr>
          <w:rFonts w:cstheme="minorHAnsi"/>
          <w:sz w:val="20"/>
          <w:szCs w:val="20"/>
        </w:rPr>
        <w:t xml:space="preserve"> note </w:t>
      </w:r>
      <w:r>
        <w:rPr>
          <w:rFonts w:cstheme="minorHAnsi"/>
          <w:sz w:val="20"/>
          <w:szCs w:val="20"/>
        </w:rPr>
        <w:t>5</w:t>
      </w:r>
      <w:r w:rsidRPr="00DF2901">
        <w:rPr>
          <w:rFonts w:cstheme="minorHAnsi"/>
          <w:sz w:val="20"/>
          <w:szCs w:val="20"/>
        </w:rPr>
        <w:t xml:space="preserve"> HPC DataPoints, at “Regulatory environment.”</w:t>
      </w:r>
    </w:p>
  </w:endnote>
  <w:endnote w:id="41">
    <w:p w14:paraId="6F16CE6C" w14:textId="10A224C4" w:rsidR="00C82F84" w:rsidRPr="00624990" w:rsidRDefault="00C82F84" w:rsidP="005C0BD1">
      <w:pPr>
        <w:pStyle w:val="BodyText"/>
        <w:spacing w:after="0" w:line="240" w:lineRule="auto"/>
        <w:rPr>
          <w:rFonts w:cstheme="minorHAnsi"/>
          <w:sz w:val="20"/>
          <w:szCs w:val="20"/>
        </w:rPr>
      </w:pPr>
      <w:r w:rsidRPr="00DF2901">
        <w:rPr>
          <w:rStyle w:val="EndnoteReference"/>
          <w:rFonts w:cstheme="minorHAnsi"/>
          <w:sz w:val="20"/>
          <w:szCs w:val="20"/>
        </w:rPr>
        <w:endnoteRef/>
      </w:r>
      <w:r w:rsidRPr="00DF2901">
        <w:rPr>
          <w:rFonts w:cstheme="minorHAnsi"/>
          <w:sz w:val="20"/>
          <w:szCs w:val="20"/>
        </w:rPr>
        <w:t xml:space="preserve"> </w:t>
      </w:r>
      <w:hyperlink r:id="rId66" w:history="1">
        <w:r w:rsidRPr="00894AD4">
          <w:rPr>
            <w:rStyle w:val="Hyperlink"/>
            <w:rFonts w:cstheme="minorHAnsi"/>
            <w:smallCaps/>
            <w:color w:val="auto"/>
            <w:sz w:val="20"/>
            <w:szCs w:val="20"/>
            <w:u w:val="none"/>
          </w:rPr>
          <w:t>The Medicare Payment Advisory Commission, March 2022 Report to the Congress: Medicare Payment Policy, Chapter 5: Ambulatory Surgical Center Service</w:t>
        </w:r>
      </w:hyperlink>
      <w:r w:rsidRPr="00894AD4">
        <w:rPr>
          <w:rFonts w:cstheme="minorHAnsi"/>
          <w:smallCaps/>
          <w:sz w:val="20"/>
          <w:szCs w:val="20"/>
        </w:rPr>
        <w:t xml:space="preserve"> 168</w:t>
      </w:r>
      <w:r w:rsidRPr="00894AD4">
        <w:rPr>
          <w:rFonts w:cstheme="minorHAnsi"/>
          <w:sz w:val="20"/>
          <w:szCs w:val="20"/>
        </w:rPr>
        <w:t xml:space="preserve"> </w:t>
      </w:r>
      <w:r w:rsidRPr="00DF2901">
        <w:rPr>
          <w:rFonts w:cstheme="minorHAnsi"/>
          <w:sz w:val="20"/>
          <w:szCs w:val="20"/>
        </w:rPr>
        <w:t xml:space="preserve">(Mar. 15, 2022) (available at </w:t>
      </w:r>
      <w:hyperlink r:id="rId67" w:history="1">
        <w:r w:rsidRPr="00BF6B51">
          <w:rPr>
            <w:rStyle w:val="Hyperlink"/>
            <w:rFonts w:cstheme="minorHAnsi"/>
            <w:color w:val="234170" w:themeColor="text2" w:themeShade="BF"/>
            <w:sz w:val="20"/>
            <w:szCs w:val="20"/>
          </w:rPr>
          <w:t>https://www.medpac.gov/document/march-2022-report-to-the-congress-medicare-payment-policy/</w:t>
        </w:r>
      </w:hyperlink>
      <w:r w:rsidRPr="00DF2901">
        <w:rPr>
          <w:rFonts w:cstheme="minorHAnsi"/>
          <w:sz w:val="20"/>
          <w:szCs w:val="20"/>
        </w:rPr>
        <w:t xml:space="preserve">) (“evidence suggests that ASCs are a lower-cost setting than HOPDs. Studies that used data from the National Survey of Ambulatory Surgery found that the average length of time for ambulatory surgical visits for Medicare patients was </w:t>
      </w:r>
      <w:r w:rsidRPr="00624990">
        <w:rPr>
          <w:rFonts w:cstheme="minorHAnsi"/>
          <w:sz w:val="20"/>
          <w:szCs w:val="20"/>
        </w:rPr>
        <w:t xml:space="preserve">25 percent to 39 percent shorter in ASCs than in HOPDs, which likely contributes to lower costs in ASCs” (citing Hair et al. 2012, Munnich and Parente 2014)); </w:t>
      </w:r>
      <w:r w:rsidRPr="00624990">
        <w:rPr>
          <w:rFonts w:cstheme="minorHAnsi"/>
          <w:i/>
          <w:sz w:val="20"/>
          <w:szCs w:val="20"/>
        </w:rPr>
        <w:t>See also</w:t>
      </w:r>
      <w:r w:rsidRPr="00624990">
        <w:rPr>
          <w:rFonts w:cstheme="minorHAnsi"/>
          <w:sz w:val="20"/>
          <w:szCs w:val="20"/>
        </w:rPr>
        <w:t xml:space="preserve">, </w:t>
      </w:r>
      <w:r w:rsidRPr="00624990">
        <w:rPr>
          <w:rFonts w:cstheme="minorHAnsi"/>
          <w:i/>
          <w:sz w:val="20"/>
          <w:szCs w:val="20"/>
        </w:rPr>
        <w:t>supra</w:t>
      </w:r>
      <w:r w:rsidRPr="00624990">
        <w:rPr>
          <w:rFonts w:cstheme="minorHAnsi"/>
          <w:sz w:val="20"/>
          <w:szCs w:val="20"/>
        </w:rPr>
        <w:t xml:space="preserve">, note </w:t>
      </w:r>
      <w:r>
        <w:rPr>
          <w:rFonts w:cstheme="minorHAnsi"/>
          <w:sz w:val="20"/>
          <w:szCs w:val="20"/>
        </w:rPr>
        <w:t>5</w:t>
      </w:r>
      <w:r w:rsidRPr="00624990">
        <w:rPr>
          <w:rFonts w:cstheme="minorHAnsi"/>
          <w:sz w:val="20"/>
          <w:szCs w:val="20"/>
        </w:rPr>
        <w:t xml:space="preserve"> HPC DataPoints; </w:t>
      </w:r>
      <w:r w:rsidRPr="00624990">
        <w:rPr>
          <w:rFonts w:cstheme="minorHAnsi"/>
          <w:i/>
          <w:sz w:val="20"/>
          <w:szCs w:val="20"/>
        </w:rPr>
        <w:t>See also</w:t>
      </w:r>
      <w:r w:rsidRPr="00624990">
        <w:rPr>
          <w:rFonts w:cstheme="minorHAnsi"/>
          <w:sz w:val="20"/>
          <w:szCs w:val="20"/>
        </w:rPr>
        <w:t xml:space="preserve">, </w:t>
      </w:r>
      <w:r w:rsidRPr="00624990">
        <w:rPr>
          <w:rFonts w:cstheme="minorHAnsi"/>
          <w:i/>
          <w:sz w:val="20"/>
          <w:szCs w:val="20"/>
        </w:rPr>
        <w:t xml:space="preserve">infra </w:t>
      </w:r>
      <w:r w:rsidRPr="00624990">
        <w:rPr>
          <w:rFonts w:cstheme="minorHAnsi"/>
          <w:sz w:val="20"/>
          <w:szCs w:val="20"/>
        </w:rPr>
        <w:t>note 16.</w:t>
      </w:r>
    </w:p>
  </w:endnote>
  <w:endnote w:id="42">
    <w:p w14:paraId="7359C452" w14:textId="77777777" w:rsidR="00C82F84" w:rsidRPr="00624990" w:rsidRDefault="00C82F84" w:rsidP="00624990">
      <w:pPr>
        <w:pStyle w:val="EndnoteText"/>
        <w:rPr>
          <w:rFonts w:cstheme="minorHAnsi"/>
        </w:rPr>
      </w:pPr>
      <w:r w:rsidRPr="00624990">
        <w:rPr>
          <w:rStyle w:val="EndnoteReference"/>
          <w:rFonts w:cstheme="minorHAnsi"/>
        </w:rPr>
        <w:endnoteRef/>
      </w:r>
      <w:r w:rsidRPr="00624990">
        <w:rPr>
          <w:rFonts w:cstheme="minorHAnsi"/>
        </w:rPr>
        <w:t xml:space="preserve"> Massachusetts Health Policy Commission, HPC Board Meeting slides, June 7, 2023, p.28</w:t>
      </w:r>
    </w:p>
  </w:endnote>
  <w:endnote w:id="43">
    <w:p w14:paraId="55CD65CA" w14:textId="77777777" w:rsidR="00C82F84" w:rsidRPr="00624990" w:rsidRDefault="00C82F84" w:rsidP="00624990">
      <w:pPr>
        <w:pStyle w:val="EndnoteText"/>
        <w:rPr>
          <w:rFonts w:cstheme="minorHAnsi"/>
        </w:rPr>
      </w:pPr>
      <w:r w:rsidRPr="00624990">
        <w:rPr>
          <w:rStyle w:val="EndnoteReference"/>
          <w:rFonts w:cstheme="minorHAnsi"/>
        </w:rPr>
        <w:endnoteRef/>
      </w:r>
      <w:r w:rsidRPr="00624990">
        <w:rPr>
          <w:rFonts w:cstheme="minorHAnsi"/>
        </w:rPr>
        <w:t xml:space="preserve"> </w:t>
      </w:r>
      <w:hyperlink r:id="rId68" w:history="1">
        <w:r w:rsidRPr="00624990">
          <w:rPr>
            <w:rStyle w:val="Hyperlink"/>
            <w:rFonts w:cstheme="minorHAnsi"/>
            <w:color w:val="auto"/>
          </w:rPr>
          <w:t>Massachusetts Health Policy Commission, Issue 26: Trends in Ambulatory Surgical Centers in Massachusetts</w:t>
        </w:r>
      </w:hyperlink>
      <w:r w:rsidRPr="00624990">
        <w:rPr>
          <w:rFonts w:cstheme="minorHAnsi"/>
        </w:rPr>
        <w:t xml:space="preserve"> published in February viewed on July 18, 2024 at </w:t>
      </w:r>
      <w:hyperlink r:id="rId69" w:history="1">
        <w:r w:rsidRPr="00624990">
          <w:rPr>
            <w:rStyle w:val="Hyperlink"/>
            <w:rFonts w:cstheme="minorHAnsi"/>
            <w:color w:val="auto"/>
          </w:rPr>
          <w:t>https://masshpc.gov/publications/datapoints-series/issue-26-trends-ambulatory-surgical-centers-massachusetts</w:t>
        </w:r>
      </w:hyperlink>
      <w:r w:rsidRPr="00624990">
        <w:rPr>
          <w:rFonts w:cstheme="minorHAnsi"/>
        </w:rPr>
        <w:t xml:space="preserve">  accessed July 2024</w:t>
      </w:r>
    </w:p>
  </w:endnote>
  <w:endnote w:id="44">
    <w:p w14:paraId="43C6D4B8" w14:textId="77777777" w:rsidR="00C82F84" w:rsidRPr="00624990" w:rsidRDefault="00C82F84" w:rsidP="00624990">
      <w:pPr>
        <w:pStyle w:val="EndnoteText"/>
        <w:rPr>
          <w:rFonts w:cstheme="minorHAnsi"/>
        </w:rPr>
      </w:pPr>
      <w:r w:rsidRPr="00624990">
        <w:rPr>
          <w:rStyle w:val="EndnoteReference"/>
          <w:rFonts w:cstheme="minorHAnsi"/>
        </w:rPr>
        <w:endnoteRef/>
      </w:r>
      <w:r w:rsidRPr="00624990">
        <w:rPr>
          <w:rFonts w:cstheme="minorHAnsi"/>
        </w:rPr>
        <w:t xml:space="preserve"> </w:t>
      </w:r>
      <w:hyperlink r:id="rId70" w:history="1">
        <w:r w:rsidRPr="00624990">
          <w:rPr>
            <w:rStyle w:val="Hyperlink"/>
            <w:rFonts w:cstheme="minorHAnsi"/>
            <w:color w:val="auto"/>
          </w:rPr>
          <w:t>https://www.provista.com/blog/blog-listing/huge-cost-savings-and-other-benefits-boost-ambulatory-surgery-center-growth</w:t>
        </w:r>
      </w:hyperlink>
      <w:r w:rsidRPr="00624990">
        <w:rPr>
          <w:rFonts w:cstheme="minorHAnsi"/>
        </w:rPr>
        <w:t xml:space="preserve"> </w:t>
      </w:r>
    </w:p>
  </w:endnote>
  <w:endnote w:id="45">
    <w:p w14:paraId="3DDB649F" w14:textId="77777777" w:rsidR="003547DA" w:rsidRPr="00CC5451" w:rsidRDefault="003547DA" w:rsidP="00624990">
      <w:pPr>
        <w:pStyle w:val="EndnoteText"/>
        <w:rPr>
          <w:rFonts w:cstheme="minorHAnsi"/>
        </w:rPr>
      </w:pPr>
      <w:r w:rsidRPr="00CC5451">
        <w:rPr>
          <w:rStyle w:val="EndnoteReference"/>
          <w:rFonts w:cstheme="minorHAnsi"/>
        </w:rPr>
        <w:endnoteRef/>
      </w:r>
      <w:r w:rsidRPr="00CC5451">
        <w:rPr>
          <w:rFonts w:cstheme="minorHAnsi"/>
        </w:rPr>
        <w:t xml:space="preserve"> </w:t>
      </w:r>
      <w:hyperlink r:id="rId71" w:history="1">
        <w:r w:rsidRPr="00CC5451">
          <w:rPr>
            <w:rStyle w:val="Hyperlink"/>
            <w:rFonts w:cstheme="minorHAnsi"/>
            <w:color w:val="auto"/>
          </w:rPr>
          <w:t>https://www.provista.com/blog/blog-listing/huge-cost-savings-and-other-benefits-boost-ambulatory-surgery-center-growth</w:t>
        </w:r>
      </w:hyperlink>
      <w:r w:rsidRPr="00CC5451">
        <w:rPr>
          <w:rFonts w:cstheme="minorHAnsi"/>
        </w:rPr>
        <w:t xml:space="preserve"> </w:t>
      </w:r>
    </w:p>
  </w:endnote>
  <w:endnote w:id="46">
    <w:p w14:paraId="24AFF012" w14:textId="77777777" w:rsidR="003547DA" w:rsidRPr="00CC5451" w:rsidRDefault="003547DA" w:rsidP="00624990">
      <w:pPr>
        <w:pStyle w:val="EndnoteText"/>
        <w:rPr>
          <w:rFonts w:cstheme="minorHAnsi"/>
        </w:rPr>
      </w:pPr>
      <w:r w:rsidRPr="00CC5451">
        <w:rPr>
          <w:rStyle w:val="EndnoteReference"/>
          <w:rFonts w:cstheme="minorHAnsi"/>
        </w:rPr>
        <w:endnoteRef/>
      </w:r>
      <w:r w:rsidRPr="00CC5451">
        <w:rPr>
          <w:rFonts w:cstheme="minorHAnsi"/>
        </w:rPr>
        <w:t xml:space="preserve"> </w:t>
      </w:r>
      <w:hyperlink r:id="rId72" w:history="1">
        <w:r w:rsidRPr="00CC5451">
          <w:rPr>
            <w:rStyle w:val="Hyperlink"/>
            <w:rFonts w:cstheme="minorHAnsi"/>
            <w:color w:val="auto"/>
          </w:rPr>
          <w:t>Preventing Breast, Cervical, and Colorectal Cancer Deaths:  Assessing the Impact of Increased Screening</w:t>
        </w:r>
      </w:hyperlink>
      <w:r w:rsidRPr="00CC5451">
        <w:rPr>
          <w:rFonts w:cstheme="minorHAnsi"/>
        </w:rPr>
        <w:t xml:space="preserve">; CDC; Preventing Chronic Disease; Krishna P. Sharma, PhD; Scott D. Grosse, PhD; Michael V. Maciosek, PhD; Djenaba Joseph, MD, MPH; Kakoli Roy, PhD; Lisa C. Richardson, MD, MPH; Harold Jaffe, MD.; </w:t>
      </w:r>
      <w:r w:rsidRPr="00CC5451">
        <w:rPr>
          <w:rFonts w:cstheme="minorHAnsi"/>
          <w:i/>
          <w:iCs/>
        </w:rPr>
        <w:t>available at</w:t>
      </w:r>
      <w:r w:rsidRPr="00CC5451">
        <w:rPr>
          <w:rFonts w:cstheme="minorHAnsi"/>
        </w:rPr>
        <w:t xml:space="preserve"> </w:t>
      </w:r>
      <w:hyperlink r:id="rId73" w:history="1">
        <w:r w:rsidRPr="00BF6B51">
          <w:rPr>
            <w:rStyle w:val="Hyperlink"/>
            <w:rFonts w:cstheme="minorHAnsi"/>
            <w:color w:val="234170" w:themeColor="text2" w:themeShade="BF"/>
          </w:rPr>
          <w:t>https://www.cdc.gov/pcd/issues/2020/20_0039.htm</w:t>
        </w:r>
      </w:hyperlink>
      <w:r w:rsidRPr="00CC5451">
        <w:rPr>
          <w:rFonts w:cstheme="minorHAnsi"/>
        </w:rPr>
        <w:t xml:space="preserve">.  </w:t>
      </w:r>
    </w:p>
  </w:endnote>
  <w:endnote w:id="47">
    <w:p w14:paraId="37DBEBFD" w14:textId="76EF2C03" w:rsidR="003547DA" w:rsidRPr="00CC5451" w:rsidRDefault="003547DA">
      <w:pPr>
        <w:pStyle w:val="EndnoteText"/>
        <w:rPr>
          <w:rFonts w:cstheme="minorHAnsi"/>
        </w:rPr>
      </w:pPr>
      <w:r w:rsidRPr="00CC5451">
        <w:rPr>
          <w:rStyle w:val="EndnoteReference"/>
          <w:rFonts w:cstheme="minorHAnsi"/>
        </w:rPr>
        <w:endnoteRef/>
      </w:r>
      <w:r w:rsidRPr="00CC5451">
        <w:rPr>
          <w:rFonts w:cstheme="minorHAnsi"/>
        </w:rPr>
        <w:t xml:space="preserve"> </w:t>
      </w:r>
      <w:r w:rsidRPr="00CC5451">
        <w:rPr>
          <w:rFonts w:cstheme="minorHAnsi"/>
          <w:i/>
          <w:iCs/>
        </w:rPr>
        <w:t>See</w:t>
      </w:r>
      <w:r w:rsidRPr="00CC5451">
        <w:rPr>
          <w:rFonts w:cstheme="minorHAnsi"/>
        </w:rPr>
        <w:t xml:space="preserve"> </w:t>
      </w:r>
      <w:hyperlink r:id="rId74" w:history="1">
        <w:r w:rsidRPr="001E4025">
          <w:rPr>
            <w:rStyle w:val="Hyperlink"/>
            <w:rFonts w:cstheme="minorHAnsi"/>
            <w:color w:val="auto"/>
            <w:u w:val="none"/>
          </w:rPr>
          <w:t>“How many people skip medical treatment due to healthcare costs?”,</w:t>
        </w:r>
      </w:hyperlink>
      <w:r w:rsidRPr="001E4025">
        <w:rPr>
          <w:rFonts w:cstheme="minorHAnsi"/>
        </w:rPr>
        <w:t xml:space="preserve"> </w:t>
      </w:r>
      <w:r w:rsidRPr="00CC5451">
        <w:rPr>
          <w:rFonts w:cstheme="minorHAnsi"/>
        </w:rPr>
        <w:t xml:space="preserve">USA Facts, </w:t>
      </w:r>
      <w:r w:rsidRPr="00CC5451">
        <w:rPr>
          <w:rFonts w:cstheme="minorHAnsi"/>
          <w:i/>
          <w:iCs/>
        </w:rPr>
        <w:t>available at</w:t>
      </w:r>
      <w:r w:rsidRPr="00CC5451">
        <w:rPr>
          <w:rFonts w:cstheme="minorHAnsi"/>
        </w:rPr>
        <w:t xml:space="preserve"> </w:t>
      </w:r>
      <w:hyperlink r:id="rId75" w:history="1">
        <w:r w:rsidRPr="00BF6B51">
          <w:rPr>
            <w:rStyle w:val="Hyperlink"/>
            <w:rFonts w:cstheme="minorHAnsi"/>
            <w:color w:val="234170" w:themeColor="text2" w:themeShade="BF"/>
          </w:rPr>
          <w:t>https://usafacts.org/articles/how-many-people-skip-medical-treatment-due-to-healthcare-costs/</w:t>
        </w:r>
      </w:hyperlink>
      <w:r w:rsidRPr="00CC5451">
        <w:rPr>
          <w:rFonts w:cstheme="minorHAnsi"/>
        </w:rPr>
        <w:t>. </w:t>
      </w:r>
    </w:p>
  </w:endnote>
  <w:endnote w:id="48">
    <w:p w14:paraId="7CBDB65F" w14:textId="77777777" w:rsidR="00603D12" w:rsidRPr="00B539F5" w:rsidRDefault="00603D12" w:rsidP="00624990">
      <w:pPr>
        <w:pStyle w:val="EndnoteText"/>
        <w:rPr>
          <w:rFonts w:ascii="Times New Roman" w:hAnsi="Times New Roman" w:cs="Times New Roman"/>
        </w:rPr>
      </w:pPr>
      <w:r w:rsidRPr="00CC5451">
        <w:rPr>
          <w:rStyle w:val="EndnoteReference"/>
          <w:rFonts w:cstheme="minorHAnsi"/>
        </w:rPr>
        <w:endnoteRef/>
      </w:r>
      <w:r w:rsidRPr="00CC5451">
        <w:rPr>
          <w:rFonts w:cstheme="minorHAnsi"/>
        </w:rPr>
        <w:t xml:space="preserve"> </w:t>
      </w:r>
      <w:hyperlink r:id="rId76" w:history="1">
        <w:r w:rsidRPr="00CC5451">
          <w:rPr>
            <w:rStyle w:val="Hyperlink"/>
            <w:rFonts w:cstheme="minorHAnsi"/>
            <w:color w:val="auto"/>
          </w:rPr>
          <w:t>Preventing Breast, Cervical, and Colorectal Cancer Deaths:  Assessing the Impact of Increased Screening</w:t>
        </w:r>
      </w:hyperlink>
      <w:r w:rsidRPr="00CC5451">
        <w:rPr>
          <w:rFonts w:cstheme="minorHAnsi"/>
        </w:rPr>
        <w:t xml:space="preserve">; CDC; Preventing Chronic Disease; Krishna P. Sharma, PhD; Scott D. Grosse, PhD; Michael V. Maciosek, PhD; Djenaba Joseph, MD, MPH; Kakoli Roy, PhD; Lisa C. Richardson, MD, MPH; Harold Jaffe, MD.; </w:t>
      </w:r>
      <w:r w:rsidRPr="00CC5451">
        <w:rPr>
          <w:rFonts w:cstheme="minorHAnsi"/>
          <w:i/>
          <w:iCs/>
        </w:rPr>
        <w:t>available at</w:t>
      </w:r>
      <w:r w:rsidRPr="00CC5451">
        <w:rPr>
          <w:rFonts w:cstheme="minorHAnsi"/>
        </w:rPr>
        <w:t xml:space="preserve"> </w:t>
      </w:r>
      <w:hyperlink r:id="rId77" w:history="1">
        <w:r w:rsidRPr="00BF6B51">
          <w:rPr>
            <w:rStyle w:val="Hyperlink"/>
            <w:rFonts w:cstheme="minorHAnsi"/>
            <w:color w:val="234170" w:themeColor="text2" w:themeShade="BF"/>
          </w:rPr>
          <w:t>https://www.cdc.gov/pcd/issues/2020/20_0039.htm</w:t>
        </w:r>
      </w:hyperlink>
      <w:r w:rsidRPr="00CC5451">
        <w:rPr>
          <w:rFonts w:cstheme="minorHAnsi"/>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HQIEQ S+ Times New">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CCB42" w14:textId="77777777" w:rsidR="00650E6A" w:rsidRDefault="00650E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1511052"/>
      <w:docPartObj>
        <w:docPartGallery w:val="Page Numbers (Bottom of Page)"/>
        <w:docPartUnique/>
      </w:docPartObj>
    </w:sdtPr>
    <w:sdtEndPr>
      <w:rPr>
        <w:noProof/>
      </w:rPr>
    </w:sdtEndPr>
    <w:sdtContent>
      <w:p w14:paraId="521232CB" w14:textId="160CDF7B" w:rsidR="00685C18" w:rsidRDefault="00685C18">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14:paraId="22F90F82" w14:textId="77777777" w:rsidR="00685C18" w:rsidRDefault="00685C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4AAB9" w14:textId="77777777" w:rsidR="00650E6A" w:rsidRDefault="00650E6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FB998" w14:textId="77777777" w:rsidR="00E92504" w:rsidRDefault="00E92504">
    <w:pPr>
      <w:pStyle w:val="Footer"/>
    </w:pPr>
  </w:p>
  <w:p w14:paraId="71FEF4A2" w14:textId="77777777" w:rsidR="00E92504" w:rsidRDefault="00E92504"/>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0018266"/>
      <w:docPartObj>
        <w:docPartGallery w:val="Page Numbers (Bottom of Page)"/>
        <w:docPartUnique/>
      </w:docPartObj>
    </w:sdtPr>
    <w:sdtEndPr>
      <w:rPr>
        <w:rFonts w:ascii="Garamond" w:hAnsi="Garamond"/>
        <w:noProof/>
        <w:sz w:val="24"/>
        <w:szCs w:val="24"/>
      </w:rPr>
    </w:sdtEndPr>
    <w:sdtContent>
      <w:p w14:paraId="3D3B6AFF" w14:textId="30BBEC25" w:rsidR="00E92504" w:rsidRPr="003E6FCA" w:rsidRDefault="00E92504">
        <w:pPr>
          <w:pStyle w:val="Footer"/>
          <w:jc w:val="center"/>
          <w:rPr>
            <w:rFonts w:ascii="Garamond" w:hAnsi="Garamond"/>
            <w:sz w:val="24"/>
            <w:szCs w:val="24"/>
          </w:rPr>
        </w:pPr>
        <w:r w:rsidRPr="003E6FCA">
          <w:rPr>
            <w:rFonts w:ascii="Garamond" w:hAnsi="Garamond"/>
            <w:color w:val="2B579A"/>
            <w:sz w:val="24"/>
            <w:szCs w:val="24"/>
            <w:shd w:val="clear" w:color="auto" w:fill="E6E6E6"/>
          </w:rPr>
          <w:fldChar w:fldCharType="begin"/>
        </w:r>
        <w:r w:rsidRPr="003E6FCA">
          <w:rPr>
            <w:rFonts w:ascii="Garamond" w:hAnsi="Garamond"/>
            <w:sz w:val="24"/>
            <w:szCs w:val="24"/>
          </w:rPr>
          <w:instrText xml:space="preserve"> PAGE   \* MERGEFORMAT </w:instrText>
        </w:r>
        <w:r w:rsidRPr="003E6FCA">
          <w:rPr>
            <w:rFonts w:ascii="Garamond" w:hAnsi="Garamond"/>
            <w:color w:val="2B579A"/>
            <w:sz w:val="24"/>
            <w:szCs w:val="24"/>
            <w:shd w:val="clear" w:color="auto" w:fill="E6E6E6"/>
          </w:rPr>
          <w:fldChar w:fldCharType="separate"/>
        </w:r>
        <w:r>
          <w:rPr>
            <w:rFonts w:ascii="Garamond" w:hAnsi="Garamond"/>
            <w:noProof/>
            <w:sz w:val="24"/>
            <w:szCs w:val="24"/>
          </w:rPr>
          <w:t>15</w:t>
        </w:r>
        <w:r w:rsidRPr="003E6FCA">
          <w:rPr>
            <w:rFonts w:ascii="Garamond" w:hAnsi="Garamond"/>
            <w:noProof/>
            <w:color w:val="2B579A"/>
            <w:sz w:val="24"/>
            <w:szCs w:val="24"/>
            <w:shd w:val="clear" w:color="auto" w:fill="E6E6E6"/>
          </w:rPr>
          <w:fldChar w:fldCharType="end"/>
        </w:r>
      </w:p>
    </w:sdtContent>
  </w:sdt>
  <w:p w14:paraId="2B84946D" w14:textId="77777777" w:rsidR="00E92504" w:rsidRDefault="00E92504">
    <w:pPr>
      <w:pStyle w:val="Footer"/>
    </w:pPr>
  </w:p>
  <w:p w14:paraId="6A56BD2D" w14:textId="77777777" w:rsidR="00E92504" w:rsidRDefault="00E92504"/>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F9965" w14:textId="77777777" w:rsidR="00E92504" w:rsidRDefault="00E925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C9C19" w14:textId="77777777" w:rsidR="00B97000" w:rsidRDefault="00B97000" w:rsidP="008C0709">
      <w:r>
        <w:separator/>
      </w:r>
    </w:p>
  </w:footnote>
  <w:footnote w:type="continuationSeparator" w:id="0">
    <w:p w14:paraId="74EB4810" w14:textId="77777777" w:rsidR="00B97000" w:rsidRDefault="00B97000" w:rsidP="008C0709">
      <w:r>
        <w:continuationSeparator/>
      </w:r>
    </w:p>
  </w:footnote>
  <w:footnote w:type="continuationNotice" w:id="1">
    <w:p w14:paraId="6E34C93C" w14:textId="77777777" w:rsidR="00B97000" w:rsidRDefault="00B97000"/>
  </w:footnote>
  <w:footnote w:id="2">
    <w:p w14:paraId="5368AC6D" w14:textId="1DA0A24E" w:rsidR="00CE0BFC" w:rsidRPr="00CE0BFC" w:rsidRDefault="00CE0BFC">
      <w:pPr>
        <w:pStyle w:val="FootnoteText"/>
        <w:rPr>
          <w:b/>
          <w:bCs/>
        </w:rPr>
      </w:pPr>
      <w:r>
        <w:rPr>
          <w:rStyle w:val="FootnoteReference"/>
        </w:rPr>
        <w:footnoteRef/>
      </w:r>
      <w:r>
        <w:t xml:space="preserve"> </w:t>
      </w:r>
      <w:r w:rsidRPr="00CE0BFC">
        <w:t xml:space="preserve">The Applicant’s MassHealth provider contract has been effective since October 8, 2015.    </w:t>
      </w:r>
    </w:p>
  </w:footnote>
  <w:footnote w:id="3">
    <w:p w14:paraId="5D70B1CA" w14:textId="08B352B2" w:rsidR="008C70DF" w:rsidRDefault="008C70DF" w:rsidP="008C70DF">
      <w:pPr>
        <w:pStyle w:val="FootnoteText"/>
      </w:pPr>
      <w:r>
        <w:rPr>
          <w:rStyle w:val="FootnoteReference"/>
        </w:rPr>
        <w:footnoteRef/>
      </w:r>
      <w:r>
        <w:t xml:space="preserve"> An Expansion, Conversion, Transfer of Ownership, Transfer of Site, or change of designated Location for a Freestanding</w:t>
      </w:r>
      <w:r w:rsidR="00430A10">
        <w:t xml:space="preserve"> </w:t>
      </w:r>
      <w:r>
        <w:t>Ambulatory Surgery Center that received an Original License as a Clinic on or before January 1, 2017.</w:t>
      </w:r>
      <w:r w:rsidRPr="006720AC">
        <w:t xml:space="preserve"> 105 CMR 100.</w:t>
      </w:r>
      <w:r>
        <w:t>715</w:t>
      </w:r>
      <w:r w:rsidRPr="006720AC">
        <w:t>(</w:t>
      </w:r>
      <w:r>
        <w:t>B</w:t>
      </w:r>
      <w:r w:rsidRPr="006720AC">
        <w:t>)(</w:t>
      </w:r>
      <w:r>
        <w:t>2</w:t>
      </w:r>
      <w:r w:rsidRPr="006720AC">
        <w:t>)(a)(iv).</w:t>
      </w:r>
    </w:p>
  </w:footnote>
  <w:footnote w:id="4">
    <w:p w14:paraId="0B8F86C2" w14:textId="08CA3701" w:rsidR="4E2208F8" w:rsidRDefault="4E2208F8" w:rsidP="00CC5451">
      <w:r w:rsidRPr="4E2208F8">
        <w:rPr>
          <w:rStyle w:val="FootnoteReference"/>
        </w:rPr>
        <w:footnoteRef/>
      </w:r>
      <w:r>
        <w:t xml:space="preserve"> </w:t>
      </w:r>
      <w:r w:rsidRPr="001E0969">
        <w:rPr>
          <w:sz w:val="20"/>
          <w:szCs w:val="20"/>
        </w:rPr>
        <w:t>T</w:t>
      </w:r>
      <w:r w:rsidRPr="001E0969">
        <w:rPr>
          <w:rFonts w:ascii="Calibri" w:eastAsia="Calibri" w:hAnsi="Calibri" w:cs="Calibri"/>
          <w:sz w:val="20"/>
          <w:szCs w:val="20"/>
        </w:rPr>
        <w:t>he physicians have a number of consultative practice locations in the primary service area, including 189 Quincy Street, Brockton, MA 02302; 1 Donalds Way, Ste. 203, E. Bridgewater, MA 02333; 35 Summer Street, Taunton, MA.</w:t>
      </w:r>
    </w:p>
  </w:footnote>
  <w:footnote w:id="5">
    <w:p w14:paraId="3969B69A" w14:textId="77777777" w:rsidR="00685C18" w:rsidRPr="00167D81" w:rsidRDefault="00685C18" w:rsidP="00CD0882">
      <w:pPr>
        <w:pStyle w:val="FootnoteText"/>
        <w:rPr>
          <w:rFonts w:cstheme="minorHAnsi"/>
        </w:rPr>
      </w:pPr>
      <w:r w:rsidRPr="00167D81">
        <w:rPr>
          <w:rStyle w:val="FootnoteReference"/>
          <w:rFonts w:cstheme="minorHAnsi"/>
        </w:rPr>
        <w:footnoteRef/>
      </w:r>
      <w:r w:rsidRPr="00167D81">
        <w:rPr>
          <w:rFonts w:cstheme="minorHAnsi"/>
        </w:rPr>
        <w:t xml:space="preserve"> As defined in 105 CMR 100.100, Patient Panel is the total of the individual patients regardless of payer, including those patients seen within an emergency department(s) if applicable, seen over the course of the most recent complete 36-month period by the Applicant or Holder.</w:t>
      </w:r>
    </w:p>
  </w:footnote>
  <w:footnote w:id="6">
    <w:p w14:paraId="0BE7B21F" w14:textId="70BEEF2A" w:rsidR="0002767A" w:rsidRDefault="0002767A">
      <w:pPr>
        <w:pStyle w:val="FootnoteText"/>
      </w:pPr>
      <w:r>
        <w:rPr>
          <w:rStyle w:val="FootnoteReference"/>
        </w:rPr>
        <w:footnoteRef/>
      </w:r>
      <w:r>
        <w:t xml:space="preserve"> </w:t>
      </w:r>
      <w:r w:rsidR="008D3A0D">
        <w:t>Staff compared the</w:t>
      </w:r>
      <w:r>
        <w:t xml:space="preserve"> PSA of this Proposed Project </w:t>
      </w:r>
      <w:r w:rsidR="008D3A0D">
        <w:t xml:space="preserve">with that of </w:t>
      </w:r>
      <w:r>
        <w:t>the approved but not yet operational Weymouth Endoscopy Center</w:t>
      </w:r>
      <w:r w:rsidR="008D3A0D">
        <w:t xml:space="preserve"> and found that they do not overlap.</w:t>
      </w:r>
    </w:p>
  </w:footnote>
  <w:footnote w:id="7">
    <w:p w14:paraId="1AFDD73A" w14:textId="77777777" w:rsidR="00173EAB" w:rsidRDefault="00173EAB" w:rsidP="00173EAB">
      <w:pPr>
        <w:pStyle w:val="FootnoteText"/>
      </w:pPr>
      <w:r>
        <w:rPr>
          <w:rStyle w:val="FootnoteReference"/>
        </w:rPr>
        <w:footnoteRef/>
      </w:r>
      <w:r>
        <w:t xml:space="preserve"> </w:t>
      </w:r>
      <w:r w:rsidRPr="00384F7B">
        <w:t>Endoscopy is a non-invasive procedure, that examines a patient’s digestive tract using a flexible tube with a light and a camera.</w:t>
      </w:r>
    </w:p>
  </w:footnote>
  <w:footnote w:id="8">
    <w:p w14:paraId="1CE1E4FC" w14:textId="77777777" w:rsidR="00173EAB" w:rsidRDefault="00173EAB" w:rsidP="00173EAB">
      <w:pPr>
        <w:pStyle w:val="FootnoteText"/>
      </w:pPr>
      <w:r>
        <w:rPr>
          <w:rStyle w:val="FootnoteReference"/>
        </w:rPr>
        <w:footnoteRef/>
      </w:r>
      <w:r>
        <w:t xml:space="preserve"> </w:t>
      </w:r>
      <w:r w:rsidRPr="00541102">
        <w:t>Patients who have a history of CRC or polyps; a first-degree family member with CRC or advanced polyps (those that would have gone on to become CRC if they had not been removed); a family history of certain genetic syndromes; or a history of inflammatory bowel disease (like Crohn's disease or ulcerative colitis) are some examples of high-risk factors</w:t>
      </w:r>
      <w:r>
        <w:t xml:space="preserve">. </w:t>
      </w:r>
    </w:p>
  </w:footnote>
  <w:footnote w:id="9">
    <w:p w14:paraId="4EEA1E8F" w14:textId="3D786C76" w:rsidR="00B01BE6" w:rsidRPr="00B01BE6" w:rsidRDefault="00B01BE6">
      <w:pPr>
        <w:pStyle w:val="FootnoteText"/>
        <w:rPr>
          <w:bCs/>
          <w:iCs/>
        </w:rPr>
      </w:pPr>
      <w:r>
        <w:rPr>
          <w:rStyle w:val="FootnoteReference"/>
        </w:rPr>
        <w:footnoteRef/>
      </w:r>
      <w:r>
        <w:t xml:space="preserve"> </w:t>
      </w:r>
      <w:r w:rsidRPr="00B01BE6">
        <w:rPr>
          <w:bCs/>
          <w:iCs/>
        </w:rPr>
        <w:t xml:space="preserve">according to the </w:t>
      </w:r>
      <w:hyperlink r:id="rId1" w:history="1">
        <w:r w:rsidRPr="0000189F">
          <w:rPr>
            <w:rStyle w:val="Hyperlink"/>
            <w:bCs/>
            <w:iCs/>
            <w:color w:val="auto"/>
            <w:u w:val="none"/>
          </w:rPr>
          <w:t>Medicare Procedure Price Lookup</w:t>
        </w:r>
      </w:hyperlink>
      <w:r w:rsidRPr="0000189F">
        <w:rPr>
          <w:bCs/>
          <w:iCs/>
        </w:rPr>
        <w:t xml:space="preserve"> at </w:t>
      </w:r>
      <w:hyperlink r:id="rId2" w:history="1">
        <w:r w:rsidR="0000189F" w:rsidRPr="0000189F">
          <w:rPr>
            <w:rStyle w:val="Hyperlink"/>
            <w:bCs/>
            <w:iCs/>
            <w:color w:val="auto"/>
            <w:u w:val="none"/>
          </w:rPr>
          <w:t>https://www.medicare.gov/procedure-price-lookup/</w:t>
        </w:r>
      </w:hyperlink>
      <w:r w:rsidR="0000189F" w:rsidRPr="0000189F">
        <w:rPr>
          <w:bCs/>
          <w:iCs/>
        </w:rPr>
        <w:t xml:space="preserve"> </w:t>
      </w:r>
      <w:r w:rsidRPr="0000189F">
        <w:rPr>
          <w:bCs/>
          <w:iCs/>
        </w:rPr>
        <w:t>.</w:t>
      </w:r>
    </w:p>
  </w:footnote>
  <w:footnote w:id="10">
    <w:p w14:paraId="42B11BA4" w14:textId="0AF5A9F7" w:rsidR="00223F46" w:rsidRPr="006010CF" w:rsidRDefault="00223F46" w:rsidP="00724236">
      <w:pPr>
        <w:rPr>
          <w:rFonts w:cs="Calibri"/>
          <w:sz w:val="20"/>
          <w:szCs w:val="20"/>
        </w:rPr>
      </w:pPr>
      <w:r w:rsidRPr="000266FA">
        <w:rPr>
          <w:rStyle w:val="FootnoteReference"/>
          <w:rFonts w:cs="Calibri"/>
        </w:rPr>
        <w:footnoteRef/>
      </w:r>
      <w:r w:rsidRPr="000266FA">
        <w:rPr>
          <w:rFonts w:cs="Calibri"/>
        </w:rPr>
        <w:t xml:space="preserve"> </w:t>
      </w:r>
      <w:r w:rsidRPr="006010CF">
        <w:rPr>
          <w:rFonts w:eastAsia="Times New Roman" w:cs="Calibri"/>
          <w:sz w:val="20"/>
          <w:szCs w:val="20"/>
        </w:rPr>
        <w:t xml:space="preserve">The Key Metrics fall into three primary categories: profitability, liquidity, and solvency. Profitability metrics are used to assist in the evaluation of management performance in how efficiently resources are utilized. Liquidity metrics, including common ratios such as “days of available cash and investments on hand”, measure the quality and adequacy of assets to meet current obligations as they come due. Solvency metrics measure the company’s ability to take on and service debt obligations. Additionally, certain metrics can be applicable to multiple categories. </w:t>
      </w:r>
    </w:p>
  </w:footnote>
  <w:footnote w:id="11">
    <w:p w14:paraId="1F7E482F" w14:textId="77777777" w:rsidR="00223F46" w:rsidRDefault="00223F46" w:rsidP="00724236">
      <w:pPr>
        <w:pStyle w:val="FootnoteText"/>
      </w:pPr>
      <w:r>
        <w:rPr>
          <w:rStyle w:val="FootnoteReference"/>
        </w:rPr>
        <w:footnoteRef/>
      </w:r>
      <w:r>
        <w:t xml:space="preserve"> </w:t>
      </w:r>
      <w:r w:rsidRPr="0083403D">
        <w:t>completed using 2021-2022 data (the latest study)</w:t>
      </w:r>
    </w:p>
  </w:footnote>
  <w:footnote w:id="12">
    <w:p w14:paraId="54FA8E90" w14:textId="77777777" w:rsidR="007C3B78" w:rsidRDefault="007C3B78" w:rsidP="007C3B78">
      <w:pPr>
        <w:pStyle w:val="FootnoteText"/>
      </w:pPr>
      <w:r>
        <w:rPr>
          <w:rStyle w:val="FootnoteReference"/>
        </w:rPr>
        <w:footnoteRef/>
      </w:r>
      <w:r>
        <w:t xml:space="preserve"> </w:t>
      </w:r>
      <w:r w:rsidRPr="001E01DD">
        <w:rPr>
          <w:bCs/>
        </w:rPr>
        <w:t>by the Association of Ambulatory Health Care (AAHC) and</w:t>
      </w:r>
      <w:r>
        <w:rPr>
          <w:bCs/>
        </w:rPr>
        <w:t xml:space="preserve"> plans to </w:t>
      </w:r>
      <w:r w:rsidRPr="001E01DD">
        <w:rPr>
          <w:bCs/>
        </w:rPr>
        <w:t>pursue accreditation for the new site as well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D7A2C" w14:textId="77777777" w:rsidR="00650E6A" w:rsidRDefault="00650E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4DB9D" w14:textId="77777777" w:rsidR="00650E6A" w:rsidRDefault="00650E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289B9" w14:textId="77777777" w:rsidR="00650E6A" w:rsidRDefault="00650E6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0951F" w14:textId="65F1F322" w:rsidR="00E92504" w:rsidRDefault="00E92504">
    <w:pPr>
      <w:pStyle w:val="Header"/>
    </w:pPr>
  </w:p>
  <w:p w14:paraId="688BA6DB" w14:textId="77777777" w:rsidR="00E92504" w:rsidRDefault="00E9250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C9540" w14:textId="0E093D3D" w:rsidR="00E92504" w:rsidRDefault="00E92504">
    <w:pPr>
      <w:pStyle w:val="Header"/>
    </w:pPr>
  </w:p>
  <w:p w14:paraId="7D3BF8DA" w14:textId="77777777" w:rsidR="00E92504" w:rsidRDefault="00E92504"/>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37C0D" w14:textId="63B65BF0" w:rsidR="00E92504" w:rsidRDefault="00E92504">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208B"/>
    <w:multiLevelType w:val="hybridMultilevel"/>
    <w:tmpl w:val="D176220E"/>
    <w:lvl w:ilvl="0" w:tplc="FFFFFFFF">
      <w:start w:val="1"/>
      <w:numFmt w:val="decimal"/>
      <w:lvlText w:val="%1."/>
      <w:lvlJc w:val="left"/>
      <w:pPr>
        <w:ind w:left="720" w:hanging="360"/>
      </w:pPr>
      <w:rPr>
        <w:rFonts w:hint="default"/>
        <w:b w:val="0"/>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98A129C"/>
    <w:multiLevelType w:val="hybridMultilevel"/>
    <w:tmpl w:val="604A8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B036DC"/>
    <w:multiLevelType w:val="hybridMultilevel"/>
    <w:tmpl w:val="C284BEE4"/>
    <w:lvl w:ilvl="0" w:tplc="EF0E8606">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A05680"/>
    <w:multiLevelType w:val="hybridMultilevel"/>
    <w:tmpl w:val="91C6FDD8"/>
    <w:lvl w:ilvl="0" w:tplc="F5DEDB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732211"/>
    <w:multiLevelType w:val="multilevel"/>
    <w:tmpl w:val="4FC0CD62"/>
    <w:lvl w:ilvl="0">
      <w:start w:val="1"/>
      <w:numFmt w:val="decimal"/>
      <w:lvlRestart w:val="0"/>
      <w:pStyle w:val="RNNum"/>
      <w:lvlText w:val="%1."/>
      <w:lvlJc w:val="left"/>
      <w:pPr>
        <w:ind w:left="360" w:hanging="360"/>
      </w:pPr>
      <w:rPr>
        <w:color w:val="auto"/>
      </w:rPr>
    </w:lvl>
    <w:lvl w:ilvl="1">
      <w:start w:val="1"/>
      <w:numFmt w:val="lowerLetter"/>
      <w:pStyle w:val="RN2Num"/>
      <w:lvlText w:val="%2."/>
      <w:lvlJc w:val="left"/>
      <w:pPr>
        <w:ind w:left="1080" w:hanging="360"/>
      </w:pPr>
    </w:lvl>
    <w:lvl w:ilvl="2">
      <w:start w:val="1"/>
      <w:numFmt w:val="lowerRoman"/>
      <w:pStyle w:val="RN3Num"/>
      <w:lvlText w:val="%3."/>
      <w:lvlJc w:val="right"/>
      <w:pPr>
        <w:ind w:left="1800" w:hanging="180"/>
      </w:pPr>
    </w:lvl>
    <w:lvl w:ilvl="3">
      <w:start w:val="1"/>
      <w:numFmt w:val="decimal"/>
      <w:pStyle w:val="RN4Num"/>
      <w:lvlText w:val="%4."/>
      <w:lvlJc w:val="left"/>
      <w:pPr>
        <w:ind w:left="2520" w:hanging="360"/>
      </w:pPr>
    </w:lvl>
    <w:lvl w:ilvl="4">
      <w:start w:val="1"/>
      <w:numFmt w:val="lowerLetter"/>
      <w:pStyle w:val="RN5Num"/>
      <w:lvlText w:val="%5."/>
      <w:lvlJc w:val="left"/>
      <w:pPr>
        <w:ind w:left="3240" w:hanging="360"/>
      </w:pPr>
    </w:lvl>
    <w:lvl w:ilvl="5">
      <w:start w:val="1"/>
      <w:numFmt w:val="lowerRoman"/>
      <w:pStyle w:val="RN6Num"/>
      <w:lvlText w:val="%6."/>
      <w:lvlJc w:val="right"/>
      <w:pPr>
        <w:ind w:left="3960" w:hanging="180"/>
      </w:pPr>
    </w:lvl>
    <w:lvl w:ilvl="6">
      <w:start w:val="1"/>
      <w:numFmt w:val="decimal"/>
      <w:pStyle w:val="RN7Num"/>
      <w:lvlText w:val="%7."/>
      <w:lvlJc w:val="left"/>
      <w:pPr>
        <w:ind w:left="4680" w:hanging="360"/>
      </w:pPr>
    </w:lvl>
    <w:lvl w:ilvl="7">
      <w:start w:val="1"/>
      <w:numFmt w:val="lowerLetter"/>
      <w:pStyle w:val="RN8Num"/>
      <w:lvlText w:val="%8."/>
      <w:lvlJc w:val="left"/>
      <w:pPr>
        <w:ind w:left="5400" w:hanging="360"/>
      </w:pPr>
    </w:lvl>
    <w:lvl w:ilvl="8">
      <w:start w:val="1"/>
      <w:numFmt w:val="lowerRoman"/>
      <w:pStyle w:val="RN9Num"/>
      <w:lvlText w:val="%9."/>
      <w:lvlJc w:val="right"/>
      <w:pPr>
        <w:ind w:left="6120" w:hanging="180"/>
      </w:pPr>
    </w:lvl>
  </w:abstractNum>
  <w:abstractNum w:abstractNumId="5" w15:restartNumberingAfterBreak="0">
    <w:nsid w:val="12073881"/>
    <w:multiLevelType w:val="multilevel"/>
    <w:tmpl w:val="76749B1C"/>
    <w:lvl w:ilvl="0">
      <w:start w:val="1"/>
      <w:numFmt w:val="decimal"/>
      <w:pStyle w:val="VlnList1"/>
      <w:lvlText w:val="%1."/>
      <w:lvlJc w:val="left"/>
      <w:pPr>
        <w:ind w:left="720" w:hanging="360"/>
      </w:pPr>
      <w:rPr>
        <w:rFonts w:ascii="Verdana" w:hAnsi="Verdana" w:hint="default"/>
        <w:b/>
        <w:i w:val="0"/>
        <w:color w:val="63891F" w:themeColor="accent5"/>
        <w:sz w:val="20"/>
        <w:szCs w:val="20"/>
      </w:rPr>
    </w:lvl>
    <w:lvl w:ilvl="1">
      <w:start w:val="1"/>
      <w:numFmt w:val="lowerLetter"/>
      <w:pStyle w:val="VlnList2"/>
      <w:lvlText w:val="%2."/>
      <w:lvlJc w:val="left"/>
      <w:pPr>
        <w:ind w:left="1080" w:hanging="360"/>
      </w:pPr>
      <w:rPr>
        <w:rFonts w:hint="default"/>
        <w:color w:val="63891F" w:themeColor="accent5"/>
      </w:rPr>
    </w:lvl>
    <w:lvl w:ilvl="2">
      <w:start w:val="1"/>
      <w:numFmt w:val="lowerRoman"/>
      <w:pStyle w:val="VlnList3"/>
      <w:lvlText w:val="%3."/>
      <w:lvlJc w:val="left"/>
      <w:pPr>
        <w:ind w:left="1440" w:hanging="360"/>
      </w:pPr>
      <w:rPr>
        <w:rFonts w:hint="default"/>
        <w:color w:val="63891F" w:themeColor="accent5"/>
      </w:rPr>
    </w:lvl>
    <w:lvl w:ilvl="3">
      <w:start w:val="1"/>
      <w:numFmt w:val="decimal"/>
      <w:pStyle w:val="VlnList4"/>
      <w:lvlText w:val="%4)"/>
      <w:lvlJc w:val="left"/>
      <w:pPr>
        <w:tabs>
          <w:tab w:val="num" w:pos="2160"/>
        </w:tabs>
        <w:ind w:left="1800" w:hanging="360"/>
      </w:pPr>
      <w:rPr>
        <w:rFonts w:hint="default"/>
        <w:color w:val="63891F" w:themeColor="accent5"/>
      </w:rPr>
    </w:lvl>
    <w:lvl w:ilvl="4">
      <w:start w:val="1"/>
      <w:numFmt w:val="lowerLetter"/>
      <w:pStyle w:val="VlnList5"/>
      <w:lvlText w:val="%5)"/>
      <w:lvlJc w:val="left"/>
      <w:pPr>
        <w:tabs>
          <w:tab w:val="num" w:pos="2160"/>
        </w:tabs>
        <w:ind w:left="2160" w:hanging="360"/>
      </w:pPr>
      <w:rPr>
        <w:rFonts w:hint="default"/>
        <w:color w:val="63891F" w:themeColor="accent5"/>
      </w:rPr>
    </w:lvl>
    <w:lvl w:ilvl="5">
      <w:start w:val="1"/>
      <w:numFmt w:val="lowerRoman"/>
      <w:lvlText w:val="%6."/>
      <w:lvlJc w:val="right"/>
      <w:pPr>
        <w:tabs>
          <w:tab w:val="num" w:pos="4320"/>
        </w:tabs>
        <w:ind w:left="2520" w:hanging="360"/>
      </w:pPr>
      <w:rPr>
        <w:rFonts w:hint="default"/>
      </w:rPr>
    </w:lvl>
    <w:lvl w:ilvl="6">
      <w:start w:val="1"/>
      <w:numFmt w:val="decimal"/>
      <w:lvlText w:val="%7."/>
      <w:lvlJc w:val="left"/>
      <w:pPr>
        <w:tabs>
          <w:tab w:val="num" w:pos="5040"/>
        </w:tabs>
        <w:ind w:left="2880" w:hanging="360"/>
      </w:pPr>
      <w:rPr>
        <w:rFonts w:hint="default"/>
      </w:rPr>
    </w:lvl>
    <w:lvl w:ilvl="7">
      <w:start w:val="1"/>
      <w:numFmt w:val="lowerLetter"/>
      <w:lvlText w:val="%8."/>
      <w:lvlJc w:val="left"/>
      <w:pPr>
        <w:tabs>
          <w:tab w:val="num" w:pos="5760"/>
        </w:tabs>
        <w:ind w:left="3240" w:hanging="360"/>
      </w:pPr>
      <w:rPr>
        <w:rFonts w:hint="default"/>
      </w:rPr>
    </w:lvl>
    <w:lvl w:ilvl="8">
      <w:start w:val="1"/>
      <w:numFmt w:val="lowerRoman"/>
      <w:lvlText w:val="%9."/>
      <w:lvlJc w:val="right"/>
      <w:pPr>
        <w:tabs>
          <w:tab w:val="num" w:pos="6480"/>
        </w:tabs>
        <w:ind w:left="3600" w:hanging="360"/>
      </w:pPr>
      <w:rPr>
        <w:rFonts w:hint="default"/>
      </w:rPr>
    </w:lvl>
  </w:abstractNum>
  <w:abstractNum w:abstractNumId="6" w15:restartNumberingAfterBreak="0">
    <w:nsid w:val="16112CB0"/>
    <w:multiLevelType w:val="hybridMultilevel"/>
    <w:tmpl w:val="13FE5C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6D17535"/>
    <w:multiLevelType w:val="hybridMultilevel"/>
    <w:tmpl w:val="9B941AEA"/>
    <w:lvl w:ilvl="0" w:tplc="04090001">
      <w:start w:val="1"/>
      <w:numFmt w:val="bullet"/>
      <w:lvlText w:val=""/>
      <w:lvlJc w:val="left"/>
      <w:pPr>
        <w:ind w:left="720" w:hanging="360"/>
      </w:pPr>
      <w:rPr>
        <w:rFonts w:ascii="Symbol" w:hAnsi="Symbol" w:hint="default"/>
        <w:b w:val="0"/>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8C32F46"/>
    <w:multiLevelType w:val="hybridMultilevel"/>
    <w:tmpl w:val="D176220E"/>
    <w:lvl w:ilvl="0" w:tplc="0409000F">
      <w:start w:val="1"/>
      <w:numFmt w:val="decimal"/>
      <w:lvlText w:val="%1."/>
      <w:lvlJc w:val="left"/>
      <w:pPr>
        <w:ind w:left="720" w:hanging="360"/>
      </w:pPr>
      <w:rPr>
        <w:rFonts w:hint="default"/>
        <w:b w:val="0"/>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1B6935D2"/>
    <w:multiLevelType w:val="hybridMultilevel"/>
    <w:tmpl w:val="D176220E"/>
    <w:lvl w:ilvl="0" w:tplc="FFFFFFFF">
      <w:start w:val="1"/>
      <w:numFmt w:val="decimal"/>
      <w:lvlText w:val="%1."/>
      <w:lvlJc w:val="left"/>
      <w:pPr>
        <w:ind w:left="720" w:hanging="360"/>
      </w:pPr>
      <w:rPr>
        <w:rFonts w:hint="default"/>
        <w:b w:val="0"/>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1DF0448F"/>
    <w:multiLevelType w:val="multilevel"/>
    <w:tmpl w:val="B37C31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5C617E"/>
    <w:multiLevelType w:val="hybridMultilevel"/>
    <w:tmpl w:val="95A68750"/>
    <w:lvl w:ilvl="0" w:tplc="0409000F">
      <w:start w:val="1"/>
      <w:numFmt w:val="decimal"/>
      <w:lvlText w:val="%1."/>
      <w:lvlJc w:val="left"/>
      <w:pPr>
        <w:ind w:left="360" w:hanging="360"/>
      </w:pPr>
    </w:lvl>
    <w:lvl w:ilvl="1" w:tplc="04090017">
      <w:start w:val="1"/>
      <w:numFmt w:val="lowerLetter"/>
      <w:lvlText w:val="%2)"/>
      <w:lvlJc w:val="left"/>
      <w:pPr>
        <w:ind w:left="1080" w:hanging="360"/>
      </w:pPr>
      <w:rPr>
        <w:rFonts w:hint="default"/>
      </w:rPr>
    </w:lvl>
    <w:lvl w:ilvl="2" w:tplc="0409000F">
      <w:start w:val="1"/>
      <w:numFmt w:val="decimal"/>
      <w:lvlText w:val="%3."/>
      <w:lvlJc w:val="left"/>
      <w:pPr>
        <w:ind w:left="1800" w:hanging="18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1386430"/>
    <w:multiLevelType w:val="hybridMultilevel"/>
    <w:tmpl w:val="0352AC14"/>
    <w:lvl w:ilvl="0" w:tplc="BE28B6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20275D"/>
    <w:multiLevelType w:val="hybridMultilevel"/>
    <w:tmpl w:val="CF2EC3A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6EE004B"/>
    <w:multiLevelType w:val="hybridMultilevel"/>
    <w:tmpl w:val="D176220E"/>
    <w:lvl w:ilvl="0" w:tplc="FFFFFFFF">
      <w:start w:val="1"/>
      <w:numFmt w:val="decimal"/>
      <w:lvlText w:val="%1."/>
      <w:lvlJc w:val="left"/>
      <w:pPr>
        <w:ind w:left="720" w:hanging="360"/>
      </w:pPr>
      <w:rPr>
        <w:rFonts w:hint="default"/>
        <w:b w:val="0"/>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3758608F"/>
    <w:multiLevelType w:val="hybridMultilevel"/>
    <w:tmpl w:val="0C56A6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A56432D"/>
    <w:multiLevelType w:val="hybridMultilevel"/>
    <w:tmpl w:val="91C6FDD8"/>
    <w:lvl w:ilvl="0" w:tplc="F5DEDB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1DF8C7F"/>
    <w:multiLevelType w:val="hybridMultilevel"/>
    <w:tmpl w:val="0240D0C0"/>
    <w:lvl w:ilvl="0" w:tplc="0C8E1C2C">
      <w:start w:val="2"/>
      <w:numFmt w:val="decimal"/>
      <w:lvlText w:val="%1."/>
      <w:lvlJc w:val="left"/>
      <w:pPr>
        <w:ind w:left="720" w:hanging="360"/>
      </w:pPr>
    </w:lvl>
    <w:lvl w:ilvl="1" w:tplc="02EC8310">
      <w:start w:val="1"/>
      <w:numFmt w:val="lowerLetter"/>
      <w:lvlText w:val="%2."/>
      <w:lvlJc w:val="left"/>
      <w:pPr>
        <w:ind w:left="1440" w:hanging="360"/>
      </w:pPr>
    </w:lvl>
    <w:lvl w:ilvl="2" w:tplc="A15CD672">
      <w:start w:val="1"/>
      <w:numFmt w:val="lowerRoman"/>
      <w:lvlText w:val="%3."/>
      <w:lvlJc w:val="right"/>
      <w:pPr>
        <w:ind w:left="2160" w:hanging="180"/>
      </w:pPr>
    </w:lvl>
    <w:lvl w:ilvl="3" w:tplc="5EF8EE7A">
      <w:start w:val="1"/>
      <w:numFmt w:val="decimal"/>
      <w:lvlText w:val="%4."/>
      <w:lvlJc w:val="left"/>
      <w:pPr>
        <w:ind w:left="2880" w:hanging="360"/>
      </w:pPr>
    </w:lvl>
    <w:lvl w:ilvl="4" w:tplc="5A7CDB9C">
      <w:start w:val="1"/>
      <w:numFmt w:val="lowerLetter"/>
      <w:lvlText w:val="%5."/>
      <w:lvlJc w:val="left"/>
      <w:pPr>
        <w:ind w:left="3600" w:hanging="360"/>
      </w:pPr>
    </w:lvl>
    <w:lvl w:ilvl="5" w:tplc="82A677DA">
      <w:start w:val="1"/>
      <w:numFmt w:val="lowerRoman"/>
      <w:lvlText w:val="%6."/>
      <w:lvlJc w:val="right"/>
      <w:pPr>
        <w:ind w:left="4320" w:hanging="180"/>
      </w:pPr>
    </w:lvl>
    <w:lvl w:ilvl="6" w:tplc="536E3E7E">
      <w:start w:val="1"/>
      <w:numFmt w:val="decimal"/>
      <w:lvlText w:val="%7."/>
      <w:lvlJc w:val="left"/>
      <w:pPr>
        <w:ind w:left="5040" w:hanging="360"/>
      </w:pPr>
    </w:lvl>
    <w:lvl w:ilvl="7" w:tplc="F2CE66E4">
      <w:start w:val="1"/>
      <w:numFmt w:val="lowerLetter"/>
      <w:lvlText w:val="%8."/>
      <w:lvlJc w:val="left"/>
      <w:pPr>
        <w:ind w:left="5760" w:hanging="360"/>
      </w:pPr>
    </w:lvl>
    <w:lvl w:ilvl="8" w:tplc="B0762528">
      <w:start w:val="1"/>
      <w:numFmt w:val="lowerRoman"/>
      <w:lvlText w:val="%9."/>
      <w:lvlJc w:val="right"/>
      <w:pPr>
        <w:ind w:left="6480" w:hanging="180"/>
      </w:pPr>
    </w:lvl>
  </w:abstractNum>
  <w:abstractNum w:abstractNumId="18" w15:restartNumberingAfterBreak="0">
    <w:nsid w:val="4E195D2F"/>
    <w:multiLevelType w:val="hybridMultilevel"/>
    <w:tmpl w:val="4B9CF270"/>
    <w:lvl w:ilvl="0" w:tplc="13A860F8">
      <w:start w:val="3"/>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F17785B"/>
    <w:multiLevelType w:val="hybridMultilevel"/>
    <w:tmpl w:val="7214F36A"/>
    <w:lvl w:ilvl="0" w:tplc="7C5C597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2F11D34"/>
    <w:multiLevelType w:val="hybridMultilevel"/>
    <w:tmpl w:val="45B45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3151F49"/>
    <w:multiLevelType w:val="hybridMultilevel"/>
    <w:tmpl w:val="91C6FDD8"/>
    <w:lvl w:ilvl="0" w:tplc="F5DEDB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B3848BA"/>
    <w:multiLevelType w:val="hybridMultilevel"/>
    <w:tmpl w:val="D176220E"/>
    <w:lvl w:ilvl="0" w:tplc="FFFFFFFF">
      <w:start w:val="1"/>
      <w:numFmt w:val="decimal"/>
      <w:lvlText w:val="%1."/>
      <w:lvlJc w:val="left"/>
      <w:pPr>
        <w:ind w:left="720" w:hanging="360"/>
      </w:pPr>
      <w:rPr>
        <w:rFonts w:hint="default"/>
        <w:b w:val="0"/>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5E8A1E91"/>
    <w:multiLevelType w:val="hybridMultilevel"/>
    <w:tmpl w:val="BEAE8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FF80871"/>
    <w:multiLevelType w:val="hybridMultilevel"/>
    <w:tmpl w:val="F6BE68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6B73CB0"/>
    <w:multiLevelType w:val="hybridMultilevel"/>
    <w:tmpl w:val="91C6FDD8"/>
    <w:lvl w:ilvl="0" w:tplc="F5DEDB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94376F6"/>
    <w:multiLevelType w:val="multilevel"/>
    <w:tmpl w:val="C578284A"/>
    <w:name w:val="RBU"/>
    <w:lvl w:ilvl="0">
      <w:start w:val="1"/>
      <w:numFmt w:val="bullet"/>
      <w:lvlRestart w:val="0"/>
      <w:pStyle w:val="RBUBullets"/>
      <w:lvlText w:val=""/>
      <w:lvlJc w:val="left"/>
      <w:pPr>
        <w:ind w:left="450" w:hanging="360"/>
      </w:pPr>
      <w:rPr>
        <w:rFonts w:ascii="Symbol" w:hAnsi="Symbol" w:hint="default"/>
        <w:b w:val="0"/>
        <w:i w:val="0"/>
        <w:caps w:val="0"/>
        <w:strike w:val="0"/>
        <w:dstrike w:val="0"/>
        <w:vanish w:val="0"/>
        <w:color w:val="auto"/>
        <w:sz w:val="24"/>
        <w:u w:val="none"/>
        <w:vertAlign w:val="baseline"/>
      </w:rPr>
    </w:lvl>
    <w:lvl w:ilvl="1">
      <w:start w:val="1"/>
      <w:numFmt w:val="bullet"/>
      <w:pStyle w:val="RB2Bullets"/>
      <w:lvlText w:val=""/>
      <w:lvlJc w:val="left"/>
      <w:pPr>
        <w:ind w:left="1080" w:hanging="360"/>
      </w:pPr>
      <w:rPr>
        <w:rFonts w:ascii="Symbol" w:hAnsi="Symbol" w:hint="default"/>
        <w:b w:val="0"/>
        <w:i w:val="0"/>
        <w:caps w:val="0"/>
        <w:strike w:val="0"/>
        <w:dstrike w:val="0"/>
        <w:vanish w:val="0"/>
        <w:color w:val="auto"/>
        <w:sz w:val="24"/>
        <w:u w:val="none"/>
        <w:vertAlign w:val="baseline"/>
      </w:rPr>
    </w:lvl>
    <w:lvl w:ilvl="2">
      <w:start w:val="1"/>
      <w:numFmt w:val="bullet"/>
      <w:pStyle w:val="RB3Bullets"/>
      <w:lvlText w:val=""/>
      <w:lvlJc w:val="left"/>
      <w:pPr>
        <w:ind w:left="1440" w:hanging="360"/>
      </w:pPr>
      <w:rPr>
        <w:rFonts w:ascii="Symbol" w:hAnsi="Symbol" w:hint="default"/>
        <w:b w:val="0"/>
        <w:i w:val="0"/>
        <w:caps w:val="0"/>
        <w:strike w:val="0"/>
        <w:dstrike w:val="0"/>
        <w:vanish w:val="0"/>
        <w:color w:val="auto"/>
        <w:sz w:val="24"/>
        <w:u w:val="none"/>
        <w:vertAlign w:val="baseline"/>
      </w:rPr>
    </w:lvl>
    <w:lvl w:ilvl="3">
      <w:start w:val="1"/>
      <w:numFmt w:val="bullet"/>
      <w:pStyle w:val="RB4Bullets"/>
      <w:lvlText w:val=""/>
      <w:lvlJc w:val="left"/>
      <w:pPr>
        <w:ind w:left="1800" w:hanging="360"/>
      </w:pPr>
      <w:rPr>
        <w:rFonts w:ascii="Symbol" w:hAnsi="Symbol" w:hint="default"/>
        <w:b w:val="0"/>
        <w:i w:val="0"/>
        <w:caps w:val="0"/>
        <w:strike w:val="0"/>
        <w:dstrike w:val="0"/>
        <w:vanish w:val="0"/>
        <w:color w:val="auto"/>
        <w:sz w:val="24"/>
        <w:u w:val="none"/>
        <w:vertAlign w:val="baseline"/>
      </w:rPr>
    </w:lvl>
    <w:lvl w:ilvl="4">
      <w:start w:val="1"/>
      <w:numFmt w:val="bullet"/>
      <w:pStyle w:val="RB5Bullets"/>
      <w:lvlText w:val=""/>
      <w:lvlJc w:val="left"/>
      <w:pPr>
        <w:ind w:left="2160" w:hanging="360"/>
      </w:pPr>
      <w:rPr>
        <w:rFonts w:ascii="Symbol" w:hAnsi="Symbol" w:hint="default"/>
        <w:b w:val="0"/>
        <w:i w:val="0"/>
        <w:caps w:val="0"/>
        <w:strike w:val="0"/>
        <w:dstrike w:val="0"/>
        <w:vanish w:val="0"/>
        <w:color w:val="auto"/>
        <w:sz w:val="24"/>
        <w:u w:val="none"/>
        <w:vertAlign w:val="baseline"/>
      </w:rPr>
    </w:lvl>
    <w:lvl w:ilvl="5">
      <w:start w:val="1"/>
      <w:numFmt w:val="bullet"/>
      <w:pStyle w:val="RB6Bullets"/>
      <w:lvlText w:val=""/>
      <w:lvlJc w:val="left"/>
      <w:pPr>
        <w:ind w:left="2520" w:hanging="360"/>
      </w:pPr>
      <w:rPr>
        <w:rFonts w:ascii="Symbol" w:hAnsi="Symbol" w:hint="default"/>
        <w:b w:val="0"/>
        <w:i w:val="0"/>
        <w:caps w:val="0"/>
        <w:strike w:val="0"/>
        <w:dstrike w:val="0"/>
        <w:vanish w:val="0"/>
        <w:color w:val="auto"/>
        <w:sz w:val="24"/>
        <w:u w:val="none"/>
        <w:vertAlign w:val="baseline"/>
      </w:rPr>
    </w:lvl>
    <w:lvl w:ilvl="6">
      <w:start w:val="1"/>
      <w:numFmt w:val="bullet"/>
      <w:pStyle w:val="RB7Bullets"/>
      <w:lvlText w:val=""/>
      <w:lvlJc w:val="left"/>
      <w:pPr>
        <w:ind w:left="2880" w:hanging="360"/>
      </w:pPr>
      <w:rPr>
        <w:rFonts w:ascii="Symbol" w:hAnsi="Symbol" w:hint="default"/>
        <w:b w:val="0"/>
        <w:i w:val="0"/>
        <w:caps w:val="0"/>
        <w:strike w:val="0"/>
        <w:dstrike w:val="0"/>
        <w:vanish w:val="0"/>
        <w:color w:val="auto"/>
        <w:sz w:val="24"/>
        <w:u w:val="none"/>
        <w:vertAlign w:val="baseline"/>
      </w:rPr>
    </w:lvl>
    <w:lvl w:ilvl="7">
      <w:start w:val="1"/>
      <w:numFmt w:val="bullet"/>
      <w:pStyle w:val="RB8Bullets"/>
      <w:lvlText w:val=""/>
      <w:lvlJc w:val="left"/>
      <w:pPr>
        <w:ind w:left="3240" w:hanging="360"/>
      </w:pPr>
      <w:rPr>
        <w:rFonts w:ascii="Symbol" w:hAnsi="Symbol" w:hint="default"/>
        <w:b w:val="0"/>
        <w:i w:val="0"/>
        <w:caps w:val="0"/>
        <w:strike w:val="0"/>
        <w:dstrike w:val="0"/>
        <w:vanish w:val="0"/>
        <w:color w:val="auto"/>
        <w:sz w:val="24"/>
        <w:u w:val="none"/>
        <w:vertAlign w:val="baseline"/>
      </w:rPr>
    </w:lvl>
    <w:lvl w:ilvl="8">
      <w:start w:val="1"/>
      <w:numFmt w:val="bullet"/>
      <w:pStyle w:val="RB9Bullets"/>
      <w:lvlText w:val=""/>
      <w:lvlJc w:val="left"/>
      <w:pPr>
        <w:ind w:left="3600" w:hanging="360"/>
      </w:pPr>
      <w:rPr>
        <w:rFonts w:ascii="Symbol" w:hAnsi="Symbol" w:hint="default"/>
        <w:b w:val="0"/>
        <w:i w:val="0"/>
        <w:caps w:val="0"/>
        <w:strike w:val="0"/>
        <w:dstrike w:val="0"/>
        <w:vanish w:val="0"/>
        <w:color w:val="auto"/>
        <w:sz w:val="24"/>
        <w:u w:val="none"/>
        <w:vertAlign w:val="baseline"/>
      </w:rPr>
    </w:lvl>
  </w:abstractNum>
  <w:abstractNum w:abstractNumId="27" w15:restartNumberingAfterBreak="0">
    <w:nsid w:val="6E934C69"/>
    <w:multiLevelType w:val="multilevel"/>
    <w:tmpl w:val="06D4416A"/>
    <w:styleLink w:val="VlnBullets"/>
    <w:lvl w:ilvl="0">
      <w:start w:val="1"/>
      <w:numFmt w:val="bullet"/>
      <w:pStyle w:val="VlnBullet1"/>
      <w:lvlText w:val=""/>
      <w:lvlJc w:val="left"/>
      <w:pPr>
        <w:ind w:left="720" w:hanging="360"/>
      </w:pPr>
      <w:rPr>
        <w:rFonts w:ascii="Symbol" w:hAnsi="Symbol" w:hint="default"/>
        <w:color w:val="2DCCD3"/>
        <w:sz w:val="31"/>
      </w:rPr>
    </w:lvl>
    <w:lvl w:ilvl="1">
      <w:start w:val="1"/>
      <w:numFmt w:val="bullet"/>
      <w:pStyle w:val="VlnBullet2"/>
      <w:lvlText w:val="○"/>
      <w:lvlJc w:val="left"/>
      <w:pPr>
        <w:ind w:left="1080" w:hanging="360"/>
      </w:pPr>
      <w:rPr>
        <w:rFonts w:ascii="Times New Roman" w:hAnsi="Times New Roman" w:cs="Times New Roman" w:hint="default"/>
        <w:color w:val="2DCCD3"/>
        <w:sz w:val="26"/>
      </w:rPr>
    </w:lvl>
    <w:lvl w:ilvl="2">
      <w:start w:val="1"/>
      <w:numFmt w:val="bullet"/>
      <w:pStyle w:val="VlnBullet3"/>
      <w:lvlText w:val="-"/>
      <w:lvlJc w:val="left"/>
      <w:pPr>
        <w:ind w:left="1440" w:hanging="360"/>
      </w:pPr>
      <w:rPr>
        <w:rFonts w:ascii="Courier New" w:hAnsi="Courier New" w:hint="default"/>
        <w:color w:val="2DCCD3"/>
        <w:sz w:val="26"/>
      </w:rPr>
    </w:lvl>
    <w:lvl w:ilvl="3">
      <w:start w:val="1"/>
      <w:numFmt w:val="bullet"/>
      <w:pStyle w:val="VlnBullet4"/>
      <w:lvlText w:val=""/>
      <w:lvlJc w:val="left"/>
      <w:pPr>
        <w:ind w:left="1800" w:hanging="360"/>
      </w:pPr>
      <w:rPr>
        <w:rFonts w:ascii="Symbol" w:hAnsi="Symbol" w:hint="default"/>
        <w:color w:val="2DCCD3"/>
        <w:sz w:val="24"/>
      </w:rPr>
    </w:lvl>
    <w:lvl w:ilvl="4">
      <w:start w:val="1"/>
      <w:numFmt w:val="bullet"/>
      <w:pStyle w:val="VlnBullet5"/>
      <w:lvlText w:val="○"/>
      <w:lvlJc w:val="left"/>
      <w:pPr>
        <w:ind w:left="2160" w:hanging="360"/>
      </w:pPr>
      <w:rPr>
        <w:rFonts w:ascii="Times New Roman" w:hAnsi="Times New Roman" w:cs="Times New Roman" w:hint="default"/>
        <w:color w:val="2DCCD3"/>
        <w:sz w:val="20"/>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8" w15:restartNumberingAfterBreak="0">
    <w:nsid w:val="79F445E9"/>
    <w:multiLevelType w:val="hybridMultilevel"/>
    <w:tmpl w:val="883028AC"/>
    <w:name w:val="DocXtoolsCompanion_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A9BCE1"/>
    <w:multiLevelType w:val="hybridMultilevel"/>
    <w:tmpl w:val="7D582798"/>
    <w:lvl w:ilvl="0" w:tplc="3F340810">
      <w:start w:val="1"/>
      <w:numFmt w:val="decimal"/>
      <w:lvlText w:val="%1."/>
      <w:lvlJc w:val="left"/>
      <w:pPr>
        <w:ind w:left="720" w:hanging="360"/>
      </w:pPr>
    </w:lvl>
    <w:lvl w:ilvl="1" w:tplc="8C701DF8">
      <w:start w:val="1"/>
      <w:numFmt w:val="lowerLetter"/>
      <w:lvlText w:val="%2."/>
      <w:lvlJc w:val="left"/>
      <w:pPr>
        <w:ind w:left="1440" w:hanging="360"/>
      </w:pPr>
    </w:lvl>
    <w:lvl w:ilvl="2" w:tplc="12ACD114">
      <w:start w:val="1"/>
      <w:numFmt w:val="lowerRoman"/>
      <w:lvlText w:val="%3."/>
      <w:lvlJc w:val="right"/>
      <w:pPr>
        <w:ind w:left="2160" w:hanging="180"/>
      </w:pPr>
    </w:lvl>
    <w:lvl w:ilvl="3" w:tplc="65B8A88A">
      <w:start w:val="1"/>
      <w:numFmt w:val="decimal"/>
      <w:lvlText w:val="%4."/>
      <w:lvlJc w:val="left"/>
      <w:pPr>
        <w:ind w:left="2880" w:hanging="360"/>
      </w:pPr>
    </w:lvl>
    <w:lvl w:ilvl="4" w:tplc="267606BC">
      <w:start w:val="1"/>
      <w:numFmt w:val="lowerLetter"/>
      <w:lvlText w:val="%5."/>
      <w:lvlJc w:val="left"/>
      <w:pPr>
        <w:ind w:left="3600" w:hanging="360"/>
      </w:pPr>
    </w:lvl>
    <w:lvl w:ilvl="5" w:tplc="C124F336">
      <w:start w:val="1"/>
      <w:numFmt w:val="lowerRoman"/>
      <w:lvlText w:val="%6."/>
      <w:lvlJc w:val="right"/>
      <w:pPr>
        <w:ind w:left="4320" w:hanging="180"/>
      </w:pPr>
    </w:lvl>
    <w:lvl w:ilvl="6" w:tplc="F872F342">
      <w:start w:val="1"/>
      <w:numFmt w:val="decimal"/>
      <w:lvlText w:val="%7."/>
      <w:lvlJc w:val="left"/>
      <w:pPr>
        <w:ind w:left="5040" w:hanging="360"/>
      </w:pPr>
    </w:lvl>
    <w:lvl w:ilvl="7" w:tplc="C4C0A576">
      <w:start w:val="1"/>
      <w:numFmt w:val="lowerLetter"/>
      <w:lvlText w:val="%8."/>
      <w:lvlJc w:val="left"/>
      <w:pPr>
        <w:ind w:left="5760" w:hanging="360"/>
      </w:pPr>
    </w:lvl>
    <w:lvl w:ilvl="8" w:tplc="20524A9A">
      <w:start w:val="1"/>
      <w:numFmt w:val="lowerRoman"/>
      <w:lvlText w:val="%9."/>
      <w:lvlJc w:val="right"/>
      <w:pPr>
        <w:ind w:left="6480" w:hanging="180"/>
      </w:pPr>
    </w:lvl>
  </w:abstractNum>
  <w:num w:numId="1" w16cid:durableId="1373842630">
    <w:abstractNumId w:val="26"/>
  </w:num>
  <w:num w:numId="2" w16cid:durableId="341590028">
    <w:abstractNumId w:val="4"/>
  </w:num>
  <w:num w:numId="3" w16cid:durableId="55247014">
    <w:abstractNumId w:val="11"/>
  </w:num>
  <w:num w:numId="4" w16cid:durableId="5221373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46245037">
    <w:abstractNumId w:val="8"/>
  </w:num>
  <w:num w:numId="6" w16cid:durableId="254411071">
    <w:abstractNumId w:val="12"/>
  </w:num>
  <w:num w:numId="7" w16cid:durableId="1597707134">
    <w:abstractNumId w:val="25"/>
  </w:num>
  <w:num w:numId="8" w16cid:durableId="556940076">
    <w:abstractNumId w:val="3"/>
  </w:num>
  <w:num w:numId="9" w16cid:durableId="1913276925">
    <w:abstractNumId w:val="16"/>
  </w:num>
  <w:num w:numId="10" w16cid:durableId="1335762990">
    <w:abstractNumId w:val="21"/>
  </w:num>
  <w:num w:numId="11" w16cid:durableId="414939030">
    <w:abstractNumId w:val="2"/>
  </w:num>
  <w:num w:numId="12" w16cid:durableId="1182089457">
    <w:abstractNumId w:val="5"/>
  </w:num>
  <w:num w:numId="13" w16cid:durableId="1142424080">
    <w:abstractNumId w:val="27"/>
  </w:num>
  <w:num w:numId="14" w16cid:durableId="34455178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49466159">
    <w:abstractNumId w:val="13"/>
  </w:num>
  <w:num w:numId="16" w16cid:durableId="1401636332">
    <w:abstractNumId w:val="15"/>
  </w:num>
  <w:num w:numId="17" w16cid:durableId="68158119">
    <w:abstractNumId w:val="9"/>
  </w:num>
  <w:num w:numId="18" w16cid:durableId="2096048877">
    <w:abstractNumId w:val="14"/>
  </w:num>
  <w:num w:numId="19" w16cid:durableId="1292713629">
    <w:abstractNumId w:val="18"/>
  </w:num>
  <w:num w:numId="20" w16cid:durableId="933512799">
    <w:abstractNumId w:val="24"/>
  </w:num>
  <w:num w:numId="21" w16cid:durableId="755326868">
    <w:abstractNumId w:val="17"/>
  </w:num>
  <w:num w:numId="22" w16cid:durableId="402022661">
    <w:abstractNumId w:val="29"/>
  </w:num>
  <w:num w:numId="23" w16cid:durableId="1110394534">
    <w:abstractNumId w:val="6"/>
  </w:num>
  <w:num w:numId="24" w16cid:durableId="565842996">
    <w:abstractNumId w:val="19"/>
  </w:num>
  <w:num w:numId="25" w16cid:durableId="1392658800">
    <w:abstractNumId w:val="1"/>
  </w:num>
  <w:num w:numId="26" w16cid:durableId="982390586">
    <w:abstractNumId w:val="0"/>
  </w:num>
  <w:num w:numId="27" w16cid:durableId="1309046957">
    <w:abstractNumId w:val="22"/>
  </w:num>
  <w:num w:numId="28" w16cid:durableId="934557854">
    <w:abstractNumId w:val="7"/>
  </w:num>
  <w:num w:numId="29" w16cid:durableId="676620041">
    <w:abstractNumId w:val="10"/>
  </w:num>
  <w:num w:numId="30" w16cid:durableId="671176296">
    <w:abstractNumId w:val="20"/>
  </w:num>
  <w:num w:numId="31" w16cid:durableId="1132209616">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activeWritingStyle w:appName="MSWord" w:lang="fr-FR"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K0NDA0MTK2sDA3MTZU0lEKTi0uzszPAykwMqsFALHAzVAtAAAA"/>
  </w:docVars>
  <w:rsids>
    <w:rsidRoot w:val="008C0709"/>
    <w:rsid w:val="000002A7"/>
    <w:rsid w:val="00000925"/>
    <w:rsid w:val="00000AF4"/>
    <w:rsid w:val="00000F02"/>
    <w:rsid w:val="00000FDF"/>
    <w:rsid w:val="000014D8"/>
    <w:rsid w:val="000015D7"/>
    <w:rsid w:val="0000165F"/>
    <w:rsid w:val="00001880"/>
    <w:rsid w:val="0000189F"/>
    <w:rsid w:val="00001B46"/>
    <w:rsid w:val="00001D68"/>
    <w:rsid w:val="00001E0F"/>
    <w:rsid w:val="000023B5"/>
    <w:rsid w:val="00002883"/>
    <w:rsid w:val="00002A76"/>
    <w:rsid w:val="00002ADE"/>
    <w:rsid w:val="0000364F"/>
    <w:rsid w:val="00003AE8"/>
    <w:rsid w:val="0000516F"/>
    <w:rsid w:val="00005226"/>
    <w:rsid w:val="000053FA"/>
    <w:rsid w:val="00005421"/>
    <w:rsid w:val="00005945"/>
    <w:rsid w:val="00005B19"/>
    <w:rsid w:val="00005DD1"/>
    <w:rsid w:val="00006043"/>
    <w:rsid w:val="000063F2"/>
    <w:rsid w:val="00006964"/>
    <w:rsid w:val="00006B6F"/>
    <w:rsid w:val="00006E18"/>
    <w:rsid w:val="00006F9A"/>
    <w:rsid w:val="00006FCD"/>
    <w:rsid w:val="000073EC"/>
    <w:rsid w:val="0000747D"/>
    <w:rsid w:val="00007818"/>
    <w:rsid w:val="0000789D"/>
    <w:rsid w:val="00010084"/>
    <w:rsid w:val="0001053F"/>
    <w:rsid w:val="0001067C"/>
    <w:rsid w:val="00010956"/>
    <w:rsid w:val="000111B6"/>
    <w:rsid w:val="00011399"/>
    <w:rsid w:val="0001145D"/>
    <w:rsid w:val="000114A8"/>
    <w:rsid w:val="000115ED"/>
    <w:rsid w:val="00011681"/>
    <w:rsid w:val="00012017"/>
    <w:rsid w:val="00012039"/>
    <w:rsid w:val="0001225A"/>
    <w:rsid w:val="00012296"/>
    <w:rsid w:val="00012374"/>
    <w:rsid w:val="00012B79"/>
    <w:rsid w:val="00012E91"/>
    <w:rsid w:val="00013D82"/>
    <w:rsid w:val="00014493"/>
    <w:rsid w:val="00014554"/>
    <w:rsid w:val="0001463B"/>
    <w:rsid w:val="000147B7"/>
    <w:rsid w:val="0001499B"/>
    <w:rsid w:val="00014C77"/>
    <w:rsid w:val="0001519C"/>
    <w:rsid w:val="00015479"/>
    <w:rsid w:val="00015541"/>
    <w:rsid w:val="00015733"/>
    <w:rsid w:val="0001582B"/>
    <w:rsid w:val="00015923"/>
    <w:rsid w:val="00015A86"/>
    <w:rsid w:val="0001695B"/>
    <w:rsid w:val="00017A92"/>
    <w:rsid w:val="00017EA4"/>
    <w:rsid w:val="00017EBE"/>
    <w:rsid w:val="00020068"/>
    <w:rsid w:val="00020821"/>
    <w:rsid w:val="00020965"/>
    <w:rsid w:val="00020FD7"/>
    <w:rsid w:val="000211D3"/>
    <w:rsid w:val="0002129E"/>
    <w:rsid w:val="0002143F"/>
    <w:rsid w:val="0002218C"/>
    <w:rsid w:val="00022292"/>
    <w:rsid w:val="00022966"/>
    <w:rsid w:val="00022C7E"/>
    <w:rsid w:val="000238EF"/>
    <w:rsid w:val="000239AD"/>
    <w:rsid w:val="00023A81"/>
    <w:rsid w:val="00023C19"/>
    <w:rsid w:val="00023CFC"/>
    <w:rsid w:val="00023D70"/>
    <w:rsid w:val="00023E8F"/>
    <w:rsid w:val="000242E8"/>
    <w:rsid w:val="00024662"/>
    <w:rsid w:val="00025748"/>
    <w:rsid w:val="00025C87"/>
    <w:rsid w:val="000262A9"/>
    <w:rsid w:val="0002723A"/>
    <w:rsid w:val="00027413"/>
    <w:rsid w:val="00027565"/>
    <w:rsid w:val="0002767A"/>
    <w:rsid w:val="00027B44"/>
    <w:rsid w:val="00027B8C"/>
    <w:rsid w:val="00027BB8"/>
    <w:rsid w:val="00027C0E"/>
    <w:rsid w:val="00027DD7"/>
    <w:rsid w:val="000300FC"/>
    <w:rsid w:val="00030D16"/>
    <w:rsid w:val="00030D19"/>
    <w:rsid w:val="000319DE"/>
    <w:rsid w:val="00031B05"/>
    <w:rsid w:val="00031DD4"/>
    <w:rsid w:val="0003203D"/>
    <w:rsid w:val="0003214F"/>
    <w:rsid w:val="000323B4"/>
    <w:rsid w:val="000325AF"/>
    <w:rsid w:val="0003285D"/>
    <w:rsid w:val="00032F3A"/>
    <w:rsid w:val="000332B4"/>
    <w:rsid w:val="0003337F"/>
    <w:rsid w:val="000336D9"/>
    <w:rsid w:val="000338CF"/>
    <w:rsid w:val="00033945"/>
    <w:rsid w:val="00033973"/>
    <w:rsid w:val="00034025"/>
    <w:rsid w:val="00034075"/>
    <w:rsid w:val="00034426"/>
    <w:rsid w:val="0003479D"/>
    <w:rsid w:val="00034C41"/>
    <w:rsid w:val="00034EA3"/>
    <w:rsid w:val="0003540A"/>
    <w:rsid w:val="00035726"/>
    <w:rsid w:val="000357DC"/>
    <w:rsid w:val="00035882"/>
    <w:rsid w:val="00035D6A"/>
    <w:rsid w:val="000361B5"/>
    <w:rsid w:val="000365BB"/>
    <w:rsid w:val="00036703"/>
    <w:rsid w:val="0003678F"/>
    <w:rsid w:val="00037077"/>
    <w:rsid w:val="00037248"/>
    <w:rsid w:val="00037414"/>
    <w:rsid w:val="0003777C"/>
    <w:rsid w:val="0003779F"/>
    <w:rsid w:val="000378C9"/>
    <w:rsid w:val="000378CE"/>
    <w:rsid w:val="00037AF0"/>
    <w:rsid w:val="00037B9D"/>
    <w:rsid w:val="000400BC"/>
    <w:rsid w:val="00040884"/>
    <w:rsid w:val="00040AD1"/>
    <w:rsid w:val="00040DA6"/>
    <w:rsid w:val="000415F0"/>
    <w:rsid w:val="00041BFC"/>
    <w:rsid w:val="00041F4C"/>
    <w:rsid w:val="000422A3"/>
    <w:rsid w:val="000424D3"/>
    <w:rsid w:val="0004273B"/>
    <w:rsid w:val="000427E0"/>
    <w:rsid w:val="00042D93"/>
    <w:rsid w:val="00042E62"/>
    <w:rsid w:val="0004323A"/>
    <w:rsid w:val="00043F4F"/>
    <w:rsid w:val="000440D7"/>
    <w:rsid w:val="000443FD"/>
    <w:rsid w:val="00044F19"/>
    <w:rsid w:val="00044FA7"/>
    <w:rsid w:val="00046064"/>
    <w:rsid w:val="00046854"/>
    <w:rsid w:val="00046895"/>
    <w:rsid w:val="000468BC"/>
    <w:rsid w:val="00047574"/>
    <w:rsid w:val="00047905"/>
    <w:rsid w:val="00047AFC"/>
    <w:rsid w:val="0005017D"/>
    <w:rsid w:val="000503A8"/>
    <w:rsid w:val="00050530"/>
    <w:rsid w:val="00050535"/>
    <w:rsid w:val="00050D37"/>
    <w:rsid w:val="00051634"/>
    <w:rsid w:val="000518D9"/>
    <w:rsid w:val="00051CCE"/>
    <w:rsid w:val="00052086"/>
    <w:rsid w:val="00052215"/>
    <w:rsid w:val="00052556"/>
    <w:rsid w:val="00052664"/>
    <w:rsid w:val="00052AB0"/>
    <w:rsid w:val="00052B92"/>
    <w:rsid w:val="000534AA"/>
    <w:rsid w:val="0005358D"/>
    <w:rsid w:val="000535F1"/>
    <w:rsid w:val="00053725"/>
    <w:rsid w:val="00053849"/>
    <w:rsid w:val="00054A7A"/>
    <w:rsid w:val="00054C7D"/>
    <w:rsid w:val="00054CD3"/>
    <w:rsid w:val="00054F01"/>
    <w:rsid w:val="00055032"/>
    <w:rsid w:val="00055F68"/>
    <w:rsid w:val="000560AA"/>
    <w:rsid w:val="00056445"/>
    <w:rsid w:val="00056527"/>
    <w:rsid w:val="000565B9"/>
    <w:rsid w:val="000565D5"/>
    <w:rsid w:val="00056E07"/>
    <w:rsid w:val="000572C6"/>
    <w:rsid w:val="00057B2F"/>
    <w:rsid w:val="00057E7A"/>
    <w:rsid w:val="00057EB5"/>
    <w:rsid w:val="00060051"/>
    <w:rsid w:val="00060374"/>
    <w:rsid w:val="00060472"/>
    <w:rsid w:val="00060584"/>
    <w:rsid w:val="000607E5"/>
    <w:rsid w:val="00060C17"/>
    <w:rsid w:val="00060D20"/>
    <w:rsid w:val="00060E5A"/>
    <w:rsid w:val="0006171E"/>
    <w:rsid w:val="0006177D"/>
    <w:rsid w:val="00061F0C"/>
    <w:rsid w:val="0006269B"/>
    <w:rsid w:val="000635A1"/>
    <w:rsid w:val="00063ADA"/>
    <w:rsid w:val="00063F91"/>
    <w:rsid w:val="00063FB5"/>
    <w:rsid w:val="0006424E"/>
    <w:rsid w:val="000646E0"/>
    <w:rsid w:val="0006487F"/>
    <w:rsid w:val="00064A8A"/>
    <w:rsid w:val="00064AB0"/>
    <w:rsid w:val="00065360"/>
    <w:rsid w:val="00065CD6"/>
    <w:rsid w:val="00065E14"/>
    <w:rsid w:val="00066603"/>
    <w:rsid w:val="00067017"/>
    <w:rsid w:val="000672AF"/>
    <w:rsid w:val="0006737F"/>
    <w:rsid w:val="00067789"/>
    <w:rsid w:val="0006788E"/>
    <w:rsid w:val="0006798A"/>
    <w:rsid w:val="00067A9B"/>
    <w:rsid w:val="00067B9B"/>
    <w:rsid w:val="00067D64"/>
    <w:rsid w:val="00067F0D"/>
    <w:rsid w:val="0007003D"/>
    <w:rsid w:val="00070074"/>
    <w:rsid w:val="00070785"/>
    <w:rsid w:val="00070B97"/>
    <w:rsid w:val="00070CFB"/>
    <w:rsid w:val="00070D6C"/>
    <w:rsid w:val="00071428"/>
    <w:rsid w:val="000716DE"/>
    <w:rsid w:val="0007184A"/>
    <w:rsid w:val="00071A16"/>
    <w:rsid w:val="0007293D"/>
    <w:rsid w:val="00072B19"/>
    <w:rsid w:val="00073735"/>
    <w:rsid w:val="00073C7A"/>
    <w:rsid w:val="00074313"/>
    <w:rsid w:val="000744F1"/>
    <w:rsid w:val="00074526"/>
    <w:rsid w:val="00074538"/>
    <w:rsid w:val="00074600"/>
    <w:rsid w:val="00074E5D"/>
    <w:rsid w:val="000751CD"/>
    <w:rsid w:val="000752CD"/>
    <w:rsid w:val="0007553D"/>
    <w:rsid w:val="000759EA"/>
    <w:rsid w:val="00075AB0"/>
    <w:rsid w:val="00076654"/>
    <w:rsid w:val="0007689E"/>
    <w:rsid w:val="00076B1A"/>
    <w:rsid w:val="00076C25"/>
    <w:rsid w:val="00076CF7"/>
    <w:rsid w:val="00076F76"/>
    <w:rsid w:val="000776F9"/>
    <w:rsid w:val="00077700"/>
    <w:rsid w:val="00077A54"/>
    <w:rsid w:val="00077A72"/>
    <w:rsid w:val="00077DB8"/>
    <w:rsid w:val="0008011B"/>
    <w:rsid w:val="00080430"/>
    <w:rsid w:val="00080666"/>
    <w:rsid w:val="00080BE8"/>
    <w:rsid w:val="0008102C"/>
    <w:rsid w:val="000810E3"/>
    <w:rsid w:val="00081851"/>
    <w:rsid w:val="00081C82"/>
    <w:rsid w:val="00082044"/>
    <w:rsid w:val="0008227E"/>
    <w:rsid w:val="00082400"/>
    <w:rsid w:val="00082461"/>
    <w:rsid w:val="00082892"/>
    <w:rsid w:val="00083335"/>
    <w:rsid w:val="0008356D"/>
    <w:rsid w:val="000839C1"/>
    <w:rsid w:val="00083DC3"/>
    <w:rsid w:val="00083FCD"/>
    <w:rsid w:val="000843CF"/>
    <w:rsid w:val="00084415"/>
    <w:rsid w:val="000844CD"/>
    <w:rsid w:val="0008479B"/>
    <w:rsid w:val="00084AE5"/>
    <w:rsid w:val="00085226"/>
    <w:rsid w:val="0008538E"/>
    <w:rsid w:val="0008574D"/>
    <w:rsid w:val="0008582A"/>
    <w:rsid w:val="0008586B"/>
    <w:rsid w:val="00085D7B"/>
    <w:rsid w:val="00086013"/>
    <w:rsid w:val="00086051"/>
    <w:rsid w:val="00086552"/>
    <w:rsid w:val="00086D9D"/>
    <w:rsid w:val="00087151"/>
    <w:rsid w:val="0008716C"/>
    <w:rsid w:val="0008752D"/>
    <w:rsid w:val="00087634"/>
    <w:rsid w:val="0008768C"/>
    <w:rsid w:val="00087909"/>
    <w:rsid w:val="00087A93"/>
    <w:rsid w:val="00087A9A"/>
    <w:rsid w:val="00087B5A"/>
    <w:rsid w:val="000900E5"/>
    <w:rsid w:val="00090574"/>
    <w:rsid w:val="000905E0"/>
    <w:rsid w:val="00090688"/>
    <w:rsid w:val="00090989"/>
    <w:rsid w:val="00090E01"/>
    <w:rsid w:val="00090EE1"/>
    <w:rsid w:val="000911E7"/>
    <w:rsid w:val="000913AB"/>
    <w:rsid w:val="0009160E"/>
    <w:rsid w:val="00091793"/>
    <w:rsid w:val="000917E0"/>
    <w:rsid w:val="00091CB3"/>
    <w:rsid w:val="000922B4"/>
    <w:rsid w:val="000923B5"/>
    <w:rsid w:val="00092936"/>
    <w:rsid w:val="00092A70"/>
    <w:rsid w:val="00092E92"/>
    <w:rsid w:val="0009304B"/>
    <w:rsid w:val="000938E9"/>
    <w:rsid w:val="000939BD"/>
    <w:rsid w:val="00093CAA"/>
    <w:rsid w:val="00093CF6"/>
    <w:rsid w:val="00093E2B"/>
    <w:rsid w:val="00093E5A"/>
    <w:rsid w:val="00093FC3"/>
    <w:rsid w:val="000942E8"/>
    <w:rsid w:val="0009508F"/>
    <w:rsid w:val="0009553E"/>
    <w:rsid w:val="000955A1"/>
    <w:rsid w:val="000956A9"/>
    <w:rsid w:val="00095AB6"/>
    <w:rsid w:val="00095ADF"/>
    <w:rsid w:val="00095AFF"/>
    <w:rsid w:val="0009600B"/>
    <w:rsid w:val="0009626C"/>
    <w:rsid w:val="00096856"/>
    <w:rsid w:val="00096EC2"/>
    <w:rsid w:val="000971C8"/>
    <w:rsid w:val="00097838"/>
    <w:rsid w:val="00097C23"/>
    <w:rsid w:val="00097DE0"/>
    <w:rsid w:val="00097E6A"/>
    <w:rsid w:val="00097EAE"/>
    <w:rsid w:val="000A05FC"/>
    <w:rsid w:val="000A0C6F"/>
    <w:rsid w:val="000A22A9"/>
    <w:rsid w:val="000A2958"/>
    <w:rsid w:val="000A2C51"/>
    <w:rsid w:val="000A301C"/>
    <w:rsid w:val="000A303B"/>
    <w:rsid w:val="000A3524"/>
    <w:rsid w:val="000A3A57"/>
    <w:rsid w:val="000A40D6"/>
    <w:rsid w:val="000A4173"/>
    <w:rsid w:val="000A43BC"/>
    <w:rsid w:val="000A44CC"/>
    <w:rsid w:val="000A45A0"/>
    <w:rsid w:val="000A45D5"/>
    <w:rsid w:val="000A47FB"/>
    <w:rsid w:val="000A4809"/>
    <w:rsid w:val="000A4B0E"/>
    <w:rsid w:val="000A546C"/>
    <w:rsid w:val="000A549C"/>
    <w:rsid w:val="000A58E3"/>
    <w:rsid w:val="000A59C8"/>
    <w:rsid w:val="000A5C36"/>
    <w:rsid w:val="000A6846"/>
    <w:rsid w:val="000A6B95"/>
    <w:rsid w:val="000A6BFD"/>
    <w:rsid w:val="000A70D9"/>
    <w:rsid w:val="000A7478"/>
    <w:rsid w:val="000A74D0"/>
    <w:rsid w:val="000A7AC1"/>
    <w:rsid w:val="000A7B1A"/>
    <w:rsid w:val="000A7E9E"/>
    <w:rsid w:val="000A7FA5"/>
    <w:rsid w:val="000B0CDF"/>
    <w:rsid w:val="000B0D2C"/>
    <w:rsid w:val="000B0E55"/>
    <w:rsid w:val="000B1063"/>
    <w:rsid w:val="000B1633"/>
    <w:rsid w:val="000B1838"/>
    <w:rsid w:val="000B1AE3"/>
    <w:rsid w:val="000B1B58"/>
    <w:rsid w:val="000B1CB9"/>
    <w:rsid w:val="000B1ED4"/>
    <w:rsid w:val="000B20B5"/>
    <w:rsid w:val="000B245D"/>
    <w:rsid w:val="000B25B3"/>
    <w:rsid w:val="000B25EA"/>
    <w:rsid w:val="000B2EE5"/>
    <w:rsid w:val="000B361F"/>
    <w:rsid w:val="000B371A"/>
    <w:rsid w:val="000B383F"/>
    <w:rsid w:val="000B410B"/>
    <w:rsid w:val="000B410F"/>
    <w:rsid w:val="000B41F8"/>
    <w:rsid w:val="000B437C"/>
    <w:rsid w:val="000B44F9"/>
    <w:rsid w:val="000B4610"/>
    <w:rsid w:val="000B4783"/>
    <w:rsid w:val="000B47E8"/>
    <w:rsid w:val="000B4E5C"/>
    <w:rsid w:val="000B51AD"/>
    <w:rsid w:val="000B524F"/>
    <w:rsid w:val="000B5749"/>
    <w:rsid w:val="000B5767"/>
    <w:rsid w:val="000B58B5"/>
    <w:rsid w:val="000B6149"/>
    <w:rsid w:val="000B661C"/>
    <w:rsid w:val="000B6696"/>
    <w:rsid w:val="000B72C0"/>
    <w:rsid w:val="000B741C"/>
    <w:rsid w:val="000B797E"/>
    <w:rsid w:val="000B7B63"/>
    <w:rsid w:val="000C0407"/>
    <w:rsid w:val="000C0753"/>
    <w:rsid w:val="000C0DA1"/>
    <w:rsid w:val="000C1123"/>
    <w:rsid w:val="000C1419"/>
    <w:rsid w:val="000C1911"/>
    <w:rsid w:val="000C1A34"/>
    <w:rsid w:val="000C1CCE"/>
    <w:rsid w:val="000C2263"/>
    <w:rsid w:val="000C299C"/>
    <w:rsid w:val="000C2E83"/>
    <w:rsid w:val="000C35A1"/>
    <w:rsid w:val="000C3C88"/>
    <w:rsid w:val="000C3CAC"/>
    <w:rsid w:val="000C3D77"/>
    <w:rsid w:val="000C408D"/>
    <w:rsid w:val="000C4360"/>
    <w:rsid w:val="000C4797"/>
    <w:rsid w:val="000C5065"/>
    <w:rsid w:val="000C55F3"/>
    <w:rsid w:val="000C5873"/>
    <w:rsid w:val="000C58C2"/>
    <w:rsid w:val="000C5A0F"/>
    <w:rsid w:val="000C5F7B"/>
    <w:rsid w:val="000C6213"/>
    <w:rsid w:val="000C63A9"/>
    <w:rsid w:val="000C648B"/>
    <w:rsid w:val="000C6565"/>
    <w:rsid w:val="000C698A"/>
    <w:rsid w:val="000C7105"/>
    <w:rsid w:val="000C7226"/>
    <w:rsid w:val="000C725B"/>
    <w:rsid w:val="000C79C7"/>
    <w:rsid w:val="000C7B09"/>
    <w:rsid w:val="000D0472"/>
    <w:rsid w:val="000D09E8"/>
    <w:rsid w:val="000D0ADC"/>
    <w:rsid w:val="000D0C8C"/>
    <w:rsid w:val="000D0ED8"/>
    <w:rsid w:val="000D12F2"/>
    <w:rsid w:val="000D1948"/>
    <w:rsid w:val="000D1D38"/>
    <w:rsid w:val="000D2043"/>
    <w:rsid w:val="000D20F1"/>
    <w:rsid w:val="000D272A"/>
    <w:rsid w:val="000D2A7D"/>
    <w:rsid w:val="000D2AFA"/>
    <w:rsid w:val="000D2CBA"/>
    <w:rsid w:val="000D2E2C"/>
    <w:rsid w:val="000D3495"/>
    <w:rsid w:val="000D3A86"/>
    <w:rsid w:val="000D40DF"/>
    <w:rsid w:val="000D453B"/>
    <w:rsid w:val="000D458A"/>
    <w:rsid w:val="000D483B"/>
    <w:rsid w:val="000D4C43"/>
    <w:rsid w:val="000D5247"/>
    <w:rsid w:val="000D565B"/>
    <w:rsid w:val="000D6622"/>
    <w:rsid w:val="000D6A68"/>
    <w:rsid w:val="000D6AF2"/>
    <w:rsid w:val="000D6E6E"/>
    <w:rsid w:val="000D6F8E"/>
    <w:rsid w:val="000D709A"/>
    <w:rsid w:val="000D79CF"/>
    <w:rsid w:val="000D7BA6"/>
    <w:rsid w:val="000D7BFE"/>
    <w:rsid w:val="000D7E3B"/>
    <w:rsid w:val="000E04E4"/>
    <w:rsid w:val="000E0764"/>
    <w:rsid w:val="000E0C47"/>
    <w:rsid w:val="000E1041"/>
    <w:rsid w:val="000E10E9"/>
    <w:rsid w:val="000E1182"/>
    <w:rsid w:val="000E1CBB"/>
    <w:rsid w:val="000E1F11"/>
    <w:rsid w:val="000E211B"/>
    <w:rsid w:val="000E22B3"/>
    <w:rsid w:val="000E3F36"/>
    <w:rsid w:val="000E416C"/>
    <w:rsid w:val="000E441E"/>
    <w:rsid w:val="000E4791"/>
    <w:rsid w:val="000E4A2C"/>
    <w:rsid w:val="000E4DCD"/>
    <w:rsid w:val="000E4ED3"/>
    <w:rsid w:val="000E5195"/>
    <w:rsid w:val="000E5CD6"/>
    <w:rsid w:val="000E5F08"/>
    <w:rsid w:val="000E6158"/>
    <w:rsid w:val="000E6AC6"/>
    <w:rsid w:val="000E72BB"/>
    <w:rsid w:val="000E7434"/>
    <w:rsid w:val="000F02D7"/>
    <w:rsid w:val="000F0F2E"/>
    <w:rsid w:val="000F115E"/>
    <w:rsid w:val="000F12F9"/>
    <w:rsid w:val="000F176D"/>
    <w:rsid w:val="000F1E36"/>
    <w:rsid w:val="000F200E"/>
    <w:rsid w:val="000F2589"/>
    <w:rsid w:val="000F2794"/>
    <w:rsid w:val="000F2A72"/>
    <w:rsid w:val="000F2B0C"/>
    <w:rsid w:val="000F2FF8"/>
    <w:rsid w:val="000F30D4"/>
    <w:rsid w:val="000F3C99"/>
    <w:rsid w:val="000F3DAD"/>
    <w:rsid w:val="000F3E5B"/>
    <w:rsid w:val="000F4347"/>
    <w:rsid w:val="000F4A8E"/>
    <w:rsid w:val="000F4BDC"/>
    <w:rsid w:val="000F4C9D"/>
    <w:rsid w:val="000F4E0F"/>
    <w:rsid w:val="000F505F"/>
    <w:rsid w:val="000F5579"/>
    <w:rsid w:val="000F58A4"/>
    <w:rsid w:val="000F5CBC"/>
    <w:rsid w:val="000F5D39"/>
    <w:rsid w:val="000F5D9D"/>
    <w:rsid w:val="000F5ECB"/>
    <w:rsid w:val="000F5F42"/>
    <w:rsid w:val="000F5F7F"/>
    <w:rsid w:val="000F6105"/>
    <w:rsid w:val="000F6117"/>
    <w:rsid w:val="000F6390"/>
    <w:rsid w:val="000F65A5"/>
    <w:rsid w:val="000F6C04"/>
    <w:rsid w:val="000F6D1C"/>
    <w:rsid w:val="000F6DE3"/>
    <w:rsid w:val="000F73C6"/>
    <w:rsid w:val="000F7421"/>
    <w:rsid w:val="000F7808"/>
    <w:rsid w:val="000F789B"/>
    <w:rsid w:val="000F7ACA"/>
    <w:rsid w:val="000F7C26"/>
    <w:rsid w:val="000F7C9A"/>
    <w:rsid w:val="000F7D9A"/>
    <w:rsid w:val="000F7DFB"/>
    <w:rsid w:val="00100067"/>
    <w:rsid w:val="00100082"/>
    <w:rsid w:val="001004B1"/>
    <w:rsid w:val="001004B8"/>
    <w:rsid w:val="001005C6"/>
    <w:rsid w:val="0010120C"/>
    <w:rsid w:val="00101227"/>
    <w:rsid w:val="001017D9"/>
    <w:rsid w:val="00101837"/>
    <w:rsid w:val="00101943"/>
    <w:rsid w:val="00101B15"/>
    <w:rsid w:val="00101EAD"/>
    <w:rsid w:val="001020EE"/>
    <w:rsid w:val="00102683"/>
    <w:rsid w:val="00102D4C"/>
    <w:rsid w:val="00102F27"/>
    <w:rsid w:val="00103081"/>
    <w:rsid w:val="001030EB"/>
    <w:rsid w:val="001032D6"/>
    <w:rsid w:val="00103383"/>
    <w:rsid w:val="00103961"/>
    <w:rsid w:val="001039A7"/>
    <w:rsid w:val="00103AD9"/>
    <w:rsid w:val="00103B28"/>
    <w:rsid w:val="00104375"/>
    <w:rsid w:val="001044D4"/>
    <w:rsid w:val="00104664"/>
    <w:rsid w:val="00104BB8"/>
    <w:rsid w:val="00104C61"/>
    <w:rsid w:val="00104CD5"/>
    <w:rsid w:val="00104E11"/>
    <w:rsid w:val="00104FED"/>
    <w:rsid w:val="001051E0"/>
    <w:rsid w:val="001052CE"/>
    <w:rsid w:val="00105335"/>
    <w:rsid w:val="00105784"/>
    <w:rsid w:val="00105A50"/>
    <w:rsid w:val="00105B76"/>
    <w:rsid w:val="00106691"/>
    <w:rsid w:val="001068A0"/>
    <w:rsid w:val="00106B71"/>
    <w:rsid w:val="00106CA8"/>
    <w:rsid w:val="00106F7D"/>
    <w:rsid w:val="00107893"/>
    <w:rsid w:val="00107D67"/>
    <w:rsid w:val="001100CE"/>
    <w:rsid w:val="001106D5"/>
    <w:rsid w:val="00110CCC"/>
    <w:rsid w:val="001114BC"/>
    <w:rsid w:val="00111894"/>
    <w:rsid w:val="001120C0"/>
    <w:rsid w:val="0011211C"/>
    <w:rsid w:val="00112582"/>
    <w:rsid w:val="00112E30"/>
    <w:rsid w:val="0011318D"/>
    <w:rsid w:val="00113894"/>
    <w:rsid w:val="0011390D"/>
    <w:rsid w:val="001139CB"/>
    <w:rsid w:val="00113EFA"/>
    <w:rsid w:val="001140E5"/>
    <w:rsid w:val="0011440B"/>
    <w:rsid w:val="00114483"/>
    <w:rsid w:val="00114B38"/>
    <w:rsid w:val="00114CA0"/>
    <w:rsid w:val="00114DF7"/>
    <w:rsid w:val="00114F4A"/>
    <w:rsid w:val="0011502A"/>
    <w:rsid w:val="001156B5"/>
    <w:rsid w:val="0011583A"/>
    <w:rsid w:val="00115F6B"/>
    <w:rsid w:val="0011621B"/>
    <w:rsid w:val="001163BA"/>
    <w:rsid w:val="001166DA"/>
    <w:rsid w:val="00116B2B"/>
    <w:rsid w:val="00116E9F"/>
    <w:rsid w:val="00117338"/>
    <w:rsid w:val="001173E5"/>
    <w:rsid w:val="00117538"/>
    <w:rsid w:val="00117721"/>
    <w:rsid w:val="00117917"/>
    <w:rsid w:val="001179F0"/>
    <w:rsid w:val="0012039D"/>
    <w:rsid w:val="001203DA"/>
    <w:rsid w:val="001204E2"/>
    <w:rsid w:val="001207E1"/>
    <w:rsid w:val="001208D8"/>
    <w:rsid w:val="00120B32"/>
    <w:rsid w:val="00120D62"/>
    <w:rsid w:val="0012122D"/>
    <w:rsid w:val="00121240"/>
    <w:rsid w:val="00121453"/>
    <w:rsid w:val="00121579"/>
    <w:rsid w:val="001215C9"/>
    <w:rsid w:val="001215FB"/>
    <w:rsid w:val="001216D6"/>
    <w:rsid w:val="00121834"/>
    <w:rsid w:val="0012220F"/>
    <w:rsid w:val="00122462"/>
    <w:rsid w:val="00122561"/>
    <w:rsid w:val="00122642"/>
    <w:rsid w:val="00122D6F"/>
    <w:rsid w:val="0012336A"/>
    <w:rsid w:val="0012367E"/>
    <w:rsid w:val="0012392C"/>
    <w:rsid w:val="00124050"/>
    <w:rsid w:val="00124894"/>
    <w:rsid w:val="00124BCB"/>
    <w:rsid w:val="00124E50"/>
    <w:rsid w:val="0012521D"/>
    <w:rsid w:val="00125288"/>
    <w:rsid w:val="001259C3"/>
    <w:rsid w:val="00126377"/>
    <w:rsid w:val="001265B4"/>
    <w:rsid w:val="001265FC"/>
    <w:rsid w:val="00126E05"/>
    <w:rsid w:val="00126E8A"/>
    <w:rsid w:val="00127222"/>
    <w:rsid w:val="00127DBA"/>
    <w:rsid w:val="001300AE"/>
    <w:rsid w:val="001301CB"/>
    <w:rsid w:val="00130275"/>
    <w:rsid w:val="00130BE3"/>
    <w:rsid w:val="00130EB0"/>
    <w:rsid w:val="0013103B"/>
    <w:rsid w:val="001310BB"/>
    <w:rsid w:val="001314DD"/>
    <w:rsid w:val="0013183C"/>
    <w:rsid w:val="0013187E"/>
    <w:rsid w:val="0013195A"/>
    <w:rsid w:val="001319F2"/>
    <w:rsid w:val="00131FF5"/>
    <w:rsid w:val="001321C4"/>
    <w:rsid w:val="0013238C"/>
    <w:rsid w:val="00132A79"/>
    <w:rsid w:val="00132B54"/>
    <w:rsid w:val="00132EB1"/>
    <w:rsid w:val="0013312B"/>
    <w:rsid w:val="00133363"/>
    <w:rsid w:val="00133883"/>
    <w:rsid w:val="0013398A"/>
    <w:rsid w:val="001339F6"/>
    <w:rsid w:val="0013437E"/>
    <w:rsid w:val="00134568"/>
    <w:rsid w:val="00134697"/>
    <w:rsid w:val="00135286"/>
    <w:rsid w:val="001354CF"/>
    <w:rsid w:val="0013591D"/>
    <w:rsid w:val="001359C8"/>
    <w:rsid w:val="00135B96"/>
    <w:rsid w:val="00135D92"/>
    <w:rsid w:val="00135E14"/>
    <w:rsid w:val="00135E81"/>
    <w:rsid w:val="0013679C"/>
    <w:rsid w:val="00136B09"/>
    <w:rsid w:val="0013724C"/>
    <w:rsid w:val="001373D9"/>
    <w:rsid w:val="001377D8"/>
    <w:rsid w:val="00137C5B"/>
    <w:rsid w:val="00137D3C"/>
    <w:rsid w:val="00140018"/>
    <w:rsid w:val="001401F2"/>
    <w:rsid w:val="00140989"/>
    <w:rsid w:val="00141004"/>
    <w:rsid w:val="00141279"/>
    <w:rsid w:val="001412F5"/>
    <w:rsid w:val="0014178E"/>
    <w:rsid w:val="001418D7"/>
    <w:rsid w:val="00141E82"/>
    <w:rsid w:val="0014242D"/>
    <w:rsid w:val="00142BE7"/>
    <w:rsid w:val="00142FC9"/>
    <w:rsid w:val="001430B0"/>
    <w:rsid w:val="00143664"/>
    <w:rsid w:val="001437AE"/>
    <w:rsid w:val="001438F2"/>
    <w:rsid w:val="00143A5F"/>
    <w:rsid w:val="00143C83"/>
    <w:rsid w:val="00143D18"/>
    <w:rsid w:val="00143F1D"/>
    <w:rsid w:val="00144119"/>
    <w:rsid w:val="00144153"/>
    <w:rsid w:val="001444E1"/>
    <w:rsid w:val="0014450C"/>
    <w:rsid w:val="00144A1A"/>
    <w:rsid w:val="001458A7"/>
    <w:rsid w:val="00146548"/>
    <w:rsid w:val="00146710"/>
    <w:rsid w:val="0014702B"/>
    <w:rsid w:val="00147048"/>
    <w:rsid w:val="001470A1"/>
    <w:rsid w:val="00147B1D"/>
    <w:rsid w:val="00147B20"/>
    <w:rsid w:val="00147C38"/>
    <w:rsid w:val="00150255"/>
    <w:rsid w:val="0015037D"/>
    <w:rsid w:val="001507F3"/>
    <w:rsid w:val="00150D2E"/>
    <w:rsid w:val="00150E21"/>
    <w:rsid w:val="001512D3"/>
    <w:rsid w:val="00151BF7"/>
    <w:rsid w:val="001522A9"/>
    <w:rsid w:val="0015239E"/>
    <w:rsid w:val="00152B48"/>
    <w:rsid w:val="00152C9B"/>
    <w:rsid w:val="00153163"/>
    <w:rsid w:val="001535F1"/>
    <w:rsid w:val="00153BCC"/>
    <w:rsid w:val="00153CB3"/>
    <w:rsid w:val="001543ED"/>
    <w:rsid w:val="001546E9"/>
    <w:rsid w:val="0015477F"/>
    <w:rsid w:val="00154CF4"/>
    <w:rsid w:val="001550CE"/>
    <w:rsid w:val="001550EF"/>
    <w:rsid w:val="00155291"/>
    <w:rsid w:val="00155601"/>
    <w:rsid w:val="00155C19"/>
    <w:rsid w:val="00155FFE"/>
    <w:rsid w:val="001566BD"/>
    <w:rsid w:val="001567F2"/>
    <w:rsid w:val="00156E3F"/>
    <w:rsid w:val="001571E0"/>
    <w:rsid w:val="0015727E"/>
    <w:rsid w:val="001578D7"/>
    <w:rsid w:val="00157DDC"/>
    <w:rsid w:val="001600D5"/>
    <w:rsid w:val="0016022B"/>
    <w:rsid w:val="0016038D"/>
    <w:rsid w:val="00160781"/>
    <w:rsid w:val="00160C58"/>
    <w:rsid w:val="00161097"/>
    <w:rsid w:val="001611A7"/>
    <w:rsid w:val="00161472"/>
    <w:rsid w:val="001619F1"/>
    <w:rsid w:val="00161FA8"/>
    <w:rsid w:val="00162356"/>
    <w:rsid w:val="0016297E"/>
    <w:rsid w:val="00162F38"/>
    <w:rsid w:val="0016309B"/>
    <w:rsid w:val="00163223"/>
    <w:rsid w:val="0016369C"/>
    <w:rsid w:val="001636B5"/>
    <w:rsid w:val="001636D9"/>
    <w:rsid w:val="00163786"/>
    <w:rsid w:val="00163EF3"/>
    <w:rsid w:val="00163EFA"/>
    <w:rsid w:val="00164176"/>
    <w:rsid w:val="001646E0"/>
    <w:rsid w:val="00164DE0"/>
    <w:rsid w:val="00164F44"/>
    <w:rsid w:val="001657DB"/>
    <w:rsid w:val="0016595F"/>
    <w:rsid w:val="00165D22"/>
    <w:rsid w:val="00165E7B"/>
    <w:rsid w:val="00166275"/>
    <w:rsid w:val="001664D3"/>
    <w:rsid w:val="0016650C"/>
    <w:rsid w:val="0016671D"/>
    <w:rsid w:val="001669B9"/>
    <w:rsid w:val="00166AFB"/>
    <w:rsid w:val="00167738"/>
    <w:rsid w:val="00167D81"/>
    <w:rsid w:val="0017088D"/>
    <w:rsid w:val="00170900"/>
    <w:rsid w:val="00170DD0"/>
    <w:rsid w:val="00171342"/>
    <w:rsid w:val="001714B2"/>
    <w:rsid w:val="00171823"/>
    <w:rsid w:val="00171D8B"/>
    <w:rsid w:val="00171FF0"/>
    <w:rsid w:val="00172262"/>
    <w:rsid w:val="001727FD"/>
    <w:rsid w:val="00172EDB"/>
    <w:rsid w:val="0017310C"/>
    <w:rsid w:val="00173CC9"/>
    <w:rsid w:val="00173DAD"/>
    <w:rsid w:val="00173EAB"/>
    <w:rsid w:val="00174B59"/>
    <w:rsid w:val="00174BE5"/>
    <w:rsid w:val="00174C7E"/>
    <w:rsid w:val="001752FB"/>
    <w:rsid w:val="00175571"/>
    <w:rsid w:val="001756CF"/>
    <w:rsid w:val="00175766"/>
    <w:rsid w:val="0017586D"/>
    <w:rsid w:val="00175A04"/>
    <w:rsid w:val="00175AF1"/>
    <w:rsid w:val="00175EBF"/>
    <w:rsid w:val="001762FD"/>
    <w:rsid w:val="0017636A"/>
    <w:rsid w:val="0017662A"/>
    <w:rsid w:val="00176749"/>
    <w:rsid w:val="00176815"/>
    <w:rsid w:val="001768CC"/>
    <w:rsid w:val="00176911"/>
    <w:rsid w:val="0017737E"/>
    <w:rsid w:val="001773CB"/>
    <w:rsid w:val="00177898"/>
    <w:rsid w:val="00180307"/>
    <w:rsid w:val="0018084B"/>
    <w:rsid w:val="00180C5A"/>
    <w:rsid w:val="00181211"/>
    <w:rsid w:val="00181B5A"/>
    <w:rsid w:val="00181DDA"/>
    <w:rsid w:val="00181FCF"/>
    <w:rsid w:val="00182719"/>
    <w:rsid w:val="001829BC"/>
    <w:rsid w:val="00182FCF"/>
    <w:rsid w:val="001835A1"/>
    <w:rsid w:val="00183967"/>
    <w:rsid w:val="00183E43"/>
    <w:rsid w:val="001843D1"/>
    <w:rsid w:val="00184404"/>
    <w:rsid w:val="0018463C"/>
    <w:rsid w:val="001846C2"/>
    <w:rsid w:val="00184B3B"/>
    <w:rsid w:val="00184FEA"/>
    <w:rsid w:val="00185387"/>
    <w:rsid w:val="00185E34"/>
    <w:rsid w:val="00186479"/>
    <w:rsid w:val="00186706"/>
    <w:rsid w:val="0018672A"/>
    <w:rsid w:val="001867D7"/>
    <w:rsid w:val="001868B5"/>
    <w:rsid w:val="00186DEE"/>
    <w:rsid w:val="00186F0C"/>
    <w:rsid w:val="00187D4D"/>
    <w:rsid w:val="00190C28"/>
    <w:rsid w:val="00191405"/>
    <w:rsid w:val="0019142C"/>
    <w:rsid w:val="00191A1D"/>
    <w:rsid w:val="00191B8C"/>
    <w:rsid w:val="00191DB0"/>
    <w:rsid w:val="00191DC1"/>
    <w:rsid w:val="00191FB6"/>
    <w:rsid w:val="001921C9"/>
    <w:rsid w:val="001921FD"/>
    <w:rsid w:val="001929C4"/>
    <w:rsid w:val="00192D8F"/>
    <w:rsid w:val="00193729"/>
    <w:rsid w:val="0019376A"/>
    <w:rsid w:val="00193AE7"/>
    <w:rsid w:val="00193F34"/>
    <w:rsid w:val="0019415A"/>
    <w:rsid w:val="0019497C"/>
    <w:rsid w:val="00195E58"/>
    <w:rsid w:val="00196087"/>
    <w:rsid w:val="0019686D"/>
    <w:rsid w:val="00196BFC"/>
    <w:rsid w:val="00196EC4"/>
    <w:rsid w:val="00196F36"/>
    <w:rsid w:val="00196FCD"/>
    <w:rsid w:val="001971E3"/>
    <w:rsid w:val="001973F9"/>
    <w:rsid w:val="001978CA"/>
    <w:rsid w:val="001978E9"/>
    <w:rsid w:val="0019796B"/>
    <w:rsid w:val="00197BBF"/>
    <w:rsid w:val="001A041E"/>
    <w:rsid w:val="001A05BE"/>
    <w:rsid w:val="001A07C8"/>
    <w:rsid w:val="001A0F44"/>
    <w:rsid w:val="001A1B1D"/>
    <w:rsid w:val="001A1BB7"/>
    <w:rsid w:val="001A1CEE"/>
    <w:rsid w:val="001A21B5"/>
    <w:rsid w:val="001A281F"/>
    <w:rsid w:val="001A2BC4"/>
    <w:rsid w:val="001A2ECB"/>
    <w:rsid w:val="001A3354"/>
    <w:rsid w:val="001A349C"/>
    <w:rsid w:val="001A3618"/>
    <w:rsid w:val="001A387B"/>
    <w:rsid w:val="001A3A08"/>
    <w:rsid w:val="001A3D30"/>
    <w:rsid w:val="001A3F6F"/>
    <w:rsid w:val="001A41E7"/>
    <w:rsid w:val="001A48F4"/>
    <w:rsid w:val="001A4E7D"/>
    <w:rsid w:val="001A52D2"/>
    <w:rsid w:val="001A55BE"/>
    <w:rsid w:val="001A5624"/>
    <w:rsid w:val="001A59BC"/>
    <w:rsid w:val="001A5C40"/>
    <w:rsid w:val="001A641F"/>
    <w:rsid w:val="001A66F2"/>
    <w:rsid w:val="001A6912"/>
    <w:rsid w:val="001A6ADC"/>
    <w:rsid w:val="001A6E8C"/>
    <w:rsid w:val="001A6EFE"/>
    <w:rsid w:val="001A6F6E"/>
    <w:rsid w:val="001A718C"/>
    <w:rsid w:val="001A71FB"/>
    <w:rsid w:val="001A72A6"/>
    <w:rsid w:val="001A7B48"/>
    <w:rsid w:val="001B0631"/>
    <w:rsid w:val="001B0DF8"/>
    <w:rsid w:val="001B10BB"/>
    <w:rsid w:val="001B1348"/>
    <w:rsid w:val="001B1438"/>
    <w:rsid w:val="001B1550"/>
    <w:rsid w:val="001B163C"/>
    <w:rsid w:val="001B1667"/>
    <w:rsid w:val="001B2522"/>
    <w:rsid w:val="001B2928"/>
    <w:rsid w:val="001B2AAD"/>
    <w:rsid w:val="001B2B2D"/>
    <w:rsid w:val="001B2C1D"/>
    <w:rsid w:val="001B2E26"/>
    <w:rsid w:val="001B3A66"/>
    <w:rsid w:val="001B3B64"/>
    <w:rsid w:val="001B45F4"/>
    <w:rsid w:val="001B4C99"/>
    <w:rsid w:val="001B5330"/>
    <w:rsid w:val="001B55F0"/>
    <w:rsid w:val="001B5708"/>
    <w:rsid w:val="001B5782"/>
    <w:rsid w:val="001B5884"/>
    <w:rsid w:val="001B5EA1"/>
    <w:rsid w:val="001B6D5E"/>
    <w:rsid w:val="001B724E"/>
    <w:rsid w:val="001B7288"/>
    <w:rsid w:val="001B7619"/>
    <w:rsid w:val="001B7902"/>
    <w:rsid w:val="001B79BC"/>
    <w:rsid w:val="001B7B43"/>
    <w:rsid w:val="001C08FC"/>
    <w:rsid w:val="001C0FA7"/>
    <w:rsid w:val="001C120C"/>
    <w:rsid w:val="001C189F"/>
    <w:rsid w:val="001C1B5E"/>
    <w:rsid w:val="001C1E4A"/>
    <w:rsid w:val="001C21EF"/>
    <w:rsid w:val="001C233A"/>
    <w:rsid w:val="001C263E"/>
    <w:rsid w:val="001C26FE"/>
    <w:rsid w:val="001C27AA"/>
    <w:rsid w:val="001C27E6"/>
    <w:rsid w:val="001C281E"/>
    <w:rsid w:val="001C2BC9"/>
    <w:rsid w:val="001C3554"/>
    <w:rsid w:val="001C3E16"/>
    <w:rsid w:val="001C3E2E"/>
    <w:rsid w:val="001C3FAF"/>
    <w:rsid w:val="001C4081"/>
    <w:rsid w:val="001C409F"/>
    <w:rsid w:val="001C4107"/>
    <w:rsid w:val="001C4161"/>
    <w:rsid w:val="001C42C9"/>
    <w:rsid w:val="001C42DD"/>
    <w:rsid w:val="001C4FE6"/>
    <w:rsid w:val="001C5095"/>
    <w:rsid w:val="001C54DB"/>
    <w:rsid w:val="001C5983"/>
    <w:rsid w:val="001C6597"/>
    <w:rsid w:val="001C67C1"/>
    <w:rsid w:val="001C68C8"/>
    <w:rsid w:val="001C69E6"/>
    <w:rsid w:val="001C6CA3"/>
    <w:rsid w:val="001C73C9"/>
    <w:rsid w:val="001C773B"/>
    <w:rsid w:val="001C7752"/>
    <w:rsid w:val="001C7980"/>
    <w:rsid w:val="001D0000"/>
    <w:rsid w:val="001D09EF"/>
    <w:rsid w:val="001D0A29"/>
    <w:rsid w:val="001D0BB1"/>
    <w:rsid w:val="001D0F36"/>
    <w:rsid w:val="001D147E"/>
    <w:rsid w:val="001D23E0"/>
    <w:rsid w:val="001D27EC"/>
    <w:rsid w:val="001D297B"/>
    <w:rsid w:val="001D2C2F"/>
    <w:rsid w:val="001D2CEE"/>
    <w:rsid w:val="001D2F8A"/>
    <w:rsid w:val="001D325B"/>
    <w:rsid w:val="001D337B"/>
    <w:rsid w:val="001D34FF"/>
    <w:rsid w:val="001D363E"/>
    <w:rsid w:val="001D3E95"/>
    <w:rsid w:val="001D3EEE"/>
    <w:rsid w:val="001D450A"/>
    <w:rsid w:val="001D48FC"/>
    <w:rsid w:val="001D4A01"/>
    <w:rsid w:val="001D4A57"/>
    <w:rsid w:val="001D4B36"/>
    <w:rsid w:val="001D4D2D"/>
    <w:rsid w:val="001D5843"/>
    <w:rsid w:val="001D5A4B"/>
    <w:rsid w:val="001D5D52"/>
    <w:rsid w:val="001D61B8"/>
    <w:rsid w:val="001D69C2"/>
    <w:rsid w:val="001D7C41"/>
    <w:rsid w:val="001D7F16"/>
    <w:rsid w:val="001D7FD7"/>
    <w:rsid w:val="001E03C5"/>
    <w:rsid w:val="001E05F3"/>
    <w:rsid w:val="001E0969"/>
    <w:rsid w:val="001E0B84"/>
    <w:rsid w:val="001E0D4E"/>
    <w:rsid w:val="001E0E87"/>
    <w:rsid w:val="001E0F3B"/>
    <w:rsid w:val="001E1A3F"/>
    <w:rsid w:val="001E2C26"/>
    <w:rsid w:val="001E2F97"/>
    <w:rsid w:val="001E36A8"/>
    <w:rsid w:val="001E39F6"/>
    <w:rsid w:val="001E3B37"/>
    <w:rsid w:val="001E4025"/>
    <w:rsid w:val="001E481E"/>
    <w:rsid w:val="001E489E"/>
    <w:rsid w:val="001E4939"/>
    <w:rsid w:val="001E4F1C"/>
    <w:rsid w:val="001E4FC0"/>
    <w:rsid w:val="001E5266"/>
    <w:rsid w:val="001E59F7"/>
    <w:rsid w:val="001E5B50"/>
    <w:rsid w:val="001E5B7D"/>
    <w:rsid w:val="001E5E7E"/>
    <w:rsid w:val="001E5F19"/>
    <w:rsid w:val="001E6402"/>
    <w:rsid w:val="001E6580"/>
    <w:rsid w:val="001E6BC9"/>
    <w:rsid w:val="001E6E05"/>
    <w:rsid w:val="001E711E"/>
    <w:rsid w:val="001E71E5"/>
    <w:rsid w:val="001E75F1"/>
    <w:rsid w:val="001E77E1"/>
    <w:rsid w:val="001E7832"/>
    <w:rsid w:val="001E7C3B"/>
    <w:rsid w:val="001E7E17"/>
    <w:rsid w:val="001E7EE6"/>
    <w:rsid w:val="001F03C2"/>
    <w:rsid w:val="001F0933"/>
    <w:rsid w:val="001F0C49"/>
    <w:rsid w:val="001F10CC"/>
    <w:rsid w:val="001F16B3"/>
    <w:rsid w:val="001F1873"/>
    <w:rsid w:val="001F18EC"/>
    <w:rsid w:val="001F2180"/>
    <w:rsid w:val="001F2759"/>
    <w:rsid w:val="001F2827"/>
    <w:rsid w:val="001F2A30"/>
    <w:rsid w:val="001F2EEE"/>
    <w:rsid w:val="001F37CE"/>
    <w:rsid w:val="001F461B"/>
    <w:rsid w:val="001F4DDB"/>
    <w:rsid w:val="001F5310"/>
    <w:rsid w:val="001F548F"/>
    <w:rsid w:val="001F58A7"/>
    <w:rsid w:val="001F5A13"/>
    <w:rsid w:val="001F5B57"/>
    <w:rsid w:val="001F6848"/>
    <w:rsid w:val="001F6A09"/>
    <w:rsid w:val="001F7027"/>
    <w:rsid w:val="001F7225"/>
    <w:rsid w:val="001F7272"/>
    <w:rsid w:val="001F747C"/>
    <w:rsid w:val="001F7FE8"/>
    <w:rsid w:val="00200017"/>
    <w:rsid w:val="00200289"/>
    <w:rsid w:val="00200807"/>
    <w:rsid w:val="002010BA"/>
    <w:rsid w:val="002016A8"/>
    <w:rsid w:val="002019A7"/>
    <w:rsid w:val="002019F5"/>
    <w:rsid w:val="00202055"/>
    <w:rsid w:val="0020236F"/>
    <w:rsid w:val="002028D8"/>
    <w:rsid w:val="002029AA"/>
    <w:rsid w:val="00202D13"/>
    <w:rsid w:val="00203617"/>
    <w:rsid w:val="00203BBE"/>
    <w:rsid w:val="00203C32"/>
    <w:rsid w:val="00203CF8"/>
    <w:rsid w:val="00203E24"/>
    <w:rsid w:val="00203F74"/>
    <w:rsid w:val="0020422E"/>
    <w:rsid w:val="0020429B"/>
    <w:rsid w:val="002042F6"/>
    <w:rsid w:val="0020445E"/>
    <w:rsid w:val="002044F9"/>
    <w:rsid w:val="00204531"/>
    <w:rsid w:val="0020481E"/>
    <w:rsid w:val="002048F3"/>
    <w:rsid w:val="00204975"/>
    <w:rsid w:val="0020499A"/>
    <w:rsid w:val="002049D1"/>
    <w:rsid w:val="00204A83"/>
    <w:rsid w:val="00204C9B"/>
    <w:rsid w:val="0020515B"/>
    <w:rsid w:val="002052D9"/>
    <w:rsid w:val="0020530A"/>
    <w:rsid w:val="00205350"/>
    <w:rsid w:val="00205875"/>
    <w:rsid w:val="00205B09"/>
    <w:rsid w:val="00205B72"/>
    <w:rsid w:val="00206428"/>
    <w:rsid w:val="00206636"/>
    <w:rsid w:val="002072A0"/>
    <w:rsid w:val="0020757B"/>
    <w:rsid w:val="0021008C"/>
    <w:rsid w:val="002103AA"/>
    <w:rsid w:val="002104C7"/>
    <w:rsid w:val="002104FF"/>
    <w:rsid w:val="00210BE8"/>
    <w:rsid w:val="00210D8B"/>
    <w:rsid w:val="00210EF8"/>
    <w:rsid w:val="00211237"/>
    <w:rsid w:val="00211374"/>
    <w:rsid w:val="00211915"/>
    <w:rsid w:val="00211A5C"/>
    <w:rsid w:val="00211E9C"/>
    <w:rsid w:val="002124EE"/>
    <w:rsid w:val="00212832"/>
    <w:rsid w:val="002141D4"/>
    <w:rsid w:val="002142B6"/>
    <w:rsid w:val="0021453E"/>
    <w:rsid w:val="00214650"/>
    <w:rsid w:val="00214CA2"/>
    <w:rsid w:val="00214EA6"/>
    <w:rsid w:val="00214F37"/>
    <w:rsid w:val="002152B7"/>
    <w:rsid w:val="002155BC"/>
    <w:rsid w:val="0021582E"/>
    <w:rsid w:val="0021639D"/>
    <w:rsid w:val="0021693B"/>
    <w:rsid w:val="00216C90"/>
    <w:rsid w:val="00216D29"/>
    <w:rsid w:val="002173DE"/>
    <w:rsid w:val="002177C1"/>
    <w:rsid w:val="00217E2E"/>
    <w:rsid w:val="00217F91"/>
    <w:rsid w:val="002200C6"/>
    <w:rsid w:val="00220809"/>
    <w:rsid w:val="00220DE3"/>
    <w:rsid w:val="00221208"/>
    <w:rsid w:val="002212CB"/>
    <w:rsid w:val="00221472"/>
    <w:rsid w:val="00221798"/>
    <w:rsid w:val="00221C91"/>
    <w:rsid w:val="00222A53"/>
    <w:rsid w:val="00222B74"/>
    <w:rsid w:val="00222C1F"/>
    <w:rsid w:val="00222E77"/>
    <w:rsid w:val="00223178"/>
    <w:rsid w:val="002231F6"/>
    <w:rsid w:val="00223A7B"/>
    <w:rsid w:val="00223CD3"/>
    <w:rsid w:val="00223F46"/>
    <w:rsid w:val="00224058"/>
    <w:rsid w:val="00224078"/>
    <w:rsid w:val="002242AC"/>
    <w:rsid w:val="00224731"/>
    <w:rsid w:val="0022497C"/>
    <w:rsid w:val="00224BAA"/>
    <w:rsid w:val="00225028"/>
    <w:rsid w:val="002252A2"/>
    <w:rsid w:val="0022549A"/>
    <w:rsid w:val="00225626"/>
    <w:rsid w:val="00225D76"/>
    <w:rsid w:val="00225E17"/>
    <w:rsid w:val="00226179"/>
    <w:rsid w:val="00226E2B"/>
    <w:rsid w:val="002270FB"/>
    <w:rsid w:val="0022769C"/>
    <w:rsid w:val="002300A0"/>
    <w:rsid w:val="0023025C"/>
    <w:rsid w:val="002305D0"/>
    <w:rsid w:val="00231124"/>
    <w:rsid w:val="00231128"/>
    <w:rsid w:val="002316D5"/>
    <w:rsid w:val="00231792"/>
    <w:rsid w:val="00231AB4"/>
    <w:rsid w:val="002328B1"/>
    <w:rsid w:val="00232C0D"/>
    <w:rsid w:val="00232C79"/>
    <w:rsid w:val="002333D0"/>
    <w:rsid w:val="0023342D"/>
    <w:rsid w:val="00233478"/>
    <w:rsid w:val="0023374F"/>
    <w:rsid w:val="002338FD"/>
    <w:rsid w:val="00234300"/>
    <w:rsid w:val="002347E6"/>
    <w:rsid w:val="002347EF"/>
    <w:rsid w:val="00234964"/>
    <w:rsid w:val="002349CC"/>
    <w:rsid w:val="00234BF3"/>
    <w:rsid w:val="00234DE2"/>
    <w:rsid w:val="00235229"/>
    <w:rsid w:val="002355A2"/>
    <w:rsid w:val="00235C1F"/>
    <w:rsid w:val="00236222"/>
    <w:rsid w:val="00236373"/>
    <w:rsid w:val="002363F6"/>
    <w:rsid w:val="00236F4F"/>
    <w:rsid w:val="00237553"/>
    <w:rsid w:val="00237618"/>
    <w:rsid w:val="00237D32"/>
    <w:rsid w:val="00237DDB"/>
    <w:rsid w:val="00237F51"/>
    <w:rsid w:val="00237F66"/>
    <w:rsid w:val="002402FD"/>
    <w:rsid w:val="002408DE"/>
    <w:rsid w:val="00240B65"/>
    <w:rsid w:val="00240DA8"/>
    <w:rsid w:val="00240E70"/>
    <w:rsid w:val="00240F43"/>
    <w:rsid w:val="00241267"/>
    <w:rsid w:val="00241608"/>
    <w:rsid w:val="002418C5"/>
    <w:rsid w:val="00241FD7"/>
    <w:rsid w:val="00242B88"/>
    <w:rsid w:val="00242DB1"/>
    <w:rsid w:val="00242E67"/>
    <w:rsid w:val="00242E76"/>
    <w:rsid w:val="00242EB7"/>
    <w:rsid w:val="002435DA"/>
    <w:rsid w:val="002435F7"/>
    <w:rsid w:val="00243602"/>
    <w:rsid w:val="00243663"/>
    <w:rsid w:val="00244134"/>
    <w:rsid w:val="00244250"/>
    <w:rsid w:val="00244505"/>
    <w:rsid w:val="00244C8D"/>
    <w:rsid w:val="00245328"/>
    <w:rsid w:val="00245701"/>
    <w:rsid w:val="00245EEE"/>
    <w:rsid w:val="00245F96"/>
    <w:rsid w:val="00246810"/>
    <w:rsid w:val="00246A82"/>
    <w:rsid w:val="00247190"/>
    <w:rsid w:val="002473C0"/>
    <w:rsid w:val="002474B9"/>
    <w:rsid w:val="0024765B"/>
    <w:rsid w:val="0024787A"/>
    <w:rsid w:val="002479FB"/>
    <w:rsid w:val="00247AAB"/>
    <w:rsid w:val="002501D6"/>
    <w:rsid w:val="00250290"/>
    <w:rsid w:val="002505DD"/>
    <w:rsid w:val="00250EBB"/>
    <w:rsid w:val="00250FA5"/>
    <w:rsid w:val="00251229"/>
    <w:rsid w:val="00251254"/>
    <w:rsid w:val="0025126D"/>
    <w:rsid w:val="002518E0"/>
    <w:rsid w:val="00251F4D"/>
    <w:rsid w:val="00252144"/>
    <w:rsid w:val="00252431"/>
    <w:rsid w:val="00252586"/>
    <w:rsid w:val="00252E2C"/>
    <w:rsid w:val="002532A4"/>
    <w:rsid w:val="00253348"/>
    <w:rsid w:val="00253406"/>
    <w:rsid w:val="00253599"/>
    <w:rsid w:val="00253B94"/>
    <w:rsid w:val="00253DE8"/>
    <w:rsid w:val="00253F08"/>
    <w:rsid w:val="0025455E"/>
    <w:rsid w:val="002545FD"/>
    <w:rsid w:val="00255138"/>
    <w:rsid w:val="002553C0"/>
    <w:rsid w:val="0025544F"/>
    <w:rsid w:val="002554CB"/>
    <w:rsid w:val="00255985"/>
    <w:rsid w:val="00255DA5"/>
    <w:rsid w:val="00256B53"/>
    <w:rsid w:val="00256D96"/>
    <w:rsid w:val="002574A3"/>
    <w:rsid w:val="00257622"/>
    <w:rsid w:val="00257820"/>
    <w:rsid w:val="002578D9"/>
    <w:rsid w:val="00257D54"/>
    <w:rsid w:val="00260429"/>
    <w:rsid w:val="002606E9"/>
    <w:rsid w:val="0026071B"/>
    <w:rsid w:val="00260D4E"/>
    <w:rsid w:val="00260D6F"/>
    <w:rsid w:val="00260F6E"/>
    <w:rsid w:val="00261362"/>
    <w:rsid w:val="00261528"/>
    <w:rsid w:val="00261A68"/>
    <w:rsid w:val="00261B67"/>
    <w:rsid w:val="00261B77"/>
    <w:rsid w:val="002620F3"/>
    <w:rsid w:val="0026293E"/>
    <w:rsid w:val="00262DFA"/>
    <w:rsid w:val="00263256"/>
    <w:rsid w:val="00263332"/>
    <w:rsid w:val="00263513"/>
    <w:rsid w:val="0026387E"/>
    <w:rsid w:val="00263D57"/>
    <w:rsid w:val="00263D59"/>
    <w:rsid w:val="00263DA2"/>
    <w:rsid w:val="00263EF0"/>
    <w:rsid w:val="00264429"/>
    <w:rsid w:val="002644B6"/>
    <w:rsid w:val="00264704"/>
    <w:rsid w:val="00264777"/>
    <w:rsid w:val="002647EF"/>
    <w:rsid w:val="002652BE"/>
    <w:rsid w:val="002658A9"/>
    <w:rsid w:val="002658BE"/>
    <w:rsid w:val="00265984"/>
    <w:rsid w:val="00265A28"/>
    <w:rsid w:val="00265C05"/>
    <w:rsid w:val="00265D78"/>
    <w:rsid w:val="002668EC"/>
    <w:rsid w:val="00266E9E"/>
    <w:rsid w:val="00267548"/>
    <w:rsid w:val="00267B78"/>
    <w:rsid w:val="00267CB8"/>
    <w:rsid w:val="00267D85"/>
    <w:rsid w:val="00267E93"/>
    <w:rsid w:val="00270620"/>
    <w:rsid w:val="00270644"/>
    <w:rsid w:val="00270690"/>
    <w:rsid w:val="00270832"/>
    <w:rsid w:val="002716CA"/>
    <w:rsid w:val="002716F0"/>
    <w:rsid w:val="00271A00"/>
    <w:rsid w:val="00271E98"/>
    <w:rsid w:val="00272683"/>
    <w:rsid w:val="00272AF5"/>
    <w:rsid w:val="00273192"/>
    <w:rsid w:val="002738AD"/>
    <w:rsid w:val="00274630"/>
    <w:rsid w:val="00274B67"/>
    <w:rsid w:val="00274D85"/>
    <w:rsid w:val="00275324"/>
    <w:rsid w:val="0027537F"/>
    <w:rsid w:val="00275648"/>
    <w:rsid w:val="002758F5"/>
    <w:rsid w:val="002759C7"/>
    <w:rsid w:val="00275F25"/>
    <w:rsid w:val="0027616C"/>
    <w:rsid w:val="0027620E"/>
    <w:rsid w:val="002768D8"/>
    <w:rsid w:val="00276915"/>
    <w:rsid w:val="00276E8E"/>
    <w:rsid w:val="00277732"/>
    <w:rsid w:val="002800EF"/>
    <w:rsid w:val="00280639"/>
    <w:rsid w:val="002806D0"/>
    <w:rsid w:val="00280CE7"/>
    <w:rsid w:val="00281659"/>
    <w:rsid w:val="00281CB8"/>
    <w:rsid w:val="002824DF"/>
    <w:rsid w:val="00282613"/>
    <w:rsid w:val="00283023"/>
    <w:rsid w:val="00283233"/>
    <w:rsid w:val="002833C5"/>
    <w:rsid w:val="0028347D"/>
    <w:rsid w:val="00283918"/>
    <w:rsid w:val="00283C63"/>
    <w:rsid w:val="00283D23"/>
    <w:rsid w:val="00283E62"/>
    <w:rsid w:val="00283F23"/>
    <w:rsid w:val="002844A6"/>
    <w:rsid w:val="002845B5"/>
    <w:rsid w:val="0028488A"/>
    <w:rsid w:val="002852EB"/>
    <w:rsid w:val="00285428"/>
    <w:rsid w:val="002855D0"/>
    <w:rsid w:val="002855D6"/>
    <w:rsid w:val="00285851"/>
    <w:rsid w:val="00285FBC"/>
    <w:rsid w:val="002866B9"/>
    <w:rsid w:val="00286ED6"/>
    <w:rsid w:val="00287204"/>
    <w:rsid w:val="002875AF"/>
    <w:rsid w:val="002877F4"/>
    <w:rsid w:val="00287B7B"/>
    <w:rsid w:val="00287B7F"/>
    <w:rsid w:val="00287D17"/>
    <w:rsid w:val="0029048E"/>
    <w:rsid w:val="002904B3"/>
    <w:rsid w:val="002904FA"/>
    <w:rsid w:val="002910EF"/>
    <w:rsid w:val="0029122A"/>
    <w:rsid w:val="0029190A"/>
    <w:rsid w:val="00291DEF"/>
    <w:rsid w:val="00292079"/>
    <w:rsid w:val="00292658"/>
    <w:rsid w:val="00292B7A"/>
    <w:rsid w:val="00293B0F"/>
    <w:rsid w:val="00293CC9"/>
    <w:rsid w:val="00293E43"/>
    <w:rsid w:val="00294487"/>
    <w:rsid w:val="00294671"/>
    <w:rsid w:val="0029476B"/>
    <w:rsid w:val="00294B17"/>
    <w:rsid w:val="00295393"/>
    <w:rsid w:val="002958C9"/>
    <w:rsid w:val="00295E14"/>
    <w:rsid w:val="00296539"/>
    <w:rsid w:val="00296A1E"/>
    <w:rsid w:val="00297417"/>
    <w:rsid w:val="0029752F"/>
    <w:rsid w:val="00297AEF"/>
    <w:rsid w:val="002A0250"/>
    <w:rsid w:val="002A02C6"/>
    <w:rsid w:val="002A0383"/>
    <w:rsid w:val="002A049A"/>
    <w:rsid w:val="002A067D"/>
    <w:rsid w:val="002A07B0"/>
    <w:rsid w:val="002A08DB"/>
    <w:rsid w:val="002A0B9D"/>
    <w:rsid w:val="002A17E3"/>
    <w:rsid w:val="002A1A23"/>
    <w:rsid w:val="002A1C2F"/>
    <w:rsid w:val="002A1C8D"/>
    <w:rsid w:val="002A1F64"/>
    <w:rsid w:val="002A22A5"/>
    <w:rsid w:val="002A305B"/>
    <w:rsid w:val="002A357B"/>
    <w:rsid w:val="002A3BEE"/>
    <w:rsid w:val="002A40E9"/>
    <w:rsid w:val="002A4FDF"/>
    <w:rsid w:val="002A51BD"/>
    <w:rsid w:val="002A52F9"/>
    <w:rsid w:val="002A5C4E"/>
    <w:rsid w:val="002A67D1"/>
    <w:rsid w:val="002A67D2"/>
    <w:rsid w:val="002A6A2D"/>
    <w:rsid w:val="002A6C16"/>
    <w:rsid w:val="002A6D9F"/>
    <w:rsid w:val="002A70A8"/>
    <w:rsid w:val="002A7457"/>
    <w:rsid w:val="002A7737"/>
    <w:rsid w:val="002A7AC5"/>
    <w:rsid w:val="002B0000"/>
    <w:rsid w:val="002B0008"/>
    <w:rsid w:val="002B003D"/>
    <w:rsid w:val="002B06EE"/>
    <w:rsid w:val="002B07D6"/>
    <w:rsid w:val="002B0A57"/>
    <w:rsid w:val="002B0DB2"/>
    <w:rsid w:val="002B1C0B"/>
    <w:rsid w:val="002B1DA6"/>
    <w:rsid w:val="002B1F17"/>
    <w:rsid w:val="002B1FAE"/>
    <w:rsid w:val="002B250C"/>
    <w:rsid w:val="002B3346"/>
    <w:rsid w:val="002B342D"/>
    <w:rsid w:val="002B34C5"/>
    <w:rsid w:val="002B3834"/>
    <w:rsid w:val="002B3B4C"/>
    <w:rsid w:val="002B3B9E"/>
    <w:rsid w:val="002B3C6F"/>
    <w:rsid w:val="002B3EEE"/>
    <w:rsid w:val="002B426F"/>
    <w:rsid w:val="002B49DB"/>
    <w:rsid w:val="002B53CF"/>
    <w:rsid w:val="002B544C"/>
    <w:rsid w:val="002B598D"/>
    <w:rsid w:val="002B59D2"/>
    <w:rsid w:val="002B61BC"/>
    <w:rsid w:val="002B6554"/>
    <w:rsid w:val="002B6D88"/>
    <w:rsid w:val="002B72EA"/>
    <w:rsid w:val="002B74D4"/>
    <w:rsid w:val="002B7A96"/>
    <w:rsid w:val="002B7B61"/>
    <w:rsid w:val="002C0763"/>
    <w:rsid w:val="002C0987"/>
    <w:rsid w:val="002C0C20"/>
    <w:rsid w:val="002C11E2"/>
    <w:rsid w:val="002C19B8"/>
    <w:rsid w:val="002C1C4F"/>
    <w:rsid w:val="002C25AD"/>
    <w:rsid w:val="002C2859"/>
    <w:rsid w:val="002C2B96"/>
    <w:rsid w:val="002C2CE1"/>
    <w:rsid w:val="002C2DBC"/>
    <w:rsid w:val="002C3360"/>
    <w:rsid w:val="002C38A5"/>
    <w:rsid w:val="002C3B08"/>
    <w:rsid w:val="002C3E08"/>
    <w:rsid w:val="002C3E4C"/>
    <w:rsid w:val="002C405B"/>
    <w:rsid w:val="002C420D"/>
    <w:rsid w:val="002C45F0"/>
    <w:rsid w:val="002C4601"/>
    <w:rsid w:val="002C4688"/>
    <w:rsid w:val="002C4B24"/>
    <w:rsid w:val="002C4B8A"/>
    <w:rsid w:val="002C5267"/>
    <w:rsid w:val="002C583B"/>
    <w:rsid w:val="002C585A"/>
    <w:rsid w:val="002C622A"/>
    <w:rsid w:val="002C654D"/>
    <w:rsid w:val="002C6C92"/>
    <w:rsid w:val="002C715A"/>
    <w:rsid w:val="002C728D"/>
    <w:rsid w:val="002C765F"/>
    <w:rsid w:val="002C7AB6"/>
    <w:rsid w:val="002D002B"/>
    <w:rsid w:val="002D01E5"/>
    <w:rsid w:val="002D0382"/>
    <w:rsid w:val="002D0E7A"/>
    <w:rsid w:val="002D1171"/>
    <w:rsid w:val="002D1645"/>
    <w:rsid w:val="002D1649"/>
    <w:rsid w:val="002D22FA"/>
    <w:rsid w:val="002D2E0C"/>
    <w:rsid w:val="002D3984"/>
    <w:rsid w:val="002D3CC6"/>
    <w:rsid w:val="002D3EF8"/>
    <w:rsid w:val="002D4320"/>
    <w:rsid w:val="002D452D"/>
    <w:rsid w:val="002D4618"/>
    <w:rsid w:val="002D464C"/>
    <w:rsid w:val="002D4902"/>
    <w:rsid w:val="002D4C32"/>
    <w:rsid w:val="002D535F"/>
    <w:rsid w:val="002D54A7"/>
    <w:rsid w:val="002D55B9"/>
    <w:rsid w:val="002D565E"/>
    <w:rsid w:val="002D5686"/>
    <w:rsid w:val="002D5974"/>
    <w:rsid w:val="002D5EBD"/>
    <w:rsid w:val="002D6167"/>
    <w:rsid w:val="002D6186"/>
    <w:rsid w:val="002D6207"/>
    <w:rsid w:val="002D6285"/>
    <w:rsid w:val="002D71C7"/>
    <w:rsid w:val="002D736B"/>
    <w:rsid w:val="002D7555"/>
    <w:rsid w:val="002D7A10"/>
    <w:rsid w:val="002D7D23"/>
    <w:rsid w:val="002E00DA"/>
    <w:rsid w:val="002E0220"/>
    <w:rsid w:val="002E088D"/>
    <w:rsid w:val="002E0A71"/>
    <w:rsid w:val="002E1837"/>
    <w:rsid w:val="002E1AFB"/>
    <w:rsid w:val="002E22DA"/>
    <w:rsid w:val="002E3100"/>
    <w:rsid w:val="002E3344"/>
    <w:rsid w:val="002E3B40"/>
    <w:rsid w:val="002E3DC8"/>
    <w:rsid w:val="002E4467"/>
    <w:rsid w:val="002E4937"/>
    <w:rsid w:val="002E4D11"/>
    <w:rsid w:val="002E4EE7"/>
    <w:rsid w:val="002E5176"/>
    <w:rsid w:val="002E521A"/>
    <w:rsid w:val="002E6361"/>
    <w:rsid w:val="002E6C0E"/>
    <w:rsid w:val="002E719D"/>
    <w:rsid w:val="002E71CE"/>
    <w:rsid w:val="002E73A8"/>
    <w:rsid w:val="002E75BB"/>
    <w:rsid w:val="002E762D"/>
    <w:rsid w:val="002E79CB"/>
    <w:rsid w:val="002F0065"/>
    <w:rsid w:val="002F021B"/>
    <w:rsid w:val="002F0384"/>
    <w:rsid w:val="002F095E"/>
    <w:rsid w:val="002F0C48"/>
    <w:rsid w:val="002F1159"/>
    <w:rsid w:val="002F1D45"/>
    <w:rsid w:val="002F2165"/>
    <w:rsid w:val="002F2575"/>
    <w:rsid w:val="002F2688"/>
    <w:rsid w:val="002F27DC"/>
    <w:rsid w:val="002F372E"/>
    <w:rsid w:val="002F434B"/>
    <w:rsid w:val="002F44A3"/>
    <w:rsid w:val="002F4551"/>
    <w:rsid w:val="002F4906"/>
    <w:rsid w:val="002F50C8"/>
    <w:rsid w:val="002F510C"/>
    <w:rsid w:val="002F5457"/>
    <w:rsid w:val="002F57BD"/>
    <w:rsid w:val="002F63D1"/>
    <w:rsid w:val="002F63F0"/>
    <w:rsid w:val="002F6791"/>
    <w:rsid w:val="002F6D2A"/>
    <w:rsid w:val="002F6D71"/>
    <w:rsid w:val="002F7362"/>
    <w:rsid w:val="002F745A"/>
    <w:rsid w:val="002F756A"/>
    <w:rsid w:val="002F7E7D"/>
    <w:rsid w:val="00300145"/>
    <w:rsid w:val="00300250"/>
    <w:rsid w:val="003006CD"/>
    <w:rsid w:val="0030077A"/>
    <w:rsid w:val="00300AD0"/>
    <w:rsid w:val="00300CA5"/>
    <w:rsid w:val="00300D64"/>
    <w:rsid w:val="0030103B"/>
    <w:rsid w:val="0030134E"/>
    <w:rsid w:val="00301486"/>
    <w:rsid w:val="00301934"/>
    <w:rsid w:val="00301C1C"/>
    <w:rsid w:val="00301DCF"/>
    <w:rsid w:val="00301DD5"/>
    <w:rsid w:val="003021F9"/>
    <w:rsid w:val="00302263"/>
    <w:rsid w:val="003027BB"/>
    <w:rsid w:val="00302E5E"/>
    <w:rsid w:val="003038A3"/>
    <w:rsid w:val="00304376"/>
    <w:rsid w:val="003046AA"/>
    <w:rsid w:val="0030486A"/>
    <w:rsid w:val="00304B82"/>
    <w:rsid w:val="00305595"/>
    <w:rsid w:val="00306606"/>
    <w:rsid w:val="00307076"/>
    <w:rsid w:val="003070FD"/>
    <w:rsid w:val="0030730B"/>
    <w:rsid w:val="00310195"/>
    <w:rsid w:val="00310551"/>
    <w:rsid w:val="00310BD8"/>
    <w:rsid w:val="00310EA3"/>
    <w:rsid w:val="00310F27"/>
    <w:rsid w:val="00310F6C"/>
    <w:rsid w:val="00311198"/>
    <w:rsid w:val="00311BA6"/>
    <w:rsid w:val="00311D30"/>
    <w:rsid w:val="00311F38"/>
    <w:rsid w:val="0031200C"/>
    <w:rsid w:val="00312447"/>
    <w:rsid w:val="00312AE9"/>
    <w:rsid w:val="00312EA3"/>
    <w:rsid w:val="00312FA7"/>
    <w:rsid w:val="00313022"/>
    <w:rsid w:val="0031307D"/>
    <w:rsid w:val="00313518"/>
    <w:rsid w:val="00313954"/>
    <w:rsid w:val="00314305"/>
    <w:rsid w:val="00314845"/>
    <w:rsid w:val="0031500A"/>
    <w:rsid w:val="0031507C"/>
    <w:rsid w:val="00315192"/>
    <w:rsid w:val="003154A9"/>
    <w:rsid w:val="00315639"/>
    <w:rsid w:val="00316392"/>
    <w:rsid w:val="0031659C"/>
    <w:rsid w:val="003167ED"/>
    <w:rsid w:val="00316B9D"/>
    <w:rsid w:val="00316F81"/>
    <w:rsid w:val="00316FEC"/>
    <w:rsid w:val="00317123"/>
    <w:rsid w:val="0031714F"/>
    <w:rsid w:val="00317230"/>
    <w:rsid w:val="003173DF"/>
    <w:rsid w:val="003178CB"/>
    <w:rsid w:val="00317B97"/>
    <w:rsid w:val="00317F62"/>
    <w:rsid w:val="003201F8"/>
    <w:rsid w:val="0032050F"/>
    <w:rsid w:val="00320B13"/>
    <w:rsid w:val="0032125A"/>
    <w:rsid w:val="00321D34"/>
    <w:rsid w:val="00321E51"/>
    <w:rsid w:val="00322151"/>
    <w:rsid w:val="00322AED"/>
    <w:rsid w:val="00322E72"/>
    <w:rsid w:val="00322ED5"/>
    <w:rsid w:val="003230A5"/>
    <w:rsid w:val="00323698"/>
    <w:rsid w:val="00323FFC"/>
    <w:rsid w:val="0032411E"/>
    <w:rsid w:val="00324267"/>
    <w:rsid w:val="003253C6"/>
    <w:rsid w:val="003254E6"/>
    <w:rsid w:val="003263D4"/>
    <w:rsid w:val="00326761"/>
    <w:rsid w:val="00326CFB"/>
    <w:rsid w:val="00326F8D"/>
    <w:rsid w:val="00327ADC"/>
    <w:rsid w:val="00327BEA"/>
    <w:rsid w:val="003301E3"/>
    <w:rsid w:val="00330478"/>
    <w:rsid w:val="00330739"/>
    <w:rsid w:val="00330782"/>
    <w:rsid w:val="00330A95"/>
    <w:rsid w:val="003310BB"/>
    <w:rsid w:val="0033127D"/>
    <w:rsid w:val="0033162E"/>
    <w:rsid w:val="003317B8"/>
    <w:rsid w:val="003317C9"/>
    <w:rsid w:val="00331CAE"/>
    <w:rsid w:val="00332085"/>
    <w:rsid w:val="0033284A"/>
    <w:rsid w:val="00332D9D"/>
    <w:rsid w:val="00333109"/>
    <w:rsid w:val="00333666"/>
    <w:rsid w:val="00333EA3"/>
    <w:rsid w:val="00334923"/>
    <w:rsid w:val="00334DA8"/>
    <w:rsid w:val="00334F21"/>
    <w:rsid w:val="003352A0"/>
    <w:rsid w:val="00335526"/>
    <w:rsid w:val="00335576"/>
    <w:rsid w:val="00335FDA"/>
    <w:rsid w:val="003361A1"/>
    <w:rsid w:val="003361AE"/>
    <w:rsid w:val="0033626E"/>
    <w:rsid w:val="003369A0"/>
    <w:rsid w:val="00336A6A"/>
    <w:rsid w:val="00336BA0"/>
    <w:rsid w:val="00337368"/>
    <w:rsid w:val="00337410"/>
    <w:rsid w:val="00337508"/>
    <w:rsid w:val="00337846"/>
    <w:rsid w:val="00337AFC"/>
    <w:rsid w:val="0034024F"/>
    <w:rsid w:val="00340576"/>
    <w:rsid w:val="003408C0"/>
    <w:rsid w:val="00340D7E"/>
    <w:rsid w:val="003411C0"/>
    <w:rsid w:val="00342635"/>
    <w:rsid w:val="00342BE3"/>
    <w:rsid w:val="00343451"/>
    <w:rsid w:val="00343835"/>
    <w:rsid w:val="00343988"/>
    <w:rsid w:val="00343D33"/>
    <w:rsid w:val="00344FC2"/>
    <w:rsid w:val="003459AF"/>
    <w:rsid w:val="00346046"/>
    <w:rsid w:val="0034662B"/>
    <w:rsid w:val="003466EF"/>
    <w:rsid w:val="0034670F"/>
    <w:rsid w:val="00346ABF"/>
    <w:rsid w:val="00347748"/>
    <w:rsid w:val="003479AB"/>
    <w:rsid w:val="00347D27"/>
    <w:rsid w:val="00347DC8"/>
    <w:rsid w:val="00347DD6"/>
    <w:rsid w:val="00347F5E"/>
    <w:rsid w:val="00350E11"/>
    <w:rsid w:val="00351549"/>
    <w:rsid w:val="00351727"/>
    <w:rsid w:val="00352116"/>
    <w:rsid w:val="003522FB"/>
    <w:rsid w:val="00352302"/>
    <w:rsid w:val="003525C6"/>
    <w:rsid w:val="003526E7"/>
    <w:rsid w:val="0035294B"/>
    <w:rsid w:val="00353063"/>
    <w:rsid w:val="00353553"/>
    <w:rsid w:val="00353792"/>
    <w:rsid w:val="00353931"/>
    <w:rsid w:val="00353FBE"/>
    <w:rsid w:val="003546BA"/>
    <w:rsid w:val="003547DA"/>
    <w:rsid w:val="003550EB"/>
    <w:rsid w:val="00355171"/>
    <w:rsid w:val="00355289"/>
    <w:rsid w:val="003556DC"/>
    <w:rsid w:val="0035585B"/>
    <w:rsid w:val="00355C11"/>
    <w:rsid w:val="00356C0A"/>
    <w:rsid w:val="00356CB6"/>
    <w:rsid w:val="00356E44"/>
    <w:rsid w:val="003573A9"/>
    <w:rsid w:val="00357426"/>
    <w:rsid w:val="003600C5"/>
    <w:rsid w:val="003600E1"/>
    <w:rsid w:val="00360540"/>
    <w:rsid w:val="003608BE"/>
    <w:rsid w:val="00360CC4"/>
    <w:rsid w:val="00360CE1"/>
    <w:rsid w:val="00360D35"/>
    <w:rsid w:val="00360DD5"/>
    <w:rsid w:val="00360EB9"/>
    <w:rsid w:val="00361671"/>
    <w:rsid w:val="00361ADC"/>
    <w:rsid w:val="00362407"/>
    <w:rsid w:val="00362856"/>
    <w:rsid w:val="00362B3B"/>
    <w:rsid w:val="00362C18"/>
    <w:rsid w:val="00362F66"/>
    <w:rsid w:val="00363200"/>
    <w:rsid w:val="00363367"/>
    <w:rsid w:val="0036336C"/>
    <w:rsid w:val="00363404"/>
    <w:rsid w:val="00363774"/>
    <w:rsid w:val="00363D01"/>
    <w:rsid w:val="0036543A"/>
    <w:rsid w:val="0036568A"/>
    <w:rsid w:val="003656CA"/>
    <w:rsid w:val="003661E5"/>
    <w:rsid w:val="00367010"/>
    <w:rsid w:val="00367965"/>
    <w:rsid w:val="00367BD9"/>
    <w:rsid w:val="003701B3"/>
    <w:rsid w:val="00370303"/>
    <w:rsid w:val="0037053A"/>
    <w:rsid w:val="00370815"/>
    <w:rsid w:val="003709A3"/>
    <w:rsid w:val="003714BE"/>
    <w:rsid w:val="00371842"/>
    <w:rsid w:val="00371F6E"/>
    <w:rsid w:val="0037243A"/>
    <w:rsid w:val="00372BBD"/>
    <w:rsid w:val="00372D83"/>
    <w:rsid w:val="00373588"/>
    <w:rsid w:val="00373605"/>
    <w:rsid w:val="00373A79"/>
    <w:rsid w:val="00373B27"/>
    <w:rsid w:val="00373F13"/>
    <w:rsid w:val="0037445E"/>
    <w:rsid w:val="003744A4"/>
    <w:rsid w:val="0037456F"/>
    <w:rsid w:val="00374C94"/>
    <w:rsid w:val="00374F9B"/>
    <w:rsid w:val="00375009"/>
    <w:rsid w:val="003751F1"/>
    <w:rsid w:val="00376206"/>
    <w:rsid w:val="00376280"/>
    <w:rsid w:val="00376305"/>
    <w:rsid w:val="00376508"/>
    <w:rsid w:val="00377313"/>
    <w:rsid w:val="003774BA"/>
    <w:rsid w:val="00377C7E"/>
    <w:rsid w:val="00377E40"/>
    <w:rsid w:val="0038012B"/>
    <w:rsid w:val="00380992"/>
    <w:rsid w:val="0038147C"/>
    <w:rsid w:val="00381D4B"/>
    <w:rsid w:val="003825FA"/>
    <w:rsid w:val="003826C7"/>
    <w:rsid w:val="003828B3"/>
    <w:rsid w:val="003828B6"/>
    <w:rsid w:val="00382AA1"/>
    <w:rsid w:val="00382BC0"/>
    <w:rsid w:val="00383072"/>
    <w:rsid w:val="0038376A"/>
    <w:rsid w:val="003838B3"/>
    <w:rsid w:val="00383CFF"/>
    <w:rsid w:val="0038410B"/>
    <w:rsid w:val="003844A8"/>
    <w:rsid w:val="003848E7"/>
    <w:rsid w:val="00384D60"/>
    <w:rsid w:val="0038538E"/>
    <w:rsid w:val="00385644"/>
    <w:rsid w:val="0038596E"/>
    <w:rsid w:val="00386929"/>
    <w:rsid w:val="00386AF1"/>
    <w:rsid w:val="00386BF8"/>
    <w:rsid w:val="00386C9C"/>
    <w:rsid w:val="003871E1"/>
    <w:rsid w:val="003876D5"/>
    <w:rsid w:val="003877C1"/>
    <w:rsid w:val="003879C3"/>
    <w:rsid w:val="00387EEE"/>
    <w:rsid w:val="0039003C"/>
    <w:rsid w:val="00390290"/>
    <w:rsid w:val="0039062A"/>
    <w:rsid w:val="00390878"/>
    <w:rsid w:val="00390B13"/>
    <w:rsid w:val="00390E4E"/>
    <w:rsid w:val="00391025"/>
    <w:rsid w:val="003910F8"/>
    <w:rsid w:val="0039207A"/>
    <w:rsid w:val="0039215D"/>
    <w:rsid w:val="003925E0"/>
    <w:rsid w:val="00392610"/>
    <w:rsid w:val="00392841"/>
    <w:rsid w:val="003929D8"/>
    <w:rsid w:val="0039337F"/>
    <w:rsid w:val="0039355C"/>
    <w:rsid w:val="00393905"/>
    <w:rsid w:val="00393BD5"/>
    <w:rsid w:val="003949A7"/>
    <w:rsid w:val="00394BDF"/>
    <w:rsid w:val="00394E1B"/>
    <w:rsid w:val="00394E74"/>
    <w:rsid w:val="0039548B"/>
    <w:rsid w:val="003955DE"/>
    <w:rsid w:val="0039577D"/>
    <w:rsid w:val="00395D53"/>
    <w:rsid w:val="003964D0"/>
    <w:rsid w:val="003967E5"/>
    <w:rsid w:val="00396BC2"/>
    <w:rsid w:val="00396DA4"/>
    <w:rsid w:val="003974CD"/>
    <w:rsid w:val="00397C9E"/>
    <w:rsid w:val="003A12B3"/>
    <w:rsid w:val="003A19C7"/>
    <w:rsid w:val="003A1B00"/>
    <w:rsid w:val="003A1CFE"/>
    <w:rsid w:val="003A221F"/>
    <w:rsid w:val="003A243B"/>
    <w:rsid w:val="003A2B87"/>
    <w:rsid w:val="003A2DFE"/>
    <w:rsid w:val="003A35B1"/>
    <w:rsid w:val="003A35EB"/>
    <w:rsid w:val="003A3766"/>
    <w:rsid w:val="003A39A5"/>
    <w:rsid w:val="003A3B1E"/>
    <w:rsid w:val="003A43D5"/>
    <w:rsid w:val="003A4E32"/>
    <w:rsid w:val="003A4E8F"/>
    <w:rsid w:val="003A5254"/>
    <w:rsid w:val="003A5552"/>
    <w:rsid w:val="003A57E0"/>
    <w:rsid w:val="003A6431"/>
    <w:rsid w:val="003A663E"/>
    <w:rsid w:val="003A6B26"/>
    <w:rsid w:val="003A6CC5"/>
    <w:rsid w:val="003A73BA"/>
    <w:rsid w:val="003A74B8"/>
    <w:rsid w:val="003A7669"/>
    <w:rsid w:val="003A7751"/>
    <w:rsid w:val="003A7C39"/>
    <w:rsid w:val="003A7D45"/>
    <w:rsid w:val="003A7EA8"/>
    <w:rsid w:val="003B04CA"/>
    <w:rsid w:val="003B08A5"/>
    <w:rsid w:val="003B0BB0"/>
    <w:rsid w:val="003B0C26"/>
    <w:rsid w:val="003B0FB8"/>
    <w:rsid w:val="003B1753"/>
    <w:rsid w:val="003B1AA5"/>
    <w:rsid w:val="003B22B3"/>
    <w:rsid w:val="003B22E3"/>
    <w:rsid w:val="003B236A"/>
    <w:rsid w:val="003B2D8F"/>
    <w:rsid w:val="003B3666"/>
    <w:rsid w:val="003B44FD"/>
    <w:rsid w:val="003B4BD7"/>
    <w:rsid w:val="003B4E85"/>
    <w:rsid w:val="003B4FEA"/>
    <w:rsid w:val="003B53B4"/>
    <w:rsid w:val="003B560C"/>
    <w:rsid w:val="003B5A78"/>
    <w:rsid w:val="003B5CCE"/>
    <w:rsid w:val="003B5F5E"/>
    <w:rsid w:val="003B6698"/>
    <w:rsid w:val="003B66FF"/>
    <w:rsid w:val="003B677D"/>
    <w:rsid w:val="003B6D79"/>
    <w:rsid w:val="003B70C5"/>
    <w:rsid w:val="003B796A"/>
    <w:rsid w:val="003B7DD4"/>
    <w:rsid w:val="003B7E0B"/>
    <w:rsid w:val="003C0150"/>
    <w:rsid w:val="003C0640"/>
    <w:rsid w:val="003C0FA7"/>
    <w:rsid w:val="003C1487"/>
    <w:rsid w:val="003C14E5"/>
    <w:rsid w:val="003C1DBC"/>
    <w:rsid w:val="003C2367"/>
    <w:rsid w:val="003C25EF"/>
    <w:rsid w:val="003C26DE"/>
    <w:rsid w:val="003C2839"/>
    <w:rsid w:val="003C2950"/>
    <w:rsid w:val="003C29A0"/>
    <w:rsid w:val="003C2ADA"/>
    <w:rsid w:val="003C2E58"/>
    <w:rsid w:val="003C38B6"/>
    <w:rsid w:val="003C395B"/>
    <w:rsid w:val="003C3F6E"/>
    <w:rsid w:val="003C4324"/>
    <w:rsid w:val="003C4417"/>
    <w:rsid w:val="003C44CF"/>
    <w:rsid w:val="003C4A5A"/>
    <w:rsid w:val="003C4AD0"/>
    <w:rsid w:val="003C5116"/>
    <w:rsid w:val="003C5813"/>
    <w:rsid w:val="003C5E53"/>
    <w:rsid w:val="003C5FA7"/>
    <w:rsid w:val="003C5FAD"/>
    <w:rsid w:val="003C64E5"/>
    <w:rsid w:val="003C661E"/>
    <w:rsid w:val="003C667D"/>
    <w:rsid w:val="003C68A3"/>
    <w:rsid w:val="003C6C21"/>
    <w:rsid w:val="003C6E3E"/>
    <w:rsid w:val="003C6EA8"/>
    <w:rsid w:val="003C6EAD"/>
    <w:rsid w:val="003C721A"/>
    <w:rsid w:val="003C7535"/>
    <w:rsid w:val="003C78E0"/>
    <w:rsid w:val="003D0133"/>
    <w:rsid w:val="003D016B"/>
    <w:rsid w:val="003D018E"/>
    <w:rsid w:val="003D0291"/>
    <w:rsid w:val="003D0381"/>
    <w:rsid w:val="003D0638"/>
    <w:rsid w:val="003D0697"/>
    <w:rsid w:val="003D08F7"/>
    <w:rsid w:val="003D2130"/>
    <w:rsid w:val="003D2446"/>
    <w:rsid w:val="003D32DF"/>
    <w:rsid w:val="003D39DA"/>
    <w:rsid w:val="003D3A89"/>
    <w:rsid w:val="003D3C24"/>
    <w:rsid w:val="003D3E00"/>
    <w:rsid w:val="003D3F00"/>
    <w:rsid w:val="003D3F28"/>
    <w:rsid w:val="003D4389"/>
    <w:rsid w:val="003D4511"/>
    <w:rsid w:val="003D45CC"/>
    <w:rsid w:val="003D4772"/>
    <w:rsid w:val="003D486E"/>
    <w:rsid w:val="003D55B4"/>
    <w:rsid w:val="003D5772"/>
    <w:rsid w:val="003D590A"/>
    <w:rsid w:val="003D5D1D"/>
    <w:rsid w:val="003D5D83"/>
    <w:rsid w:val="003D6107"/>
    <w:rsid w:val="003D6339"/>
    <w:rsid w:val="003D6427"/>
    <w:rsid w:val="003D6D9A"/>
    <w:rsid w:val="003D6FC1"/>
    <w:rsid w:val="003D7099"/>
    <w:rsid w:val="003D73C3"/>
    <w:rsid w:val="003D7510"/>
    <w:rsid w:val="003D75FF"/>
    <w:rsid w:val="003D761E"/>
    <w:rsid w:val="003E04FD"/>
    <w:rsid w:val="003E0EFE"/>
    <w:rsid w:val="003E13B6"/>
    <w:rsid w:val="003E13D4"/>
    <w:rsid w:val="003E16F2"/>
    <w:rsid w:val="003E1928"/>
    <w:rsid w:val="003E1AA1"/>
    <w:rsid w:val="003E1F6D"/>
    <w:rsid w:val="003E2316"/>
    <w:rsid w:val="003E2749"/>
    <w:rsid w:val="003E2EE8"/>
    <w:rsid w:val="003E31F8"/>
    <w:rsid w:val="003E330E"/>
    <w:rsid w:val="003E3BF9"/>
    <w:rsid w:val="003E3C9B"/>
    <w:rsid w:val="003E3EDA"/>
    <w:rsid w:val="003E40DF"/>
    <w:rsid w:val="003E40EA"/>
    <w:rsid w:val="003E4267"/>
    <w:rsid w:val="003E43AC"/>
    <w:rsid w:val="003E459C"/>
    <w:rsid w:val="003E4D3F"/>
    <w:rsid w:val="003E517A"/>
    <w:rsid w:val="003E51E3"/>
    <w:rsid w:val="003E5241"/>
    <w:rsid w:val="003E528A"/>
    <w:rsid w:val="003E53EB"/>
    <w:rsid w:val="003E5408"/>
    <w:rsid w:val="003E586C"/>
    <w:rsid w:val="003E5CDC"/>
    <w:rsid w:val="003E5DFF"/>
    <w:rsid w:val="003E5E2E"/>
    <w:rsid w:val="003E6079"/>
    <w:rsid w:val="003E6091"/>
    <w:rsid w:val="003E631D"/>
    <w:rsid w:val="003E6360"/>
    <w:rsid w:val="003E6C92"/>
    <w:rsid w:val="003E6E06"/>
    <w:rsid w:val="003E6E31"/>
    <w:rsid w:val="003E6FCA"/>
    <w:rsid w:val="003E7334"/>
    <w:rsid w:val="003E763F"/>
    <w:rsid w:val="003E7982"/>
    <w:rsid w:val="003E79A6"/>
    <w:rsid w:val="003E7AFC"/>
    <w:rsid w:val="003F057A"/>
    <w:rsid w:val="003F07D1"/>
    <w:rsid w:val="003F0C5E"/>
    <w:rsid w:val="003F0D07"/>
    <w:rsid w:val="003F1134"/>
    <w:rsid w:val="003F1173"/>
    <w:rsid w:val="003F174C"/>
    <w:rsid w:val="003F277D"/>
    <w:rsid w:val="003F27F5"/>
    <w:rsid w:val="003F29A4"/>
    <w:rsid w:val="003F2A58"/>
    <w:rsid w:val="003F2ED0"/>
    <w:rsid w:val="003F345D"/>
    <w:rsid w:val="003F377E"/>
    <w:rsid w:val="003F3CE9"/>
    <w:rsid w:val="003F4BC9"/>
    <w:rsid w:val="003F4BD0"/>
    <w:rsid w:val="003F4C9B"/>
    <w:rsid w:val="003F4CBE"/>
    <w:rsid w:val="003F627B"/>
    <w:rsid w:val="003F62E7"/>
    <w:rsid w:val="003F6321"/>
    <w:rsid w:val="003F6D8A"/>
    <w:rsid w:val="003F7467"/>
    <w:rsid w:val="003F7799"/>
    <w:rsid w:val="003F7ADD"/>
    <w:rsid w:val="003F7CD2"/>
    <w:rsid w:val="003F7E20"/>
    <w:rsid w:val="0040001D"/>
    <w:rsid w:val="00400B42"/>
    <w:rsid w:val="00400CA8"/>
    <w:rsid w:val="00401931"/>
    <w:rsid w:val="004023F7"/>
    <w:rsid w:val="0040296A"/>
    <w:rsid w:val="00402B0F"/>
    <w:rsid w:val="00403969"/>
    <w:rsid w:val="004040D3"/>
    <w:rsid w:val="004043EB"/>
    <w:rsid w:val="00404E54"/>
    <w:rsid w:val="00405A93"/>
    <w:rsid w:val="00405B9F"/>
    <w:rsid w:val="00405D0E"/>
    <w:rsid w:val="00406608"/>
    <w:rsid w:val="00406717"/>
    <w:rsid w:val="004067B2"/>
    <w:rsid w:val="00406938"/>
    <w:rsid w:val="00406B97"/>
    <w:rsid w:val="00406D40"/>
    <w:rsid w:val="004075A6"/>
    <w:rsid w:val="004108A2"/>
    <w:rsid w:val="00411A6A"/>
    <w:rsid w:val="00411AB4"/>
    <w:rsid w:val="00411D5C"/>
    <w:rsid w:val="0041225B"/>
    <w:rsid w:val="0041232A"/>
    <w:rsid w:val="00412CAC"/>
    <w:rsid w:val="00412DB1"/>
    <w:rsid w:val="0041321F"/>
    <w:rsid w:val="004134FA"/>
    <w:rsid w:val="004137EA"/>
    <w:rsid w:val="00413A79"/>
    <w:rsid w:val="00413FDF"/>
    <w:rsid w:val="004140CD"/>
    <w:rsid w:val="00414366"/>
    <w:rsid w:val="0041465A"/>
    <w:rsid w:val="004149CF"/>
    <w:rsid w:val="00414A6D"/>
    <w:rsid w:val="00414DE9"/>
    <w:rsid w:val="00414E8A"/>
    <w:rsid w:val="004152CA"/>
    <w:rsid w:val="0041548D"/>
    <w:rsid w:val="004156B1"/>
    <w:rsid w:val="00416869"/>
    <w:rsid w:val="00417203"/>
    <w:rsid w:val="004173BD"/>
    <w:rsid w:val="004173BF"/>
    <w:rsid w:val="00417468"/>
    <w:rsid w:val="00417736"/>
    <w:rsid w:val="00417C7C"/>
    <w:rsid w:val="00417E1A"/>
    <w:rsid w:val="004201C4"/>
    <w:rsid w:val="004201E8"/>
    <w:rsid w:val="00420583"/>
    <w:rsid w:val="00420722"/>
    <w:rsid w:val="00420BFE"/>
    <w:rsid w:val="00421051"/>
    <w:rsid w:val="0042114B"/>
    <w:rsid w:val="00421203"/>
    <w:rsid w:val="00421250"/>
    <w:rsid w:val="00421423"/>
    <w:rsid w:val="00421476"/>
    <w:rsid w:val="00421888"/>
    <w:rsid w:val="00421BFE"/>
    <w:rsid w:val="004220F5"/>
    <w:rsid w:val="00422151"/>
    <w:rsid w:val="0042269D"/>
    <w:rsid w:val="004229D9"/>
    <w:rsid w:val="00422BAC"/>
    <w:rsid w:val="0042318F"/>
    <w:rsid w:val="00423590"/>
    <w:rsid w:val="00423B8A"/>
    <w:rsid w:val="00423FDC"/>
    <w:rsid w:val="004243F5"/>
    <w:rsid w:val="00425106"/>
    <w:rsid w:val="004251BE"/>
    <w:rsid w:val="00425272"/>
    <w:rsid w:val="0042543B"/>
    <w:rsid w:val="00425581"/>
    <w:rsid w:val="00425599"/>
    <w:rsid w:val="00425955"/>
    <w:rsid w:val="00425B4C"/>
    <w:rsid w:val="00425CE4"/>
    <w:rsid w:val="00425E96"/>
    <w:rsid w:val="00425E9D"/>
    <w:rsid w:val="00426343"/>
    <w:rsid w:val="00426430"/>
    <w:rsid w:val="0042673E"/>
    <w:rsid w:val="00426838"/>
    <w:rsid w:val="004268F2"/>
    <w:rsid w:val="00426ABE"/>
    <w:rsid w:val="00426B47"/>
    <w:rsid w:val="0042773C"/>
    <w:rsid w:val="00427D13"/>
    <w:rsid w:val="0043000B"/>
    <w:rsid w:val="0043031B"/>
    <w:rsid w:val="004309DB"/>
    <w:rsid w:val="00430A10"/>
    <w:rsid w:val="00430AE1"/>
    <w:rsid w:val="00430B38"/>
    <w:rsid w:val="00430D3D"/>
    <w:rsid w:val="00430FDB"/>
    <w:rsid w:val="00431225"/>
    <w:rsid w:val="00431392"/>
    <w:rsid w:val="004313D9"/>
    <w:rsid w:val="00431A10"/>
    <w:rsid w:val="00431CA3"/>
    <w:rsid w:val="00432012"/>
    <w:rsid w:val="00432534"/>
    <w:rsid w:val="0043271D"/>
    <w:rsid w:val="0043284B"/>
    <w:rsid w:val="00432DF4"/>
    <w:rsid w:val="00432E24"/>
    <w:rsid w:val="00433A2E"/>
    <w:rsid w:val="00433B06"/>
    <w:rsid w:val="00433BFC"/>
    <w:rsid w:val="00433E7A"/>
    <w:rsid w:val="00433EB9"/>
    <w:rsid w:val="00434BE0"/>
    <w:rsid w:val="00434D0B"/>
    <w:rsid w:val="00434FFC"/>
    <w:rsid w:val="00435291"/>
    <w:rsid w:val="00435433"/>
    <w:rsid w:val="00435950"/>
    <w:rsid w:val="00435A10"/>
    <w:rsid w:val="00435A66"/>
    <w:rsid w:val="00435D04"/>
    <w:rsid w:val="004360C1"/>
    <w:rsid w:val="0043624E"/>
    <w:rsid w:val="00436292"/>
    <w:rsid w:val="0043632F"/>
    <w:rsid w:val="00436678"/>
    <w:rsid w:val="0043689A"/>
    <w:rsid w:val="00436B04"/>
    <w:rsid w:val="00436B25"/>
    <w:rsid w:val="00436B4D"/>
    <w:rsid w:val="00436B5E"/>
    <w:rsid w:val="0043730D"/>
    <w:rsid w:val="00437379"/>
    <w:rsid w:val="004374E3"/>
    <w:rsid w:val="0043758C"/>
    <w:rsid w:val="00437E8B"/>
    <w:rsid w:val="00437EDA"/>
    <w:rsid w:val="0044022F"/>
    <w:rsid w:val="00440253"/>
    <w:rsid w:val="00440274"/>
    <w:rsid w:val="0044045A"/>
    <w:rsid w:val="00440AE9"/>
    <w:rsid w:val="00440B1E"/>
    <w:rsid w:val="00440CAA"/>
    <w:rsid w:val="004412C5"/>
    <w:rsid w:val="0044181F"/>
    <w:rsid w:val="00441B1F"/>
    <w:rsid w:val="00441B90"/>
    <w:rsid w:val="00441C10"/>
    <w:rsid w:val="00441FA7"/>
    <w:rsid w:val="004420F1"/>
    <w:rsid w:val="004428C1"/>
    <w:rsid w:val="00442BD8"/>
    <w:rsid w:val="00442E73"/>
    <w:rsid w:val="00442F76"/>
    <w:rsid w:val="00443252"/>
    <w:rsid w:val="0044335A"/>
    <w:rsid w:val="00443384"/>
    <w:rsid w:val="00443ED2"/>
    <w:rsid w:val="0044459F"/>
    <w:rsid w:val="0044469B"/>
    <w:rsid w:val="00444C12"/>
    <w:rsid w:val="00444F1F"/>
    <w:rsid w:val="00445466"/>
    <w:rsid w:val="004459DC"/>
    <w:rsid w:val="00446652"/>
    <w:rsid w:val="004468A6"/>
    <w:rsid w:val="00446B17"/>
    <w:rsid w:val="0044715C"/>
    <w:rsid w:val="0044749C"/>
    <w:rsid w:val="004474DC"/>
    <w:rsid w:val="00447567"/>
    <w:rsid w:val="004475DA"/>
    <w:rsid w:val="00447B46"/>
    <w:rsid w:val="00447C26"/>
    <w:rsid w:val="00450003"/>
    <w:rsid w:val="0045005A"/>
    <w:rsid w:val="004503E4"/>
    <w:rsid w:val="00450409"/>
    <w:rsid w:val="00450A9C"/>
    <w:rsid w:val="00450F4C"/>
    <w:rsid w:val="0045116F"/>
    <w:rsid w:val="00451266"/>
    <w:rsid w:val="00451534"/>
    <w:rsid w:val="004517B4"/>
    <w:rsid w:val="0045199F"/>
    <w:rsid w:val="00451C23"/>
    <w:rsid w:val="00451CAF"/>
    <w:rsid w:val="00451CF5"/>
    <w:rsid w:val="00451F6E"/>
    <w:rsid w:val="00452048"/>
    <w:rsid w:val="00452050"/>
    <w:rsid w:val="0045285C"/>
    <w:rsid w:val="004529C3"/>
    <w:rsid w:val="00452EDD"/>
    <w:rsid w:val="00453487"/>
    <w:rsid w:val="00453B09"/>
    <w:rsid w:val="00453E38"/>
    <w:rsid w:val="00454030"/>
    <w:rsid w:val="00454476"/>
    <w:rsid w:val="0045453D"/>
    <w:rsid w:val="004547F9"/>
    <w:rsid w:val="00454AB1"/>
    <w:rsid w:val="00454B4B"/>
    <w:rsid w:val="00454B74"/>
    <w:rsid w:val="00454E4C"/>
    <w:rsid w:val="00454F68"/>
    <w:rsid w:val="004550AE"/>
    <w:rsid w:val="00455CCF"/>
    <w:rsid w:val="00455F11"/>
    <w:rsid w:val="00455F7C"/>
    <w:rsid w:val="00456D24"/>
    <w:rsid w:val="00456F7E"/>
    <w:rsid w:val="004570A4"/>
    <w:rsid w:val="004571D1"/>
    <w:rsid w:val="0045722E"/>
    <w:rsid w:val="0045729D"/>
    <w:rsid w:val="0045741D"/>
    <w:rsid w:val="0046031C"/>
    <w:rsid w:val="00460A58"/>
    <w:rsid w:val="00460CA7"/>
    <w:rsid w:val="0046109A"/>
    <w:rsid w:val="00461863"/>
    <w:rsid w:val="00461D5D"/>
    <w:rsid w:val="00461F64"/>
    <w:rsid w:val="004624FF"/>
    <w:rsid w:val="004627C3"/>
    <w:rsid w:val="00462B8A"/>
    <w:rsid w:val="00462BC7"/>
    <w:rsid w:val="00463759"/>
    <w:rsid w:val="004637E0"/>
    <w:rsid w:val="00463CED"/>
    <w:rsid w:val="00463FF1"/>
    <w:rsid w:val="00464E71"/>
    <w:rsid w:val="00464F43"/>
    <w:rsid w:val="00465167"/>
    <w:rsid w:val="00465793"/>
    <w:rsid w:val="00465BC9"/>
    <w:rsid w:val="004665E2"/>
    <w:rsid w:val="0046708C"/>
    <w:rsid w:val="00467309"/>
    <w:rsid w:val="00467C6E"/>
    <w:rsid w:val="00470791"/>
    <w:rsid w:val="004708AD"/>
    <w:rsid w:val="004708C2"/>
    <w:rsid w:val="00470B39"/>
    <w:rsid w:val="00470E93"/>
    <w:rsid w:val="004710D3"/>
    <w:rsid w:val="00471314"/>
    <w:rsid w:val="00471349"/>
    <w:rsid w:val="004723AC"/>
    <w:rsid w:val="004723B5"/>
    <w:rsid w:val="004730B8"/>
    <w:rsid w:val="0047313D"/>
    <w:rsid w:val="00473966"/>
    <w:rsid w:val="004739CF"/>
    <w:rsid w:val="00474055"/>
    <w:rsid w:val="0047468F"/>
    <w:rsid w:val="00474A7C"/>
    <w:rsid w:val="00474BD9"/>
    <w:rsid w:val="0047570E"/>
    <w:rsid w:val="00475E7C"/>
    <w:rsid w:val="00476136"/>
    <w:rsid w:val="004764F5"/>
    <w:rsid w:val="00476524"/>
    <w:rsid w:val="004769A1"/>
    <w:rsid w:val="00476C5C"/>
    <w:rsid w:val="00476EE4"/>
    <w:rsid w:val="00477111"/>
    <w:rsid w:val="0047759C"/>
    <w:rsid w:val="00477743"/>
    <w:rsid w:val="004777A7"/>
    <w:rsid w:val="00477D91"/>
    <w:rsid w:val="00477DDC"/>
    <w:rsid w:val="00477E36"/>
    <w:rsid w:val="00480561"/>
    <w:rsid w:val="004806D0"/>
    <w:rsid w:val="00480862"/>
    <w:rsid w:val="00480CBB"/>
    <w:rsid w:val="00481571"/>
    <w:rsid w:val="004817AC"/>
    <w:rsid w:val="0048189A"/>
    <w:rsid w:val="004818A9"/>
    <w:rsid w:val="004819B2"/>
    <w:rsid w:val="00481AA4"/>
    <w:rsid w:val="004821E9"/>
    <w:rsid w:val="00483659"/>
    <w:rsid w:val="00483CA8"/>
    <w:rsid w:val="00483EEC"/>
    <w:rsid w:val="004840AB"/>
    <w:rsid w:val="00484101"/>
    <w:rsid w:val="004846F7"/>
    <w:rsid w:val="00485788"/>
    <w:rsid w:val="00485996"/>
    <w:rsid w:val="004859E9"/>
    <w:rsid w:val="00485D0C"/>
    <w:rsid w:val="00486591"/>
    <w:rsid w:val="0048697B"/>
    <w:rsid w:val="00486F29"/>
    <w:rsid w:val="00486FB4"/>
    <w:rsid w:val="0048752C"/>
    <w:rsid w:val="00487683"/>
    <w:rsid w:val="004876BF"/>
    <w:rsid w:val="0048789D"/>
    <w:rsid w:val="004879A5"/>
    <w:rsid w:val="00490144"/>
    <w:rsid w:val="004903E2"/>
    <w:rsid w:val="00490D0A"/>
    <w:rsid w:val="00490D71"/>
    <w:rsid w:val="004910E0"/>
    <w:rsid w:val="0049156A"/>
    <w:rsid w:val="0049177C"/>
    <w:rsid w:val="00491787"/>
    <w:rsid w:val="00491BD8"/>
    <w:rsid w:val="00491D89"/>
    <w:rsid w:val="004926D9"/>
    <w:rsid w:val="004928C4"/>
    <w:rsid w:val="00492BD6"/>
    <w:rsid w:val="00492C49"/>
    <w:rsid w:val="00492D60"/>
    <w:rsid w:val="00492D64"/>
    <w:rsid w:val="00493745"/>
    <w:rsid w:val="00493792"/>
    <w:rsid w:val="004938C4"/>
    <w:rsid w:val="00493B8E"/>
    <w:rsid w:val="0049435E"/>
    <w:rsid w:val="00494EC6"/>
    <w:rsid w:val="00495021"/>
    <w:rsid w:val="00495331"/>
    <w:rsid w:val="004954E4"/>
    <w:rsid w:val="00495716"/>
    <w:rsid w:val="004957B5"/>
    <w:rsid w:val="004957CB"/>
    <w:rsid w:val="0049583B"/>
    <w:rsid w:val="00495985"/>
    <w:rsid w:val="00495F28"/>
    <w:rsid w:val="00495FA3"/>
    <w:rsid w:val="004963D0"/>
    <w:rsid w:val="00496806"/>
    <w:rsid w:val="004968CE"/>
    <w:rsid w:val="00496DBF"/>
    <w:rsid w:val="00496E7A"/>
    <w:rsid w:val="00497007"/>
    <w:rsid w:val="0049720B"/>
    <w:rsid w:val="0049726C"/>
    <w:rsid w:val="0049738B"/>
    <w:rsid w:val="004973D6"/>
    <w:rsid w:val="004974BA"/>
    <w:rsid w:val="004975A1"/>
    <w:rsid w:val="0049787E"/>
    <w:rsid w:val="00497883"/>
    <w:rsid w:val="004979FD"/>
    <w:rsid w:val="00497CCD"/>
    <w:rsid w:val="00497F18"/>
    <w:rsid w:val="004A00CB"/>
    <w:rsid w:val="004A01EB"/>
    <w:rsid w:val="004A0D4C"/>
    <w:rsid w:val="004A1762"/>
    <w:rsid w:val="004A1F24"/>
    <w:rsid w:val="004A1F3E"/>
    <w:rsid w:val="004A1FC3"/>
    <w:rsid w:val="004A1FF5"/>
    <w:rsid w:val="004A219D"/>
    <w:rsid w:val="004A242D"/>
    <w:rsid w:val="004A26AD"/>
    <w:rsid w:val="004A28C1"/>
    <w:rsid w:val="004A2DCA"/>
    <w:rsid w:val="004A35B3"/>
    <w:rsid w:val="004A3805"/>
    <w:rsid w:val="004A38A2"/>
    <w:rsid w:val="004A38B0"/>
    <w:rsid w:val="004A38C2"/>
    <w:rsid w:val="004A3BD4"/>
    <w:rsid w:val="004A3CF3"/>
    <w:rsid w:val="004A3F6B"/>
    <w:rsid w:val="004A3F85"/>
    <w:rsid w:val="004A4740"/>
    <w:rsid w:val="004A4752"/>
    <w:rsid w:val="004A4A95"/>
    <w:rsid w:val="004A4AFC"/>
    <w:rsid w:val="004A4F7D"/>
    <w:rsid w:val="004A508C"/>
    <w:rsid w:val="004A54EC"/>
    <w:rsid w:val="004A5DF8"/>
    <w:rsid w:val="004A5FCE"/>
    <w:rsid w:val="004A6D58"/>
    <w:rsid w:val="004A6E5F"/>
    <w:rsid w:val="004A700E"/>
    <w:rsid w:val="004A72BF"/>
    <w:rsid w:val="004A72FD"/>
    <w:rsid w:val="004A7319"/>
    <w:rsid w:val="004A74C1"/>
    <w:rsid w:val="004A7930"/>
    <w:rsid w:val="004A7D27"/>
    <w:rsid w:val="004B0012"/>
    <w:rsid w:val="004B02B6"/>
    <w:rsid w:val="004B0B7A"/>
    <w:rsid w:val="004B10E9"/>
    <w:rsid w:val="004B1105"/>
    <w:rsid w:val="004B176F"/>
    <w:rsid w:val="004B18F9"/>
    <w:rsid w:val="004B1FF5"/>
    <w:rsid w:val="004B2111"/>
    <w:rsid w:val="004B30AC"/>
    <w:rsid w:val="004B3473"/>
    <w:rsid w:val="004B357C"/>
    <w:rsid w:val="004B3679"/>
    <w:rsid w:val="004B39CE"/>
    <w:rsid w:val="004B41D0"/>
    <w:rsid w:val="004B4396"/>
    <w:rsid w:val="004B4653"/>
    <w:rsid w:val="004B485F"/>
    <w:rsid w:val="004B4899"/>
    <w:rsid w:val="004B4C69"/>
    <w:rsid w:val="004B537C"/>
    <w:rsid w:val="004B5633"/>
    <w:rsid w:val="004B5919"/>
    <w:rsid w:val="004B5E0F"/>
    <w:rsid w:val="004B6228"/>
    <w:rsid w:val="004B6503"/>
    <w:rsid w:val="004B686D"/>
    <w:rsid w:val="004B6AD9"/>
    <w:rsid w:val="004B6BEA"/>
    <w:rsid w:val="004B6E52"/>
    <w:rsid w:val="004B7139"/>
    <w:rsid w:val="004B7178"/>
    <w:rsid w:val="004B77E8"/>
    <w:rsid w:val="004B7CA1"/>
    <w:rsid w:val="004B7ECA"/>
    <w:rsid w:val="004C0154"/>
    <w:rsid w:val="004C0F21"/>
    <w:rsid w:val="004C1114"/>
    <w:rsid w:val="004C17E0"/>
    <w:rsid w:val="004C1D9E"/>
    <w:rsid w:val="004C1DA5"/>
    <w:rsid w:val="004C2101"/>
    <w:rsid w:val="004C21CC"/>
    <w:rsid w:val="004C233F"/>
    <w:rsid w:val="004C28CD"/>
    <w:rsid w:val="004C2CCD"/>
    <w:rsid w:val="004C303D"/>
    <w:rsid w:val="004C3C4D"/>
    <w:rsid w:val="004C3E91"/>
    <w:rsid w:val="004C438D"/>
    <w:rsid w:val="004C44E1"/>
    <w:rsid w:val="004C46A6"/>
    <w:rsid w:val="004C48BD"/>
    <w:rsid w:val="004C493C"/>
    <w:rsid w:val="004C5199"/>
    <w:rsid w:val="004C59DE"/>
    <w:rsid w:val="004C5A37"/>
    <w:rsid w:val="004C5C9F"/>
    <w:rsid w:val="004C5CE3"/>
    <w:rsid w:val="004C5D8A"/>
    <w:rsid w:val="004C63C8"/>
    <w:rsid w:val="004C6520"/>
    <w:rsid w:val="004C6718"/>
    <w:rsid w:val="004C6A3C"/>
    <w:rsid w:val="004C6BAF"/>
    <w:rsid w:val="004C6C57"/>
    <w:rsid w:val="004C6C70"/>
    <w:rsid w:val="004C6F1D"/>
    <w:rsid w:val="004C7023"/>
    <w:rsid w:val="004C77A1"/>
    <w:rsid w:val="004C7863"/>
    <w:rsid w:val="004C78F6"/>
    <w:rsid w:val="004C792D"/>
    <w:rsid w:val="004C7E3D"/>
    <w:rsid w:val="004C7F07"/>
    <w:rsid w:val="004C7FB1"/>
    <w:rsid w:val="004D0218"/>
    <w:rsid w:val="004D03F2"/>
    <w:rsid w:val="004D08E6"/>
    <w:rsid w:val="004D1605"/>
    <w:rsid w:val="004D16DD"/>
    <w:rsid w:val="004D175C"/>
    <w:rsid w:val="004D2272"/>
    <w:rsid w:val="004D238A"/>
    <w:rsid w:val="004D2682"/>
    <w:rsid w:val="004D27C2"/>
    <w:rsid w:val="004D2863"/>
    <w:rsid w:val="004D29D1"/>
    <w:rsid w:val="004D2BA0"/>
    <w:rsid w:val="004D2E9B"/>
    <w:rsid w:val="004D2F2D"/>
    <w:rsid w:val="004D3F21"/>
    <w:rsid w:val="004D3F68"/>
    <w:rsid w:val="004D45DD"/>
    <w:rsid w:val="004D506B"/>
    <w:rsid w:val="004D5257"/>
    <w:rsid w:val="004D5369"/>
    <w:rsid w:val="004D5A35"/>
    <w:rsid w:val="004D604D"/>
    <w:rsid w:val="004D62FE"/>
    <w:rsid w:val="004D723D"/>
    <w:rsid w:val="004D7A78"/>
    <w:rsid w:val="004D7E13"/>
    <w:rsid w:val="004E0378"/>
    <w:rsid w:val="004E04A6"/>
    <w:rsid w:val="004E0B0E"/>
    <w:rsid w:val="004E0FBA"/>
    <w:rsid w:val="004E1540"/>
    <w:rsid w:val="004E195C"/>
    <w:rsid w:val="004E19BA"/>
    <w:rsid w:val="004E1A25"/>
    <w:rsid w:val="004E1E9C"/>
    <w:rsid w:val="004E1F96"/>
    <w:rsid w:val="004E38E8"/>
    <w:rsid w:val="004E3B63"/>
    <w:rsid w:val="004E3FBF"/>
    <w:rsid w:val="004E4038"/>
    <w:rsid w:val="004E41A7"/>
    <w:rsid w:val="004E49B7"/>
    <w:rsid w:val="004E4AD6"/>
    <w:rsid w:val="004E4E14"/>
    <w:rsid w:val="004E5103"/>
    <w:rsid w:val="004E5120"/>
    <w:rsid w:val="004E53A1"/>
    <w:rsid w:val="004E566F"/>
    <w:rsid w:val="004E5698"/>
    <w:rsid w:val="004E5B84"/>
    <w:rsid w:val="004E5C25"/>
    <w:rsid w:val="004E5C83"/>
    <w:rsid w:val="004E5D30"/>
    <w:rsid w:val="004E648B"/>
    <w:rsid w:val="004E78CF"/>
    <w:rsid w:val="004F0019"/>
    <w:rsid w:val="004F02D1"/>
    <w:rsid w:val="004F051B"/>
    <w:rsid w:val="004F055F"/>
    <w:rsid w:val="004F0608"/>
    <w:rsid w:val="004F0693"/>
    <w:rsid w:val="004F0A42"/>
    <w:rsid w:val="004F0CFC"/>
    <w:rsid w:val="004F11C0"/>
    <w:rsid w:val="004F1440"/>
    <w:rsid w:val="004F174C"/>
    <w:rsid w:val="004F1D19"/>
    <w:rsid w:val="004F21BC"/>
    <w:rsid w:val="004F2244"/>
    <w:rsid w:val="004F28F0"/>
    <w:rsid w:val="004F2AD8"/>
    <w:rsid w:val="004F2EE3"/>
    <w:rsid w:val="004F36DF"/>
    <w:rsid w:val="004F3757"/>
    <w:rsid w:val="004F38BE"/>
    <w:rsid w:val="004F394E"/>
    <w:rsid w:val="004F445B"/>
    <w:rsid w:val="004F48E4"/>
    <w:rsid w:val="004F4954"/>
    <w:rsid w:val="004F4DBF"/>
    <w:rsid w:val="004F4DFC"/>
    <w:rsid w:val="004F5131"/>
    <w:rsid w:val="004F51F0"/>
    <w:rsid w:val="004F5236"/>
    <w:rsid w:val="004F53C2"/>
    <w:rsid w:val="004F55EA"/>
    <w:rsid w:val="004F5A34"/>
    <w:rsid w:val="004F5B85"/>
    <w:rsid w:val="004F5FEA"/>
    <w:rsid w:val="004F60BF"/>
    <w:rsid w:val="004F6D98"/>
    <w:rsid w:val="004F6DE7"/>
    <w:rsid w:val="004F6FC5"/>
    <w:rsid w:val="004F74C3"/>
    <w:rsid w:val="004F7515"/>
    <w:rsid w:val="004F7927"/>
    <w:rsid w:val="004F79B5"/>
    <w:rsid w:val="004F7AD4"/>
    <w:rsid w:val="004F7B5C"/>
    <w:rsid w:val="004F7F70"/>
    <w:rsid w:val="0050012E"/>
    <w:rsid w:val="00500BCB"/>
    <w:rsid w:val="00500DC0"/>
    <w:rsid w:val="00500E0B"/>
    <w:rsid w:val="00501473"/>
    <w:rsid w:val="005014CA"/>
    <w:rsid w:val="005023E1"/>
    <w:rsid w:val="00502733"/>
    <w:rsid w:val="00502740"/>
    <w:rsid w:val="005027D1"/>
    <w:rsid w:val="005032B5"/>
    <w:rsid w:val="00503A1B"/>
    <w:rsid w:val="00504364"/>
    <w:rsid w:val="005047C9"/>
    <w:rsid w:val="00504A0F"/>
    <w:rsid w:val="00504F92"/>
    <w:rsid w:val="00505210"/>
    <w:rsid w:val="005052A2"/>
    <w:rsid w:val="00505658"/>
    <w:rsid w:val="00505B2A"/>
    <w:rsid w:val="005060C1"/>
    <w:rsid w:val="00506363"/>
    <w:rsid w:val="00506438"/>
    <w:rsid w:val="00506523"/>
    <w:rsid w:val="00506525"/>
    <w:rsid w:val="00506A5A"/>
    <w:rsid w:val="00506B5C"/>
    <w:rsid w:val="00506DD4"/>
    <w:rsid w:val="0050722D"/>
    <w:rsid w:val="005073DE"/>
    <w:rsid w:val="005073FA"/>
    <w:rsid w:val="005077CD"/>
    <w:rsid w:val="00507973"/>
    <w:rsid w:val="00507CEC"/>
    <w:rsid w:val="00507ED8"/>
    <w:rsid w:val="005102B4"/>
    <w:rsid w:val="005107A8"/>
    <w:rsid w:val="00510E4B"/>
    <w:rsid w:val="005114A3"/>
    <w:rsid w:val="005118EB"/>
    <w:rsid w:val="005119DD"/>
    <w:rsid w:val="00511AC8"/>
    <w:rsid w:val="00511E0E"/>
    <w:rsid w:val="00511E57"/>
    <w:rsid w:val="00511EE2"/>
    <w:rsid w:val="00512370"/>
    <w:rsid w:val="0051287D"/>
    <w:rsid w:val="00512A69"/>
    <w:rsid w:val="00512D76"/>
    <w:rsid w:val="00513276"/>
    <w:rsid w:val="00513350"/>
    <w:rsid w:val="005137A2"/>
    <w:rsid w:val="00513AB7"/>
    <w:rsid w:val="00513B23"/>
    <w:rsid w:val="005148DA"/>
    <w:rsid w:val="00515204"/>
    <w:rsid w:val="005152D2"/>
    <w:rsid w:val="00515942"/>
    <w:rsid w:val="00515A9F"/>
    <w:rsid w:val="00515C23"/>
    <w:rsid w:val="00515E28"/>
    <w:rsid w:val="0051609A"/>
    <w:rsid w:val="005161F1"/>
    <w:rsid w:val="0051624B"/>
    <w:rsid w:val="0051637E"/>
    <w:rsid w:val="00516B43"/>
    <w:rsid w:val="005173E0"/>
    <w:rsid w:val="005174FE"/>
    <w:rsid w:val="00520366"/>
    <w:rsid w:val="00520B6B"/>
    <w:rsid w:val="00520E72"/>
    <w:rsid w:val="00520E96"/>
    <w:rsid w:val="00521456"/>
    <w:rsid w:val="005226CB"/>
    <w:rsid w:val="0052276A"/>
    <w:rsid w:val="005229E9"/>
    <w:rsid w:val="00522C3C"/>
    <w:rsid w:val="0052312B"/>
    <w:rsid w:val="005231A2"/>
    <w:rsid w:val="00523BE2"/>
    <w:rsid w:val="00524146"/>
    <w:rsid w:val="00524B11"/>
    <w:rsid w:val="00524B49"/>
    <w:rsid w:val="00524CF5"/>
    <w:rsid w:val="00524EF0"/>
    <w:rsid w:val="00525076"/>
    <w:rsid w:val="00525240"/>
    <w:rsid w:val="005253E3"/>
    <w:rsid w:val="00525AEC"/>
    <w:rsid w:val="00525F56"/>
    <w:rsid w:val="00525FBD"/>
    <w:rsid w:val="005264C5"/>
    <w:rsid w:val="00526737"/>
    <w:rsid w:val="0052682D"/>
    <w:rsid w:val="00526C3C"/>
    <w:rsid w:val="00527059"/>
    <w:rsid w:val="00527782"/>
    <w:rsid w:val="005278B3"/>
    <w:rsid w:val="00527983"/>
    <w:rsid w:val="00527D06"/>
    <w:rsid w:val="0053020D"/>
    <w:rsid w:val="0053063E"/>
    <w:rsid w:val="00530816"/>
    <w:rsid w:val="00530CF6"/>
    <w:rsid w:val="00531092"/>
    <w:rsid w:val="0053158D"/>
    <w:rsid w:val="00531A6A"/>
    <w:rsid w:val="00531D38"/>
    <w:rsid w:val="00531E88"/>
    <w:rsid w:val="005321B8"/>
    <w:rsid w:val="005323FE"/>
    <w:rsid w:val="00532EA1"/>
    <w:rsid w:val="005342C5"/>
    <w:rsid w:val="005344DB"/>
    <w:rsid w:val="00534615"/>
    <w:rsid w:val="00534C78"/>
    <w:rsid w:val="00534CE1"/>
    <w:rsid w:val="0053520F"/>
    <w:rsid w:val="00535312"/>
    <w:rsid w:val="0053537B"/>
    <w:rsid w:val="00535594"/>
    <w:rsid w:val="005356B7"/>
    <w:rsid w:val="005361B1"/>
    <w:rsid w:val="00536243"/>
    <w:rsid w:val="00536326"/>
    <w:rsid w:val="00536613"/>
    <w:rsid w:val="00536B63"/>
    <w:rsid w:val="0053722C"/>
    <w:rsid w:val="00537715"/>
    <w:rsid w:val="00537BE5"/>
    <w:rsid w:val="0054020D"/>
    <w:rsid w:val="0054030B"/>
    <w:rsid w:val="00540430"/>
    <w:rsid w:val="00540622"/>
    <w:rsid w:val="0054087B"/>
    <w:rsid w:val="00540CF0"/>
    <w:rsid w:val="00540E0A"/>
    <w:rsid w:val="005414DC"/>
    <w:rsid w:val="005418E6"/>
    <w:rsid w:val="005424D6"/>
    <w:rsid w:val="00542698"/>
    <w:rsid w:val="00542B67"/>
    <w:rsid w:val="00542CBD"/>
    <w:rsid w:val="00543107"/>
    <w:rsid w:val="00543274"/>
    <w:rsid w:val="005433CC"/>
    <w:rsid w:val="00543534"/>
    <w:rsid w:val="0054396C"/>
    <w:rsid w:val="00543FBC"/>
    <w:rsid w:val="00544110"/>
    <w:rsid w:val="005441A5"/>
    <w:rsid w:val="0054441C"/>
    <w:rsid w:val="00544862"/>
    <w:rsid w:val="00544B99"/>
    <w:rsid w:val="00544EBB"/>
    <w:rsid w:val="00545277"/>
    <w:rsid w:val="0054551B"/>
    <w:rsid w:val="0054582D"/>
    <w:rsid w:val="00545BCA"/>
    <w:rsid w:val="00546017"/>
    <w:rsid w:val="00546911"/>
    <w:rsid w:val="005469A9"/>
    <w:rsid w:val="00546C52"/>
    <w:rsid w:val="0054718D"/>
    <w:rsid w:val="005472FE"/>
    <w:rsid w:val="0054757E"/>
    <w:rsid w:val="00547C9E"/>
    <w:rsid w:val="00547D51"/>
    <w:rsid w:val="00547FF6"/>
    <w:rsid w:val="0055043B"/>
    <w:rsid w:val="005505B1"/>
    <w:rsid w:val="0055085C"/>
    <w:rsid w:val="00550940"/>
    <w:rsid w:val="005509BE"/>
    <w:rsid w:val="00550AF5"/>
    <w:rsid w:val="00550C64"/>
    <w:rsid w:val="00550CA9"/>
    <w:rsid w:val="005519A4"/>
    <w:rsid w:val="00551A84"/>
    <w:rsid w:val="0055255C"/>
    <w:rsid w:val="00552814"/>
    <w:rsid w:val="00552A4D"/>
    <w:rsid w:val="00553E62"/>
    <w:rsid w:val="0055411D"/>
    <w:rsid w:val="005543FE"/>
    <w:rsid w:val="00554414"/>
    <w:rsid w:val="005545A0"/>
    <w:rsid w:val="0055462C"/>
    <w:rsid w:val="0055487A"/>
    <w:rsid w:val="00554ABF"/>
    <w:rsid w:val="00554C2C"/>
    <w:rsid w:val="00554F23"/>
    <w:rsid w:val="005550F9"/>
    <w:rsid w:val="00555396"/>
    <w:rsid w:val="0055551E"/>
    <w:rsid w:val="005556D3"/>
    <w:rsid w:val="00555A8E"/>
    <w:rsid w:val="00555F1F"/>
    <w:rsid w:val="005565C3"/>
    <w:rsid w:val="005566C5"/>
    <w:rsid w:val="0055672F"/>
    <w:rsid w:val="00556DFC"/>
    <w:rsid w:val="0055705C"/>
    <w:rsid w:val="00557392"/>
    <w:rsid w:val="00557E1F"/>
    <w:rsid w:val="00560162"/>
    <w:rsid w:val="005603F9"/>
    <w:rsid w:val="005609FC"/>
    <w:rsid w:val="00560C3D"/>
    <w:rsid w:val="00560DD3"/>
    <w:rsid w:val="00560E78"/>
    <w:rsid w:val="00561171"/>
    <w:rsid w:val="005619F4"/>
    <w:rsid w:val="00561A71"/>
    <w:rsid w:val="00561BB7"/>
    <w:rsid w:val="00562602"/>
    <w:rsid w:val="0056267F"/>
    <w:rsid w:val="00562778"/>
    <w:rsid w:val="00562DF7"/>
    <w:rsid w:val="00562F41"/>
    <w:rsid w:val="0056313E"/>
    <w:rsid w:val="00563217"/>
    <w:rsid w:val="005632B4"/>
    <w:rsid w:val="00563EFE"/>
    <w:rsid w:val="00564427"/>
    <w:rsid w:val="00564891"/>
    <w:rsid w:val="00564C0A"/>
    <w:rsid w:val="00564CE0"/>
    <w:rsid w:val="00565047"/>
    <w:rsid w:val="005653F0"/>
    <w:rsid w:val="005659C0"/>
    <w:rsid w:val="00565ABE"/>
    <w:rsid w:val="00565BFA"/>
    <w:rsid w:val="0056600F"/>
    <w:rsid w:val="0056633E"/>
    <w:rsid w:val="00566437"/>
    <w:rsid w:val="00566736"/>
    <w:rsid w:val="00566908"/>
    <w:rsid w:val="00566C0B"/>
    <w:rsid w:val="00566CD8"/>
    <w:rsid w:val="0056702A"/>
    <w:rsid w:val="005670D4"/>
    <w:rsid w:val="00567323"/>
    <w:rsid w:val="0056754B"/>
    <w:rsid w:val="00567FF2"/>
    <w:rsid w:val="005701AF"/>
    <w:rsid w:val="00570416"/>
    <w:rsid w:val="0057072E"/>
    <w:rsid w:val="00570993"/>
    <w:rsid w:val="00570A2B"/>
    <w:rsid w:val="00570B7A"/>
    <w:rsid w:val="00570C13"/>
    <w:rsid w:val="00570FDA"/>
    <w:rsid w:val="00571391"/>
    <w:rsid w:val="00571999"/>
    <w:rsid w:val="00571A0D"/>
    <w:rsid w:val="00571BEC"/>
    <w:rsid w:val="00571D9B"/>
    <w:rsid w:val="00572A2B"/>
    <w:rsid w:val="00572CF2"/>
    <w:rsid w:val="00573125"/>
    <w:rsid w:val="0057360E"/>
    <w:rsid w:val="00573755"/>
    <w:rsid w:val="0057380B"/>
    <w:rsid w:val="00573A5B"/>
    <w:rsid w:val="00573FD1"/>
    <w:rsid w:val="00574178"/>
    <w:rsid w:val="005743D4"/>
    <w:rsid w:val="00574CA5"/>
    <w:rsid w:val="00574CE8"/>
    <w:rsid w:val="00574D70"/>
    <w:rsid w:val="0057555B"/>
    <w:rsid w:val="00575D7B"/>
    <w:rsid w:val="00576017"/>
    <w:rsid w:val="00576A17"/>
    <w:rsid w:val="00577053"/>
    <w:rsid w:val="00577183"/>
    <w:rsid w:val="00577400"/>
    <w:rsid w:val="0057786D"/>
    <w:rsid w:val="00577F69"/>
    <w:rsid w:val="005806F4"/>
    <w:rsid w:val="00580F32"/>
    <w:rsid w:val="00581423"/>
    <w:rsid w:val="00581F58"/>
    <w:rsid w:val="0058257A"/>
    <w:rsid w:val="00582639"/>
    <w:rsid w:val="005828A9"/>
    <w:rsid w:val="00582FBF"/>
    <w:rsid w:val="00583680"/>
    <w:rsid w:val="00583784"/>
    <w:rsid w:val="00583FBE"/>
    <w:rsid w:val="00584293"/>
    <w:rsid w:val="005843F7"/>
    <w:rsid w:val="005846AC"/>
    <w:rsid w:val="00584A87"/>
    <w:rsid w:val="00584AA5"/>
    <w:rsid w:val="00584C7D"/>
    <w:rsid w:val="0058508E"/>
    <w:rsid w:val="005851B5"/>
    <w:rsid w:val="0058549A"/>
    <w:rsid w:val="0058565F"/>
    <w:rsid w:val="00585929"/>
    <w:rsid w:val="00585DEB"/>
    <w:rsid w:val="00586352"/>
    <w:rsid w:val="00586779"/>
    <w:rsid w:val="00586C90"/>
    <w:rsid w:val="00587235"/>
    <w:rsid w:val="00587722"/>
    <w:rsid w:val="00590227"/>
    <w:rsid w:val="005904BA"/>
    <w:rsid w:val="0059055E"/>
    <w:rsid w:val="005905E8"/>
    <w:rsid w:val="0059063A"/>
    <w:rsid w:val="00590A05"/>
    <w:rsid w:val="00590A68"/>
    <w:rsid w:val="00591568"/>
    <w:rsid w:val="00591BAC"/>
    <w:rsid w:val="00591FA0"/>
    <w:rsid w:val="00592955"/>
    <w:rsid w:val="00593067"/>
    <w:rsid w:val="00593968"/>
    <w:rsid w:val="00593D36"/>
    <w:rsid w:val="00594BE7"/>
    <w:rsid w:val="00594E58"/>
    <w:rsid w:val="00595366"/>
    <w:rsid w:val="00595B8E"/>
    <w:rsid w:val="00595C97"/>
    <w:rsid w:val="00595FBC"/>
    <w:rsid w:val="00596021"/>
    <w:rsid w:val="00596170"/>
    <w:rsid w:val="00596257"/>
    <w:rsid w:val="00596510"/>
    <w:rsid w:val="005966CA"/>
    <w:rsid w:val="00596D15"/>
    <w:rsid w:val="005970F9"/>
    <w:rsid w:val="005976C9"/>
    <w:rsid w:val="005977A4"/>
    <w:rsid w:val="0059790A"/>
    <w:rsid w:val="00597C5D"/>
    <w:rsid w:val="00597D8C"/>
    <w:rsid w:val="00597DFF"/>
    <w:rsid w:val="00597E9C"/>
    <w:rsid w:val="005A01CC"/>
    <w:rsid w:val="005A0222"/>
    <w:rsid w:val="005A0492"/>
    <w:rsid w:val="005A0629"/>
    <w:rsid w:val="005A0BFD"/>
    <w:rsid w:val="005A0D6D"/>
    <w:rsid w:val="005A10A7"/>
    <w:rsid w:val="005A11EB"/>
    <w:rsid w:val="005A1297"/>
    <w:rsid w:val="005A12EE"/>
    <w:rsid w:val="005A1652"/>
    <w:rsid w:val="005A1726"/>
    <w:rsid w:val="005A1C89"/>
    <w:rsid w:val="005A20BC"/>
    <w:rsid w:val="005A285A"/>
    <w:rsid w:val="005A29DC"/>
    <w:rsid w:val="005A29EC"/>
    <w:rsid w:val="005A3307"/>
    <w:rsid w:val="005A385E"/>
    <w:rsid w:val="005A3BAC"/>
    <w:rsid w:val="005A47A3"/>
    <w:rsid w:val="005A4ACB"/>
    <w:rsid w:val="005A5242"/>
    <w:rsid w:val="005A5283"/>
    <w:rsid w:val="005A5436"/>
    <w:rsid w:val="005A54C7"/>
    <w:rsid w:val="005A55D9"/>
    <w:rsid w:val="005A5612"/>
    <w:rsid w:val="005A650D"/>
    <w:rsid w:val="005A698B"/>
    <w:rsid w:val="005A6ABA"/>
    <w:rsid w:val="005A6B3E"/>
    <w:rsid w:val="005A7004"/>
    <w:rsid w:val="005A7207"/>
    <w:rsid w:val="005A72AE"/>
    <w:rsid w:val="005A7849"/>
    <w:rsid w:val="005A7DDA"/>
    <w:rsid w:val="005A7EC0"/>
    <w:rsid w:val="005A7FA3"/>
    <w:rsid w:val="005B01EB"/>
    <w:rsid w:val="005B05B0"/>
    <w:rsid w:val="005B06C8"/>
    <w:rsid w:val="005B0A11"/>
    <w:rsid w:val="005B0B2B"/>
    <w:rsid w:val="005B0C28"/>
    <w:rsid w:val="005B0E7F"/>
    <w:rsid w:val="005B0FF0"/>
    <w:rsid w:val="005B17A1"/>
    <w:rsid w:val="005B1C93"/>
    <w:rsid w:val="005B1E23"/>
    <w:rsid w:val="005B1E4F"/>
    <w:rsid w:val="005B2648"/>
    <w:rsid w:val="005B2BA4"/>
    <w:rsid w:val="005B3109"/>
    <w:rsid w:val="005B37DD"/>
    <w:rsid w:val="005B3B5F"/>
    <w:rsid w:val="005B3C08"/>
    <w:rsid w:val="005B3F5C"/>
    <w:rsid w:val="005B3FBA"/>
    <w:rsid w:val="005B4039"/>
    <w:rsid w:val="005B4204"/>
    <w:rsid w:val="005B48C9"/>
    <w:rsid w:val="005B4CFD"/>
    <w:rsid w:val="005B4F27"/>
    <w:rsid w:val="005B51E3"/>
    <w:rsid w:val="005B54F5"/>
    <w:rsid w:val="005B6014"/>
    <w:rsid w:val="005B62DF"/>
    <w:rsid w:val="005B6C0D"/>
    <w:rsid w:val="005B6E5B"/>
    <w:rsid w:val="005B78F0"/>
    <w:rsid w:val="005C04AE"/>
    <w:rsid w:val="005C052A"/>
    <w:rsid w:val="005C069F"/>
    <w:rsid w:val="005C0727"/>
    <w:rsid w:val="005C07FE"/>
    <w:rsid w:val="005C0BD1"/>
    <w:rsid w:val="005C138F"/>
    <w:rsid w:val="005C15FE"/>
    <w:rsid w:val="005C1C79"/>
    <w:rsid w:val="005C1CCE"/>
    <w:rsid w:val="005C1E1B"/>
    <w:rsid w:val="005C22A0"/>
    <w:rsid w:val="005C22BC"/>
    <w:rsid w:val="005C2394"/>
    <w:rsid w:val="005C2815"/>
    <w:rsid w:val="005C2AA3"/>
    <w:rsid w:val="005C2CC6"/>
    <w:rsid w:val="005C2DF4"/>
    <w:rsid w:val="005C36AE"/>
    <w:rsid w:val="005C3B0C"/>
    <w:rsid w:val="005C3E39"/>
    <w:rsid w:val="005C4091"/>
    <w:rsid w:val="005C4174"/>
    <w:rsid w:val="005C41B8"/>
    <w:rsid w:val="005C4ADF"/>
    <w:rsid w:val="005C4D57"/>
    <w:rsid w:val="005C4E9A"/>
    <w:rsid w:val="005C5AB5"/>
    <w:rsid w:val="005C5BE1"/>
    <w:rsid w:val="005C5C0A"/>
    <w:rsid w:val="005C5D99"/>
    <w:rsid w:val="005C61B4"/>
    <w:rsid w:val="005C654C"/>
    <w:rsid w:val="005C66A8"/>
    <w:rsid w:val="005C66FC"/>
    <w:rsid w:val="005C681D"/>
    <w:rsid w:val="005C6B0C"/>
    <w:rsid w:val="005C752F"/>
    <w:rsid w:val="005C7C50"/>
    <w:rsid w:val="005D0027"/>
    <w:rsid w:val="005D0E23"/>
    <w:rsid w:val="005D0E58"/>
    <w:rsid w:val="005D10C9"/>
    <w:rsid w:val="005D11C0"/>
    <w:rsid w:val="005D1586"/>
    <w:rsid w:val="005D1BD0"/>
    <w:rsid w:val="005D2539"/>
    <w:rsid w:val="005D26FF"/>
    <w:rsid w:val="005D2820"/>
    <w:rsid w:val="005D2F33"/>
    <w:rsid w:val="005D34B9"/>
    <w:rsid w:val="005D397D"/>
    <w:rsid w:val="005D3A9E"/>
    <w:rsid w:val="005D3AF6"/>
    <w:rsid w:val="005D3AF7"/>
    <w:rsid w:val="005D3CBE"/>
    <w:rsid w:val="005D4387"/>
    <w:rsid w:val="005D44AC"/>
    <w:rsid w:val="005D44E3"/>
    <w:rsid w:val="005D46E0"/>
    <w:rsid w:val="005D4804"/>
    <w:rsid w:val="005D4989"/>
    <w:rsid w:val="005D53FD"/>
    <w:rsid w:val="005D542D"/>
    <w:rsid w:val="005D58A5"/>
    <w:rsid w:val="005D5F95"/>
    <w:rsid w:val="005D61E6"/>
    <w:rsid w:val="005D620B"/>
    <w:rsid w:val="005D6A5D"/>
    <w:rsid w:val="005D7257"/>
    <w:rsid w:val="005D73EF"/>
    <w:rsid w:val="005D75B4"/>
    <w:rsid w:val="005D779E"/>
    <w:rsid w:val="005D798C"/>
    <w:rsid w:val="005D7B4A"/>
    <w:rsid w:val="005D7B60"/>
    <w:rsid w:val="005D7E2A"/>
    <w:rsid w:val="005E0969"/>
    <w:rsid w:val="005E1041"/>
    <w:rsid w:val="005E146F"/>
    <w:rsid w:val="005E18F9"/>
    <w:rsid w:val="005E1910"/>
    <w:rsid w:val="005E1BA3"/>
    <w:rsid w:val="005E219C"/>
    <w:rsid w:val="005E2F28"/>
    <w:rsid w:val="005E32AD"/>
    <w:rsid w:val="005E3699"/>
    <w:rsid w:val="005E3A44"/>
    <w:rsid w:val="005E3AB6"/>
    <w:rsid w:val="005E3C90"/>
    <w:rsid w:val="005E3D3B"/>
    <w:rsid w:val="005E46D9"/>
    <w:rsid w:val="005E4832"/>
    <w:rsid w:val="005E4A0B"/>
    <w:rsid w:val="005E4AAF"/>
    <w:rsid w:val="005E4F4A"/>
    <w:rsid w:val="005E55FA"/>
    <w:rsid w:val="005E588F"/>
    <w:rsid w:val="005E5AB0"/>
    <w:rsid w:val="005E5E6A"/>
    <w:rsid w:val="005E5EE9"/>
    <w:rsid w:val="005E600B"/>
    <w:rsid w:val="005E623E"/>
    <w:rsid w:val="005E628D"/>
    <w:rsid w:val="005E662E"/>
    <w:rsid w:val="005E6C9C"/>
    <w:rsid w:val="005E6ED5"/>
    <w:rsid w:val="005E79DE"/>
    <w:rsid w:val="005E7D97"/>
    <w:rsid w:val="005F0DA9"/>
    <w:rsid w:val="005F12A7"/>
    <w:rsid w:val="005F1431"/>
    <w:rsid w:val="005F1EA3"/>
    <w:rsid w:val="005F1F4C"/>
    <w:rsid w:val="005F2272"/>
    <w:rsid w:val="005F2421"/>
    <w:rsid w:val="005F277E"/>
    <w:rsid w:val="005F28FA"/>
    <w:rsid w:val="005F3189"/>
    <w:rsid w:val="005F319D"/>
    <w:rsid w:val="005F343A"/>
    <w:rsid w:val="005F3477"/>
    <w:rsid w:val="005F34EB"/>
    <w:rsid w:val="005F35E5"/>
    <w:rsid w:val="005F3D14"/>
    <w:rsid w:val="005F44C8"/>
    <w:rsid w:val="005F4A7C"/>
    <w:rsid w:val="005F4C29"/>
    <w:rsid w:val="005F51BD"/>
    <w:rsid w:val="005F52A6"/>
    <w:rsid w:val="005F55CC"/>
    <w:rsid w:val="005F5AC0"/>
    <w:rsid w:val="005F5D43"/>
    <w:rsid w:val="005F5F22"/>
    <w:rsid w:val="005F62F7"/>
    <w:rsid w:val="005F6C3B"/>
    <w:rsid w:val="005F741E"/>
    <w:rsid w:val="005F7979"/>
    <w:rsid w:val="005F799C"/>
    <w:rsid w:val="005F79DA"/>
    <w:rsid w:val="005F7CBE"/>
    <w:rsid w:val="005F7EA0"/>
    <w:rsid w:val="00600139"/>
    <w:rsid w:val="00600361"/>
    <w:rsid w:val="00600914"/>
    <w:rsid w:val="00600EDA"/>
    <w:rsid w:val="00600F8C"/>
    <w:rsid w:val="006010CF"/>
    <w:rsid w:val="0060141C"/>
    <w:rsid w:val="006015AB"/>
    <w:rsid w:val="006017B6"/>
    <w:rsid w:val="00601E2C"/>
    <w:rsid w:val="006020C2"/>
    <w:rsid w:val="0060259B"/>
    <w:rsid w:val="006026E1"/>
    <w:rsid w:val="00602BE7"/>
    <w:rsid w:val="00602F50"/>
    <w:rsid w:val="00603014"/>
    <w:rsid w:val="00603236"/>
    <w:rsid w:val="006033C2"/>
    <w:rsid w:val="006034E6"/>
    <w:rsid w:val="0060354B"/>
    <w:rsid w:val="006035D1"/>
    <w:rsid w:val="006036FF"/>
    <w:rsid w:val="00603774"/>
    <w:rsid w:val="006037FF"/>
    <w:rsid w:val="00603B0A"/>
    <w:rsid w:val="00603D12"/>
    <w:rsid w:val="006044DA"/>
    <w:rsid w:val="00604B45"/>
    <w:rsid w:val="00604F57"/>
    <w:rsid w:val="00605277"/>
    <w:rsid w:val="00605401"/>
    <w:rsid w:val="0060560B"/>
    <w:rsid w:val="00605915"/>
    <w:rsid w:val="00605996"/>
    <w:rsid w:val="006059B3"/>
    <w:rsid w:val="00606371"/>
    <w:rsid w:val="0060645C"/>
    <w:rsid w:val="006064B6"/>
    <w:rsid w:val="006068B2"/>
    <w:rsid w:val="00606F1E"/>
    <w:rsid w:val="0060709C"/>
    <w:rsid w:val="00607669"/>
    <w:rsid w:val="006076B7"/>
    <w:rsid w:val="00607B70"/>
    <w:rsid w:val="00607E71"/>
    <w:rsid w:val="006102FF"/>
    <w:rsid w:val="0061035E"/>
    <w:rsid w:val="006106A1"/>
    <w:rsid w:val="006108A7"/>
    <w:rsid w:val="00610D2D"/>
    <w:rsid w:val="00610D32"/>
    <w:rsid w:val="00610FBD"/>
    <w:rsid w:val="0061112D"/>
    <w:rsid w:val="00611197"/>
    <w:rsid w:val="006112DC"/>
    <w:rsid w:val="006115E5"/>
    <w:rsid w:val="00611C19"/>
    <w:rsid w:val="00611E5B"/>
    <w:rsid w:val="0061239A"/>
    <w:rsid w:val="00612509"/>
    <w:rsid w:val="0061259F"/>
    <w:rsid w:val="006125DA"/>
    <w:rsid w:val="00612DC8"/>
    <w:rsid w:val="006135F6"/>
    <w:rsid w:val="00613796"/>
    <w:rsid w:val="00613915"/>
    <w:rsid w:val="00613BCF"/>
    <w:rsid w:val="00613E2E"/>
    <w:rsid w:val="006140A7"/>
    <w:rsid w:val="00614278"/>
    <w:rsid w:val="0061448E"/>
    <w:rsid w:val="00614906"/>
    <w:rsid w:val="00614943"/>
    <w:rsid w:val="00614947"/>
    <w:rsid w:val="00614C7E"/>
    <w:rsid w:val="00614E61"/>
    <w:rsid w:val="00615216"/>
    <w:rsid w:val="00615616"/>
    <w:rsid w:val="00615AE7"/>
    <w:rsid w:val="006163C6"/>
    <w:rsid w:val="00616505"/>
    <w:rsid w:val="00616D32"/>
    <w:rsid w:val="00616D78"/>
    <w:rsid w:val="00616F1F"/>
    <w:rsid w:val="00616FB7"/>
    <w:rsid w:val="00616FCA"/>
    <w:rsid w:val="0061702A"/>
    <w:rsid w:val="00617320"/>
    <w:rsid w:val="0061747F"/>
    <w:rsid w:val="006176BA"/>
    <w:rsid w:val="006179FA"/>
    <w:rsid w:val="00617B7B"/>
    <w:rsid w:val="00620638"/>
    <w:rsid w:val="00620F1E"/>
    <w:rsid w:val="00621161"/>
    <w:rsid w:val="00621417"/>
    <w:rsid w:val="00621636"/>
    <w:rsid w:val="0062174E"/>
    <w:rsid w:val="00621792"/>
    <w:rsid w:val="00621CB5"/>
    <w:rsid w:val="00621D47"/>
    <w:rsid w:val="0062242B"/>
    <w:rsid w:val="00622566"/>
    <w:rsid w:val="00623530"/>
    <w:rsid w:val="00623821"/>
    <w:rsid w:val="006238A4"/>
    <w:rsid w:val="00623999"/>
    <w:rsid w:val="00623C6B"/>
    <w:rsid w:val="00623CD5"/>
    <w:rsid w:val="00623D36"/>
    <w:rsid w:val="00624045"/>
    <w:rsid w:val="0062408B"/>
    <w:rsid w:val="006244BD"/>
    <w:rsid w:val="0062483C"/>
    <w:rsid w:val="00624990"/>
    <w:rsid w:val="00624A67"/>
    <w:rsid w:val="00624B17"/>
    <w:rsid w:val="0062526E"/>
    <w:rsid w:val="006252A4"/>
    <w:rsid w:val="00625D48"/>
    <w:rsid w:val="00625D4E"/>
    <w:rsid w:val="00625E81"/>
    <w:rsid w:val="0062616D"/>
    <w:rsid w:val="00626A2B"/>
    <w:rsid w:val="0062706B"/>
    <w:rsid w:val="006271FC"/>
    <w:rsid w:val="0062768B"/>
    <w:rsid w:val="0062776D"/>
    <w:rsid w:val="006301B1"/>
    <w:rsid w:val="00630A03"/>
    <w:rsid w:val="00630CB2"/>
    <w:rsid w:val="0063120E"/>
    <w:rsid w:val="006313DB"/>
    <w:rsid w:val="00631450"/>
    <w:rsid w:val="00631768"/>
    <w:rsid w:val="00631A4C"/>
    <w:rsid w:val="00631AE9"/>
    <w:rsid w:val="00631E31"/>
    <w:rsid w:val="00632BD0"/>
    <w:rsid w:val="00632D46"/>
    <w:rsid w:val="006331E9"/>
    <w:rsid w:val="006336F9"/>
    <w:rsid w:val="00633873"/>
    <w:rsid w:val="00633984"/>
    <w:rsid w:val="00633D85"/>
    <w:rsid w:val="00633F25"/>
    <w:rsid w:val="00633F26"/>
    <w:rsid w:val="00633F9F"/>
    <w:rsid w:val="00633FA6"/>
    <w:rsid w:val="00634370"/>
    <w:rsid w:val="00634440"/>
    <w:rsid w:val="00634784"/>
    <w:rsid w:val="006348F8"/>
    <w:rsid w:val="00634BE1"/>
    <w:rsid w:val="00634E2F"/>
    <w:rsid w:val="00634FCD"/>
    <w:rsid w:val="00635274"/>
    <w:rsid w:val="0063571C"/>
    <w:rsid w:val="006357D2"/>
    <w:rsid w:val="00636031"/>
    <w:rsid w:val="0063629F"/>
    <w:rsid w:val="0063641F"/>
    <w:rsid w:val="00636B8E"/>
    <w:rsid w:val="00637685"/>
    <w:rsid w:val="00637693"/>
    <w:rsid w:val="006378B5"/>
    <w:rsid w:val="00637D13"/>
    <w:rsid w:val="00641194"/>
    <w:rsid w:val="006417E8"/>
    <w:rsid w:val="00641D53"/>
    <w:rsid w:val="00642671"/>
    <w:rsid w:val="006427F8"/>
    <w:rsid w:val="00643176"/>
    <w:rsid w:val="006431EA"/>
    <w:rsid w:val="00643350"/>
    <w:rsid w:val="00643361"/>
    <w:rsid w:val="006435F6"/>
    <w:rsid w:val="006438AC"/>
    <w:rsid w:val="0064410B"/>
    <w:rsid w:val="006448AB"/>
    <w:rsid w:val="00644B91"/>
    <w:rsid w:val="00644F0A"/>
    <w:rsid w:val="00644F24"/>
    <w:rsid w:val="0064512C"/>
    <w:rsid w:val="00645329"/>
    <w:rsid w:val="0064534F"/>
    <w:rsid w:val="0064556D"/>
    <w:rsid w:val="006455AC"/>
    <w:rsid w:val="006455C9"/>
    <w:rsid w:val="006459FC"/>
    <w:rsid w:val="00645C54"/>
    <w:rsid w:val="00645DC8"/>
    <w:rsid w:val="00645EBD"/>
    <w:rsid w:val="00646000"/>
    <w:rsid w:val="0064647C"/>
    <w:rsid w:val="006467EC"/>
    <w:rsid w:val="006468D6"/>
    <w:rsid w:val="00646A44"/>
    <w:rsid w:val="006473C8"/>
    <w:rsid w:val="006477BA"/>
    <w:rsid w:val="006478DC"/>
    <w:rsid w:val="00647996"/>
    <w:rsid w:val="00647FA8"/>
    <w:rsid w:val="00650E6A"/>
    <w:rsid w:val="00650F7A"/>
    <w:rsid w:val="00651367"/>
    <w:rsid w:val="00651487"/>
    <w:rsid w:val="006516FE"/>
    <w:rsid w:val="00651BEA"/>
    <w:rsid w:val="00651E2D"/>
    <w:rsid w:val="0065270C"/>
    <w:rsid w:val="0065289D"/>
    <w:rsid w:val="00652D1E"/>
    <w:rsid w:val="00652E40"/>
    <w:rsid w:val="00653276"/>
    <w:rsid w:val="006532BE"/>
    <w:rsid w:val="006536A8"/>
    <w:rsid w:val="00653744"/>
    <w:rsid w:val="00653AF3"/>
    <w:rsid w:val="00653CCD"/>
    <w:rsid w:val="0065419D"/>
    <w:rsid w:val="00655809"/>
    <w:rsid w:val="00655C09"/>
    <w:rsid w:val="00655C42"/>
    <w:rsid w:val="00655E66"/>
    <w:rsid w:val="00656284"/>
    <w:rsid w:val="006566F2"/>
    <w:rsid w:val="006573F6"/>
    <w:rsid w:val="00657532"/>
    <w:rsid w:val="00657666"/>
    <w:rsid w:val="0065790A"/>
    <w:rsid w:val="006604DF"/>
    <w:rsid w:val="0066072B"/>
    <w:rsid w:val="00660A55"/>
    <w:rsid w:val="00660A9E"/>
    <w:rsid w:val="00660B0F"/>
    <w:rsid w:val="00660D79"/>
    <w:rsid w:val="00661459"/>
    <w:rsid w:val="00661915"/>
    <w:rsid w:val="00661C07"/>
    <w:rsid w:val="00661CA6"/>
    <w:rsid w:val="00661D3F"/>
    <w:rsid w:val="00661F7D"/>
    <w:rsid w:val="0066200B"/>
    <w:rsid w:val="00662E22"/>
    <w:rsid w:val="00663186"/>
    <w:rsid w:val="006642FB"/>
    <w:rsid w:val="00664351"/>
    <w:rsid w:val="00664406"/>
    <w:rsid w:val="00664765"/>
    <w:rsid w:val="006648DC"/>
    <w:rsid w:val="00664A7B"/>
    <w:rsid w:val="00664BC0"/>
    <w:rsid w:val="0066528C"/>
    <w:rsid w:val="00665518"/>
    <w:rsid w:val="006659C8"/>
    <w:rsid w:val="006660BB"/>
    <w:rsid w:val="00666834"/>
    <w:rsid w:val="00666A19"/>
    <w:rsid w:val="00667259"/>
    <w:rsid w:val="00667424"/>
    <w:rsid w:val="00667697"/>
    <w:rsid w:val="00667732"/>
    <w:rsid w:val="00667AE6"/>
    <w:rsid w:val="00667B3E"/>
    <w:rsid w:val="00667CA6"/>
    <w:rsid w:val="006702C2"/>
    <w:rsid w:val="00670F15"/>
    <w:rsid w:val="00671169"/>
    <w:rsid w:val="00671173"/>
    <w:rsid w:val="00671913"/>
    <w:rsid w:val="00671ACA"/>
    <w:rsid w:val="00671CD8"/>
    <w:rsid w:val="00672C7E"/>
    <w:rsid w:val="00672CF8"/>
    <w:rsid w:val="00672E4B"/>
    <w:rsid w:val="00672EDF"/>
    <w:rsid w:val="006734E2"/>
    <w:rsid w:val="00673723"/>
    <w:rsid w:val="006738B9"/>
    <w:rsid w:val="00673BD6"/>
    <w:rsid w:val="00674236"/>
    <w:rsid w:val="00674E9A"/>
    <w:rsid w:val="0067522E"/>
    <w:rsid w:val="006752C9"/>
    <w:rsid w:val="0067598D"/>
    <w:rsid w:val="00675A38"/>
    <w:rsid w:val="00675C94"/>
    <w:rsid w:val="00675FA3"/>
    <w:rsid w:val="00676134"/>
    <w:rsid w:val="006763EB"/>
    <w:rsid w:val="00676C6F"/>
    <w:rsid w:val="00676D26"/>
    <w:rsid w:val="00676E11"/>
    <w:rsid w:val="00676EB1"/>
    <w:rsid w:val="006772B7"/>
    <w:rsid w:val="006775BD"/>
    <w:rsid w:val="006775F2"/>
    <w:rsid w:val="00677850"/>
    <w:rsid w:val="00677859"/>
    <w:rsid w:val="00677B46"/>
    <w:rsid w:val="00677CA0"/>
    <w:rsid w:val="00677F31"/>
    <w:rsid w:val="0068015A"/>
    <w:rsid w:val="006803AC"/>
    <w:rsid w:val="006807CE"/>
    <w:rsid w:val="006809B4"/>
    <w:rsid w:val="00680A1C"/>
    <w:rsid w:val="00680D0A"/>
    <w:rsid w:val="00680E37"/>
    <w:rsid w:val="00681110"/>
    <w:rsid w:val="006815BF"/>
    <w:rsid w:val="00681860"/>
    <w:rsid w:val="006819A3"/>
    <w:rsid w:val="00681A5A"/>
    <w:rsid w:val="00681C3D"/>
    <w:rsid w:val="006820B5"/>
    <w:rsid w:val="006824C6"/>
    <w:rsid w:val="00682C25"/>
    <w:rsid w:val="00682C96"/>
    <w:rsid w:val="0068307C"/>
    <w:rsid w:val="00683175"/>
    <w:rsid w:val="006836A6"/>
    <w:rsid w:val="00683974"/>
    <w:rsid w:val="006839EB"/>
    <w:rsid w:val="00683E05"/>
    <w:rsid w:val="006840AE"/>
    <w:rsid w:val="00684275"/>
    <w:rsid w:val="006847BD"/>
    <w:rsid w:val="00685182"/>
    <w:rsid w:val="00685945"/>
    <w:rsid w:val="00685A73"/>
    <w:rsid w:val="00685C18"/>
    <w:rsid w:val="00685C3D"/>
    <w:rsid w:val="00685CFC"/>
    <w:rsid w:val="00686150"/>
    <w:rsid w:val="00686D18"/>
    <w:rsid w:val="006876BD"/>
    <w:rsid w:val="006876F3"/>
    <w:rsid w:val="00687989"/>
    <w:rsid w:val="0069046F"/>
    <w:rsid w:val="006904D3"/>
    <w:rsid w:val="006907EB"/>
    <w:rsid w:val="00690A2E"/>
    <w:rsid w:val="00690D04"/>
    <w:rsid w:val="006911E4"/>
    <w:rsid w:val="00691822"/>
    <w:rsid w:val="00691C3E"/>
    <w:rsid w:val="00691FBF"/>
    <w:rsid w:val="006920D1"/>
    <w:rsid w:val="006923D0"/>
    <w:rsid w:val="00692483"/>
    <w:rsid w:val="0069253D"/>
    <w:rsid w:val="00692581"/>
    <w:rsid w:val="006929A2"/>
    <w:rsid w:val="00692AB1"/>
    <w:rsid w:val="00692BCA"/>
    <w:rsid w:val="00692DDF"/>
    <w:rsid w:val="00693796"/>
    <w:rsid w:val="006939D8"/>
    <w:rsid w:val="00693A3E"/>
    <w:rsid w:val="00693AC3"/>
    <w:rsid w:val="00693B2F"/>
    <w:rsid w:val="006940B8"/>
    <w:rsid w:val="00694662"/>
    <w:rsid w:val="006946AE"/>
    <w:rsid w:val="006946DB"/>
    <w:rsid w:val="00694730"/>
    <w:rsid w:val="00694A27"/>
    <w:rsid w:val="00695095"/>
    <w:rsid w:val="0069588F"/>
    <w:rsid w:val="0069596C"/>
    <w:rsid w:val="00696201"/>
    <w:rsid w:val="006967E1"/>
    <w:rsid w:val="00696CE0"/>
    <w:rsid w:val="00697202"/>
    <w:rsid w:val="00697814"/>
    <w:rsid w:val="00697EDA"/>
    <w:rsid w:val="006A091E"/>
    <w:rsid w:val="006A0B8C"/>
    <w:rsid w:val="006A12AC"/>
    <w:rsid w:val="006A1357"/>
    <w:rsid w:val="006A19DA"/>
    <w:rsid w:val="006A1BFF"/>
    <w:rsid w:val="006A1D95"/>
    <w:rsid w:val="006A1FF3"/>
    <w:rsid w:val="006A23A0"/>
    <w:rsid w:val="006A2A93"/>
    <w:rsid w:val="006A317E"/>
    <w:rsid w:val="006A4455"/>
    <w:rsid w:val="006A4B1B"/>
    <w:rsid w:val="006A4C79"/>
    <w:rsid w:val="006A4EC5"/>
    <w:rsid w:val="006A53D1"/>
    <w:rsid w:val="006A5613"/>
    <w:rsid w:val="006A62E3"/>
    <w:rsid w:val="006A6661"/>
    <w:rsid w:val="006A689F"/>
    <w:rsid w:val="006A6947"/>
    <w:rsid w:val="006A704C"/>
    <w:rsid w:val="006A7453"/>
    <w:rsid w:val="006A74E0"/>
    <w:rsid w:val="006A7AE1"/>
    <w:rsid w:val="006A7CAB"/>
    <w:rsid w:val="006B00E9"/>
    <w:rsid w:val="006B0202"/>
    <w:rsid w:val="006B02BE"/>
    <w:rsid w:val="006B0575"/>
    <w:rsid w:val="006B07ED"/>
    <w:rsid w:val="006B0877"/>
    <w:rsid w:val="006B161C"/>
    <w:rsid w:val="006B187E"/>
    <w:rsid w:val="006B18F3"/>
    <w:rsid w:val="006B2292"/>
    <w:rsid w:val="006B303B"/>
    <w:rsid w:val="006B366E"/>
    <w:rsid w:val="006B3971"/>
    <w:rsid w:val="006B3A00"/>
    <w:rsid w:val="006B4233"/>
    <w:rsid w:val="006B4303"/>
    <w:rsid w:val="006B46C1"/>
    <w:rsid w:val="006B46D1"/>
    <w:rsid w:val="006B4747"/>
    <w:rsid w:val="006B4932"/>
    <w:rsid w:val="006B4C1B"/>
    <w:rsid w:val="006B5115"/>
    <w:rsid w:val="006B6B12"/>
    <w:rsid w:val="006B6C69"/>
    <w:rsid w:val="006B6E79"/>
    <w:rsid w:val="006B7198"/>
    <w:rsid w:val="006B719E"/>
    <w:rsid w:val="006B7644"/>
    <w:rsid w:val="006B7B28"/>
    <w:rsid w:val="006BF934"/>
    <w:rsid w:val="006C006D"/>
    <w:rsid w:val="006C045F"/>
    <w:rsid w:val="006C0496"/>
    <w:rsid w:val="006C0B02"/>
    <w:rsid w:val="006C11E7"/>
    <w:rsid w:val="006C14F1"/>
    <w:rsid w:val="006C196D"/>
    <w:rsid w:val="006C1BF0"/>
    <w:rsid w:val="006C2EDA"/>
    <w:rsid w:val="006C30E0"/>
    <w:rsid w:val="006C3610"/>
    <w:rsid w:val="006C3891"/>
    <w:rsid w:val="006C3A19"/>
    <w:rsid w:val="006C3DDF"/>
    <w:rsid w:val="006C4068"/>
    <w:rsid w:val="006C44E2"/>
    <w:rsid w:val="006C467C"/>
    <w:rsid w:val="006C46E0"/>
    <w:rsid w:val="006C4AE8"/>
    <w:rsid w:val="006C4B2E"/>
    <w:rsid w:val="006C4C63"/>
    <w:rsid w:val="006C4DCE"/>
    <w:rsid w:val="006C51E3"/>
    <w:rsid w:val="006C5471"/>
    <w:rsid w:val="006C54FD"/>
    <w:rsid w:val="006C57AC"/>
    <w:rsid w:val="006C57CE"/>
    <w:rsid w:val="006C5871"/>
    <w:rsid w:val="006C5A70"/>
    <w:rsid w:val="006C600B"/>
    <w:rsid w:val="006C64C2"/>
    <w:rsid w:val="006C65F0"/>
    <w:rsid w:val="006C67DD"/>
    <w:rsid w:val="006C6CF8"/>
    <w:rsid w:val="006C710D"/>
    <w:rsid w:val="006C726C"/>
    <w:rsid w:val="006C7309"/>
    <w:rsid w:val="006C745B"/>
    <w:rsid w:val="006C74A2"/>
    <w:rsid w:val="006C783A"/>
    <w:rsid w:val="006C78C0"/>
    <w:rsid w:val="006C7C59"/>
    <w:rsid w:val="006C7D61"/>
    <w:rsid w:val="006C7E7F"/>
    <w:rsid w:val="006C7F76"/>
    <w:rsid w:val="006D01F9"/>
    <w:rsid w:val="006D068A"/>
    <w:rsid w:val="006D0A19"/>
    <w:rsid w:val="006D102B"/>
    <w:rsid w:val="006D10B0"/>
    <w:rsid w:val="006D1B1F"/>
    <w:rsid w:val="006D1B48"/>
    <w:rsid w:val="006D1BCC"/>
    <w:rsid w:val="006D2CD5"/>
    <w:rsid w:val="006D2F2A"/>
    <w:rsid w:val="006D3089"/>
    <w:rsid w:val="006D31EE"/>
    <w:rsid w:val="006D374F"/>
    <w:rsid w:val="006D37A8"/>
    <w:rsid w:val="006D37C6"/>
    <w:rsid w:val="006D3934"/>
    <w:rsid w:val="006D3B38"/>
    <w:rsid w:val="006D4176"/>
    <w:rsid w:val="006D496B"/>
    <w:rsid w:val="006D4A80"/>
    <w:rsid w:val="006D4C69"/>
    <w:rsid w:val="006D4D71"/>
    <w:rsid w:val="006D56EB"/>
    <w:rsid w:val="006D589C"/>
    <w:rsid w:val="006D5BBC"/>
    <w:rsid w:val="006D64A5"/>
    <w:rsid w:val="006D6F09"/>
    <w:rsid w:val="006D70D2"/>
    <w:rsid w:val="006D7303"/>
    <w:rsid w:val="006D7584"/>
    <w:rsid w:val="006D763A"/>
    <w:rsid w:val="006D79FA"/>
    <w:rsid w:val="006E00CE"/>
    <w:rsid w:val="006E103D"/>
    <w:rsid w:val="006E10B9"/>
    <w:rsid w:val="006E1376"/>
    <w:rsid w:val="006E1952"/>
    <w:rsid w:val="006E1DF4"/>
    <w:rsid w:val="006E1EB3"/>
    <w:rsid w:val="006E2237"/>
    <w:rsid w:val="006E2655"/>
    <w:rsid w:val="006E2A1D"/>
    <w:rsid w:val="006E33E6"/>
    <w:rsid w:val="006E35D1"/>
    <w:rsid w:val="006E380E"/>
    <w:rsid w:val="006E3937"/>
    <w:rsid w:val="006E3C6E"/>
    <w:rsid w:val="006E45AB"/>
    <w:rsid w:val="006E471B"/>
    <w:rsid w:val="006E52F5"/>
    <w:rsid w:val="006E5462"/>
    <w:rsid w:val="006E566C"/>
    <w:rsid w:val="006E5A1A"/>
    <w:rsid w:val="006E65DF"/>
    <w:rsid w:val="006E7042"/>
    <w:rsid w:val="006E725A"/>
    <w:rsid w:val="006E741E"/>
    <w:rsid w:val="006E782D"/>
    <w:rsid w:val="006E7B80"/>
    <w:rsid w:val="006F04AE"/>
    <w:rsid w:val="006F04D5"/>
    <w:rsid w:val="006F0817"/>
    <w:rsid w:val="006F0B4A"/>
    <w:rsid w:val="006F1101"/>
    <w:rsid w:val="006F12B4"/>
    <w:rsid w:val="006F192F"/>
    <w:rsid w:val="006F20A0"/>
    <w:rsid w:val="006F20E2"/>
    <w:rsid w:val="006F2494"/>
    <w:rsid w:val="006F2637"/>
    <w:rsid w:val="006F26D5"/>
    <w:rsid w:val="006F26F1"/>
    <w:rsid w:val="006F2AB7"/>
    <w:rsid w:val="006F329C"/>
    <w:rsid w:val="006F33B7"/>
    <w:rsid w:val="006F3A21"/>
    <w:rsid w:val="006F3D73"/>
    <w:rsid w:val="006F3DBE"/>
    <w:rsid w:val="006F3F65"/>
    <w:rsid w:val="006F431E"/>
    <w:rsid w:val="006F432C"/>
    <w:rsid w:val="006F43D1"/>
    <w:rsid w:val="006F4791"/>
    <w:rsid w:val="006F491F"/>
    <w:rsid w:val="006F4B80"/>
    <w:rsid w:val="006F4DAE"/>
    <w:rsid w:val="006F5052"/>
    <w:rsid w:val="006F5114"/>
    <w:rsid w:val="006F534B"/>
    <w:rsid w:val="006F5697"/>
    <w:rsid w:val="006F5820"/>
    <w:rsid w:val="006F69FA"/>
    <w:rsid w:val="006F6B85"/>
    <w:rsid w:val="006F6D77"/>
    <w:rsid w:val="006F6F35"/>
    <w:rsid w:val="006F79A8"/>
    <w:rsid w:val="00700549"/>
    <w:rsid w:val="00700A2F"/>
    <w:rsid w:val="00701A7F"/>
    <w:rsid w:val="00701F0C"/>
    <w:rsid w:val="0070203B"/>
    <w:rsid w:val="0070299A"/>
    <w:rsid w:val="00703136"/>
    <w:rsid w:val="007032B9"/>
    <w:rsid w:val="00703717"/>
    <w:rsid w:val="00703838"/>
    <w:rsid w:val="007041EF"/>
    <w:rsid w:val="007042F0"/>
    <w:rsid w:val="007044A9"/>
    <w:rsid w:val="00704A59"/>
    <w:rsid w:val="00704EA5"/>
    <w:rsid w:val="00704F11"/>
    <w:rsid w:val="00705295"/>
    <w:rsid w:val="00705386"/>
    <w:rsid w:val="007058E0"/>
    <w:rsid w:val="00705AF6"/>
    <w:rsid w:val="00705E43"/>
    <w:rsid w:val="00705FA4"/>
    <w:rsid w:val="00706005"/>
    <w:rsid w:val="00706BEF"/>
    <w:rsid w:val="00706C6A"/>
    <w:rsid w:val="00707138"/>
    <w:rsid w:val="0070714E"/>
    <w:rsid w:val="007078B0"/>
    <w:rsid w:val="00710217"/>
    <w:rsid w:val="00710539"/>
    <w:rsid w:val="007105FC"/>
    <w:rsid w:val="00710707"/>
    <w:rsid w:val="0071172F"/>
    <w:rsid w:val="00711940"/>
    <w:rsid w:val="007119A2"/>
    <w:rsid w:val="00711F2C"/>
    <w:rsid w:val="007120C0"/>
    <w:rsid w:val="007123EC"/>
    <w:rsid w:val="00712E60"/>
    <w:rsid w:val="00712F4C"/>
    <w:rsid w:val="00713482"/>
    <w:rsid w:val="00713BA7"/>
    <w:rsid w:val="00713BBE"/>
    <w:rsid w:val="00713D5E"/>
    <w:rsid w:val="00713F0D"/>
    <w:rsid w:val="00713F54"/>
    <w:rsid w:val="0071474D"/>
    <w:rsid w:val="007147C4"/>
    <w:rsid w:val="00714B00"/>
    <w:rsid w:val="00714E10"/>
    <w:rsid w:val="0071556D"/>
    <w:rsid w:val="00715F42"/>
    <w:rsid w:val="00715F45"/>
    <w:rsid w:val="00715F86"/>
    <w:rsid w:val="00716193"/>
    <w:rsid w:val="00716779"/>
    <w:rsid w:val="00716C6C"/>
    <w:rsid w:val="00717347"/>
    <w:rsid w:val="007173F4"/>
    <w:rsid w:val="0071798F"/>
    <w:rsid w:val="00717AF7"/>
    <w:rsid w:val="00717B1C"/>
    <w:rsid w:val="00717BC6"/>
    <w:rsid w:val="00717F05"/>
    <w:rsid w:val="00717F4B"/>
    <w:rsid w:val="00720417"/>
    <w:rsid w:val="00720B9E"/>
    <w:rsid w:val="007212FD"/>
    <w:rsid w:val="007213ED"/>
    <w:rsid w:val="00721A25"/>
    <w:rsid w:val="00721AAD"/>
    <w:rsid w:val="007220B0"/>
    <w:rsid w:val="0072220B"/>
    <w:rsid w:val="00722230"/>
    <w:rsid w:val="00722356"/>
    <w:rsid w:val="0072237B"/>
    <w:rsid w:val="007226E2"/>
    <w:rsid w:val="00722795"/>
    <w:rsid w:val="007228C8"/>
    <w:rsid w:val="0072323C"/>
    <w:rsid w:val="00723378"/>
    <w:rsid w:val="007236DB"/>
    <w:rsid w:val="00723BB7"/>
    <w:rsid w:val="00723DAF"/>
    <w:rsid w:val="00723FAF"/>
    <w:rsid w:val="007240B1"/>
    <w:rsid w:val="00724236"/>
    <w:rsid w:val="00724372"/>
    <w:rsid w:val="00724646"/>
    <w:rsid w:val="00724653"/>
    <w:rsid w:val="00724B99"/>
    <w:rsid w:val="0072508F"/>
    <w:rsid w:val="00725770"/>
    <w:rsid w:val="00725A65"/>
    <w:rsid w:val="00725BA6"/>
    <w:rsid w:val="00725BC3"/>
    <w:rsid w:val="00725D91"/>
    <w:rsid w:val="0072619E"/>
    <w:rsid w:val="007262D9"/>
    <w:rsid w:val="007265F0"/>
    <w:rsid w:val="007267CB"/>
    <w:rsid w:val="007269CD"/>
    <w:rsid w:val="00726B4E"/>
    <w:rsid w:val="00726BF3"/>
    <w:rsid w:val="00727155"/>
    <w:rsid w:val="00727363"/>
    <w:rsid w:val="00727AF3"/>
    <w:rsid w:val="00727E3F"/>
    <w:rsid w:val="007300CF"/>
    <w:rsid w:val="00730937"/>
    <w:rsid w:val="007309AA"/>
    <w:rsid w:val="00730A70"/>
    <w:rsid w:val="00730B5A"/>
    <w:rsid w:val="00730EF4"/>
    <w:rsid w:val="00731372"/>
    <w:rsid w:val="007314FA"/>
    <w:rsid w:val="007315C7"/>
    <w:rsid w:val="00731D23"/>
    <w:rsid w:val="00731F7B"/>
    <w:rsid w:val="0073208D"/>
    <w:rsid w:val="007324C0"/>
    <w:rsid w:val="0073279E"/>
    <w:rsid w:val="00732FC7"/>
    <w:rsid w:val="00733213"/>
    <w:rsid w:val="007333AE"/>
    <w:rsid w:val="007337C4"/>
    <w:rsid w:val="00733A9F"/>
    <w:rsid w:val="00733AF5"/>
    <w:rsid w:val="00733D44"/>
    <w:rsid w:val="00733DC6"/>
    <w:rsid w:val="00733E9A"/>
    <w:rsid w:val="0073424B"/>
    <w:rsid w:val="0073461E"/>
    <w:rsid w:val="00734AE5"/>
    <w:rsid w:val="00734B19"/>
    <w:rsid w:val="00734C11"/>
    <w:rsid w:val="00734C74"/>
    <w:rsid w:val="00734ED8"/>
    <w:rsid w:val="00734F93"/>
    <w:rsid w:val="00735183"/>
    <w:rsid w:val="007353F4"/>
    <w:rsid w:val="0073554B"/>
    <w:rsid w:val="00735574"/>
    <w:rsid w:val="007365F1"/>
    <w:rsid w:val="00736AAC"/>
    <w:rsid w:val="00736FBD"/>
    <w:rsid w:val="00737062"/>
    <w:rsid w:val="007372DB"/>
    <w:rsid w:val="007377F5"/>
    <w:rsid w:val="00737CD8"/>
    <w:rsid w:val="00737F1C"/>
    <w:rsid w:val="00740077"/>
    <w:rsid w:val="00740F33"/>
    <w:rsid w:val="00740FDB"/>
    <w:rsid w:val="00741753"/>
    <w:rsid w:val="00741CA4"/>
    <w:rsid w:val="007423E4"/>
    <w:rsid w:val="007425E1"/>
    <w:rsid w:val="007428C2"/>
    <w:rsid w:val="00742D2F"/>
    <w:rsid w:val="0074350E"/>
    <w:rsid w:val="00743EA6"/>
    <w:rsid w:val="0074415F"/>
    <w:rsid w:val="007447B7"/>
    <w:rsid w:val="00744BC6"/>
    <w:rsid w:val="0074546D"/>
    <w:rsid w:val="007454DF"/>
    <w:rsid w:val="00746628"/>
    <w:rsid w:val="00746880"/>
    <w:rsid w:val="0074690B"/>
    <w:rsid w:val="00746FC3"/>
    <w:rsid w:val="00747BBB"/>
    <w:rsid w:val="00750E83"/>
    <w:rsid w:val="007510F8"/>
    <w:rsid w:val="00751133"/>
    <w:rsid w:val="00751CE0"/>
    <w:rsid w:val="00751E37"/>
    <w:rsid w:val="0075221D"/>
    <w:rsid w:val="0075227E"/>
    <w:rsid w:val="0075237A"/>
    <w:rsid w:val="007524F3"/>
    <w:rsid w:val="0075271C"/>
    <w:rsid w:val="007527FE"/>
    <w:rsid w:val="0075287F"/>
    <w:rsid w:val="0075297E"/>
    <w:rsid w:val="00752A46"/>
    <w:rsid w:val="00752B4E"/>
    <w:rsid w:val="00752F7E"/>
    <w:rsid w:val="00752FBB"/>
    <w:rsid w:val="007530E4"/>
    <w:rsid w:val="00753436"/>
    <w:rsid w:val="00753488"/>
    <w:rsid w:val="00754AB3"/>
    <w:rsid w:val="00754F25"/>
    <w:rsid w:val="00754F30"/>
    <w:rsid w:val="00755153"/>
    <w:rsid w:val="0075531C"/>
    <w:rsid w:val="00755419"/>
    <w:rsid w:val="0075553D"/>
    <w:rsid w:val="007559A3"/>
    <w:rsid w:val="007559FC"/>
    <w:rsid w:val="00756C06"/>
    <w:rsid w:val="0075710B"/>
    <w:rsid w:val="0075715F"/>
    <w:rsid w:val="00757C22"/>
    <w:rsid w:val="007601C0"/>
    <w:rsid w:val="00760B03"/>
    <w:rsid w:val="007610D8"/>
    <w:rsid w:val="0076133D"/>
    <w:rsid w:val="0076161F"/>
    <w:rsid w:val="0076192C"/>
    <w:rsid w:val="0076197F"/>
    <w:rsid w:val="00761D21"/>
    <w:rsid w:val="0076233C"/>
    <w:rsid w:val="007626FC"/>
    <w:rsid w:val="007628F9"/>
    <w:rsid w:val="00762F88"/>
    <w:rsid w:val="007631CD"/>
    <w:rsid w:val="00763281"/>
    <w:rsid w:val="0076360F"/>
    <w:rsid w:val="007641F7"/>
    <w:rsid w:val="00764A14"/>
    <w:rsid w:val="00764C52"/>
    <w:rsid w:val="00765668"/>
    <w:rsid w:val="00765BFA"/>
    <w:rsid w:val="007665B1"/>
    <w:rsid w:val="00766607"/>
    <w:rsid w:val="00766673"/>
    <w:rsid w:val="00766D03"/>
    <w:rsid w:val="00770014"/>
    <w:rsid w:val="00770CA3"/>
    <w:rsid w:val="00770FA2"/>
    <w:rsid w:val="007716B9"/>
    <w:rsid w:val="007716E8"/>
    <w:rsid w:val="00771C63"/>
    <w:rsid w:val="00772226"/>
    <w:rsid w:val="00772613"/>
    <w:rsid w:val="00772B8B"/>
    <w:rsid w:val="00772D77"/>
    <w:rsid w:val="007730AF"/>
    <w:rsid w:val="00773265"/>
    <w:rsid w:val="00773B55"/>
    <w:rsid w:val="00773F09"/>
    <w:rsid w:val="007745BC"/>
    <w:rsid w:val="00774E02"/>
    <w:rsid w:val="00774FE7"/>
    <w:rsid w:val="007752FA"/>
    <w:rsid w:val="007755DB"/>
    <w:rsid w:val="00775812"/>
    <w:rsid w:val="007759A0"/>
    <w:rsid w:val="00775B38"/>
    <w:rsid w:val="00775B5A"/>
    <w:rsid w:val="00775F19"/>
    <w:rsid w:val="00775F56"/>
    <w:rsid w:val="0077617B"/>
    <w:rsid w:val="007764FB"/>
    <w:rsid w:val="007770E6"/>
    <w:rsid w:val="00777341"/>
    <w:rsid w:val="007777C8"/>
    <w:rsid w:val="0077785F"/>
    <w:rsid w:val="00777C05"/>
    <w:rsid w:val="007800A5"/>
    <w:rsid w:val="00780474"/>
    <w:rsid w:val="0078061B"/>
    <w:rsid w:val="0078095C"/>
    <w:rsid w:val="00780B01"/>
    <w:rsid w:val="00780FD3"/>
    <w:rsid w:val="007810C2"/>
    <w:rsid w:val="007814DF"/>
    <w:rsid w:val="00782459"/>
    <w:rsid w:val="00782815"/>
    <w:rsid w:val="00782CBC"/>
    <w:rsid w:val="00782D01"/>
    <w:rsid w:val="00782D15"/>
    <w:rsid w:val="007837DC"/>
    <w:rsid w:val="0078388E"/>
    <w:rsid w:val="007838F8"/>
    <w:rsid w:val="007841C0"/>
    <w:rsid w:val="007842F7"/>
    <w:rsid w:val="0078466D"/>
    <w:rsid w:val="0078471E"/>
    <w:rsid w:val="00784851"/>
    <w:rsid w:val="00784D27"/>
    <w:rsid w:val="00785492"/>
    <w:rsid w:val="00785722"/>
    <w:rsid w:val="007861F5"/>
    <w:rsid w:val="00786346"/>
    <w:rsid w:val="00786D0B"/>
    <w:rsid w:val="0078727A"/>
    <w:rsid w:val="007874A2"/>
    <w:rsid w:val="00787C16"/>
    <w:rsid w:val="00790420"/>
    <w:rsid w:val="0079060B"/>
    <w:rsid w:val="00790791"/>
    <w:rsid w:val="00790A2E"/>
    <w:rsid w:val="00790AF0"/>
    <w:rsid w:val="00790B34"/>
    <w:rsid w:val="00790D6C"/>
    <w:rsid w:val="00790EB9"/>
    <w:rsid w:val="00790FEB"/>
    <w:rsid w:val="007912C9"/>
    <w:rsid w:val="007913B0"/>
    <w:rsid w:val="00791545"/>
    <w:rsid w:val="007916BE"/>
    <w:rsid w:val="00791EA4"/>
    <w:rsid w:val="007922D6"/>
    <w:rsid w:val="007923FF"/>
    <w:rsid w:val="0079247A"/>
    <w:rsid w:val="007927D6"/>
    <w:rsid w:val="007928A3"/>
    <w:rsid w:val="00792E77"/>
    <w:rsid w:val="00793938"/>
    <w:rsid w:val="00793CF1"/>
    <w:rsid w:val="00793D7B"/>
    <w:rsid w:val="00794127"/>
    <w:rsid w:val="00794419"/>
    <w:rsid w:val="00794AD0"/>
    <w:rsid w:val="00794BC0"/>
    <w:rsid w:val="00794BF2"/>
    <w:rsid w:val="00794C2A"/>
    <w:rsid w:val="00794F23"/>
    <w:rsid w:val="00795265"/>
    <w:rsid w:val="007954F0"/>
    <w:rsid w:val="0079576F"/>
    <w:rsid w:val="00795807"/>
    <w:rsid w:val="0079594B"/>
    <w:rsid w:val="00796002"/>
    <w:rsid w:val="00796557"/>
    <w:rsid w:val="00796A0B"/>
    <w:rsid w:val="00796A50"/>
    <w:rsid w:val="00796AF9"/>
    <w:rsid w:val="00796CC3"/>
    <w:rsid w:val="00796DCB"/>
    <w:rsid w:val="007971B5"/>
    <w:rsid w:val="007974E2"/>
    <w:rsid w:val="00797C89"/>
    <w:rsid w:val="00797CB0"/>
    <w:rsid w:val="00797DB1"/>
    <w:rsid w:val="007A0137"/>
    <w:rsid w:val="007A017B"/>
    <w:rsid w:val="007A060A"/>
    <w:rsid w:val="007A094A"/>
    <w:rsid w:val="007A0FFD"/>
    <w:rsid w:val="007A111C"/>
    <w:rsid w:val="007A1532"/>
    <w:rsid w:val="007A1767"/>
    <w:rsid w:val="007A223C"/>
    <w:rsid w:val="007A31A9"/>
    <w:rsid w:val="007A32BE"/>
    <w:rsid w:val="007A43DA"/>
    <w:rsid w:val="007A49EF"/>
    <w:rsid w:val="007A529A"/>
    <w:rsid w:val="007A55E4"/>
    <w:rsid w:val="007A55E7"/>
    <w:rsid w:val="007A57C4"/>
    <w:rsid w:val="007A5A7D"/>
    <w:rsid w:val="007A61C5"/>
    <w:rsid w:val="007A6272"/>
    <w:rsid w:val="007A6623"/>
    <w:rsid w:val="007A680D"/>
    <w:rsid w:val="007A6F8C"/>
    <w:rsid w:val="007A7565"/>
    <w:rsid w:val="007A7615"/>
    <w:rsid w:val="007B03DB"/>
    <w:rsid w:val="007B0576"/>
    <w:rsid w:val="007B0912"/>
    <w:rsid w:val="007B0D6A"/>
    <w:rsid w:val="007B1247"/>
    <w:rsid w:val="007B1733"/>
    <w:rsid w:val="007B176B"/>
    <w:rsid w:val="007B1CBD"/>
    <w:rsid w:val="007B1DAB"/>
    <w:rsid w:val="007B203A"/>
    <w:rsid w:val="007B203F"/>
    <w:rsid w:val="007B2529"/>
    <w:rsid w:val="007B28E5"/>
    <w:rsid w:val="007B2C48"/>
    <w:rsid w:val="007B35B7"/>
    <w:rsid w:val="007B3D9A"/>
    <w:rsid w:val="007B3EB8"/>
    <w:rsid w:val="007B3EF0"/>
    <w:rsid w:val="007B50D6"/>
    <w:rsid w:val="007B523E"/>
    <w:rsid w:val="007B54CB"/>
    <w:rsid w:val="007B55A0"/>
    <w:rsid w:val="007B5665"/>
    <w:rsid w:val="007B5B31"/>
    <w:rsid w:val="007B5D4C"/>
    <w:rsid w:val="007B5D7D"/>
    <w:rsid w:val="007B5ECD"/>
    <w:rsid w:val="007B6751"/>
    <w:rsid w:val="007B692A"/>
    <w:rsid w:val="007B6BF9"/>
    <w:rsid w:val="007B6C1D"/>
    <w:rsid w:val="007B6C4A"/>
    <w:rsid w:val="007B755C"/>
    <w:rsid w:val="007B7DB4"/>
    <w:rsid w:val="007C014D"/>
    <w:rsid w:val="007C044B"/>
    <w:rsid w:val="007C0C0A"/>
    <w:rsid w:val="007C0C71"/>
    <w:rsid w:val="007C16BB"/>
    <w:rsid w:val="007C28B0"/>
    <w:rsid w:val="007C2C5C"/>
    <w:rsid w:val="007C2EEC"/>
    <w:rsid w:val="007C317A"/>
    <w:rsid w:val="007C33A1"/>
    <w:rsid w:val="007C3458"/>
    <w:rsid w:val="007C35F7"/>
    <w:rsid w:val="007C36FF"/>
    <w:rsid w:val="007C3716"/>
    <w:rsid w:val="007C3819"/>
    <w:rsid w:val="007C3973"/>
    <w:rsid w:val="007C3B78"/>
    <w:rsid w:val="007C43E6"/>
    <w:rsid w:val="007C5006"/>
    <w:rsid w:val="007C5257"/>
    <w:rsid w:val="007C528D"/>
    <w:rsid w:val="007C5554"/>
    <w:rsid w:val="007C5560"/>
    <w:rsid w:val="007C5707"/>
    <w:rsid w:val="007C58B1"/>
    <w:rsid w:val="007C58CF"/>
    <w:rsid w:val="007C5A99"/>
    <w:rsid w:val="007C5E2C"/>
    <w:rsid w:val="007C63B6"/>
    <w:rsid w:val="007C63E7"/>
    <w:rsid w:val="007C647C"/>
    <w:rsid w:val="007C7607"/>
    <w:rsid w:val="007C763F"/>
    <w:rsid w:val="007C79A9"/>
    <w:rsid w:val="007C7A63"/>
    <w:rsid w:val="007C7D63"/>
    <w:rsid w:val="007C7D85"/>
    <w:rsid w:val="007D00C6"/>
    <w:rsid w:val="007D0223"/>
    <w:rsid w:val="007D023C"/>
    <w:rsid w:val="007D041C"/>
    <w:rsid w:val="007D0628"/>
    <w:rsid w:val="007D0AA4"/>
    <w:rsid w:val="007D0F4B"/>
    <w:rsid w:val="007D10C9"/>
    <w:rsid w:val="007D13FD"/>
    <w:rsid w:val="007D144B"/>
    <w:rsid w:val="007D173E"/>
    <w:rsid w:val="007D1CA1"/>
    <w:rsid w:val="007D1EE8"/>
    <w:rsid w:val="007D2071"/>
    <w:rsid w:val="007D21B0"/>
    <w:rsid w:val="007D230A"/>
    <w:rsid w:val="007D2573"/>
    <w:rsid w:val="007D2EEC"/>
    <w:rsid w:val="007D3580"/>
    <w:rsid w:val="007D3C7D"/>
    <w:rsid w:val="007D4404"/>
    <w:rsid w:val="007D4712"/>
    <w:rsid w:val="007D476D"/>
    <w:rsid w:val="007D4CF5"/>
    <w:rsid w:val="007D4D0E"/>
    <w:rsid w:val="007D4EAB"/>
    <w:rsid w:val="007D547A"/>
    <w:rsid w:val="007D5982"/>
    <w:rsid w:val="007D5C86"/>
    <w:rsid w:val="007D5CA2"/>
    <w:rsid w:val="007D66CE"/>
    <w:rsid w:val="007D66E4"/>
    <w:rsid w:val="007D6B8B"/>
    <w:rsid w:val="007D6DD6"/>
    <w:rsid w:val="007D6E1D"/>
    <w:rsid w:val="007D6F69"/>
    <w:rsid w:val="007D6F88"/>
    <w:rsid w:val="007D7781"/>
    <w:rsid w:val="007D7804"/>
    <w:rsid w:val="007D7EA8"/>
    <w:rsid w:val="007E05E9"/>
    <w:rsid w:val="007E086D"/>
    <w:rsid w:val="007E08E0"/>
    <w:rsid w:val="007E0D62"/>
    <w:rsid w:val="007E11EA"/>
    <w:rsid w:val="007E188E"/>
    <w:rsid w:val="007E18A6"/>
    <w:rsid w:val="007E18C6"/>
    <w:rsid w:val="007E1953"/>
    <w:rsid w:val="007E1D86"/>
    <w:rsid w:val="007E200C"/>
    <w:rsid w:val="007E228B"/>
    <w:rsid w:val="007E24B0"/>
    <w:rsid w:val="007E250A"/>
    <w:rsid w:val="007E2533"/>
    <w:rsid w:val="007E265C"/>
    <w:rsid w:val="007E284E"/>
    <w:rsid w:val="007E2E61"/>
    <w:rsid w:val="007E2F82"/>
    <w:rsid w:val="007E3058"/>
    <w:rsid w:val="007E3133"/>
    <w:rsid w:val="007E36AF"/>
    <w:rsid w:val="007E398B"/>
    <w:rsid w:val="007E3996"/>
    <w:rsid w:val="007E3C35"/>
    <w:rsid w:val="007E4279"/>
    <w:rsid w:val="007E4830"/>
    <w:rsid w:val="007E484C"/>
    <w:rsid w:val="007E4861"/>
    <w:rsid w:val="007E48F0"/>
    <w:rsid w:val="007E4BFC"/>
    <w:rsid w:val="007E4D4C"/>
    <w:rsid w:val="007E5934"/>
    <w:rsid w:val="007E6866"/>
    <w:rsid w:val="007E69D3"/>
    <w:rsid w:val="007E7331"/>
    <w:rsid w:val="007E7829"/>
    <w:rsid w:val="007F0448"/>
    <w:rsid w:val="007F050D"/>
    <w:rsid w:val="007F0734"/>
    <w:rsid w:val="007F07E5"/>
    <w:rsid w:val="007F0E82"/>
    <w:rsid w:val="007F0EED"/>
    <w:rsid w:val="007F1D38"/>
    <w:rsid w:val="007F1D5D"/>
    <w:rsid w:val="007F201D"/>
    <w:rsid w:val="007F246C"/>
    <w:rsid w:val="007F28F3"/>
    <w:rsid w:val="007F2AC2"/>
    <w:rsid w:val="007F2C02"/>
    <w:rsid w:val="007F2C2F"/>
    <w:rsid w:val="007F2F4D"/>
    <w:rsid w:val="007F308B"/>
    <w:rsid w:val="007F31AB"/>
    <w:rsid w:val="007F34BF"/>
    <w:rsid w:val="007F37E3"/>
    <w:rsid w:val="007F3A4A"/>
    <w:rsid w:val="007F3B6C"/>
    <w:rsid w:val="007F3F45"/>
    <w:rsid w:val="007F454E"/>
    <w:rsid w:val="007F46E0"/>
    <w:rsid w:val="007F4844"/>
    <w:rsid w:val="007F4C1F"/>
    <w:rsid w:val="007F4CD4"/>
    <w:rsid w:val="007F4D4A"/>
    <w:rsid w:val="007F5003"/>
    <w:rsid w:val="007F5164"/>
    <w:rsid w:val="007F5E5A"/>
    <w:rsid w:val="007F5E92"/>
    <w:rsid w:val="007F5F46"/>
    <w:rsid w:val="007F611B"/>
    <w:rsid w:val="007F67AB"/>
    <w:rsid w:val="007F6BB9"/>
    <w:rsid w:val="007F6DAF"/>
    <w:rsid w:val="007F6DF4"/>
    <w:rsid w:val="007F77DF"/>
    <w:rsid w:val="00800433"/>
    <w:rsid w:val="0080092C"/>
    <w:rsid w:val="00800EC2"/>
    <w:rsid w:val="008017C1"/>
    <w:rsid w:val="0080181E"/>
    <w:rsid w:val="00801DAD"/>
    <w:rsid w:val="00801EB2"/>
    <w:rsid w:val="00802003"/>
    <w:rsid w:val="00802B28"/>
    <w:rsid w:val="00802B84"/>
    <w:rsid w:val="00803942"/>
    <w:rsid w:val="00803C9B"/>
    <w:rsid w:val="00804118"/>
    <w:rsid w:val="00804D66"/>
    <w:rsid w:val="00805076"/>
    <w:rsid w:val="00805415"/>
    <w:rsid w:val="00805530"/>
    <w:rsid w:val="00805600"/>
    <w:rsid w:val="008061DA"/>
    <w:rsid w:val="00806834"/>
    <w:rsid w:val="0080687B"/>
    <w:rsid w:val="00806AA3"/>
    <w:rsid w:val="00806AF3"/>
    <w:rsid w:val="00806CCF"/>
    <w:rsid w:val="00806F54"/>
    <w:rsid w:val="00806FC0"/>
    <w:rsid w:val="008074AF"/>
    <w:rsid w:val="00807829"/>
    <w:rsid w:val="00807CFF"/>
    <w:rsid w:val="00807F9E"/>
    <w:rsid w:val="008102D7"/>
    <w:rsid w:val="008102F6"/>
    <w:rsid w:val="00810A1E"/>
    <w:rsid w:val="00810AEE"/>
    <w:rsid w:val="00811286"/>
    <w:rsid w:val="008112C0"/>
    <w:rsid w:val="00811813"/>
    <w:rsid w:val="00811FC0"/>
    <w:rsid w:val="00812766"/>
    <w:rsid w:val="00812F97"/>
    <w:rsid w:val="008130BF"/>
    <w:rsid w:val="008136DD"/>
    <w:rsid w:val="00813A04"/>
    <w:rsid w:val="00813C3D"/>
    <w:rsid w:val="00813C9A"/>
    <w:rsid w:val="00813D10"/>
    <w:rsid w:val="00814189"/>
    <w:rsid w:val="008146CE"/>
    <w:rsid w:val="00814D3E"/>
    <w:rsid w:val="008151DB"/>
    <w:rsid w:val="00815983"/>
    <w:rsid w:val="00815A33"/>
    <w:rsid w:val="008160B1"/>
    <w:rsid w:val="00816779"/>
    <w:rsid w:val="00816A49"/>
    <w:rsid w:val="00816CEC"/>
    <w:rsid w:val="00816F24"/>
    <w:rsid w:val="008171D6"/>
    <w:rsid w:val="008173E1"/>
    <w:rsid w:val="008173F8"/>
    <w:rsid w:val="00817781"/>
    <w:rsid w:val="00817AFB"/>
    <w:rsid w:val="00817D7E"/>
    <w:rsid w:val="008204B9"/>
    <w:rsid w:val="008205DC"/>
    <w:rsid w:val="00820653"/>
    <w:rsid w:val="00820AB0"/>
    <w:rsid w:val="00820CA4"/>
    <w:rsid w:val="008210CC"/>
    <w:rsid w:val="008211D9"/>
    <w:rsid w:val="00821679"/>
    <w:rsid w:val="008217B7"/>
    <w:rsid w:val="008217E0"/>
    <w:rsid w:val="00821DA4"/>
    <w:rsid w:val="008227BD"/>
    <w:rsid w:val="00822AA4"/>
    <w:rsid w:val="00822C58"/>
    <w:rsid w:val="00822C9C"/>
    <w:rsid w:val="00823DFE"/>
    <w:rsid w:val="00823EB8"/>
    <w:rsid w:val="0082445C"/>
    <w:rsid w:val="00824837"/>
    <w:rsid w:val="00824938"/>
    <w:rsid w:val="00825271"/>
    <w:rsid w:val="00825B0D"/>
    <w:rsid w:val="00825FEA"/>
    <w:rsid w:val="00826336"/>
    <w:rsid w:val="00826409"/>
    <w:rsid w:val="008266C7"/>
    <w:rsid w:val="00826796"/>
    <w:rsid w:val="00826B82"/>
    <w:rsid w:val="008270C7"/>
    <w:rsid w:val="008272BA"/>
    <w:rsid w:val="008272C3"/>
    <w:rsid w:val="00827DDE"/>
    <w:rsid w:val="00827ECE"/>
    <w:rsid w:val="00830164"/>
    <w:rsid w:val="008302F1"/>
    <w:rsid w:val="00830DBA"/>
    <w:rsid w:val="00830DD5"/>
    <w:rsid w:val="00830F01"/>
    <w:rsid w:val="00831002"/>
    <w:rsid w:val="00831174"/>
    <w:rsid w:val="008316CA"/>
    <w:rsid w:val="008319E7"/>
    <w:rsid w:val="00831A1A"/>
    <w:rsid w:val="00831A22"/>
    <w:rsid w:val="00831DA6"/>
    <w:rsid w:val="008326F0"/>
    <w:rsid w:val="0083289A"/>
    <w:rsid w:val="008330FE"/>
    <w:rsid w:val="008336A9"/>
    <w:rsid w:val="0083410E"/>
    <w:rsid w:val="00834708"/>
    <w:rsid w:val="0083482E"/>
    <w:rsid w:val="00834D25"/>
    <w:rsid w:val="00835153"/>
    <w:rsid w:val="00835A89"/>
    <w:rsid w:val="00835C5A"/>
    <w:rsid w:val="00836E5D"/>
    <w:rsid w:val="00837DFA"/>
    <w:rsid w:val="008409FF"/>
    <w:rsid w:val="00840ACA"/>
    <w:rsid w:val="00840C2F"/>
    <w:rsid w:val="008410DF"/>
    <w:rsid w:val="008415A7"/>
    <w:rsid w:val="008419C9"/>
    <w:rsid w:val="00841D60"/>
    <w:rsid w:val="008425BB"/>
    <w:rsid w:val="00842C33"/>
    <w:rsid w:val="00842EE8"/>
    <w:rsid w:val="00842EF7"/>
    <w:rsid w:val="00843024"/>
    <w:rsid w:val="00843514"/>
    <w:rsid w:val="008436E3"/>
    <w:rsid w:val="00843730"/>
    <w:rsid w:val="008437BA"/>
    <w:rsid w:val="00843D2E"/>
    <w:rsid w:val="0084485C"/>
    <w:rsid w:val="00844B13"/>
    <w:rsid w:val="00844F86"/>
    <w:rsid w:val="00845181"/>
    <w:rsid w:val="008451B2"/>
    <w:rsid w:val="00845278"/>
    <w:rsid w:val="00845356"/>
    <w:rsid w:val="00845BB6"/>
    <w:rsid w:val="008461F2"/>
    <w:rsid w:val="0084626D"/>
    <w:rsid w:val="0084684B"/>
    <w:rsid w:val="00846CB2"/>
    <w:rsid w:val="00846D8D"/>
    <w:rsid w:val="00847295"/>
    <w:rsid w:val="00847838"/>
    <w:rsid w:val="00847C86"/>
    <w:rsid w:val="00847DDF"/>
    <w:rsid w:val="00847EE8"/>
    <w:rsid w:val="008500C6"/>
    <w:rsid w:val="00850166"/>
    <w:rsid w:val="00850639"/>
    <w:rsid w:val="008510D6"/>
    <w:rsid w:val="008513B9"/>
    <w:rsid w:val="008513C5"/>
    <w:rsid w:val="00851728"/>
    <w:rsid w:val="008518C4"/>
    <w:rsid w:val="0085290B"/>
    <w:rsid w:val="008531C1"/>
    <w:rsid w:val="00853708"/>
    <w:rsid w:val="00853ABD"/>
    <w:rsid w:val="008548EE"/>
    <w:rsid w:val="00854A25"/>
    <w:rsid w:val="00854AE2"/>
    <w:rsid w:val="00854C3B"/>
    <w:rsid w:val="00855A1A"/>
    <w:rsid w:val="00856098"/>
    <w:rsid w:val="0085652F"/>
    <w:rsid w:val="008566B8"/>
    <w:rsid w:val="008567FB"/>
    <w:rsid w:val="00856B9D"/>
    <w:rsid w:val="00856C23"/>
    <w:rsid w:val="00856D5D"/>
    <w:rsid w:val="0085736E"/>
    <w:rsid w:val="008574C2"/>
    <w:rsid w:val="008578E7"/>
    <w:rsid w:val="00857CDA"/>
    <w:rsid w:val="00860153"/>
    <w:rsid w:val="00860CDA"/>
    <w:rsid w:val="00860F2D"/>
    <w:rsid w:val="0086119F"/>
    <w:rsid w:val="00861349"/>
    <w:rsid w:val="008617AB"/>
    <w:rsid w:val="008619CB"/>
    <w:rsid w:val="00862743"/>
    <w:rsid w:val="008630DB"/>
    <w:rsid w:val="00863C41"/>
    <w:rsid w:val="00863E19"/>
    <w:rsid w:val="00863E20"/>
    <w:rsid w:val="00864519"/>
    <w:rsid w:val="00864F4D"/>
    <w:rsid w:val="00865480"/>
    <w:rsid w:val="0086569E"/>
    <w:rsid w:val="00865AB1"/>
    <w:rsid w:val="00865C1E"/>
    <w:rsid w:val="00865EDD"/>
    <w:rsid w:val="00866164"/>
    <w:rsid w:val="0086650F"/>
    <w:rsid w:val="0086684A"/>
    <w:rsid w:val="008668B9"/>
    <w:rsid w:val="00866C09"/>
    <w:rsid w:val="00866D36"/>
    <w:rsid w:val="00866FDB"/>
    <w:rsid w:val="00867064"/>
    <w:rsid w:val="0086743B"/>
    <w:rsid w:val="0086784D"/>
    <w:rsid w:val="00867BCF"/>
    <w:rsid w:val="00867E8B"/>
    <w:rsid w:val="0087025D"/>
    <w:rsid w:val="0087063C"/>
    <w:rsid w:val="00870E00"/>
    <w:rsid w:val="00871204"/>
    <w:rsid w:val="00871A75"/>
    <w:rsid w:val="00871B94"/>
    <w:rsid w:val="00872273"/>
    <w:rsid w:val="00872852"/>
    <w:rsid w:val="00872E50"/>
    <w:rsid w:val="0087329E"/>
    <w:rsid w:val="00873905"/>
    <w:rsid w:val="00873948"/>
    <w:rsid w:val="00873DB9"/>
    <w:rsid w:val="008740CF"/>
    <w:rsid w:val="00874785"/>
    <w:rsid w:val="00874972"/>
    <w:rsid w:val="00874F9C"/>
    <w:rsid w:val="008751B6"/>
    <w:rsid w:val="008755F7"/>
    <w:rsid w:val="0087563F"/>
    <w:rsid w:val="008759F5"/>
    <w:rsid w:val="00876866"/>
    <w:rsid w:val="0087718C"/>
    <w:rsid w:val="0087792A"/>
    <w:rsid w:val="00877D28"/>
    <w:rsid w:val="008805DB"/>
    <w:rsid w:val="008805E6"/>
    <w:rsid w:val="008807B4"/>
    <w:rsid w:val="00880B78"/>
    <w:rsid w:val="00880EC9"/>
    <w:rsid w:val="00880FC1"/>
    <w:rsid w:val="00881314"/>
    <w:rsid w:val="008815C5"/>
    <w:rsid w:val="00881808"/>
    <w:rsid w:val="008819C1"/>
    <w:rsid w:val="0088244E"/>
    <w:rsid w:val="008824A8"/>
    <w:rsid w:val="0088261E"/>
    <w:rsid w:val="00882AD1"/>
    <w:rsid w:val="00882BF3"/>
    <w:rsid w:val="0088366D"/>
    <w:rsid w:val="00883D85"/>
    <w:rsid w:val="00883F33"/>
    <w:rsid w:val="00883F6E"/>
    <w:rsid w:val="0088421A"/>
    <w:rsid w:val="0088422A"/>
    <w:rsid w:val="008842A4"/>
    <w:rsid w:val="008845DF"/>
    <w:rsid w:val="008846ED"/>
    <w:rsid w:val="00884792"/>
    <w:rsid w:val="00884895"/>
    <w:rsid w:val="0088494D"/>
    <w:rsid w:val="008850E3"/>
    <w:rsid w:val="0088566B"/>
    <w:rsid w:val="00885937"/>
    <w:rsid w:val="00885A02"/>
    <w:rsid w:val="00886069"/>
    <w:rsid w:val="008866B3"/>
    <w:rsid w:val="0088676F"/>
    <w:rsid w:val="00886888"/>
    <w:rsid w:val="00886919"/>
    <w:rsid w:val="00886AE2"/>
    <w:rsid w:val="00886D2E"/>
    <w:rsid w:val="00886DD2"/>
    <w:rsid w:val="00886F75"/>
    <w:rsid w:val="00887621"/>
    <w:rsid w:val="008877D3"/>
    <w:rsid w:val="00887AF4"/>
    <w:rsid w:val="00887B2B"/>
    <w:rsid w:val="00887C83"/>
    <w:rsid w:val="00887E49"/>
    <w:rsid w:val="00890264"/>
    <w:rsid w:val="008902C5"/>
    <w:rsid w:val="0089038F"/>
    <w:rsid w:val="008904EF"/>
    <w:rsid w:val="008905DB"/>
    <w:rsid w:val="00890664"/>
    <w:rsid w:val="008907EF"/>
    <w:rsid w:val="00890A8C"/>
    <w:rsid w:val="00890D8D"/>
    <w:rsid w:val="00890E76"/>
    <w:rsid w:val="008915CF"/>
    <w:rsid w:val="008916DE"/>
    <w:rsid w:val="00891783"/>
    <w:rsid w:val="00891D4F"/>
    <w:rsid w:val="00891DA7"/>
    <w:rsid w:val="008926C3"/>
    <w:rsid w:val="00892957"/>
    <w:rsid w:val="00892CCD"/>
    <w:rsid w:val="00893420"/>
    <w:rsid w:val="00894119"/>
    <w:rsid w:val="0089463C"/>
    <w:rsid w:val="00894935"/>
    <w:rsid w:val="00894AD4"/>
    <w:rsid w:val="00894CBF"/>
    <w:rsid w:val="0089530F"/>
    <w:rsid w:val="008955F4"/>
    <w:rsid w:val="00895D87"/>
    <w:rsid w:val="00895D92"/>
    <w:rsid w:val="008961B5"/>
    <w:rsid w:val="00896328"/>
    <w:rsid w:val="00896975"/>
    <w:rsid w:val="00896FEF"/>
    <w:rsid w:val="008972BC"/>
    <w:rsid w:val="00897728"/>
    <w:rsid w:val="00897C8C"/>
    <w:rsid w:val="00897E16"/>
    <w:rsid w:val="008A0208"/>
    <w:rsid w:val="008A05BE"/>
    <w:rsid w:val="008A073A"/>
    <w:rsid w:val="008A0890"/>
    <w:rsid w:val="008A089F"/>
    <w:rsid w:val="008A093B"/>
    <w:rsid w:val="008A0BBF"/>
    <w:rsid w:val="008A0FF8"/>
    <w:rsid w:val="008A15EB"/>
    <w:rsid w:val="008A1B13"/>
    <w:rsid w:val="008A2514"/>
    <w:rsid w:val="008A252E"/>
    <w:rsid w:val="008A2706"/>
    <w:rsid w:val="008A272F"/>
    <w:rsid w:val="008A29DA"/>
    <w:rsid w:val="008A2A3D"/>
    <w:rsid w:val="008A321B"/>
    <w:rsid w:val="008A3250"/>
    <w:rsid w:val="008A33DD"/>
    <w:rsid w:val="008A396D"/>
    <w:rsid w:val="008A3B5D"/>
    <w:rsid w:val="008A3B63"/>
    <w:rsid w:val="008A3DA0"/>
    <w:rsid w:val="008A4040"/>
    <w:rsid w:val="008A409C"/>
    <w:rsid w:val="008A40E7"/>
    <w:rsid w:val="008A41B4"/>
    <w:rsid w:val="008A44ED"/>
    <w:rsid w:val="008A4591"/>
    <w:rsid w:val="008A4685"/>
    <w:rsid w:val="008A468C"/>
    <w:rsid w:val="008A4A52"/>
    <w:rsid w:val="008A4BC0"/>
    <w:rsid w:val="008A4C08"/>
    <w:rsid w:val="008A51EE"/>
    <w:rsid w:val="008A5580"/>
    <w:rsid w:val="008A559A"/>
    <w:rsid w:val="008A5727"/>
    <w:rsid w:val="008A5799"/>
    <w:rsid w:val="008A57B6"/>
    <w:rsid w:val="008A57FE"/>
    <w:rsid w:val="008A5963"/>
    <w:rsid w:val="008A5B12"/>
    <w:rsid w:val="008A5D50"/>
    <w:rsid w:val="008A5D83"/>
    <w:rsid w:val="008A61AE"/>
    <w:rsid w:val="008A6440"/>
    <w:rsid w:val="008A6B9D"/>
    <w:rsid w:val="008A7E87"/>
    <w:rsid w:val="008A7EBE"/>
    <w:rsid w:val="008B03B0"/>
    <w:rsid w:val="008B04D4"/>
    <w:rsid w:val="008B0FEA"/>
    <w:rsid w:val="008B1536"/>
    <w:rsid w:val="008B17B5"/>
    <w:rsid w:val="008B18AD"/>
    <w:rsid w:val="008B1C49"/>
    <w:rsid w:val="008B1F41"/>
    <w:rsid w:val="008B1F86"/>
    <w:rsid w:val="008B2217"/>
    <w:rsid w:val="008B22EE"/>
    <w:rsid w:val="008B2825"/>
    <w:rsid w:val="008B2A44"/>
    <w:rsid w:val="008B2D0E"/>
    <w:rsid w:val="008B3059"/>
    <w:rsid w:val="008B30EE"/>
    <w:rsid w:val="008B3146"/>
    <w:rsid w:val="008B3547"/>
    <w:rsid w:val="008B39D1"/>
    <w:rsid w:val="008B3BA1"/>
    <w:rsid w:val="008B3C74"/>
    <w:rsid w:val="008B471F"/>
    <w:rsid w:val="008B47A9"/>
    <w:rsid w:val="008B4C3F"/>
    <w:rsid w:val="008B55CF"/>
    <w:rsid w:val="008B5911"/>
    <w:rsid w:val="008B5BB6"/>
    <w:rsid w:val="008B5C7A"/>
    <w:rsid w:val="008B63FF"/>
    <w:rsid w:val="008B655B"/>
    <w:rsid w:val="008B6BE9"/>
    <w:rsid w:val="008B71ED"/>
    <w:rsid w:val="008B77BD"/>
    <w:rsid w:val="008B79C6"/>
    <w:rsid w:val="008B7B41"/>
    <w:rsid w:val="008B7DA5"/>
    <w:rsid w:val="008B7F74"/>
    <w:rsid w:val="008C046C"/>
    <w:rsid w:val="008C0709"/>
    <w:rsid w:val="008C0770"/>
    <w:rsid w:val="008C0869"/>
    <w:rsid w:val="008C18F2"/>
    <w:rsid w:val="008C20C1"/>
    <w:rsid w:val="008C2428"/>
    <w:rsid w:val="008C25BA"/>
    <w:rsid w:val="008C2781"/>
    <w:rsid w:val="008C2A1E"/>
    <w:rsid w:val="008C2B2C"/>
    <w:rsid w:val="008C3450"/>
    <w:rsid w:val="008C36E8"/>
    <w:rsid w:val="008C37F6"/>
    <w:rsid w:val="008C3976"/>
    <w:rsid w:val="008C41BC"/>
    <w:rsid w:val="008C5AB7"/>
    <w:rsid w:val="008C5B21"/>
    <w:rsid w:val="008C5E13"/>
    <w:rsid w:val="008C5E80"/>
    <w:rsid w:val="008C5E82"/>
    <w:rsid w:val="008C6065"/>
    <w:rsid w:val="008C6A2A"/>
    <w:rsid w:val="008C6DC4"/>
    <w:rsid w:val="008C6F6E"/>
    <w:rsid w:val="008C70DF"/>
    <w:rsid w:val="008C7111"/>
    <w:rsid w:val="008C7A79"/>
    <w:rsid w:val="008C7F9A"/>
    <w:rsid w:val="008D002B"/>
    <w:rsid w:val="008D0341"/>
    <w:rsid w:val="008D04B9"/>
    <w:rsid w:val="008D0C2A"/>
    <w:rsid w:val="008D0E9D"/>
    <w:rsid w:val="008D12FE"/>
    <w:rsid w:val="008D1856"/>
    <w:rsid w:val="008D2145"/>
    <w:rsid w:val="008D2342"/>
    <w:rsid w:val="008D2398"/>
    <w:rsid w:val="008D281D"/>
    <w:rsid w:val="008D2A9D"/>
    <w:rsid w:val="008D2D43"/>
    <w:rsid w:val="008D2DD0"/>
    <w:rsid w:val="008D3551"/>
    <w:rsid w:val="008D39D6"/>
    <w:rsid w:val="008D3A0D"/>
    <w:rsid w:val="008D3CC5"/>
    <w:rsid w:val="008D4185"/>
    <w:rsid w:val="008D4345"/>
    <w:rsid w:val="008D456F"/>
    <w:rsid w:val="008D4A02"/>
    <w:rsid w:val="008D55CF"/>
    <w:rsid w:val="008D574E"/>
    <w:rsid w:val="008D583C"/>
    <w:rsid w:val="008D63E9"/>
    <w:rsid w:val="008D6439"/>
    <w:rsid w:val="008D6A6C"/>
    <w:rsid w:val="008D6DE1"/>
    <w:rsid w:val="008D719F"/>
    <w:rsid w:val="008D71E5"/>
    <w:rsid w:val="008D751E"/>
    <w:rsid w:val="008D7833"/>
    <w:rsid w:val="008D7A22"/>
    <w:rsid w:val="008D7FCC"/>
    <w:rsid w:val="008E038C"/>
    <w:rsid w:val="008E04A4"/>
    <w:rsid w:val="008E0F3C"/>
    <w:rsid w:val="008E0FC6"/>
    <w:rsid w:val="008E1163"/>
    <w:rsid w:val="008E1285"/>
    <w:rsid w:val="008E1511"/>
    <w:rsid w:val="008E157F"/>
    <w:rsid w:val="008E1BA8"/>
    <w:rsid w:val="008E20BB"/>
    <w:rsid w:val="008E26E5"/>
    <w:rsid w:val="008E2BD2"/>
    <w:rsid w:val="008E2CFA"/>
    <w:rsid w:val="008E327F"/>
    <w:rsid w:val="008E33EB"/>
    <w:rsid w:val="008E3400"/>
    <w:rsid w:val="008E3745"/>
    <w:rsid w:val="008E4267"/>
    <w:rsid w:val="008E4617"/>
    <w:rsid w:val="008E4640"/>
    <w:rsid w:val="008E477F"/>
    <w:rsid w:val="008E47B7"/>
    <w:rsid w:val="008E4ABD"/>
    <w:rsid w:val="008E4C41"/>
    <w:rsid w:val="008E54FA"/>
    <w:rsid w:val="008E5A5F"/>
    <w:rsid w:val="008E6269"/>
    <w:rsid w:val="008E6418"/>
    <w:rsid w:val="008E646C"/>
    <w:rsid w:val="008E69E5"/>
    <w:rsid w:val="008E6F52"/>
    <w:rsid w:val="008E72C7"/>
    <w:rsid w:val="008E7AEF"/>
    <w:rsid w:val="008E7BD5"/>
    <w:rsid w:val="008E7CC4"/>
    <w:rsid w:val="008E7DC1"/>
    <w:rsid w:val="008F0587"/>
    <w:rsid w:val="008F08BE"/>
    <w:rsid w:val="008F0B94"/>
    <w:rsid w:val="008F0DF8"/>
    <w:rsid w:val="008F0E2E"/>
    <w:rsid w:val="008F135D"/>
    <w:rsid w:val="008F1817"/>
    <w:rsid w:val="008F1866"/>
    <w:rsid w:val="008F19B5"/>
    <w:rsid w:val="008F1B14"/>
    <w:rsid w:val="008F1E3B"/>
    <w:rsid w:val="008F34B3"/>
    <w:rsid w:val="008F35CE"/>
    <w:rsid w:val="008F35D0"/>
    <w:rsid w:val="008F3E2F"/>
    <w:rsid w:val="008F3F3F"/>
    <w:rsid w:val="008F4149"/>
    <w:rsid w:val="008F42EC"/>
    <w:rsid w:val="008F4367"/>
    <w:rsid w:val="008F446D"/>
    <w:rsid w:val="008F4507"/>
    <w:rsid w:val="008F453E"/>
    <w:rsid w:val="008F4EE9"/>
    <w:rsid w:val="008F4F6A"/>
    <w:rsid w:val="008F5EEB"/>
    <w:rsid w:val="008F68F0"/>
    <w:rsid w:val="008F706F"/>
    <w:rsid w:val="008F7354"/>
    <w:rsid w:val="008F7866"/>
    <w:rsid w:val="008F7EC8"/>
    <w:rsid w:val="009001F9"/>
    <w:rsid w:val="009005A8"/>
    <w:rsid w:val="009007E4"/>
    <w:rsid w:val="00900A6B"/>
    <w:rsid w:val="0090126F"/>
    <w:rsid w:val="00901B5E"/>
    <w:rsid w:val="0090258B"/>
    <w:rsid w:val="009026F1"/>
    <w:rsid w:val="00902B9C"/>
    <w:rsid w:val="00902DF5"/>
    <w:rsid w:val="00902F59"/>
    <w:rsid w:val="009035CB"/>
    <w:rsid w:val="009036F9"/>
    <w:rsid w:val="00903C45"/>
    <w:rsid w:val="00904115"/>
    <w:rsid w:val="009044EE"/>
    <w:rsid w:val="00904CBF"/>
    <w:rsid w:val="00905886"/>
    <w:rsid w:val="00905B1B"/>
    <w:rsid w:val="00905BB3"/>
    <w:rsid w:val="00905D69"/>
    <w:rsid w:val="00905E0E"/>
    <w:rsid w:val="00905E69"/>
    <w:rsid w:val="00905E9C"/>
    <w:rsid w:val="00905F03"/>
    <w:rsid w:val="00906131"/>
    <w:rsid w:val="00906FF3"/>
    <w:rsid w:val="00907390"/>
    <w:rsid w:val="009075CD"/>
    <w:rsid w:val="00907CBA"/>
    <w:rsid w:val="00907D11"/>
    <w:rsid w:val="00907D54"/>
    <w:rsid w:val="00907D94"/>
    <w:rsid w:val="00907FBF"/>
    <w:rsid w:val="0091018D"/>
    <w:rsid w:val="0091049C"/>
    <w:rsid w:val="009106B4"/>
    <w:rsid w:val="00910C1F"/>
    <w:rsid w:val="00910E0C"/>
    <w:rsid w:val="0091102E"/>
    <w:rsid w:val="0091186A"/>
    <w:rsid w:val="009118A8"/>
    <w:rsid w:val="00911CA2"/>
    <w:rsid w:val="009121FB"/>
    <w:rsid w:val="0091232D"/>
    <w:rsid w:val="00912786"/>
    <w:rsid w:val="00912E42"/>
    <w:rsid w:val="00912F67"/>
    <w:rsid w:val="00913007"/>
    <w:rsid w:val="009131B8"/>
    <w:rsid w:val="00913467"/>
    <w:rsid w:val="009136AC"/>
    <w:rsid w:val="00913728"/>
    <w:rsid w:val="009139E9"/>
    <w:rsid w:val="009139EA"/>
    <w:rsid w:val="00913EF9"/>
    <w:rsid w:val="009141E0"/>
    <w:rsid w:val="009141F5"/>
    <w:rsid w:val="00914391"/>
    <w:rsid w:val="00914821"/>
    <w:rsid w:val="00914BB4"/>
    <w:rsid w:val="00914CDF"/>
    <w:rsid w:val="00914F96"/>
    <w:rsid w:val="0091551B"/>
    <w:rsid w:val="00915552"/>
    <w:rsid w:val="009156F0"/>
    <w:rsid w:val="00915909"/>
    <w:rsid w:val="00915DAB"/>
    <w:rsid w:val="0091652D"/>
    <w:rsid w:val="0091682C"/>
    <w:rsid w:val="0091695E"/>
    <w:rsid w:val="00916AA5"/>
    <w:rsid w:val="00916C83"/>
    <w:rsid w:val="00916FB0"/>
    <w:rsid w:val="00917CCE"/>
    <w:rsid w:val="00920E6C"/>
    <w:rsid w:val="00921132"/>
    <w:rsid w:val="00921210"/>
    <w:rsid w:val="0092132F"/>
    <w:rsid w:val="0092142E"/>
    <w:rsid w:val="00921658"/>
    <w:rsid w:val="0092176E"/>
    <w:rsid w:val="00922388"/>
    <w:rsid w:val="00922A01"/>
    <w:rsid w:val="00922AFA"/>
    <w:rsid w:val="00922C9B"/>
    <w:rsid w:val="00922CB5"/>
    <w:rsid w:val="00923527"/>
    <w:rsid w:val="00923748"/>
    <w:rsid w:val="00923973"/>
    <w:rsid w:val="00923C7E"/>
    <w:rsid w:val="00923EDC"/>
    <w:rsid w:val="00924898"/>
    <w:rsid w:val="009258A1"/>
    <w:rsid w:val="00925C57"/>
    <w:rsid w:val="009266A8"/>
    <w:rsid w:val="009266C1"/>
    <w:rsid w:val="00926BC1"/>
    <w:rsid w:val="00926CD8"/>
    <w:rsid w:val="00926F01"/>
    <w:rsid w:val="00927084"/>
    <w:rsid w:val="00927BB7"/>
    <w:rsid w:val="00927C5B"/>
    <w:rsid w:val="009300E9"/>
    <w:rsid w:val="00930C58"/>
    <w:rsid w:val="0093171A"/>
    <w:rsid w:val="009318CB"/>
    <w:rsid w:val="009318DE"/>
    <w:rsid w:val="00931B74"/>
    <w:rsid w:val="00931E1B"/>
    <w:rsid w:val="009321B9"/>
    <w:rsid w:val="009324C1"/>
    <w:rsid w:val="00932787"/>
    <w:rsid w:val="00933085"/>
    <w:rsid w:val="009330A1"/>
    <w:rsid w:val="0093333C"/>
    <w:rsid w:val="00933B43"/>
    <w:rsid w:val="00933B7F"/>
    <w:rsid w:val="00934CC8"/>
    <w:rsid w:val="00934E42"/>
    <w:rsid w:val="00934FB1"/>
    <w:rsid w:val="00935037"/>
    <w:rsid w:val="0093512B"/>
    <w:rsid w:val="00935824"/>
    <w:rsid w:val="009358B5"/>
    <w:rsid w:val="00936085"/>
    <w:rsid w:val="0093622E"/>
    <w:rsid w:val="009363D0"/>
    <w:rsid w:val="009364B5"/>
    <w:rsid w:val="00936540"/>
    <w:rsid w:val="00936CFA"/>
    <w:rsid w:val="00936D22"/>
    <w:rsid w:val="00936F66"/>
    <w:rsid w:val="00936F6C"/>
    <w:rsid w:val="00937788"/>
    <w:rsid w:val="009377A7"/>
    <w:rsid w:val="00937890"/>
    <w:rsid w:val="00937901"/>
    <w:rsid w:val="00937F24"/>
    <w:rsid w:val="009403CC"/>
    <w:rsid w:val="00940691"/>
    <w:rsid w:val="009406C6"/>
    <w:rsid w:val="00940811"/>
    <w:rsid w:val="00940948"/>
    <w:rsid w:val="00940ACC"/>
    <w:rsid w:val="00940CC4"/>
    <w:rsid w:val="00940E73"/>
    <w:rsid w:val="00940EB8"/>
    <w:rsid w:val="00940ECD"/>
    <w:rsid w:val="00941758"/>
    <w:rsid w:val="0094196F"/>
    <w:rsid w:val="00941D26"/>
    <w:rsid w:val="00942076"/>
    <w:rsid w:val="0094213B"/>
    <w:rsid w:val="0094282C"/>
    <w:rsid w:val="00942865"/>
    <w:rsid w:val="00942A2C"/>
    <w:rsid w:val="00942B73"/>
    <w:rsid w:val="009432A8"/>
    <w:rsid w:val="009432C3"/>
    <w:rsid w:val="009437D3"/>
    <w:rsid w:val="00943D7A"/>
    <w:rsid w:val="0094416C"/>
    <w:rsid w:val="00944366"/>
    <w:rsid w:val="009445F1"/>
    <w:rsid w:val="00944718"/>
    <w:rsid w:val="009449F8"/>
    <w:rsid w:val="00944B59"/>
    <w:rsid w:val="00944BE2"/>
    <w:rsid w:val="00944CAC"/>
    <w:rsid w:val="00944CB0"/>
    <w:rsid w:val="00944ED6"/>
    <w:rsid w:val="0094516D"/>
    <w:rsid w:val="00945477"/>
    <w:rsid w:val="009455E6"/>
    <w:rsid w:val="00945F78"/>
    <w:rsid w:val="009466F5"/>
    <w:rsid w:val="00946718"/>
    <w:rsid w:val="00946881"/>
    <w:rsid w:val="0094695B"/>
    <w:rsid w:val="00946E09"/>
    <w:rsid w:val="009472C7"/>
    <w:rsid w:val="0094738E"/>
    <w:rsid w:val="009475F7"/>
    <w:rsid w:val="009476A4"/>
    <w:rsid w:val="009477C7"/>
    <w:rsid w:val="00947B97"/>
    <w:rsid w:val="00947D8B"/>
    <w:rsid w:val="00950016"/>
    <w:rsid w:val="00950088"/>
    <w:rsid w:val="00950116"/>
    <w:rsid w:val="00950189"/>
    <w:rsid w:val="0095026C"/>
    <w:rsid w:val="00950A49"/>
    <w:rsid w:val="00950F7A"/>
    <w:rsid w:val="00951579"/>
    <w:rsid w:val="00951961"/>
    <w:rsid w:val="00951F41"/>
    <w:rsid w:val="009521C0"/>
    <w:rsid w:val="009522C5"/>
    <w:rsid w:val="009528C1"/>
    <w:rsid w:val="00952D0D"/>
    <w:rsid w:val="00952EC9"/>
    <w:rsid w:val="0095338E"/>
    <w:rsid w:val="009534A3"/>
    <w:rsid w:val="009538EC"/>
    <w:rsid w:val="00953998"/>
    <w:rsid w:val="00953A6A"/>
    <w:rsid w:val="00953F20"/>
    <w:rsid w:val="009544CC"/>
    <w:rsid w:val="009552CC"/>
    <w:rsid w:val="009556AC"/>
    <w:rsid w:val="00955740"/>
    <w:rsid w:val="009558B0"/>
    <w:rsid w:val="00955939"/>
    <w:rsid w:val="00955DB8"/>
    <w:rsid w:val="00955F9F"/>
    <w:rsid w:val="009560A4"/>
    <w:rsid w:val="00956201"/>
    <w:rsid w:val="009565B8"/>
    <w:rsid w:val="00956626"/>
    <w:rsid w:val="00956E39"/>
    <w:rsid w:val="00956F14"/>
    <w:rsid w:val="0095717B"/>
    <w:rsid w:val="0095752B"/>
    <w:rsid w:val="00957EE7"/>
    <w:rsid w:val="00960507"/>
    <w:rsid w:val="00960835"/>
    <w:rsid w:val="00960C64"/>
    <w:rsid w:val="00960F50"/>
    <w:rsid w:val="009610D4"/>
    <w:rsid w:val="00961E3C"/>
    <w:rsid w:val="009621F5"/>
    <w:rsid w:val="00963058"/>
    <w:rsid w:val="0096329C"/>
    <w:rsid w:val="009633A3"/>
    <w:rsid w:val="009635FC"/>
    <w:rsid w:val="00963678"/>
    <w:rsid w:val="009636BD"/>
    <w:rsid w:val="009637BB"/>
    <w:rsid w:val="009639E1"/>
    <w:rsid w:val="00963C47"/>
    <w:rsid w:val="00963E1B"/>
    <w:rsid w:val="00963E82"/>
    <w:rsid w:val="009643D1"/>
    <w:rsid w:val="00964430"/>
    <w:rsid w:val="0096465D"/>
    <w:rsid w:val="009649C8"/>
    <w:rsid w:val="00964F4E"/>
    <w:rsid w:val="009653C9"/>
    <w:rsid w:val="009654F5"/>
    <w:rsid w:val="00965BA3"/>
    <w:rsid w:val="0096613D"/>
    <w:rsid w:val="0096655A"/>
    <w:rsid w:val="009669D9"/>
    <w:rsid w:val="00966CCD"/>
    <w:rsid w:val="00966E80"/>
    <w:rsid w:val="0096718F"/>
    <w:rsid w:val="00967312"/>
    <w:rsid w:val="0096735E"/>
    <w:rsid w:val="00967864"/>
    <w:rsid w:val="00967A82"/>
    <w:rsid w:val="00967DD3"/>
    <w:rsid w:val="009707E4"/>
    <w:rsid w:val="00970F15"/>
    <w:rsid w:val="00970FEC"/>
    <w:rsid w:val="009710A8"/>
    <w:rsid w:val="00971825"/>
    <w:rsid w:val="00971A33"/>
    <w:rsid w:val="00971A4C"/>
    <w:rsid w:val="00971A50"/>
    <w:rsid w:val="00971C0C"/>
    <w:rsid w:val="00971ED8"/>
    <w:rsid w:val="0097222F"/>
    <w:rsid w:val="00972231"/>
    <w:rsid w:val="0097224D"/>
    <w:rsid w:val="00972789"/>
    <w:rsid w:val="00972E70"/>
    <w:rsid w:val="00973068"/>
    <w:rsid w:val="009737D6"/>
    <w:rsid w:val="00973A58"/>
    <w:rsid w:val="009741CC"/>
    <w:rsid w:val="009747B6"/>
    <w:rsid w:val="00974968"/>
    <w:rsid w:val="00974B13"/>
    <w:rsid w:val="00974BC6"/>
    <w:rsid w:val="00974E14"/>
    <w:rsid w:val="00974F7A"/>
    <w:rsid w:val="00974FE3"/>
    <w:rsid w:val="009757EC"/>
    <w:rsid w:val="00976959"/>
    <w:rsid w:val="009769A7"/>
    <w:rsid w:val="00976A8B"/>
    <w:rsid w:val="009771A9"/>
    <w:rsid w:val="0097750C"/>
    <w:rsid w:val="00980000"/>
    <w:rsid w:val="00980037"/>
    <w:rsid w:val="009800B3"/>
    <w:rsid w:val="009800D4"/>
    <w:rsid w:val="0098087D"/>
    <w:rsid w:val="009814B9"/>
    <w:rsid w:val="00981BC8"/>
    <w:rsid w:val="00981C07"/>
    <w:rsid w:val="00981C41"/>
    <w:rsid w:val="00982312"/>
    <w:rsid w:val="0098239B"/>
    <w:rsid w:val="00982534"/>
    <w:rsid w:val="00982F05"/>
    <w:rsid w:val="009830DC"/>
    <w:rsid w:val="00983114"/>
    <w:rsid w:val="00983139"/>
    <w:rsid w:val="00983307"/>
    <w:rsid w:val="009834DC"/>
    <w:rsid w:val="00983677"/>
    <w:rsid w:val="00983C1D"/>
    <w:rsid w:val="0098402E"/>
    <w:rsid w:val="00984159"/>
    <w:rsid w:val="009846BE"/>
    <w:rsid w:val="00984CD7"/>
    <w:rsid w:val="00984D77"/>
    <w:rsid w:val="00985109"/>
    <w:rsid w:val="00985335"/>
    <w:rsid w:val="00985542"/>
    <w:rsid w:val="0098566E"/>
    <w:rsid w:val="009861A4"/>
    <w:rsid w:val="009862F6"/>
    <w:rsid w:val="009866B5"/>
    <w:rsid w:val="00986C33"/>
    <w:rsid w:val="009876AD"/>
    <w:rsid w:val="00987893"/>
    <w:rsid w:val="00987F44"/>
    <w:rsid w:val="0099021D"/>
    <w:rsid w:val="00990290"/>
    <w:rsid w:val="009902FF"/>
    <w:rsid w:val="0099095A"/>
    <w:rsid w:val="00990AC8"/>
    <w:rsid w:val="00990D8B"/>
    <w:rsid w:val="00990FA4"/>
    <w:rsid w:val="00991412"/>
    <w:rsid w:val="00991591"/>
    <w:rsid w:val="009919CD"/>
    <w:rsid w:val="00991C5C"/>
    <w:rsid w:val="0099217C"/>
    <w:rsid w:val="0099237C"/>
    <w:rsid w:val="009924DF"/>
    <w:rsid w:val="009927A0"/>
    <w:rsid w:val="00992E85"/>
    <w:rsid w:val="009934AC"/>
    <w:rsid w:val="009935D2"/>
    <w:rsid w:val="009937F9"/>
    <w:rsid w:val="0099403A"/>
    <w:rsid w:val="00994087"/>
    <w:rsid w:val="00994802"/>
    <w:rsid w:val="009948FE"/>
    <w:rsid w:val="00994951"/>
    <w:rsid w:val="009949AF"/>
    <w:rsid w:val="00994A48"/>
    <w:rsid w:val="00994BCD"/>
    <w:rsid w:val="00995045"/>
    <w:rsid w:val="009952F9"/>
    <w:rsid w:val="00995764"/>
    <w:rsid w:val="009957D2"/>
    <w:rsid w:val="00995E3B"/>
    <w:rsid w:val="00996314"/>
    <w:rsid w:val="00996373"/>
    <w:rsid w:val="009965A0"/>
    <w:rsid w:val="009967A1"/>
    <w:rsid w:val="0099684E"/>
    <w:rsid w:val="00996E1C"/>
    <w:rsid w:val="00996E4D"/>
    <w:rsid w:val="00997700"/>
    <w:rsid w:val="00997A48"/>
    <w:rsid w:val="00997D4E"/>
    <w:rsid w:val="00997E70"/>
    <w:rsid w:val="009A040F"/>
    <w:rsid w:val="009A08A2"/>
    <w:rsid w:val="009A0B65"/>
    <w:rsid w:val="009A1315"/>
    <w:rsid w:val="009A1917"/>
    <w:rsid w:val="009A19EE"/>
    <w:rsid w:val="009A1C67"/>
    <w:rsid w:val="009A1C80"/>
    <w:rsid w:val="009A1DA9"/>
    <w:rsid w:val="009A1FAF"/>
    <w:rsid w:val="009A23E4"/>
    <w:rsid w:val="009A28DD"/>
    <w:rsid w:val="009A2C72"/>
    <w:rsid w:val="009A2F40"/>
    <w:rsid w:val="009A3032"/>
    <w:rsid w:val="009A32EC"/>
    <w:rsid w:val="009A3AFE"/>
    <w:rsid w:val="009A3D68"/>
    <w:rsid w:val="009A3E42"/>
    <w:rsid w:val="009A3EA6"/>
    <w:rsid w:val="009A3EC6"/>
    <w:rsid w:val="009A43DC"/>
    <w:rsid w:val="009A4581"/>
    <w:rsid w:val="009A45AE"/>
    <w:rsid w:val="009A4C77"/>
    <w:rsid w:val="009A54D0"/>
    <w:rsid w:val="009A595B"/>
    <w:rsid w:val="009A5A32"/>
    <w:rsid w:val="009A5CE6"/>
    <w:rsid w:val="009A5DDD"/>
    <w:rsid w:val="009A630C"/>
    <w:rsid w:val="009A65F6"/>
    <w:rsid w:val="009A6A03"/>
    <w:rsid w:val="009A6FE3"/>
    <w:rsid w:val="009A73A8"/>
    <w:rsid w:val="009A798D"/>
    <w:rsid w:val="009A7A58"/>
    <w:rsid w:val="009A7D60"/>
    <w:rsid w:val="009A7E9B"/>
    <w:rsid w:val="009A7F2F"/>
    <w:rsid w:val="009B0074"/>
    <w:rsid w:val="009B07BB"/>
    <w:rsid w:val="009B09FB"/>
    <w:rsid w:val="009B0A7F"/>
    <w:rsid w:val="009B0AD9"/>
    <w:rsid w:val="009B14D9"/>
    <w:rsid w:val="009B19F9"/>
    <w:rsid w:val="009B1CA2"/>
    <w:rsid w:val="009B1E60"/>
    <w:rsid w:val="009B1F0E"/>
    <w:rsid w:val="009B1FC6"/>
    <w:rsid w:val="009B2016"/>
    <w:rsid w:val="009B2709"/>
    <w:rsid w:val="009B2D21"/>
    <w:rsid w:val="009B2DEF"/>
    <w:rsid w:val="009B35B7"/>
    <w:rsid w:val="009B3A47"/>
    <w:rsid w:val="009B3C0C"/>
    <w:rsid w:val="009B3C11"/>
    <w:rsid w:val="009B3F9D"/>
    <w:rsid w:val="009B418C"/>
    <w:rsid w:val="009B42A8"/>
    <w:rsid w:val="009B445A"/>
    <w:rsid w:val="009B4596"/>
    <w:rsid w:val="009B541E"/>
    <w:rsid w:val="009B59D2"/>
    <w:rsid w:val="009B5DDC"/>
    <w:rsid w:val="009B6037"/>
    <w:rsid w:val="009B6340"/>
    <w:rsid w:val="009B6434"/>
    <w:rsid w:val="009B684D"/>
    <w:rsid w:val="009B7150"/>
    <w:rsid w:val="009B7BAE"/>
    <w:rsid w:val="009C0007"/>
    <w:rsid w:val="009C0058"/>
    <w:rsid w:val="009C0569"/>
    <w:rsid w:val="009C0C71"/>
    <w:rsid w:val="009C0E09"/>
    <w:rsid w:val="009C1418"/>
    <w:rsid w:val="009C142F"/>
    <w:rsid w:val="009C1A4B"/>
    <w:rsid w:val="009C1BBD"/>
    <w:rsid w:val="009C2EAA"/>
    <w:rsid w:val="009C385B"/>
    <w:rsid w:val="009C38CA"/>
    <w:rsid w:val="009C40BA"/>
    <w:rsid w:val="009C424F"/>
    <w:rsid w:val="009C42DA"/>
    <w:rsid w:val="009C4549"/>
    <w:rsid w:val="009C45A7"/>
    <w:rsid w:val="009C45F2"/>
    <w:rsid w:val="009C4BE9"/>
    <w:rsid w:val="009C4CBC"/>
    <w:rsid w:val="009C5869"/>
    <w:rsid w:val="009C58BA"/>
    <w:rsid w:val="009C58D5"/>
    <w:rsid w:val="009C5904"/>
    <w:rsid w:val="009C5C02"/>
    <w:rsid w:val="009C5E9C"/>
    <w:rsid w:val="009C5E9D"/>
    <w:rsid w:val="009C6059"/>
    <w:rsid w:val="009C63D4"/>
    <w:rsid w:val="009C6A52"/>
    <w:rsid w:val="009C6C00"/>
    <w:rsid w:val="009C739C"/>
    <w:rsid w:val="009C73D5"/>
    <w:rsid w:val="009C7A51"/>
    <w:rsid w:val="009C7E75"/>
    <w:rsid w:val="009C7EF4"/>
    <w:rsid w:val="009C7F00"/>
    <w:rsid w:val="009D02DC"/>
    <w:rsid w:val="009D031E"/>
    <w:rsid w:val="009D074E"/>
    <w:rsid w:val="009D0B17"/>
    <w:rsid w:val="009D0BCC"/>
    <w:rsid w:val="009D0C2E"/>
    <w:rsid w:val="009D1929"/>
    <w:rsid w:val="009D1CA7"/>
    <w:rsid w:val="009D1F4B"/>
    <w:rsid w:val="009D2490"/>
    <w:rsid w:val="009D2A21"/>
    <w:rsid w:val="009D2E3B"/>
    <w:rsid w:val="009D30A9"/>
    <w:rsid w:val="009D31AA"/>
    <w:rsid w:val="009D331E"/>
    <w:rsid w:val="009D3329"/>
    <w:rsid w:val="009D3520"/>
    <w:rsid w:val="009D3721"/>
    <w:rsid w:val="009D3778"/>
    <w:rsid w:val="009D3AC5"/>
    <w:rsid w:val="009D3EB5"/>
    <w:rsid w:val="009D4A5A"/>
    <w:rsid w:val="009D57B7"/>
    <w:rsid w:val="009D5869"/>
    <w:rsid w:val="009D6140"/>
    <w:rsid w:val="009D627B"/>
    <w:rsid w:val="009D646B"/>
    <w:rsid w:val="009D68C7"/>
    <w:rsid w:val="009D6B94"/>
    <w:rsid w:val="009D712D"/>
    <w:rsid w:val="009D73AB"/>
    <w:rsid w:val="009D7DEC"/>
    <w:rsid w:val="009D7DFD"/>
    <w:rsid w:val="009E003D"/>
    <w:rsid w:val="009E059E"/>
    <w:rsid w:val="009E063F"/>
    <w:rsid w:val="009E07C1"/>
    <w:rsid w:val="009E094A"/>
    <w:rsid w:val="009E0B43"/>
    <w:rsid w:val="009E0E2E"/>
    <w:rsid w:val="009E0F2C"/>
    <w:rsid w:val="009E15BD"/>
    <w:rsid w:val="009E1DF6"/>
    <w:rsid w:val="009E2279"/>
    <w:rsid w:val="009E2858"/>
    <w:rsid w:val="009E2B57"/>
    <w:rsid w:val="009E3141"/>
    <w:rsid w:val="009E3199"/>
    <w:rsid w:val="009E32B4"/>
    <w:rsid w:val="009E375D"/>
    <w:rsid w:val="009E3978"/>
    <w:rsid w:val="009E3CB7"/>
    <w:rsid w:val="009E4562"/>
    <w:rsid w:val="009E4BB0"/>
    <w:rsid w:val="009E4F1E"/>
    <w:rsid w:val="009E5518"/>
    <w:rsid w:val="009E5780"/>
    <w:rsid w:val="009E5877"/>
    <w:rsid w:val="009E5896"/>
    <w:rsid w:val="009E58A5"/>
    <w:rsid w:val="009E6491"/>
    <w:rsid w:val="009E6825"/>
    <w:rsid w:val="009E6BCE"/>
    <w:rsid w:val="009E6EAE"/>
    <w:rsid w:val="009E7086"/>
    <w:rsid w:val="009E76A4"/>
    <w:rsid w:val="009E77D7"/>
    <w:rsid w:val="009E7C95"/>
    <w:rsid w:val="009E7FF0"/>
    <w:rsid w:val="009F005B"/>
    <w:rsid w:val="009F0A75"/>
    <w:rsid w:val="009F0D16"/>
    <w:rsid w:val="009F1CC0"/>
    <w:rsid w:val="009F2306"/>
    <w:rsid w:val="009F2890"/>
    <w:rsid w:val="009F2FA3"/>
    <w:rsid w:val="009F2FAE"/>
    <w:rsid w:val="009F35DA"/>
    <w:rsid w:val="009F37E9"/>
    <w:rsid w:val="009F3AF1"/>
    <w:rsid w:val="009F3B50"/>
    <w:rsid w:val="009F3D65"/>
    <w:rsid w:val="009F3E86"/>
    <w:rsid w:val="009F3FA8"/>
    <w:rsid w:val="009F427F"/>
    <w:rsid w:val="009F45D0"/>
    <w:rsid w:val="009F4740"/>
    <w:rsid w:val="009F4776"/>
    <w:rsid w:val="009F4AF6"/>
    <w:rsid w:val="009F4B50"/>
    <w:rsid w:val="009F536C"/>
    <w:rsid w:val="009F5620"/>
    <w:rsid w:val="009F5698"/>
    <w:rsid w:val="009F66C7"/>
    <w:rsid w:val="009F67A2"/>
    <w:rsid w:val="009F70E3"/>
    <w:rsid w:val="009F753A"/>
    <w:rsid w:val="009F75ED"/>
    <w:rsid w:val="009F7C7F"/>
    <w:rsid w:val="00A0040A"/>
    <w:rsid w:val="00A00D8A"/>
    <w:rsid w:val="00A00F8E"/>
    <w:rsid w:val="00A01150"/>
    <w:rsid w:val="00A0120B"/>
    <w:rsid w:val="00A01387"/>
    <w:rsid w:val="00A01467"/>
    <w:rsid w:val="00A01676"/>
    <w:rsid w:val="00A02143"/>
    <w:rsid w:val="00A0226B"/>
    <w:rsid w:val="00A025BB"/>
    <w:rsid w:val="00A02B72"/>
    <w:rsid w:val="00A02F90"/>
    <w:rsid w:val="00A03709"/>
    <w:rsid w:val="00A0378E"/>
    <w:rsid w:val="00A03FEE"/>
    <w:rsid w:val="00A04D38"/>
    <w:rsid w:val="00A053D4"/>
    <w:rsid w:val="00A05435"/>
    <w:rsid w:val="00A05461"/>
    <w:rsid w:val="00A05577"/>
    <w:rsid w:val="00A055E8"/>
    <w:rsid w:val="00A055F5"/>
    <w:rsid w:val="00A064C0"/>
    <w:rsid w:val="00A06891"/>
    <w:rsid w:val="00A06911"/>
    <w:rsid w:val="00A06B26"/>
    <w:rsid w:val="00A06CBC"/>
    <w:rsid w:val="00A07033"/>
    <w:rsid w:val="00A072E1"/>
    <w:rsid w:val="00A0765F"/>
    <w:rsid w:val="00A07846"/>
    <w:rsid w:val="00A07AD0"/>
    <w:rsid w:val="00A07B93"/>
    <w:rsid w:val="00A1038A"/>
    <w:rsid w:val="00A105A8"/>
    <w:rsid w:val="00A10710"/>
    <w:rsid w:val="00A10C6F"/>
    <w:rsid w:val="00A110F2"/>
    <w:rsid w:val="00A113DA"/>
    <w:rsid w:val="00A11C9E"/>
    <w:rsid w:val="00A11DA2"/>
    <w:rsid w:val="00A120A9"/>
    <w:rsid w:val="00A12646"/>
    <w:rsid w:val="00A12ADD"/>
    <w:rsid w:val="00A13015"/>
    <w:rsid w:val="00A13957"/>
    <w:rsid w:val="00A13A95"/>
    <w:rsid w:val="00A142DD"/>
    <w:rsid w:val="00A14838"/>
    <w:rsid w:val="00A14DF5"/>
    <w:rsid w:val="00A15771"/>
    <w:rsid w:val="00A15B58"/>
    <w:rsid w:val="00A15D92"/>
    <w:rsid w:val="00A161FE"/>
    <w:rsid w:val="00A1681F"/>
    <w:rsid w:val="00A16C96"/>
    <w:rsid w:val="00A16D1A"/>
    <w:rsid w:val="00A16EAD"/>
    <w:rsid w:val="00A1733B"/>
    <w:rsid w:val="00A17541"/>
    <w:rsid w:val="00A1775D"/>
    <w:rsid w:val="00A17FA1"/>
    <w:rsid w:val="00A205E7"/>
    <w:rsid w:val="00A20C4C"/>
    <w:rsid w:val="00A20DFC"/>
    <w:rsid w:val="00A20E84"/>
    <w:rsid w:val="00A211AB"/>
    <w:rsid w:val="00A214CC"/>
    <w:rsid w:val="00A2160D"/>
    <w:rsid w:val="00A21A62"/>
    <w:rsid w:val="00A226F6"/>
    <w:rsid w:val="00A22899"/>
    <w:rsid w:val="00A22A1B"/>
    <w:rsid w:val="00A22B2D"/>
    <w:rsid w:val="00A22B9D"/>
    <w:rsid w:val="00A22CB1"/>
    <w:rsid w:val="00A22CDC"/>
    <w:rsid w:val="00A22D9C"/>
    <w:rsid w:val="00A23500"/>
    <w:rsid w:val="00A23AB2"/>
    <w:rsid w:val="00A23CEB"/>
    <w:rsid w:val="00A24252"/>
    <w:rsid w:val="00A2452F"/>
    <w:rsid w:val="00A24C38"/>
    <w:rsid w:val="00A251C5"/>
    <w:rsid w:val="00A2551D"/>
    <w:rsid w:val="00A256C8"/>
    <w:rsid w:val="00A25922"/>
    <w:rsid w:val="00A259BD"/>
    <w:rsid w:val="00A25ED2"/>
    <w:rsid w:val="00A26005"/>
    <w:rsid w:val="00A26299"/>
    <w:rsid w:val="00A262C9"/>
    <w:rsid w:val="00A262E4"/>
    <w:rsid w:val="00A26491"/>
    <w:rsid w:val="00A2661C"/>
    <w:rsid w:val="00A2672F"/>
    <w:rsid w:val="00A2681D"/>
    <w:rsid w:val="00A26A42"/>
    <w:rsid w:val="00A2712A"/>
    <w:rsid w:val="00A273E3"/>
    <w:rsid w:val="00A27915"/>
    <w:rsid w:val="00A27B02"/>
    <w:rsid w:val="00A30615"/>
    <w:rsid w:val="00A30728"/>
    <w:rsid w:val="00A3088B"/>
    <w:rsid w:val="00A308E9"/>
    <w:rsid w:val="00A30C09"/>
    <w:rsid w:val="00A30D62"/>
    <w:rsid w:val="00A31841"/>
    <w:rsid w:val="00A318F9"/>
    <w:rsid w:val="00A31DE2"/>
    <w:rsid w:val="00A320CC"/>
    <w:rsid w:val="00A32589"/>
    <w:rsid w:val="00A325B3"/>
    <w:rsid w:val="00A3288D"/>
    <w:rsid w:val="00A32A35"/>
    <w:rsid w:val="00A32F7A"/>
    <w:rsid w:val="00A33044"/>
    <w:rsid w:val="00A3305B"/>
    <w:rsid w:val="00A3314B"/>
    <w:rsid w:val="00A331CB"/>
    <w:rsid w:val="00A33B28"/>
    <w:rsid w:val="00A33C94"/>
    <w:rsid w:val="00A3423E"/>
    <w:rsid w:val="00A343E3"/>
    <w:rsid w:val="00A3471F"/>
    <w:rsid w:val="00A347B3"/>
    <w:rsid w:val="00A34844"/>
    <w:rsid w:val="00A3494B"/>
    <w:rsid w:val="00A349AF"/>
    <w:rsid w:val="00A34CD8"/>
    <w:rsid w:val="00A35598"/>
    <w:rsid w:val="00A35707"/>
    <w:rsid w:val="00A35763"/>
    <w:rsid w:val="00A359A0"/>
    <w:rsid w:val="00A359C7"/>
    <w:rsid w:val="00A35D0B"/>
    <w:rsid w:val="00A35DD7"/>
    <w:rsid w:val="00A35F52"/>
    <w:rsid w:val="00A36A79"/>
    <w:rsid w:val="00A36CBA"/>
    <w:rsid w:val="00A36E97"/>
    <w:rsid w:val="00A370E0"/>
    <w:rsid w:val="00A373F8"/>
    <w:rsid w:val="00A37435"/>
    <w:rsid w:val="00A37851"/>
    <w:rsid w:val="00A400C7"/>
    <w:rsid w:val="00A40270"/>
    <w:rsid w:val="00A407CA"/>
    <w:rsid w:val="00A40B93"/>
    <w:rsid w:val="00A40C14"/>
    <w:rsid w:val="00A414A0"/>
    <w:rsid w:val="00A41681"/>
    <w:rsid w:val="00A41A0C"/>
    <w:rsid w:val="00A41FAA"/>
    <w:rsid w:val="00A420A2"/>
    <w:rsid w:val="00A42106"/>
    <w:rsid w:val="00A42442"/>
    <w:rsid w:val="00A43007"/>
    <w:rsid w:val="00A43164"/>
    <w:rsid w:val="00A43315"/>
    <w:rsid w:val="00A43951"/>
    <w:rsid w:val="00A43B3D"/>
    <w:rsid w:val="00A43B5F"/>
    <w:rsid w:val="00A43D4C"/>
    <w:rsid w:val="00A441AC"/>
    <w:rsid w:val="00A44314"/>
    <w:rsid w:val="00A44A9F"/>
    <w:rsid w:val="00A44C3B"/>
    <w:rsid w:val="00A44DDE"/>
    <w:rsid w:val="00A450C9"/>
    <w:rsid w:val="00A45143"/>
    <w:rsid w:val="00A455AD"/>
    <w:rsid w:val="00A46168"/>
    <w:rsid w:val="00A464A5"/>
    <w:rsid w:val="00A4658A"/>
    <w:rsid w:val="00A4693F"/>
    <w:rsid w:val="00A46C59"/>
    <w:rsid w:val="00A46F98"/>
    <w:rsid w:val="00A4724B"/>
    <w:rsid w:val="00A4781B"/>
    <w:rsid w:val="00A478D4"/>
    <w:rsid w:val="00A479EA"/>
    <w:rsid w:val="00A47AEE"/>
    <w:rsid w:val="00A47B37"/>
    <w:rsid w:val="00A47E8E"/>
    <w:rsid w:val="00A47FB8"/>
    <w:rsid w:val="00A50AAB"/>
    <w:rsid w:val="00A50E64"/>
    <w:rsid w:val="00A51180"/>
    <w:rsid w:val="00A512F6"/>
    <w:rsid w:val="00A51F27"/>
    <w:rsid w:val="00A523ED"/>
    <w:rsid w:val="00A52DF1"/>
    <w:rsid w:val="00A53146"/>
    <w:rsid w:val="00A5352F"/>
    <w:rsid w:val="00A535F6"/>
    <w:rsid w:val="00A537A6"/>
    <w:rsid w:val="00A5384F"/>
    <w:rsid w:val="00A53902"/>
    <w:rsid w:val="00A53A28"/>
    <w:rsid w:val="00A53E1F"/>
    <w:rsid w:val="00A53FBD"/>
    <w:rsid w:val="00A540A1"/>
    <w:rsid w:val="00A5427E"/>
    <w:rsid w:val="00A5446E"/>
    <w:rsid w:val="00A54959"/>
    <w:rsid w:val="00A54B3E"/>
    <w:rsid w:val="00A54B67"/>
    <w:rsid w:val="00A54E12"/>
    <w:rsid w:val="00A55064"/>
    <w:rsid w:val="00A55424"/>
    <w:rsid w:val="00A5552E"/>
    <w:rsid w:val="00A558E0"/>
    <w:rsid w:val="00A55BBA"/>
    <w:rsid w:val="00A55E89"/>
    <w:rsid w:val="00A55EC1"/>
    <w:rsid w:val="00A56242"/>
    <w:rsid w:val="00A5636F"/>
    <w:rsid w:val="00A56500"/>
    <w:rsid w:val="00A56690"/>
    <w:rsid w:val="00A56698"/>
    <w:rsid w:val="00A56A48"/>
    <w:rsid w:val="00A56B4C"/>
    <w:rsid w:val="00A56F56"/>
    <w:rsid w:val="00A5719B"/>
    <w:rsid w:val="00A57A2C"/>
    <w:rsid w:val="00A57CB5"/>
    <w:rsid w:val="00A57EAE"/>
    <w:rsid w:val="00A602D6"/>
    <w:rsid w:val="00A612E4"/>
    <w:rsid w:val="00A6137A"/>
    <w:rsid w:val="00A6137C"/>
    <w:rsid w:val="00A614F8"/>
    <w:rsid w:val="00A61682"/>
    <w:rsid w:val="00A618DA"/>
    <w:rsid w:val="00A61BCD"/>
    <w:rsid w:val="00A61EE0"/>
    <w:rsid w:val="00A61F67"/>
    <w:rsid w:val="00A62056"/>
    <w:rsid w:val="00A620C4"/>
    <w:rsid w:val="00A621F5"/>
    <w:rsid w:val="00A622AD"/>
    <w:rsid w:val="00A62397"/>
    <w:rsid w:val="00A62479"/>
    <w:rsid w:val="00A624D1"/>
    <w:rsid w:val="00A628F1"/>
    <w:rsid w:val="00A62EF3"/>
    <w:rsid w:val="00A630A2"/>
    <w:rsid w:val="00A6319A"/>
    <w:rsid w:val="00A635C5"/>
    <w:rsid w:val="00A649E1"/>
    <w:rsid w:val="00A64D21"/>
    <w:rsid w:val="00A64E2A"/>
    <w:rsid w:val="00A65820"/>
    <w:rsid w:val="00A65964"/>
    <w:rsid w:val="00A65BA2"/>
    <w:rsid w:val="00A65CE5"/>
    <w:rsid w:val="00A65EF7"/>
    <w:rsid w:val="00A65F0A"/>
    <w:rsid w:val="00A6618D"/>
    <w:rsid w:val="00A66372"/>
    <w:rsid w:val="00A66376"/>
    <w:rsid w:val="00A6647C"/>
    <w:rsid w:val="00A66803"/>
    <w:rsid w:val="00A66D9B"/>
    <w:rsid w:val="00A66E93"/>
    <w:rsid w:val="00A67215"/>
    <w:rsid w:val="00A67395"/>
    <w:rsid w:val="00A678A3"/>
    <w:rsid w:val="00A67DA4"/>
    <w:rsid w:val="00A704E4"/>
    <w:rsid w:val="00A705D3"/>
    <w:rsid w:val="00A7088C"/>
    <w:rsid w:val="00A708E4"/>
    <w:rsid w:val="00A70B55"/>
    <w:rsid w:val="00A71032"/>
    <w:rsid w:val="00A710E1"/>
    <w:rsid w:val="00A714BF"/>
    <w:rsid w:val="00A71E3A"/>
    <w:rsid w:val="00A721D1"/>
    <w:rsid w:val="00A722A0"/>
    <w:rsid w:val="00A72767"/>
    <w:rsid w:val="00A72A08"/>
    <w:rsid w:val="00A72AE5"/>
    <w:rsid w:val="00A72DFF"/>
    <w:rsid w:val="00A72E87"/>
    <w:rsid w:val="00A734FF"/>
    <w:rsid w:val="00A73565"/>
    <w:rsid w:val="00A73981"/>
    <w:rsid w:val="00A7428F"/>
    <w:rsid w:val="00A743A1"/>
    <w:rsid w:val="00A74BA2"/>
    <w:rsid w:val="00A74E13"/>
    <w:rsid w:val="00A75191"/>
    <w:rsid w:val="00A752B2"/>
    <w:rsid w:val="00A75503"/>
    <w:rsid w:val="00A75616"/>
    <w:rsid w:val="00A7578E"/>
    <w:rsid w:val="00A75A6C"/>
    <w:rsid w:val="00A760E9"/>
    <w:rsid w:val="00A76350"/>
    <w:rsid w:val="00A76A59"/>
    <w:rsid w:val="00A76B94"/>
    <w:rsid w:val="00A7781F"/>
    <w:rsid w:val="00A77A9B"/>
    <w:rsid w:val="00A8071A"/>
    <w:rsid w:val="00A807A6"/>
    <w:rsid w:val="00A80BD3"/>
    <w:rsid w:val="00A80BFF"/>
    <w:rsid w:val="00A81149"/>
    <w:rsid w:val="00A8137A"/>
    <w:rsid w:val="00A81574"/>
    <w:rsid w:val="00A817F3"/>
    <w:rsid w:val="00A81C40"/>
    <w:rsid w:val="00A82136"/>
    <w:rsid w:val="00A8213A"/>
    <w:rsid w:val="00A82304"/>
    <w:rsid w:val="00A82785"/>
    <w:rsid w:val="00A82C7A"/>
    <w:rsid w:val="00A83128"/>
    <w:rsid w:val="00A83383"/>
    <w:rsid w:val="00A837E2"/>
    <w:rsid w:val="00A83D60"/>
    <w:rsid w:val="00A83FE5"/>
    <w:rsid w:val="00A84591"/>
    <w:rsid w:val="00A84883"/>
    <w:rsid w:val="00A84D82"/>
    <w:rsid w:val="00A84E96"/>
    <w:rsid w:val="00A857F8"/>
    <w:rsid w:val="00A858FD"/>
    <w:rsid w:val="00A86688"/>
    <w:rsid w:val="00A86974"/>
    <w:rsid w:val="00A86EE7"/>
    <w:rsid w:val="00A87311"/>
    <w:rsid w:val="00A907A4"/>
    <w:rsid w:val="00A91337"/>
    <w:rsid w:val="00A916FF"/>
    <w:rsid w:val="00A91773"/>
    <w:rsid w:val="00A91DB1"/>
    <w:rsid w:val="00A91E59"/>
    <w:rsid w:val="00A92D51"/>
    <w:rsid w:val="00A93727"/>
    <w:rsid w:val="00A93B63"/>
    <w:rsid w:val="00A93C68"/>
    <w:rsid w:val="00A93C8E"/>
    <w:rsid w:val="00A93D3E"/>
    <w:rsid w:val="00A93E13"/>
    <w:rsid w:val="00A93F28"/>
    <w:rsid w:val="00A94D6A"/>
    <w:rsid w:val="00A94F8C"/>
    <w:rsid w:val="00A94FD5"/>
    <w:rsid w:val="00A959BD"/>
    <w:rsid w:val="00A95A73"/>
    <w:rsid w:val="00A95F28"/>
    <w:rsid w:val="00A96B9F"/>
    <w:rsid w:val="00A96EFC"/>
    <w:rsid w:val="00A96FBF"/>
    <w:rsid w:val="00A97829"/>
    <w:rsid w:val="00A97A1C"/>
    <w:rsid w:val="00A97DE6"/>
    <w:rsid w:val="00A97ED7"/>
    <w:rsid w:val="00A97F21"/>
    <w:rsid w:val="00AA0195"/>
    <w:rsid w:val="00AA01EF"/>
    <w:rsid w:val="00AA03A0"/>
    <w:rsid w:val="00AA0DCF"/>
    <w:rsid w:val="00AA18CA"/>
    <w:rsid w:val="00AA194D"/>
    <w:rsid w:val="00AA1CE5"/>
    <w:rsid w:val="00AA1D51"/>
    <w:rsid w:val="00AA2083"/>
    <w:rsid w:val="00AA2F70"/>
    <w:rsid w:val="00AA3484"/>
    <w:rsid w:val="00AA3A0C"/>
    <w:rsid w:val="00AA3A48"/>
    <w:rsid w:val="00AA3C05"/>
    <w:rsid w:val="00AA3C3A"/>
    <w:rsid w:val="00AA4267"/>
    <w:rsid w:val="00AA462A"/>
    <w:rsid w:val="00AA486F"/>
    <w:rsid w:val="00AA539C"/>
    <w:rsid w:val="00AA55BA"/>
    <w:rsid w:val="00AA5DE9"/>
    <w:rsid w:val="00AA60E5"/>
    <w:rsid w:val="00AA625A"/>
    <w:rsid w:val="00AA69CB"/>
    <w:rsid w:val="00AA6DBA"/>
    <w:rsid w:val="00AA7307"/>
    <w:rsid w:val="00AA734B"/>
    <w:rsid w:val="00AA73DF"/>
    <w:rsid w:val="00AA73F1"/>
    <w:rsid w:val="00AA7860"/>
    <w:rsid w:val="00AA7C01"/>
    <w:rsid w:val="00AA7D55"/>
    <w:rsid w:val="00AB1149"/>
    <w:rsid w:val="00AB1710"/>
    <w:rsid w:val="00AB1A19"/>
    <w:rsid w:val="00AB1D61"/>
    <w:rsid w:val="00AB1E11"/>
    <w:rsid w:val="00AB1FC9"/>
    <w:rsid w:val="00AB2311"/>
    <w:rsid w:val="00AB23E0"/>
    <w:rsid w:val="00AB2B78"/>
    <w:rsid w:val="00AB2DE4"/>
    <w:rsid w:val="00AB2F09"/>
    <w:rsid w:val="00AB2F15"/>
    <w:rsid w:val="00AB3764"/>
    <w:rsid w:val="00AB378C"/>
    <w:rsid w:val="00AB3EAC"/>
    <w:rsid w:val="00AB425F"/>
    <w:rsid w:val="00AB4416"/>
    <w:rsid w:val="00AB45D3"/>
    <w:rsid w:val="00AB45F3"/>
    <w:rsid w:val="00AB47EE"/>
    <w:rsid w:val="00AB48D0"/>
    <w:rsid w:val="00AB48F6"/>
    <w:rsid w:val="00AB4AA7"/>
    <w:rsid w:val="00AB4C89"/>
    <w:rsid w:val="00AB4FE1"/>
    <w:rsid w:val="00AB54E9"/>
    <w:rsid w:val="00AB5516"/>
    <w:rsid w:val="00AB5608"/>
    <w:rsid w:val="00AB5868"/>
    <w:rsid w:val="00AB604B"/>
    <w:rsid w:val="00AB62ED"/>
    <w:rsid w:val="00AB63C0"/>
    <w:rsid w:val="00AB67BF"/>
    <w:rsid w:val="00AB6FDA"/>
    <w:rsid w:val="00AB71D6"/>
    <w:rsid w:val="00AB7538"/>
    <w:rsid w:val="00AB7675"/>
    <w:rsid w:val="00AB7AB1"/>
    <w:rsid w:val="00AB7EE7"/>
    <w:rsid w:val="00AB7F17"/>
    <w:rsid w:val="00AC01B4"/>
    <w:rsid w:val="00AC0239"/>
    <w:rsid w:val="00AC0923"/>
    <w:rsid w:val="00AC093D"/>
    <w:rsid w:val="00AC09C7"/>
    <w:rsid w:val="00AC0EA6"/>
    <w:rsid w:val="00AC1005"/>
    <w:rsid w:val="00AC123B"/>
    <w:rsid w:val="00AC1413"/>
    <w:rsid w:val="00AC165A"/>
    <w:rsid w:val="00AC1F0E"/>
    <w:rsid w:val="00AC222F"/>
    <w:rsid w:val="00AC2765"/>
    <w:rsid w:val="00AC3205"/>
    <w:rsid w:val="00AC3206"/>
    <w:rsid w:val="00AC344C"/>
    <w:rsid w:val="00AC3978"/>
    <w:rsid w:val="00AC3A5A"/>
    <w:rsid w:val="00AC3FE7"/>
    <w:rsid w:val="00AC4855"/>
    <w:rsid w:val="00AC4CFD"/>
    <w:rsid w:val="00AC57BE"/>
    <w:rsid w:val="00AC5893"/>
    <w:rsid w:val="00AC5AEB"/>
    <w:rsid w:val="00AC5B06"/>
    <w:rsid w:val="00AC5DD1"/>
    <w:rsid w:val="00AC68E5"/>
    <w:rsid w:val="00AC6B44"/>
    <w:rsid w:val="00AC6D77"/>
    <w:rsid w:val="00AC7545"/>
    <w:rsid w:val="00AC7557"/>
    <w:rsid w:val="00AC7943"/>
    <w:rsid w:val="00AC7E37"/>
    <w:rsid w:val="00AC7FE5"/>
    <w:rsid w:val="00AD07C9"/>
    <w:rsid w:val="00AD0904"/>
    <w:rsid w:val="00AD0BBD"/>
    <w:rsid w:val="00AD19A0"/>
    <w:rsid w:val="00AD1CA3"/>
    <w:rsid w:val="00AD1DE7"/>
    <w:rsid w:val="00AD23B9"/>
    <w:rsid w:val="00AD2965"/>
    <w:rsid w:val="00AD2B23"/>
    <w:rsid w:val="00AD2B27"/>
    <w:rsid w:val="00AD34A8"/>
    <w:rsid w:val="00AD3861"/>
    <w:rsid w:val="00AD38C4"/>
    <w:rsid w:val="00AD3A4B"/>
    <w:rsid w:val="00AD3C01"/>
    <w:rsid w:val="00AD3C0B"/>
    <w:rsid w:val="00AD3FF8"/>
    <w:rsid w:val="00AD41D5"/>
    <w:rsid w:val="00AD48B3"/>
    <w:rsid w:val="00AD4983"/>
    <w:rsid w:val="00AD4B6D"/>
    <w:rsid w:val="00AD4B9C"/>
    <w:rsid w:val="00AD4EFE"/>
    <w:rsid w:val="00AD536A"/>
    <w:rsid w:val="00AD578B"/>
    <w:rsid w:val="00AD58C1"/>
    <w:rsid w:val="00AD5E1F"/>
    <w:rsid w:val="00AD615F"/>
    <w:rsid w:val="00AD6262"/>
    <w:rsid w:val="00AD6414"/>
    <w:rsid w:val="00AD694D"/>
    <w:rsid w:val="00AD6E9E"/>
    <w:rsid w:val="00AD6FD0"/>
    <w:rsid w:val="00AD7209"/>
    <w:rsid w:val="00AD7289"/>
    <w:rsid w:val="00AD7516"/>
    <w:rsid w:val="00AD7F84"/>
    <w:rsid w:val="00AE05FE"/>
    <w:rsid w:val="00AE0734"/>
    <w:rsid w:val="00AE08BA"/>
    <w:rsid w:val="00AE0B53"/>
    <w:rsid w:val="00AE0BF3"/>
    <w:rsid w:val="00AE0E25"/>
    <w:rsid w:val="00AE10F2"/>
    <w:rsid w:val="00AE112B"/>
    <w:rsid w:val="00AE13B0"/>
    <w:rsid w:val="00AE142F"/>
    <w:rsid w:val="00AE15B8"/>
    <w:rsid w:val="00AE1738"/>
    <w:rsid w:val="00AE1D9B"/>
    <w:rsid w:val="00AE2021"/>
    <w:rsid w:val="00AE20DC"/>
    <w:rsid w:val="00AE2145"/>
    <w:rsid w:val="00AE23F1"/>
    <w:rsid w:val="00AE2999"/>
    <w:rsid w:val="00AE29D0"/>
    <w:rsid w:val="00AE2A35"/>
    <w:rsid w:val="00AE2A49"/>
    <w:rsid w:val="00AE2D4F"/>
    <w:rsid w:val="00AE2DE6"/>
    <w:rsid w:val="00AE2E38"/>
    <w:rsid w:val="00AE3143"/>
    <w:rsid w:val="00AE3260"/>
    <w:rsid w:val="00AE330C"/>
    <w:rsid w:val="00AE34F2"/>
    <w:rsid w:val="00AE368C"/>
    <w:rsid w:val="00AE3991"/>
    <w:rsid w:val="00AE3CD0"/>
    <w:rsid w:val="00AE3F27"/>
    <w:rsid w:val="00AE4457"/>
    <w:rsid w:val="00AE4509"/>
    <w:rsid w:val="00AE47B0"/>
    <w:rsid w:val="00AE4C1C"/>
    <w:rsid w:val="00AE5014"/>
    <w:rsid w:val="00AE5133"/>
    <w:rsid w:val="00AE51D3"/>
    <w:rsid w:val="00AE5241"/>
    <w:rsid w:val="00AE52A5"/>
    <w:rsid w:val="00AE598E"/>
    <w:rsid w:val="00AE6429"/>
    <w:rsid w:val="00AE67FD"/>
    <w:rsid w:val="00AE68EF"/>
    <w:rsid w:val="00AE6A13"/>
    <w:rsid w:val="00AE6AEF"/>
    <w:rsid w:val="00AE751C"/>
    <w:rsid w:val="00AE7629"/>
    <w:rsid w:val="00AE79EA"/>
    <w:rsid w:val="00AF0017"/>
    <w:rsid w:val="00AF0088"/>
    <w:rsid w:val="00AF0277"/>
    <w:rsid w:val="00AF0544"/>
    <w:rsid w:val="00AF112B"/>
    <w:rsid w:val="00AF16C3"/>
    <w:rsid w:val="00AF1C52"/>
    <w:rsid w:val="00AF1D3F"/>
    <w:rsid w:val="00AF234C"/>
    <w:rsid w:val="00AF2561"/>
    <w:rsid w:val="00AF25BB"/>
    <w:rsid w:val="00AF2622"/>
    <w:rsid w:val="00AF287F"/>
    <w:rsid w:val="00AF3241"/>
    <w:rsid w:val="00AF34EF"/>
    <w:rsid w:val="00AF35F6"/>
    <w:rsid w:val="00AF369D"/>
    <w:rsid w:val="00AF36C1"/>
    <w:rsid w:val="00AF3BEF"/>
    <w:rsid w:val="00AF3FFB"/>
    <w:rsid w:val="00AF4090"/>
    <w:rsid w:val="00AF4119"/>
    <w:rsid w:val="00AF45E2"/>
    <w:rsid w:val="00AF4656"/>
    <w:rsid w:val="00AF4DF4"/>
    <w:rsid w:val="00AF59FA"/>
    <w:rsid w:val="00AF5F26"/>
    <w:rsid w:val="00AF614D"/>
    <w:rsid w:val="00AF6277"/>
    <w:rsid w:val="00AF6565"/>
    <w:rsid w:val="00AF67D6"/>
    <w:rsid w:val="00AF6B9B"/>
    <w:rsid w:val="00AF6EA5"/>
    <w:rsid w:val="00AF75D4"/>
    <w:rsid w:val="00AF7AF8"/>
    <w:rsid w:val="00AF7F8F"/>
    <w:rsid w:val="00B00356"/>
    <w:rsid w:val="00B004DA"/>
    <w:rsid w:val="00B00709"/>
    <w:rsid w:val="00B00969"/>
    <w:rsid w:val="00B00AEE"/>
    <w:rsid w:val="00B00C55"/>
    <w:rsid w:val="00B01806"/>
    <w:rsid w:val="00B018DE"/>
    <w:rsid w:val="00B01911"/>
    <w:rsid w:val="00B01BE6"/>
    <w:rsid w:val="00B01D8C"/>
    <w:rsid w:val="00B01E83"/>
    <w:rsid w:val="00B022B5"/>
    <w:rsid w:val="00B02963"/>
    <w:rsid w:val="00B02B20"/>
    <w:rsid w:val="00B02CF4"/>
    <w:rsid w:val="00B02D9F"/>
    <w:rsid w:val="00B035F9"/>
    <w:rsid w:val="00B03910"/>
    <w:rsid w:val="00B046E9"/>
    <w:rsid w:val="00B04967"/>
    <w:rsid w:val="00B05027"/>
    <w:rsid w:val="00B051B0"/>
    <w:rsid w:val="00B05265"/>
    <w:rsid w:val="00B052EA"/>
    <w:rsid w:val="00B05DB3"/>
    <w:rsid w:val="00B0648E"/>
    <w:rsid w:val="00B0681E"/>
    <w:rsid w:val="00B06854"/>
    <w:rsid w:val="00B069C0"/>
    <w:rsid w:val="00B06F54"/>
    <w:rsid w:val="00B072D4"/>
    <w:rsid w:val="00B0747E"/>
    <w:rsid w:val="00B076C6"/>
    <w:rsid w:val="00B07AD0"/>
    <w:rsid w:val="00B07B87"/>
    <w:rsid w:val="00B1003E"/>
    <w:rsid w:val="00B104BA"/>
    <w:rsid w:val="00B10778"/>
    <w:rsid w:val="00B10E64"/>
    <w:rsid w:val="00B113DD"/>
    <w:rsid w:val="00B113E9"/>
    <w:rsid w:val="00B11403"/>
    <w:rsid w:val="00B1159A"/>
    <w:rsid w:val="00B117B2"/>
    <w:rsid w:val="00B124F8"/>
    <w:rsid w:val="00B12997"/>
    <w:rsid w:val="00B12E62"/>
    <w:rsid w:val="00B12E9F"/>
    <w:rsid w:val="00B13098"/>
    <w:rsid w:val="00B1353B"/>
    <w:rsid w:val="00B13F08"/>
    <w:rsid w:val="00B13F69"/>
    <w:rsid w:val="00B1414C"/>
    <w:rsid w:val="00B141DA"/>
    <w:rsid w:val="00B1424B"/>
    <w:rsid w:val="00B143C2"/>
    <w:rsid w:val="00B14794"/>
    <w:rsid w:val="00B14938"/>
    <w:rsid w:val="00B14D60"/>
    <w:rsid w:val="00B14E16"/>
    <w:rsid w:val="00B14E86"/>
    <w:rsid w:val="00B14FE5"/>
    <w:rsid w:val="00B159A9"/>
    <w:rsid w:val="00B15D42"/>
    <w:rsid w:val="00B15D8A"/>
    <w:rsid w:val="00B15F29"/>
    <w:rsid w:val="00B15F83"/>
    <w:rsid w:val="00B165F3"/>
    <w:rsid w:val="00B165F7"/>
    <w:rsid w:val="00B1697B"/>
    <w:rsid w:val="00B16E80"/>
    <w:rsid w:val="00B17759"/>
    <w:rsid w:val="00B17760"/>
    <w:rsid w:val="00B17990"/>
    <w:rsid w:val="00B17A3B"/>
    <w:rsid w:val="00B17B3D"/>
    <w:rsid w:val="00B17B64"/>
    <w:rsid w:val="00B17D3E"/>
    <w:rsid w:val="00B200CA"/>
    <w:rsid w:val="00B20696"/>
    <w:rsid w:val="00B2082C"/>
    <w:rsid w:val="00B208DB"/>
    <w:rsid w:val="00B20A8A"/>
    <w:rsid w:val="00B20F40"/>
    <w:rsid w:val="00B2121B"/>
    <w:rsid w:val="00B2191C"/>
    <w:rsid w:val="00B21A63"/>
    <w:rsid w:val="00B21D36"/>
    <w:rsid w:val="00B21D57"/>
    <w:rsid w:val="00B22076"/>
    <w:rsid w:val="00B22267"/>
    <w:rsid w:val="00B222EB"/>
    <w:rsid w:val="00B223B4"/>
    <w:rsid w:val="00B2250E"/>
    <w:rsid w:val="00B22748"/>
    <w:rsid w:val="00B227AE"/>
    <w:rsid w:val="00B22806"/>
    <w:rsid w:val="00B228B5"/>
    <w:rsid w:val="00B2298B"/>
    <w:rsid w:val="00B22BF7"/>
    <w:rsid w:val="00B22C27"/>
    <w:rsid w:val="00B22E9D"/>
    <w:rsid w:val="00B22EFB"/>
    <w:rsid w:val="00B23256"/>
    <w:rsid w:val="00B2334F"/>
    <w:rsid w:val="00B239B5"/>
    <w:rsid w:val="00B24271"/>
    <w:rsid w:val="00B24311"/>
    <w:rsid w:val="00B243CC"/>
    <w:rsid w:val="00B249B2"/>
    <w:rsid w:val="00B24A2B"/>
    <w:rsid w:val="00B24B23"/>
    <w:rsid w:val="00B24B44"/>
    <w:rsid w:val="00B24D30"/>
    <w:rsid w:val="00B2518F"/>
    <w:rsid w:val="00B254F9"/>
    <w:rsid w:val="00B25826"/>
    <w:rsid w:val="00B25CC1"/>
    <w:rsid w:val="00B25F88"/>
    <w:rsid w:val="00B2613F"/>
    <w:rsid w:val="00B269B6"/>
    <w:rsid w:val="00B26FE7"/>
    <w:rsid w:val="00B275E9"/>
    <w:rsid w:val="00B27634"/>
    <w:rsid w:val="00B27B23"/>
    <w:rsid w:val="00B27E04"/>
    <w:rsid w:val="00B301A2"/>
    <w:rsid w:val="00B3054C"/>
    <w:rsid w:val="00B309B8"/>
    <w:rsid w:val="00B30DF4"/>
    <w:rsid w:val="00B30E02"/>
    <w:rsid w:val="00B31381"/>
    <w:rsid w:val="00B31457"/>
    <w:rsid w:val="00B3172B"/>
    <w:rsid w:val="00B31755"/>
    <w:rsid w:val="00B3185B"/>
    <w:rsid w:val="00B318CD"/>
    <w:rsid w:val="00B31939"/>
    <w:rsid w:val="00B31CF1"/>
    <w:rsid w:val="00B31F2D"/>
    <w:rsid w:val="00B325AF"/>
    <w:rsid w:val="00B329E7"/>
    <w:rsid w:val="00B3348D"/>
    <w:rsid w:val="00B3363F"/>
    <w:rsid w:val="00B33822"/>
    <w:rsid w:val="00B33887"/>
    <w:rsid w:val="00B34A01"/>
    <w:rsid w:val="00B34C22"/>
    <w:rsid w:val="00B34D3D"/>
    <w:rsid w:val="00B34F59"/>
    <w:rsid w:val="00B350A5"/>
    <w:rsid w:val="00B35179"/>
    <w:rsid w:val="00B35241"/>
    <w:rsid w:val="00B358E3"/>
    <w:rsid w:val="00B35CA8"/>
    <w:rsid w:val="00B35E6C"/>
    <w:rsid w:val="00B35EBE"/>
    <w:rsid w:val="00B369ED"/>
    <w:rsid w:val="00B36DE6"/>
    <w:rsid w:val="00B3744A"/>
    <w:rsid w:val="00B378B8"/>
    <w:rsid w:val="00B37950"/>
    <w:rsid w:val="00B37B3B"/>
    <w:rsid w:val="00B37FA5"/>
    <w:rsid w:val="00B4032D"/>
    <w:rsid w:val="00B404A0"/>
    <w:rsid w:val="00B40543"/>
    <w:rsid w:val="00B408DD"/>
    <w:rsid w:val="00B40992"/>
    <w:rsid w:val="00B40AAC"/>
    <w:rsid w:val="00B40B9E"/>
    <w:rsid w:val="00B40E00"/>
    <w:rsid w:val="00B40EC0"/>
    <w:rsid w:val="00B4131A"/>
    <w:rsid w:val="00B4151C"/>
    <w:rsid w:val="00B415C4"/>
    <w:rsid w:val="00B41A17"/>
    <w:rsid w:val="00B41EE8"/>
    <w:rsid w:val="00B426AA"/>
    <w:rsid w:val="00B4280F"/>
    <w:rsid w:val="00B42879"/>
    <w:rsid w:val="00B42BE3"/>
    <w:rsid w:val="00B43091"/>
    <w:rsid w:val="00B43648"/>
    <w:rsid w:val="00B44ADF"/>
    <w:rsid w:val="00B45237"/>
    <w:rsid w:val="00B45FC7"/>
    <w:rsid w:val="00B4602F"/>
    <w:rsid w:val="00B461DE"/>
    <w:rsid w:val="00B4621C"/>
    <w:rsid w:val="00B46815"/>
    <w:rsid w:val="00B46A3D"/>
    <w:rsid w:val="00B46C2E"/>
    <w:rsid w:val="00B46FF7"/>
    <w:rsid w:val="00B470FF"/>
    <w:rsid w:val="00B472A2"/>
    <w:rsid w:val="00B4771B"/>
    <w:rsid w:val="00B47AC4"/>
    <w:rsid w:val="00B47F3E"/>
    <w:rsid w:val="00B5072A"/>
    <w:rsid w:val="00B50CFE"/>
    <w:rsid w:val="00B50E79"/>
    <w:rsid w:val="00B51052"/>
    <w:rsid w:val="00B5173C"/>
    <w:rsid w:val="00B518CF"/>
    <w:rsid w:val="00B52146"/>
    <w:rsid w:val="00B52439"/>
    <w:rsid w:val="00B52F88"/>
    <w:rsid w:val="00B53106"/>
    <w:rsid w:val="00B53452"/>
    <w:rsid w:val="00B53525"/>
    <w:rsid w:val="00B5352A"/>
    <w:rsid w:val="00B53A55"/>
    <w:rsid w:val="00B53CDC"/>
    <w:rsid w:val="00B53EB7"/>
    <w:rsid w:val="00B54232"/>
    <w:rsid w:val="00B54EC9"/>
    <w:rsid w:val="00B552FA"/>
    <w:rsid w:val="00B5536D"/>
    <w:rsid w:val="00B55616"/>
    <w:rsid w:val="00B5596F"/>
    <w:rsid w:val="00B55AAD"/>
    <w:rsid w:val="00B55E85"/>
    <w:rsid w:val="00B5611F"/>
    <w:rsid w:val="00B56E64"/>
    <w:rsid w:val="00B57671"/>
    <w:rsid w:val="00B57E7D"/>
    <w:rsid w:val="00B57FB6"/>
    <w:rsid w:val="00B611B8"/>
    <w:rsid w:val="00B614E3"/>
    <w:rsid w:val="00B61C09"/>
    <w:rsid w:val="00B61C73"/>
    <w:rsid w:val="00B61D27"/>
    <w:rsid w:val="00B62150"/>
    <w:rsid w:val="00B62203"/>
    <w:rsid w:val="00B6258E"/>
    <w:rsid w:val="00B62A17"/>
    <w:rsid w:val="00B6380D"/>
    <w:rsid w:val="00B64090"/>
    <w:rsid w:val="00B642D7"/>
    <w:rsid w:val="00B644B0"/>
    <w:rsid w:val="00B64578"/>
    <w:rsid w:val="00B651DE"/>
    <w:rsid w:val="00B657C6"/>
    <w:rsid w:val="00B65ABE"/>
    <w:rsid w:val="00B66796"/>
    <w:rsid w:val="00B66AC2"/>
    <w:rsid w:val="00B6712F"/>
    <w:rsid w:val="00B676CE"/>
    <w:rsid w:val="00B67C1F"/>
    <w:rsid w:val="00B707DE"/>
    <w:rsid w:val="00B70928"/>
    <w:rsid w:val="00B70A3A"/>
    <w:rsid w:val="00B70CAE"/>
    <w:rsid w:val="00B714C0"/>
    <w:rsid w:val="00B71684"/>
    <w:rsid w:val="00B717E8"/>
    <w:rsid w:val="00B71F68"/>
    <w:rsid w:val="00B722B0"/>
    <w:rsid w:val="00B722DA"/>
    <w:rsid w:val="00B7265D"/>
    <w:rsid w:val="00B72A6E"/>
    <w:rsid w:val="00B72C56"/>
    <w:rsid w:val="00B73559"/>
    <w:rsid w:val="00B73799"/>
    <w:rsid w:val="00B73A33"/>
    <w:rsid w:val="00B7435E"/>
    <w:rsid w:val="00B7448D"/>
    <w:rsid w:val="00B747C7"/>
    <w:rsid w:val="00B74928"/>
    <w:rsid w:val="00B74DA1"/>
    <w:rsid w:val="00B7511E"/>
    <w:rsid w:val="00B752A5"/>
    <w:rsid w:val="00B75750"/>
    <w:rsid w:val="00B75A57"/>
    <w:rsid w:val="00B75B39"/>
    <w:rsid w:val="00B75C3D"/>
    <w:rsid w:val="00B7611D"/>
    <w:rsid w:val="00B7616B"/>
    <w:rsid w:val="00B76394"/>
    <w:rsid w:val="00B767A9"/>
    <w:rsid w:val="00B7689B"/>
    <w:rsid w:val="00B769E9"/>
    <w:rsid w:val="00B77D47"/>
    <w:rsid w:val="00B77FCE"/>
    <w:rsid w:val="00B805EA"/>
    <w:rsid w:val="00B80677"/>
    <w:rsid w:val="00B80A29"/>
    <w:rsid w:val="00B812C8"/>
    <w:rsid w:val="00B81302"/>
    <w:rsid w:val="00B813E0"/>
    <w:rsid w:val="00B81452"/>
    <w:rsid w:val="00B8191C"/>
    <w:rsid w:val="00B81F35"/>
    <w:rsid w:val="00B82161"/>
    <w:rsid w:val="00B8265E"/>
    <w:rsid w:val="00B8316B"/>
    <w:rsid w:val="00B83D88"/>
    <w:rsid w:val="00B84304"/>
    <w:rsid w:val="00B8433C"/>
    <w:rsid w:val="00B846B4"/>
    <w:rsid w:val="00B84847"/>
    <w:rsid w:val="00B84BA0"/>
    <w:rsid w:val="00B84BA1"/>
    <w:rsid w:val="00B84CBC"/>
    <w:rsid w:val="00B84CD1"/>
    <w:rsid w:val="00B84D0D"/>
    <w:rsid w:val="00B850C9"/>
    <w:rsid w:val="00B852B4"/>
    <w:rsid w:val="00B85819"/>
    <w:rsid w:val="00B85956"/>
    <w:rsid w:val="00B85B1D"/>
    <w:rsid w:val="00B85FB8"/>
    <w:rsid w:val="00B85FDF"/>
    <w:rsid w:val="00B868A3"/>
    <w:rsid w:val="00B86DDE"/>
    <w:rsid w:val="00B8700C"/>
    <w:rsid w:val="00B87213"/>
    <w:rsid w:val="00B87244"/>
    <w:rsid w:val="00B87A98"/>
    <w:rsid w:val="00B87B0E"/>
    <w:rsid w:val="00B9030A"/>
    <w:rsid w:val="00B90610"/>
    <w:rsid w:val="00B90AC9"/>
    <w:rsid w:val="00B90D04"/>
    <w:rsid w:val="00B90FD6"/>
    <w:rsid w:val="00B9122E"/>
    <w:rsid w:val="00B91BFA"/>
    <w:rsid w:val="00B926F9"/>
    <w:rsid w:val="00B92D03"/>
    <w:rsid w:val="00B93278"/>
    <w:rsid w:val="00B9335C"/>
    <w:rsid w:val="00B935A2"/>
    <w:rsid w:val="00B941CA"/>
    <w:rsid w:val="00B94292"/>
    <w:rsid w:val="00B94293"/>
    <w:rsid w:val="00B94555"/>
    <w:rsid w:val="00B94739"/>
    <w:rsid w:val="00B9509A"/>
    <w:rsid w:val="00B953DF"/>
    <w:rsid w:val="00B95471"/>
    <w:rsid w:val="00B9554D"/>
    <w:rsid w:val="00B957CF"/>
    <w:rsid w:val="00B9604B"/>
    <w:rsid w:val="00B960B8"/>
    <w:rsid w:val="00B9632C"/>
    <w:rsid w:val="00B966F5"/>
    <w:rsid w:val="00B96B2B"/>
    <w:rsid w:val="00B96C3F"/>
    <w:rsid w:val="00B97000"/>
    <w:rsid w:val="00B9709E"/>
    <w:rsid w:val="00B978DC"/>
    <w:rsid w:val="00B97B30"/>
    <w:rsid w:val="00B97B97"/>
    <w:rsid w:val="00B97E5D"/>
    <w:rsid w:val="00BA01AE"/>
    <w:rsid w:val="00BA01EB"/>
    <w:rsid w:val="00BA08C5"/>
    <w:rsid w:val="00BA0BCE"/>
    <w:rsid w:val="00BA1199"/>
    <w:rsid w:val="00BA1427"/>
    <w:rsid w:val="00BA1610"/>
    <w:rsid w:val="00BA1667"/>
    <w:rsid w:val="00BA1744"/>
    <w:rsid w:val="00BA17EA"/>
    <w:rsid w:val="00BA1A12"/>
    <w:rsid w:val="00BA1BF2"/>
    <w:rsid w:val="00BA2019"/>
    <w:rsid w:val="00BA2278"/>
    <w:rsid w:val="00BA291E"/>
    <w:rsid w:val="00BA2943"/>
    <w:rsid w:val="00BA2AF1"/>
    <w:rsid w:val="00BA2F69"/>
    <w:rsid w:val="00BA3011"/>
    <w:rsid w:val="00BA31BF"/>
    <w:rsid w:val="00BA3A25"/>
    <w:rsid w:val="00BA484F"/>
    <w:rsid w:val="00BA50B2"/>
    <w:rsid w:val="00BA524B"/>
    <w:rsid w:val="00BA5773"/>
    <w:rsid w:val="00BA59A1"/>
    <w:rsid w:val="00BA6213"/>
    <w:rsid w:val="00BA65DB"/>
    <w:rsid w:val="00BA6C02"/>
    <w:rsid w:val="00BA6C0F"/>
    <w:rsid w:val="00BA7378"/>
    <w:rsid w:val="00BA78E5"/>
    <w:rsid w:val="00BA793E"/>
    <w:rsid w:val="00BB005A"/>
    <w:rsid w:val="00BB00E4"/>
    <w:rsid w:val="00BB063A"/>
    <w:rsid w:val="00BB0913"/>
    <w:rsid w:val="00BB099D"/>
    <w:rsid w:val="00BB099E"/>
    <w:rsid w:val="00BB1522"/>
    <w:rsid w:val="00BB197F"/>
    <w:rsid w:val="00BB1BB5"/>
    <w:rsid w:val="00BB1BB8"/>
    <w:rsid w:val="00BB1BC5"/>
    <w:rsid w:val="00BB1D9F"/>
    <w:rsid w:val="00BB200C"/>
    <w:rsid w:val="00BB2325"/>
    <w:rsid w:val="00BB296D"/>
    <w:rsid w:val="00BB39B3"/>
    <w:rsid w:val="00BB3B7C"/>
    <w:rsid w:val="00BB40B4"/>
    <w:rsid w:val="00BB43D4"/>
    <w:rsid w:val="00BB4797"/>
    <w:rsid w:val="00BB4848"/>
    <w:rsid w:val="00BB531B"/>
    <w:rsid w:val="00BB550B"/>
    <w:rsid w:val="00BB57CC"/>
    <w:rsid w:val="00BB589C"/>
    <w:rsid w:val="00BB6479"/>
    <w:rsid w:val="00BB6626"/>
    <w:rsid w:val="00BB6C65"/>
    <w:rsid w:val="00BB6C87"/>
    <w:rsid w:val="00BB6CD5"/>
    <w:rsid w:val="00BB6DF0"/>
    <w:rsid w:val="00BB6FCD"/>
    <w:rsid w:val="00BB76DC"/>
    <w:rsid w:val="00BB7B4F"/>
    <w:rsid w:val="00BB7B7B"/>
    <w:rsid w:val="00BC01D9"/>
    <w:rsid w:val="00BC08D7"/>
    <w:rsid w:val="00BC1169"/>
    <w:rsid w:val="00BC146A"/>
    <w:rsid w:val="00BC180C"/>
    <w:rsid w:val="00BC19C4"/>
    <w:rsid w:val="00BC1C0C"/>
    <w:rsid w:val="00BC1D65"/>
    <w:rsid w:val="00BC21E2"/>
    <w:rsid w:val="00BC24B1"/>
    <w:rsid w:val="00BC27B1"/>
    <w:rsid w:val="00BC2809"/>
    <w:rsid w:val="00BC3255"/>
    <w:rsid w:val="00BC32CF"/>
    <w:rsid w:val="00BC3347"/>
    <w:rsid w:val="00BC349B"/>
    <w:rsid w:val="00BC3CB5"/>
    <w:rsid w:val="00BC417C"/>
    <w:rsid w:val="00BC48C4"/>
    <w:rsid w:val="00BC4B49"/>
    <w:rsid w:val="00BC5244"/>
    <w:rsid w:val="00BC5A3B"/>
    <w:rsid w:val="00BC5A4B"/>
    <w:rsid w:val="00BC5A99"/>
    <w:rsid w:val="00BC5CBC"/>
    <w:rsid w:val="00BC6034"/>
    <w:rsid w:val="00BC617D"/>
    <w:rsid w:val="00BC6C12"/>
    <w:rsid w:val="00BC7483"/>
    <w:rsid w:val="00BC7803"/>
    <w:rsid w:val="00BC7AFF"/>
    <w:rsid w:val="00BD021B"/>
    <w:rsid w:val="00BD02AE"/>
    <w:rsid w:val="00BD04BD"/>
    <w:rsid w:val="00BD076C"/>
    <w:rsid w:val="00BD09EF"/>
    <w:rsid w:val="00BD0B52"/>
    <w:rsid w:val="00BD0C22"/>
    <w:rsid w:val="00BD12C2"/>
    <w:rsid w:val="00BD1E99"/>
    <w:rsid w:val="00BD1F75"/>
    <w:rsid w:val="00BD270A"/>
    <w:rsid w:val="00BD2C99"/>
    <w:rsid w:val="00BD30DB"/>
    <w:rsid w:val="00BD3178"/>
    <w:rsid w:val="00BD337D"/>
    <w:rsid w:val="00BD3435"/>
    <w:rsid w:val="00BD3478"/>
    <w:rsid w:val="00BD35FF"/>
    <w:rsid w:val="00BD4396"/>
    <w:rsid w:val="00BD4F62"/>
    <w:rsid w:val="00BD5DA3"/>
    <w:rsid w:val="00BD5DEC"/>
    <w:rsid w:val="00BD5F6D"/>
    <w:rsid w:val="00BD659A"/>
    <w:rsid w:val="00BD65DA"/>
    <w:rsid w:val="00BD65FD"/>
    <w:rsid w:val="00BD68C8"/>
    <w:rsid w:val="00BD6DDA"/>
    <w:rsid w:val="00BD6E42"/>
    <w:rsid w:val="00BD6E9C"/>
    <w:rsid w:val="00BD7117"/>
    <w:rsid w:val="00BD7252"/>
    <w:rsid w:val="00BD7A92"/>
    <w:rsid w:val="00BD7E29"/>
    <w:rsid w:val="00BE02FC"/>
    <w:rsid w:val="00BE0747"/>
    <w:rsid w:val="00BE0876"/>
    <w:rsid w:val="00BE161C"/>
    <w:rsid w:val="00BE1786"/>
    <w:rsid w:val="00BE188C"/>
    <w:rsid w:val="00BE1C48"/>
    <w:rsid w:val="00BE1D93"/>
    <w:rsid w:val="00BE233A"/>
    <w:rsid w:val="00BE2BBB"/>
    <w:rsid w:val="00BE3230"/>
    <w:rsid w:val="00BE3C51"/>
    <w:rsid w:val="00BE3DA1"/>
    <w:rsid w:val="00BE3DEF"/>
    <w:rsid w:val="00BE41F4"/>
    <w:rsid w:val="00BE45F0"/>
    <w:rsid w:val="00BE47A2"/>
    <w:rsid w:val="00BE49E4"/>
    <w:rsid w:val="00BE4B53"/>
    <w:rsid w:val="00BE4B76"/>
    <w:rsid w:val="00BE4DAD"/>
    <w:rsid w:val="00BE4E05"/>
    <w:rsid w:val="00BE525C"/>
    <w:rsid w:val="00BE529C"/>
    <w:rsid w:val="00BE5A13"/>
    <w:rsid w:val="00BE6667"/>
    <w:rsid w:val="00BE6B3B"/>
    <w:rsid w:val="00BE6D91"/>
    <w:rsid w:val="00BE70D0"/>
    <w:rsid w:val="00BE71A9"/>
    <w:rsid w:val="00BE75DA"/>
    <w:rsid w:val="00BE76A0"/>
    <w:rsid w:val="00BE7E16"/>
    <w:rsid w:val="00BF020D"/>
    <w:rsid w:val="00BF0695"/>
    <w:rsid w:val="00BF0CCD"/>
    <w:rsid w:val="00BF0F71"/>
    <w:rsid w:val="00BF1115"/>
    <w:rsid w:val="00BF14C6"/>
    <w:rsid w:val="00BF1640"/>
    <w:rsid w:val="00BF183B"/>
    <w:rsid w:val="00BF19EB"/>
    <w:rsid w:val="00BF1D08"/>
    <w:rsid w:val="00BF22B1"/>
    <w:rsid w:val="00BF22BD"/>
    <w:rsid w:val="00BF24D4"/>
    <w:rsid w:val="00BF27AA"/>
    <w:rsid w:val="00BF2A9D"/>
    <w:rsid w:val="00BF2B94"/>
    <w:rsid w:val="00BF2EC5"/>
    <w:rsid w:val="00BF3030"/>
    <w:rsid w:val="00BF4057"/>
    <w:rsid w:val="00BF4377"/>
    <w:rsid w:val="00BF4AAB"/>
    <w:rsid w:val="00BF4CC4"/>
    <w:rsid w:val="00BF4ED8"/>
    <w:rsid w:val="00BF509E"/>
    <w:rsid w:val="00BF560E"/>
    <w:rsid w:val="00BF5A9C"/>
    <w:rsid w:val="00BF5C14"/>
    <w:rsid w:val="00BF5C6E"/>
    <w:rsid w:val="00BF5CC2"/>
    <w:rsid w:val="00BF634C"/>
    <w:rsid w:val="00BF6714"/>
    <w:rsid w:val="00BF6B51"/>
    <w:rsid w:val="00BF6C09"/>
    <w:rsid w:val="00BF7237"/>
    <w:rsid w:val="00BF777D"/>
    <w:rsid w:val="00BF789F"/>
    <w:rsid w:val="00C001C2"/>
    <w:rsid w:val="00C005FD"/>
    <w:rsid w:val="00C00E95"/>
    <w:rsid w:val="00C00ED2"/>
    <w:rsid w:val="00C00F5C"/>
    <w:rsid w:val="00C013F1"/>
    <w:rsid w:val="00C01453"/>
    <w:rsid w:val="00C01549"/>
    <w:rsid w:val="00C0196B"/>
    <w:rsid w:val="00C01EE5"/>
    <w:rsid w:val="00C021E3"/>
    <w:rsid w:val="00C022BD"/>
    <w:rsid w:val="00C02796"/>
    <w:rsid w:val="00C02FE8"/>
    <w:rsid w:val="00C0313B"/>
    <w:rsid w:val="00C0325B"/>
    <w:rsid w:val="00C03598"/>
    <w:rsid w:val="00C035B3"/>
    <w:rsid w:val="00C03673"/>
    <w:rsid w:val="00C03DED"/>
    <w:rsid w:val="00C04222"/>
    <w:rsid w:val="00C0448C"/>
    <w:rsid w:val="00C046D0"/>
    <w:rsid w:val="00C048BB"/>
    <w:rsid w:val="00C04A96"/>
    <w:rsid w:val="00C0508E"/>
    <w:rsid w:val="00C050FD"/>
    <w:rsid w:val="00C05378"/>
    <w:rsid w:val="00C057B0"/>
    <w:rsid w:val="00C057E0"/>
    <w:rsid w:val="00C05AA2"/>
    <w:rsid w:val="00C05D2F"/>
    <w:rsid w:val="00C05E81"/>
    <w:rsid w:val="00C05F62"/>
    <w:rsid w:val="00C06365"/>
    <w:rsid w:val="00C063AA"/>
    <w:rsid w:val="00C06450"/>
    <w:rsid w:val="00C06970"/>
    <w:rsid w:val="00C06ABB"/>
    <w:rsid w:val="00C06B72"/>
    <w:rsid w:val="00C06F05"/>
    <w:rsid w:val="00C07124"/>
    <w:rsid w:val="00C07A97"/>
    <w:rsid w:val="00C07CF4"/>
    <w:rsid w:val="00C07D81"/>
    <w:rsid w:val="00C100D8"/>
    <w:rsid w:val="00C1039D"/>
    <w:rsid w:val="00C10C94"/>
    <w:rsid w:val="00C10CC9"/>
    <w:rsid w:val="00C11017"/>
    <w:rsid w:val="00C11175"/>
    <w:rsid w:val="00C1174E"/>
    <w:rsid w:val="00C119B7"/>
    <w:rsid w:val="00C11C30"/>
    <w:rsid w:val="00C11FE3"/>
    <w:rsid w:val="00C120B4"/>
    <w:rsid w:val="00C1210E"/>
    <w:rsid w:val="00C12BA0"/>
    <w:rsid w:val="00C12BBA"/>
    <w:rsid w:val="00C12C91"/>
    <w:rsid w:val="00C12CCC"/>
    <w:rsid w:val="00C13381"/>
    <w:rsid w:val="00C13728"/>
    <w:rsid w:val="00C13DD1"/>
    <w:rsid w:val="00C1418E"/>
    <w:rsid w:val="00C1433A"/>
    <w:rsid w:val="00C14BBC"/>
    <w:rsid w:val="00C14C99"/>
    <w:rsid w:val="00C14E6E"/>
    <w:rsid w:val="00C15030"/>
    <w:rsid w:val="00C15391"/>
    <w:rsid w:val="00C156CE"/>
    <w:rsid w:val="00C15752"/>
    <w:rsid w:val="00C15873"/>
    <w:rsid w:val="00C15CED"/>
    <w:rsid w:val="00C15F87"/>
    <w:rsid w:val="00C1632A"/>
    <w:rsid w:val="00C16597"/>
    <w:rsid w:val="00C16C83"/>
    <w:rsid w:val="00C17192"/>
    <w:rsid w:val="00C17258"/>
    <w:rsid w:val="00C17320"/>
    <w:rsid w:val="00C173D5"/>
    <w:rsid w:val="00C17446"/>
    <w:rsid w:val="00C17729"/>
    <w:rsid w:val="00C17C3C"/>
    <w:rsid w:val="00C17CA4"/>
    <w:rsid w:val="00C20419"/>
    <w:rsid w:val="00C2085B"/>
    <w:rsid w:val="00C2093C"/>
    <w:rsid w:val="00C21151"/>
    <w:rsid w:val="00C21311"/>
    <w:rsid w:val="00C2150F"/>
    <w:rsid w:val="00C21741"/>
    <w:rsid w:val="00C21E9C"/>
    <w:rsid w:val="00C2229F"/>
    <w:rsid w:val="00C22A7C"/>
    <w:rsid w:val="00C22B86"/>
    <w:rsid w:val="00C22BB7"/>
    <w:rsid w:val="00C22D01"/>
    <w:rsid w:val="00C22DA2"/>
    <w:rsid w:val="00C22FF7"/>
    <w:rsid w:val="00C2343F"/>
    <w:rsid w:val="00C239E4"/>
    <w:rsid w:val="00C23A18"/>
    <w:rsid w:val="00C23A1A"/>
    <w:rsid w:val="00C24178"/>
    <w:rsid w:val="00C24DDD"/>
    <w:rsid w:val="00C24F11"/>
    <w:rsid w:val="00C251E9"/>
    <w:rsid w:val="00C25453"/>
    <w:rsid w:val="00C2548F"/>
    <w:rsid w:val="00C255D6"/>
    <w:rsid w:val="00C25636"/>
    <w:rsid w:val="00C25E7C"/>
    <w:rsid w:val="00C26052"/>
    <w:rsid w:val="00C262F8"/>
    <w:rsid w:val="00C26555"/>
    <w:rsid w:val="00C2655E"/>
    <w:rsid w:val="00C26864"/>
    <w:rsid w:val="00C269DD"/>
    <w:rsid w:val="00C26E94"/>
    <w:rsid w:val="00C2717E"/>
    <w:rsid w:val="00C2761A"/>
    <w:rsid w:val="00C278E7"/>
    <w:rsid w:val="00C27A71"/>
    <w:rsid w:val="00C27A87"/>
    <w:rsid w:val="00C27C61"/>
    <w:rsid w:val="00C300B9"/>
    <w:rsid w:val="00C303B8"/>
    <w:rsid w:val="00C30584"/>
    <w:rsid w:val="00C30CE9"/>
    <w:rsid w:val="00C30F6B"/>
    <w:rsid w:val="00C312BF"/>
    <w:rsid w:val="00C315F1"/>
    <w:rsid w:val="00C3173A"/>
    <w:rsid w:val="00C318E2"/>
    <w:rsid w:val="00C31DDA"/>
    <w:rsid w:val="00C31E8E"/>
    <w:rsid w:val="00C31F61"/>
    <w:rsid w:val="00C322D7"/>
    <w:rsid w:val="00C32C1C"/>
    <w:rsid w:val="00C32D32"/>
    <w:rsid w:val="00C33172"/>
    <w:rsid w:val="00C33487"/>
    <w:rsid w:val="00C3352C"/>
    <w:rsid w:val="00C33694"/>
    <w:rsid w:val="00C339AE"/>
    <w:rsid w:val="00C33BCD"/>
    <w:rsid w:val="00C33BD2"/>
    <w:rsid w:val="00C33DF0"/>
    <w:rsid w:val="00C33F47"/>
    <w:rsid w:val="00C344AA"/>
    <w:rsid w:val="00C348FB"/>
    <w:rsid w:val="00C34B54"/>
    <w:rsid w:val="00C350CD"/>
    <w:rsid w:val="00C354D9"/>
    <w:rsid w:val="00C355F6"/>
    <w:rsid w:val="00C35726"/>
    <w:rsid w:val="00C366AC"/>
    <w:rsid w:val="00C36704"/>
    <w:rsid w:val="00C367AC"/>
    <w:rsid w:val="00C36971"/>
    <w:rsid w:val="00C369F7"/>
    <w:rsid w:val="00C36AD6"/>
    <w:rsid w:val="00C3728D"/>
    <w:rsid w:val="00C372EF"/>
    <w:rsid w:val="00C374C2"/>
    <w:rsid w:val="00C37918"/>
    <w:rsid w:val="00C37FC6"/>
    <w:rsid w:val="00C401AB"/>
    <w:rsid w:val="00C4045B"/>
    <w:rsid w:val="00C40991"/>
    <w:rsid w:val="00C40B07"/>
    <w:rsid w:val="00C413E1"/>
    <w:rsid w:val="00C41D18"/>
    <w:rsid w:val="00C41E8B"/>
    <w:rsid w:val="00C423F6"/>
    <w:rsid w:val="00C4266B"/>
    <w:rsid w:val="00C42A87"/>
    <w:rsid w:val="00C432A0"/>
    <w:rsid w:val="00C43448"/>
    <w:rsid w:val="00C435AF"/>
    <w:rsid w:val="00C43647"/>
    <w:rsid w:val="00C43ACB"/>
    <w:rsid w:val="00C4400C"/>
    <w:rsid w:val="00C44070"/>
    <w:rsid w:val="00C44404"/>
    <w:rsid w:val="00C4479F"/>
    <w:rsid w:val="00C45174"/>
    <w:rsid w:val="00C45437"/>
    <w:rsid w:val="00C45602"/>
    <w:rsid w:val="00C45642"/>
    <w:rsid w:val="00C45DB2"/>
    <w:rsid w:val="00C46AC0"/>
    <w:rsid w:val="00C46EBF"/>
    <w:rsid w:val="00C47138"/>
    <w:rsid w:val="00C4760D"/>
    <w:rsid w:val="00C4772A"/>
    <w:rsid w:val="00C477CD"/>
    <w:rsid w:val="00C47AA9"/>
    <w:rsid w:val="00C47F01"/>
    <w:rsid w:val="00C47F2B"/>
    <w:rsid w:val="00C50016"/>
    <w:rsid w:val="00C5065E"/>
    <w:rsid w:val="00C50675"/>
    <w:rsid w:val="00C50865"/>
    <w:rsid w:val="00C514FE"/>
    <w:rsid w:val="00C5158B"/>
    <w:rsid w:val="00C51C7F"/>
    <w:rsid w:val="00C5241A"/>
    <w:rsid w:val="00C52A5E"/>
    <w:rsid w:val="00C52AC9"/>
    <w:rsid w:val="00C52CA7"/>
    <w:rsid w:val="00C5331A"/>
    <w:rsid w:val="00C533D4"/>
    <w:rsid w:val="00C5369D"/>
    <w:rsid w:val="00C538F5"/>
    <w:rsid w:val="00C53D9C"/>
    <w:rsid w:val="00C53FE4"/>
    <w:rsid w:val="00C54655"/>
    <w:rsid w:val="00C550DF"/>
    <w:rsid w:val="00C5577C"/>
    <w:rsid w:val="00C56E2F"/>
    <w:rsid w:val="00C56E9A"/>
    <w:rsid w:val="00C5702E"/>
    <w:rsid w:val="00C57069"/>
    <w:rsid w:val="00C5710E"/>
    <w:rsid w:val="00C5728D"/>
    <w:rsid w:val="00C574AD"/>
    <w:rsid w:val="00C57885"/>
    <w:rsid w:val="00C57A32"/>
    <w:rsid w:val="00C57C61"/>
    <w:rsid w:val="00C57D2F"/>
    <w:rsid w:val="00C57FB6"/>
    <w:rsid w:val="00C60757"/>
    <w:rsid w:val="00C60854"/>
    <w:rsid w:val="00C6093B"/>
    <w:rsid w:val="00C60C40"/>
    <w:rsid w:val="00C60E8F"/>
    <w:rsid w:val="00C61B80"/>
    <w:rsid w:val="00C61E0A"/>
    <w:rsid w:val="00C61EAD"/>
    <w:rsid w:val="00C62134"/>
    <w:rsid w:val="00C62CE1"/>
    <w:rsid w:val="00C63395"/>
    <w:rsid w:val="00C639ED"/>
    <w:rsid w:val="00C640B7"/>
    <w:rsid w:val="00C6469C"/>
    <w:rsid w:val="00C64784"/>
    <w:rsid w:val="00C647D4"/>
    <w:rsid w:val="00C647E6"/>
    <w:rsid w:val="00C64801"/>
    <w:rsid w:val="00C64A59"/>
    <w:rsid w:val="00C64BA0"/>
    <w:rsid w:val="00C64DEA"/>
    <w:rsid w:val="00C65077"/>
    <w:rsid w:val="00C6519C"/>
    <w:rsid w:val="00C6523E"/>
    <w:rsid w:val="00C653B2"/>
    <w:rsid w:val="00C65670"/>
    <w:rsid w:val="00C657CF"/>
    <w:rsid w:val="00C65AED"/>
    <w:rsid w:val="00C65BFB"/>
    <w:rsid w:val="00C65C47"/>
    <w:rsid w:val="00C65EFA"/>
    <w:rsid w:val="00C65F22"/>
    <w:rsid w:val="00C65FD3"/>
    <w:rsid w:val="00C6699F"/>
    <w:rsid w:val="00C66A18"/>
    <w:rsid w:val="00C66FB1"/>
    <w:rsid w:val="00C67958"/>
    <w:rsid w:val="00C679CE"/>
    <w:rsid w:val="00C67A75"/>
    <w:rsid w:val="00C70478"/>
    <w:rsid w:val="00C706C6"/>
    <w:rsid w:val="00C7130F"/>
    <w:rsid w:val="00C716DE"/>
    <w:rsid w:val="00C717CE"/>
    <w:rsid w:val="00C71E97"/>
    <w:rsid w:val="00C722B3"/>
    <w:rsid w:val="00C73094"/>
    <w:rsid w:val="00C73A88"/>
    <w:rsid w:val="00C74560"/>
    <w:rsid w:val="00C745B2"/>
    <w:rsid w:val="00C746C0"/>
    <w:rsid w:val="00C753C6"/>
    <w:rsid w:val="00C755A8"/>
    <w:rsid w:val="00C75E00"/>
    <w:rsid w:val="00C76379"/>
    <w:rsid w:val="00C76800"/>
    <w:rsid w:val="00C7695D"/>
    <w:rsid w:val="00C76A58"/>
    <w:rsid w:val="00C76C82"/>
    <w:rsid w:val="00C76D38"/>
    <w:rsid w:val="00C7719C"/>
    <w:rsid w:val="00C77E3E"/>
    <w:rsid w:val="00C800EF"/>
    <w:rsid w:val="00C8019A"/>
    <w:rsid w:val="00C80347"/>
    <w:rsid w:val="00C805B0"/>
    <w:rsid w:val="00C807B9"/>
    <w:rsid w:val="00C80F99"/>
    <w:rsid w:val="00C81237"/>
    <w:rsid w:val="00C81CD3"/>
    <w:rsid w:val="00C81ED9"/>
    <w:rsid w:val="00C82098"/>
    <w:rsid w:val="00C8214E"/>
    <w:rsid w:val="00C823CA"/>
    <w:rsid w:val="00C8241E"/>
    <w:rsid w:val="00C8256E"/>
    <w:rsid w:val="00C825B7"/>
    <w:rsid w:val="00C82774"/>
    <w:rsid w:val="00C82A17"/>
    <w:rsid w:val="00C82D1A"/>
    <w:rsid w:val="00C82ED6"/>
    <w:rsid w:val="00C82F84"/>
    <w:rsid w:val="00C83073"/>
    <w:rsid w:val="00C83401"/>
    <w:rsid w:val="00C83587"/>
    <w:rsid w:val="00C83F51"/>
    <w:rsid w:val="00C844FC"/>
    <w:rsid w:val="00C84579"/>
    <w:rsid w:val="00C845F7"/>
    <w:rsid w:val="00C848FF"/>
    <w:rsid w:val="00C8491A"/>
    <w:rsid w:val="00C849F4"/>
    <w:rsid w:val="00C85086"/>
    <w:rsid w:val="00C85422"/>
    <w:rsid w:val="00C857BA"/>
    <w:rsid w:val="00C857EB"/>
    <w:rsid w:val="00C859AE"/>
    <w:rsid w:val="00C85C64"/>
    <w:rsid w:val="00C86373"/>
    <w:rsid w:val="00C86394"/>
    <w:rsid w:val="00C86576"/>
    <w:rsid w:val="00C8664A"/>
    <w:rsid w:val="00C866E9"/>
    <w:rsid w:val="00C86DA7"/>
    <w:rsid w:val="00C875F8"/>
    <w:rsid w:val="00C875FB"/>
    <w:rsid w:val="00C87791"/>
    <w:rsid w:val="00C90091"/>
    <w:rsid w:val="00C90263"/>
    <w:rsid w:val="00C911E6"/>
    <w:rsid w:val="00C91C64"/>
    <w:rsid w:val="00C91F21"/>
    <w:rsid w:val="00C92058"/>
    <w:rsid w:val="00C923E7"/>
    <w:rsid w:val="00C92496"/>
    <w:rsid w:val="00C9264F"/>
    <w:rsid w:val="00C9284D"/>
    <w:rsid w:val="00C92A8A"/>
    <w:rsid w:val="00C92D0A"/>
    <w:rsid w:val="00C92EEA"/>
    <w:rsid w:val="00C92F41"/>
    <w:rsid w:val="00C934F2"/>
    <w:rsid w:val="00C93C1D"/>
    <w:rsid w:val="00C93D00"/>
    <w:rsid w:val="00C93F2E"/>
    <w:rsid w:val="00C94188"/>
    <w:rsid w:val="00C941A9"/>
    <w:rsid w:val="00C944C3"/>
    <w:rsid w:val="00C947E2"/>
    <w:rsid w:val="00C94840"/>
    <w:rsid w:val="00C94A2B"/>
    <w:rsid w:val="00C94EEA"/>
    <w:rsid w:val="00C952AF"/>
    <w:rsid w:val="00C95625"/>
    <w:rsid w:val="00C95787"/>
    <w:rsid w:val="00C957FC"/>
    <w:rsid w:val="00C95C64"/>
    <w:rsid w:val="00C96DBE"/>
    <w:rsid w:val="00C97254"/>
    <w:rsid w:val="00C97791"/>
    <w:rsid w:val="00C9799E"/>
    <w:rsid w:val="00C97C65"/>
    <w:rsid w:val="00C97F62"/>
    <w:rsid w:val="00C97F7F"/>
    <w:rsid w:val="00CA084E"/>
    <w:rsid w:val="00CA08AF"/>
    <w:rsid w:val="00CA0B60"/>
    <w:rsid w:val="00CA0E8E"/>
    <w:rsid w:val="00CA137F"/>
    <w:rsid w:val="00CA1824"/>
    <w:rsid w:val="00CA23C3"/>
    <w:rsid w:val="00CA23D0"/>
    <w:rsid w:val="00CA25E5"/>
    <w:rsid w:val="00CA29A5"/>
    <w:rsid w:val="00CA2AA0"/>
    <w:rsid w:val="00CA2D59"/>
    <w:rsid w:val="00CA308F"/>
    <w:rsid w:val="00CA3417"/>
    <w:rsid w:val="00CA351D"/>
    <w:rsid w:val="00CA35B8"/>
    <w:rsid w:val="00CA35EA"/>
    <w:rsid w:val="00CA3630"/>
    <w:rsid w:val="00CA40D3"/>
    <w:rsid w:val="00CA465B"/>
    <w:rsid w:val="00CA4FE8"/>
    <w:rsid w:val="00CA50FE"/>
    <w:rsid w:val="00CA5138"/>
    <w:rsid w:val="00CA558C"/>
    <w:rsid w:val="00CA572F"/>
    <w:rsid w:val="00CA58C6"/>
    <w:rsid w:val="00CA613C"/>
    <w:rsid w:val="00CA67CE"/>
    <w:rsid w:val="00CA6873"/>
    <w:rsid w:val="00CA68C5"/>
    <w:rsid w:val="00CA6932"/>
    <w:rsid w:val="00CA6B1B"/>
    <w:rsid w:val="00CA6BA8"/>
    <w:rsid w:val="00CA6C23"/>
    <w:rsid w:val="00CA6DE6"/>
    <w:rsid w:val="00CA6FAE"/>
    <w:rsid w:val="00CA722A"/>
    <w:rsid w:val="00CA755D"/>
    <w:rsid w:val="00CA7685"/>
    <w:rsid w:val="00CA77E7"/>
    <w:rsid w:val="00CA7B29"/>
    <w:rsid w:val="00CA7C75"/>
    <w:rsid w:val="00CA7CE5"/>
    <w:rsid w:val="00CB0381"/>
    <w:rsid w:val="00CB0871"/>
    <w:rsid w:val="00CB0BE9"/>
    <w:rsid w:val="00CB1A30"/>
    <w:rsid w:val="00CB2AEF"/>
    <w:rsid w:val="00CB2F2E"/>
    <w:rsid w:val="00CB35CC"/>
    <w:rsid w:val="00CB3B84"/>
    <w:rsid w:val="00CB4B55"/>
    <w:rsid w:val="00CB4C54"/>
    <w:rsid w:val="00CB5A5A"/>
    <w:rsid w:val="00CB6088"/>
    <w:rsid w:val="00CB635F"/>
    <w:rsid w:val="00CB639C"/>
    <w:rsid w:val="00CB679B"/>
    <w:rsid w:val="00CB7019"/>
    <w:rsid w:val="00CB766B"/>
    <w:rsid w:val="00CB7957"/>
    <w:rsid w:val="00CB7A74"/>
    <w:rsid w:val="00CB7C75"/>
    <w:rsid w:val="00CB7D58"/>
    <w:rsid w:val="00CB7DDF"/>
    <w:rsid w:val="00CC0466"/>
    <w:rsid w:val="00CC0F59"/>
    <w:rsid w:val="00CC15D8"/>
    <w:rsid w:val="00CC1F5C"/>
    <w:rsid w:val="00CC20B0"/>
    <w:rsid w:val="00CC25BC"/>
    <w:rsid w:val="00CC2B3A"/>
    <w:rsid w:val="00CC2C4D"/>
    <w:rsid w:val="00CC2D63"/>
    <w:rsid w:val="00CC2F55"/>
    <w:rsid w:val="00CC3149"/>
    <w:rsid w:val="00CC3935"/>
    <w:rsid w:val="00CC3AEC"/>
    <w:rsid w:val="00CC3B1D"/>
    <w:rsid w:val="00CC3BFC"/>
    <w:rsid w:val="00CC3D16"/>
    <w:rsid w:val="00CC3E4B"/>
    <w:rsid w:val="00CC4576"/>
    <w:rsid w:val="00CC4B2B"/>
    <w:rsid w:val="00CC511D"/>
    <w:rsid w:val="00CC5451"/>
    <w:rsid w:val="00CC545B"/>
    <w:rsid w:val="00CC5A9D"/>
    <w:rsid w:val="00CC5AA9"/>
    <w:rsid w:val="00CC6428"/>
    <w:rsid w:val="00CC6A46"/>
    <w:rsid w:val="00CC6B8E"/>
    <w:rsid w:val="00CC6BB7"/>
    <w:rsid w:val="00CC7105"/>
    <w:rsid w:val="00CC720A"/>
    <w:rsid w:val="00CC7371"/>
    <w:rsid w:val="00CC751D"/>
    <w:rsid w:val="00CC76EF"/>
    <w:rsid w:val="00CC79C6"/>
    <w:rsid w:val="00CC7B93"/>
    <w:rsid w:val="00CD067D"/>
    <w:rsid w:val="00CD0882"/>
    <w:rsid w:val="00CD0F6C"/>
    <w:rsid w:val="00CD168F"/>
    <w:rsid w:val="00CD16F0"/>
    <w:rsid w:val="00CD196D"/>
    <w:rsid w:val="00CD2867"/>
    <w:rsid w:val="00CD2958"/>
    <w:rsid w:val="00CD2B33"/>
    <w:rsid w:val="00CD2F43"/>
    <w:rsid w:val="00CD2F4C"/>
    <w:rsid w:val="00CD310A"/>
    <w:rsid w:val="00CD3F8F"/>
    <w:rsid w:val="00CD4D06"/>
    <w:rsid w:val="00CD4DDF"/>
    <w:rsid w:val="00CD4ECD"/>
    <w:rsid w:val="00CD4F92"/>
    <w:rsid w:val="00CD5961"/>
    <w:rsid w:val="00CD5B76"/>
    <w:rsid w:val="00CD6156"/>
    <w:rsid w:val="00CD6549"/>
    <w:rsid w:val="00CD68FD"/>
    <w:rsid w:val="00CD6E3F"/>
    <w:rsid w:val="00CD6EEC"/>
    <w:rsid w:val="00CD6FF6"/>
    <w:rsid w:val="00CD70C2"/>
    <w:rsid w:val="00CD74D6"/>
    <w:rsid w:val="00CD7672"/>
    <w:rsid w:val="00CD77D4"/>
    <w:rsid w:val="00CD79E6"/>
    <w:rsid w:val="00CE0BFC"/>
    <w:rsid w:val="00CE0D29"/>
    <w:rsid w:val="00CE0E60"/>
    <w:rsid w:val="00CE0F23"/>
    <w:rsid w:val="00CE1C74"/>
    <w:rsid w:val="00CE1F91"/>
    <w:rsid w:val="00CE26A3"/>
    <w:rsid w:val="00CE282C"/>
    <w:rsid w:val="00CE2BA0"/>
    <w:rsid w:val="00CE2C19"/>
    <w:rsid w:val="00CE306B"/>
    <w:rsid w:val="00CE30D5"/>
    <w:rsid w:val="00CE33E2"/>
    <w:rsid w:val="00CE395D"/>
    <w:rsid w:val="00CE3A32"/>
    <w:rsid w:val="00CE3B7C"/>
    <w:rsid w:val="00CE4434"/>
    <w:rsid w:val="00CE4644"/>
    <w:rsid w:val="00CE50E1"/>
    <w:rsid w:val="00CE53DF"/>
    <w:rsid w:val="00CE5404"/>
    <w:rsid w:val="00CE546B"/>
    <w:rsid w:val="00CE5706"/>
    <w:rsid w:val="00CE58AB"/>
    <w:rsid w:val="00CE5ECE"/>
    <w:rsid w:val="00CE6072"/>
    <w:rsid w:val="00CE62A0"/>
    <w:rsid w:val="00CE6384"/>
    <w:rsid w:val="00CE63BE"/>
    <w:rsid w:val="00CE67C5"/>
    <w:rsid w:val="00CE683F"/>
    <w:rsid w:val="00CE68B5"/>
    <w:rsid w:val="00CE6994"/>
    <w:rsid w:val="00CE6B93"/>
    <w:rsid w:val="00CE6DA5"/>
    <w:rsid w:val="00CE7023"/>
    <w:rsid w:val="00CE78DB"/>
    <w:rsid w:val="00CF0424"/>
    <w:rsid w:val="00CF06B3"/>
    <w:rsid w:val="00CF0D6D"/>
    <w:rsid w:val="00CF0F28"/>
    <w:rsid w:val="00CF0F2B"/>
    <w:rsid w:val="00CF1962"/>
    <w:rsid w:val="00CF19EC"/>
    <w:rsid w:val="00CF1D1F"/>
    <w:rsid w:val="00CF20F7"/>
    <w:rsid w:val="00CF2395"/>
    <w:rsid w:val="00CF26FE"/>
    <w:rsid w:val="00CF2792"/>
    <w:rsid w:val="00CF283E"/>
    <w:rsid w:val="00CF2910"/>
    <w:rsid w:val="00CF314B"/>
    <w:rsid w:val="00CF3157"/>
    <w:rsid w:val="00CF338F"/>
    <w:rsid w:val="00CF36FC"/>
    <w:rsid w:val="00CF3C53"/>
    <w:rsid w:val="00CF3DBD"/>
    <w:rsid w:val="00CF46ED"/>
    <w:rsid w:val="00CF4A54"/>
    <w:rsid w:val="00CF5031"/>
    <w:rsid w:val="00CF5270"/>
    <w:rsid w:val="00CF5867"/>
    <w:rsid w:val="00CF5AE5"/>
    <w:rsid w:val="00CF5BEE"/>
    <w:rsid w:val="00CF5F77"/>
    <w:rsid w:val="00CF658A"/>
    <w:rsid w:val="00CF65AE"/>
    <w:rsid w:val="00CF6A65"/>
    <w:rsid w:val="00CF6E88"/>
    <w:rsid w:val="00CF71C4"/>
    <w:rsid w:val="00CF74BC"/>
    <w:rsid w:val="00CF76B1"/>
    <w:rsid w:val="00CF7FE9"/>
    <w:rsid w:val="00D00131"/>
    <w:rsid w:val="00D0029F"/>
    <w:rsid w:val="00D008DE"/>
    <w:rsid w:val="00D009F9"/>
    <w:rsid w:val="00D01019"/>
    <w:rsid w:val="00D01756"/>
    <w:rsid w:val="00D02B76"/>
    <w:rsid w:val="00D02B8E"/>
    <w:rsid w:val="00D031C8"/>
    <w:rsid w:val="00D036E9"/>
    <w:rsid w:val="00D03B9C"/>
    <w:rsid w:val="00D03C1F"/>
    <w:rsid w:val="00D03D47"/>
    <w:rsid w:val="00D03D92"/>
    <w:rsid w:val="00D047C2"/>
    <w:rsid w:val="00D04F4C"/>
    <w:rsid w:val="00D0509E"/>
    <w:rsid w:val="00D0539D"/>
    <w:rsid w:val="00D055DF"/>
    <w:rsid w:val="00D056D5"/>
    <w:rsid w:val="00D05C48"/>
    <w:rsid w:val="00D05DCA"/>
    <w:rsid w:val="00D05E01"/>
    <w:rsid w:val="00D05FC5"/>
    <w:rsid w:val="00D0609F"/>
    <w:rsid w:val="00D0686B"/>
    <w:rsid w:val="00D06B60"/>
    <w:rsid w:val="00D06D61"/>
    <w:rsid w:val="00D06D9C"/>
    <w:rsid w:val="00D07308"/>
    <w:rsid w:val="00D0799E"/>
    <w:rsid w:val="00D10982"/>
    <w:rsid w:val="00D109B8"/>
    <w:rsid w:val="00D10C0B"/>
    <w:rsid w:val="00D10C9F"/>
    <w:rsid w:val="00D1100B"/>
    <w:rsid w:val="00D113E6"/>
    <w:rsid w:val="00D11BD3"/>
    <w:rsid w:val="00D12158"/>
    <w:rsid w:val="00D124F4"/>
    <w:rsid w:val="00D12F66"/>
    <w:rsid w:val="00D13359"/>
    <w:rsid w:val="00D135C3"/>
    <w:rsid w:val="00D13804"/>
    <w:rsid w:val="00D13D0D"/>
    <w:rsid w:val="00D1476A"/>
    <w:rsid w:val="00D149B0"/>
    <w:rsid w:val="00D152DC"/>
    <w:rsid w:val="00D155F6"/>
    <w:rsid w:val="00D15781"/>
    <w:rsid w:val="00D15DAE"/>
    <w:rsid w:val="00D15E1D"/>
    <w:rsid w:val="00D163F3"/>
    <w:rsid w:val="00D164C4"/>
    <w:rsid w:val="00D16517"/>
    <w:rsid w:val="00D16565"/>
    <w:rsid w:val="00D16674"/>
    <w:rsid w:val="00D167D1"/>
    <w:rsid w:val="00D16CBF"/>
    <w:rsid w:val="00D16DC7"/>
    <w:rsid w:val="00D1703E"/>
    <w:rsid w:val="00D172AB"/>
    <w:rsid w:val="00D173C2"/>
    <w:rsid w:val="00D17EA8"/>
    <w:rsid w:val="00D20082"/>
    <w:rsid w:val="00D2044F"/>
    <w:rsid w:val="00D204CD"/>
    <w:rsid w:val="00D205F2"/>
    <w:rsid w:val="00D20696"/>
    <w:rsid w:val="00D20CFE"/>
    <w:rsid w:val="00D20EF6"/>
    <w:rsid w:val="00D210B0"/>
    <w:rsid w:val="00D21691"/>
    <w:rsid w:val="00D21901"/>
    <w:rsid w:val="00D2199B"/>
    <w:rsid w:val="00D21AB4"/>
    <w:rsid w:val="00D220FE"/>
    <w:rsid w:val="00D223BF"/>
    <w:rsid w:val="00D229D9"/>
    <w:rsid w:val="00D23506"/>
    <w:rsid w:val="00D23546"/>
    <w:rsid w:val="00D2386A"/>
    <w:rsid w:val="00D2467B"/>
    <w:rsid w:val="00D24971"/>
    <w:rsid w:val="00D24BA2"/>
    <w:rsid w:val="00D2571A"/>
    <w:rsid w:val="00D25A39"/>
    <w:rsid w:val="00D25C5A"/>
    <w:rsid w:val="00D25D1F"/>
    <w:rsid w:val="00D266E6"/>
    <w:rsid w:val="00D267AA"/>
    <w:rsid w:val="00D26CB3"/>
    <w:rsid w:val="00D26CF8"/>
    <w:rsid w:val="00D26D12"/>
    <w:rsid w:val="00D26FDA"/>
    <w:rsid w:val="00D272F8"/>
    <w:rsid w:val="00D27767"/>
    <w:rsid w:val="00D30055"/>
    <w:rsid w:val="00D30A18"/>
    <w:rsid w:val="00D30C40"/>
    <w:rsid w:val="00D319DB"/>
    <w:rsid w:val="00D31A37"/>
    <w:rsid w:val="00D31F4E"/>
    <w:rsid w:val="00D32453"/>
    <w:rsid w:val="00D329F3"/>
    <w:rsid w:val="00D32E69"/>
    <w:rsid w:val="00D336CB"/>
    <w:rsid w:val="00D3370E"/>
    <w:rsid w:val="00D338D1"/>
    <w:rsid w:val="00D33F57"/>
    <w:rsid w:val="00D340A5"/>
    <w:rsid w:val="00D346E3"/>
    <w:rsid w:val="00D3474E"/>
    <w:rsid w:val="00D3476B"/>
    <w:rsid w:val="00D3498E"/>
    <w:rsid w:val="00D3503F"/>
    <w:rsid w:val="00D35255"/>
    <w:rsid w:val="00D3531C"/>
    <w:rsid w:val="00D3582F"/>
    <w:rsid w:val="00D35839"/>
    <w:rsid w:val="00D35C62"/>
    <w:rsid w:val="00D35DF7"/>
    <w:rsid w:val="00D35FC5"/>
    <w:rsid w:val="00D368CE"/>
    <w:rsid w:val="00D3695B"/>
    <w:rsid w:val="00D36FCE"/>
    <w:rsid w:val="00D37555"/>
    <w:rsid w:val="00D37674"/>
    <w:rsid w:val="00D37B32"/>
    <w:rsid w:val="00D37E44"/>
    <w:rsid w:val="00D40305"/>
    <w:rsid w:val="00D405AE"/>
    <w:rsid w:val="00D41213"/>
    <w:rsid w:val="00D42092"/>
    <w:rsid w:val="00D42294"/>
    <w:rsid w:val="00D42839"/>
    <w:rsid w:val="00D42CBC"/>
    <w:rsid w:val="00D42EC4"/>
    <w:rsid w:val="00D4373D"/>
    <w:rsid w:val="00D43755"/>
    <w:rsid w:val="00D44C9F"/>
    <w:rsid w:val="00D457EF"/>
    <w:rsid w:val="00D4589C"/>
    <w:rsid w:val="00D45A7C"/>
    <w:rsid w:val="00D45C95"/>
    <w:rsid w:val="00D45E8A"/>
    <w:rsid w:val="00D4607A"/>
    <w:rsid w:val="00D46510"/>
    <w:rsid w:val="00D46AFF"/>
    <w:rsid w:val="00D46E0F"/>
    <w:rsid w:val="00D46E6F"/>
    <w:rsid w:val="00D46F21"/>
    <w:rsid w:val="00D47002"/>
    <w:rsid w:val="00D474DB"/>
    <w:rsid w:val="00D50203"/>
    <w:rsid w:val="00D504B1"/>
    <w:rsid w:val="00D50514"/>
    <w:rsid w:val="00D50697"/>
    <w:rsid w:val="00D50893"/>
    <w:rsid w:val="00D50A4A"/>
    <w:rsid w:val="00D50B3C"/>
    <w:rsid w:val="00D50D5C"/>
    <w:rsid w:val="00D51129"/>
    <w:rsid w:val="00D51AD1"/>
    <w:rsid w:val="00D51AE5"/>
    <w:rsid w:val="00D51CC5"/>
    <w:rsid w:val="00D51EDE"/>
    <w:rsid w:val="00D52331"/>
    <w:rsid w:val="00D523F2"/>
    <w:rsid w:val="00D52480"/>
    <w:rsid w:val="00D5305D"/>
    <w:rsid w:val="00D53603"/>
    <w:rsid w:val="00D53A96"/>
    <w:rsid w:val="00D53BE5"/>
    <w:rsid w:val="00D53C59"/>
    <w:rsid w:val="00D53F22"/>
    <w:rsid w:val="00D540F4"/>
    <w:rsid w:val="00D54169"/>
    <w:rsid w:val="00D54849"/>
    <w:rsid w:val="00D54979"/>
    <w:rsid w:val="00D54A5F"/>
    <w:rsid w:val="00D54B4A"/>
    <w:rsid w:val="00D55A5B"/>
    <w:rsid w:val="00D55D17"/>
    <w:rsid w:val="00D55D5D"/>
    <w:rsid w:val="00D5623A"/>
    <w:rsid w:val="00D5632F"/>
    <w:rsid w:val="00D56AE5"/>
    <w:rsid w:val="00D56C98"/>
    <w:rsid w:val="00D56FCE"/>
    <w:rsid w:val="00D57434"/>
    <w:rsid w:val="00D57800"/>
    <w:rsid w:val="00D579B3"/>
    <w:rsid w:val="00D57B31"/>
    <w:rsid w:val="00D57D83"/>
    <w:rsid w:val="00D57E2A"/>
    <w:rsid w:val="00D60BFA"/>
    <w:rsid w:val="00D6112F"/>
    <w:rsid w:val="00D61397"/>
    <w:rsid w:val="00D61424"/>
    <w:rsid w:val="00D61A8F"/>
    <w:rsid w:val="00D61F38"/>
    <w:rsid w:val="00D62037"/>
    <w:rsid w:val="00D620CC"/>
    <w:rsid w:val="00D622AF"/>
    <w:rsid w:val="00D6263F"/>
    <w:rsid w:val="00D62CD1"/>
    <w:rsid w:val="00D62D3A"/>
    <w:rsid w:val="00D63031"/>
    <w:rsid w:val="00D635DC"/>
    <w:rsid w:val="00D63AD0"/>
    <w:rsid w:val="00D63B02"/>
    <w:rsid w:val="00D63B10"/>
    <w:rsid w:val="00D63BA4"/>
    <w:rsid w:val="00D63D3E"/>
    <w:rsid w:val="00D63E4A"/>
    <w:rsid w:val="00D63F79"/>
    <w:rsid w:val="00D6409B"/>
    <w:rsid w:val="00D64238"/>
    <w:rsid w:val="00D643E8"/>
    <w:rsid w:val="00D64E8B"/>
    <w:rsid w:val="00D64F3E"/>
    <w:rsid w:val="00D6559F"/>
    <w:rsid w:val="00D659BA"/>
    <w:rsid w:val="00D65F6B"/>
    <w:rsid w:val="00D661B6"/>
    <w:rsid w:val="00D665AF"/>
    <w:rsid w:val="00D6672E"/>
    <w:rsid w:val="00D66C4A"/>
    <w:rsid w:val="00D66F4F"/>
    <w:rsid w:val="00D674A3"/>
    <w:rsid w:val="00D6780E"/>
    <w:rsid w:val="00D6794D"/>
    <w:rsid w:val="00D679EB"/>
    <w:rsid w:val="00D67EC9"/>
    <w:rsid w:val="00D70364"/>
    <w:rsid w:val="00D7041A"/>
    <w:rsid w:val="00D708B1"/>
    <w:rsid w:val="00D70A60"/>
    <w:rsid w:val="00D70AB8"/>
    <w:rsid w:val="00D70CB4"/>
    <w:rsid w:val="00D70F98"/>
    <w:rsid w:val="00D71504"/>
    <w:rsid w:val="00D7168E"/>
    <w:rsid w:val="00D71FAF"/>
    <w:rsid w:val="00D721C1"/>
    <w:rsid w:val="00D72890"/>
    <w:rsid w:val="00D7296A"/>
    <w:rsid w:val="00D72DA3"/>
    <w:rsid w:val="00D731F0"/>
    <w:rsid w:val="00D73CDA"/>
    <w:rsid w:val="00D74014"/>
    <w:rsid w:val="00D74C41"/>
    <w:rsid w:val="00D75A79"/>
    <w:rsid w:val="00D75ABF"/>
    <w:rsid w:val="00D75CA4"/>
    <w:rsid w:val="00D75D18"/>
    <w:rsid w:val="00D75D3E"/>
    <w:rsid w:val="00D761A3"/>
    <w:rsid w:val="00D7634E"/>
    <w:rsid w:val="00D763EF"/>
    <w:rsid w:val="00D76DF8"/>
    <w:rsid w:val="00D8030B"/>
    <w:rsid w:val="00D806CD"/>
    <w:rsid w:val="00D807E1"/>
    <w:rsid w:val="00D80ADB"/>
    <w:rsid w:val="00D80C4F"/>
    <w:rsid w:val="00D80DA6"/>
    <w:rsid w:val="00D81323"/>
    <w:rsid w:val="00D81B2D"/>
    <w:rsid w:val="00D81BB3"/>
    <w:rsid w:val="00D82066"/>
    <w:rsid w:val="00D82246"/>
    <w:rsid w:val="00D82309"/>
    <w:rsid w:val="00D83040"/>
    <w:rsid w:val="00D83869"/>
    <w:rsid w:val="00D83A3E"/>
    <w:rsid w:val="00D83FCF"/>
    <w:rsid w:val="00D840FC"/>
    <w:rsid w:val="00D84182"/>
    <w:rsid w:val="00D84767"/>
    <w:rsid w:val="00D84FCD"/>
    <w:rsid w:val="00D852B7"/>
    <w:rsid w:val="00D85FF4"/>
    <w:rsid w:val="00D862E5"/>
    <w:rsid w:val="00D865B3"/>
    <w:rsid w:val="00D86B88"/>
    <w:rsid w:val="00D86F2C"/>
    <w:rsid w:val="00D87016"/>
    <w:rsid w:val="00D87044"/>
    <w:rsid w:val="00D872D4"/>
    <w:rsid w:val="00D873C4"/>
    <w:rsid w:val="00D87673"/>
    <w:rsid w:val="00D879AE"/>
    <w:rsid w:val="00D87F0D"/>
    <w:rsid w:val="00D90345"/>
    <w:rsid w:val="00D90348"/>
    <w:rsid w:val="00D906A4"/>
    <w:rsid w:val="00D907BE"/>
    <w:rsid w:val="00D90AB3"/>
    <w:rsid w:val="00D90C9B"/>
    <w:rsid w:val="00D915D5"/>
    <w:rsid w:val="00D91696"/>
    <w:rsid w:val="00D91AB2"/>
    <w:rsid w:val="00D9260D"/>
    <w:rsid w:val="00D92664"/>
    <w:rsid w:val="00D9298D"/>
    <w:rsid w:val="00D92A70"/>
    <w:rsid w:val="00D92B7C"/>
    <w:rsid w:val="00D92BB7"/>
    <w:rsid w:val="00D9338C"/>
    <w:rsid w:val="00D935B7"/>
    <w:rsid w:val="00D93964"/>
    <w:rsid w:val="00D9398E"/>
    <w:rsid w:val="00D93D35"/>
    <w:rsid w:val="00D942EF"/>
    <w:rsid w:val="00D94434"/>
    <w:rsid w:val="00D94A82"/>
    <w:rsid w:val="00D94D14"/>
    <w:rsid w:val="00D94F60"/>
    <w:rsid w:val="00D94FF1"/>
    <w:rsid w:val="00D955CB"/>
    <w:rsid w:val="00D96241"/>
    <w:rsid w:val="00D9699F"/>
    <w:rsid w:val="00D97030"/>
    <w:rsid w:val="00D97757"/>
    <w:rsid w:val="00D97A3E"/>
    <w:rsid w:val="00D97CB4"/>
    <w:rsid w:val="00D97D88"/>
    <w:rsid w:val="00D97FB5"/>
    <w:rsid w:val="00DA0061"/>
    <w:rsid w:val="00DA024C"/>
    <w:rsid w:val="00DA0F12"/>
    <w:rsid w:val="00DA115C"/>
    <w:rsid w:val="00DA15D2"/>
    <w:rsid w:val="00DA1ABA"/>
    <w:rsid w:val="00DA1CE3"/>
    <w:rsid w:val="00DA1D37"/>
    <w:rsid w:val="00DA2133"/>
    <w:rsid w:val="00DA29CE"/>
    <w:rsid w:val="00DA2E9F"/>
    <w:rsid w:val="00DA3373"/>
    <w:rsid w:val="00DA3500"/>
    <w:rsid w:val="00DA3874"/>
    <w:rsid w:val="00DA391C"/>
    <w:rsid w:val="00DA3934"/>
    <w:rsid w:val="00DA42A7"/>
    <w:rsid w:val="00DA4464"/>
    <w:rsid w:val="00DA4A3F"/>
    <w:rsid w:val="00DA557A"/>
    <w:rsid w:val="00DA5D21"/>
    <w:rsid w:val="00DA5D22"/>
    <w:rsid w:val="00DA5DC5"/>
    <w:rsid w:val="00DA617B"/>
    <w:rsid w:val="00DA61D0"/>
    <w:rsid w:val="00DA6424"/>
    <w:rsid w:val="00DA65BE"/>
    <w:rsid w:val="00DA6E13"/>
    <w:rsid w:val="00DB00D0"/>
    <w:rsid w:val="00DB01FA"/>
    <w:rsid w:val="00DB0273"/>
    <w:rsid w:val="00DB0729"/>
    <w:rsid w:val="00DB10F8"/>
    <w:rsid w:val="00DB1147"/>
    <w:rsid w:val="00DB1877"/>
    <w:rsid w:val="00DB1983"/>
    <w:rsid w:val="00DB1A31"/>
    <w:rsid w:val="00DB1C1B"/>
    <w:rsid w:val="00DB21E9"/>
    <w:rsid w:val="00DB255D"/>
    <w:rsid w:val="00DB2615"/>
    <w:rsid w:val="00DB2626"/>
    <w:rsid w:val="00DB279E"/>
    <w:rsid w:val="00DB2C6D"/>
    <w:rsid w:val="00DB393B"/>
    <w:rsid w:val="00DB42F6"/>
    <w:rsid w:val="00DB457F"/>
    <w:rsid w:val="00DB4979"/>
    <w:rsid w:val="00DB4D58"/>
    <w:rsid w:val="00DB5134"/>
    <w:rsid w:val="00DB5339"/>
    <w:rsid w:val="00DB5358"/>
    <w:rsid w:val="00DB580B"/>
    <w:rsid w:val="00DB5F98"/>
    <w:rsid w:val="00DB6119"/>
    <w:rsid w:val="00DB6275"/>
    <w:rsid w:val="00DB62C0"/>
    <w:rsid w:val="00DB6402"/>
    <w:rsid w:val="00DB64D9"/>
    <w:rsid w:val="00DB6A43"/>
    <w:rsid w:val="00DB6C0C"/>
    <w:rsid w:val="00DB6D62"/>
    <w:rsid w:val="00DB7081"/>
    <w:rsid w:val="00DB773D"/>
    <w:rsid w:val="00DB7861"/>
    <w:rsid w:val="00DB7B0E"/>
    <w:rsid w:val="00DB7D54"/>
    <w:rsid w:val="00DB7EFA"/>
    <w:rsid w:val="00DC00B3"/>
    <w:rsid w:val="00DC0184"/>
    <w:rsid w:val="00DC03B4"/>
    <w:rsid w:val="00DC0517"/>
    <w:rsid w:val="00DC0630"/>
    <w:rsid w:val="00DC0910"/>
    <w:rsid w:val="00DC0C75"/>
    <w:rsid w:val="00DC0E1C"/>
    <w:rsid w:val="00DC1108"/>
    <w:rsid w:val="00DC1288"/>
    <w:rsid w:val="00DC1405"/>
    <w:rsid w:val="00DC144E"/>
    <w:rsid w:val="00DC1C15"/>
    <w:rsid w:val="00DC24CE"/>
    <w:rsid w:val="00DC2793"/>
    <w:rsid w:val="00DC29A6"/>
    <w:rsid w:val="00DC2B5B"/>
    <w:rsid w:val="00DC2C4A"/>
    <w:rsid w:val="00DC2E57"/>
    <w:rsid w:val="00DC2E88"/>
    <w:rsid w:val="00DC331F"/>
    <w:rsid w:val="00DC36E8"/>
    <w:rsid w:val="00DC37CA"/>
    <w:rsid w:val="00DC38DB"/>
    <w:rsid w:val="00DC3F37"/>
    <w:rsid w:val="00DC4250"/>
    <w:rsid w:val="00DC43E4"/>
    <w:rsid w:val="00DC4453"/>
    <w:rsid w:val="00DC4890"/>
    <w:rsid w:val="00DC4BCF"/>
    <w:rsid w:val="00DC4FDA"/>
    <w:rsid w:val="00DC5567"/>
    <w:rsid w:val="00DC561A"/>
    <w:rsid w:val="00DC5970"/>
    <w:rsid w:val="00DC5CFE"/>
    <w:rsid w:val="00DC5DDA"/>
    <w:rsid w:val="00DC5F17"/>
    <w:rsid w:val="00DC638C"/>
    <w:rsid w:val="00DC6836"/>
    <w:rsid w:val="00DC6E34"/>
    <w:rsid w:val="00DC7202"/>
    <w:rsid w:val="00DC7501"/>
    <w:rsid w:val="00DC7569"/>
    <w:rsid w:val="00DD009A"/>
    <w:rsid w:val="00DD0C68"/>
    <w:rsid w:val="00DD0EEC"/>
    <w:rsid w:val="00DD14AD"/>
    <w:rsid w:val="00DD14EE"/>
    <w:rsid w:val="00DD1A10"/>
    <w:rsid w:val="00DD329F"/>
    <w:rsid w:val="00DD34F0"/>
    <w:rsid w:val="00DD3B41"/>
    <w:rsid w:val="00DD3CB8"/>
    <w:rsid w:val="00DD4092"/>
    <w:rsid w:val="00DD41E8"/>
    <w:rsid w:val="00DD4742"/>
    <w:rsid w:val="00DD481F"/>
    <w:rsid w:val="00DD493D"/>
    <w:rsid w:val="00DD4AD8"/>
    <w:rsid w:val="00DD4AE2"/>
    <w:rsid w:val="00DD4C68"/>
    <w:rsid w:val="00DD58E7"/>
    <w:rsid w:val="00DD62D9"/>
    <w:rsid w:val="00DD6320"/>
    <w:rsid w:val="00DD66FB"/>
    <w:rsid w:val="00DD67CE"/>
    <w:rsid w:val="00DD7254"/>
    <w:rsid w:val="00DD74BB"/>
    <w:rsid w:val="00DD7A2A"/>
    <w:rsid w:val="00DD7A91"/>
    <w:rsid w:val="00DD7D05"/>
    <w:rsid w:val="00DE02AE"/>
    <w:rsid w:val="00DE0726"/>
    <w:rsid w:val="00DE0916"/>
    <w:rsid w:val="00DE110F"/>
    <w:rsid w:val="00DE13D7"/>
    <w:rsid w:val="00DE1775"/>
    <w:rsid w:val="00DE19DE"/>
    <w:rsid w:val="00DE1D3E"/>
    <w:rsid w:val="00DE20D3"/>
    <w:rsid w:val="00DE20EE"/>
    <w:rsid w:val="00DE2D46"/>
    <w:rsid w:val="00DE2DA7"/>
    <w:rsid w:val="00DE2E97"/>
    <w:rsid w:val="00DE313D"/>
    <w:rsid w:val="00DE3350"/>
    <w:rsid w:val="00DE36E5"/>
    <w:rsid w:val="00DE3834"/>
    <w:rsid w:val="00DE39F9"/>
    <w:rsid w:val="00DE3B24"/>
    <w:rsid w:val="00DE3F08"/>
    <w:rsid w:val="00DE3F69"/>
    <w:rsid w:val="00DE48E9"/>
    <w:rsid w:val="00DE4CD3"/>
    <w:rsid w:val="00DE546F"/>
    <w:rsid w:val="00DE54B1"/>
    <w:rsid w:val="00DE5898"/>
    <w:rsid w:val="00DE5909"/>
    <w:rsid w:val="00DE59BE"/>
    <w:rsid w:val="00DE60EC"/>
    <w:rsid w:val="00DE6C00"/>
    <w:rsid w:val="00DE75C1"/>
    <w:rsid w:val="00DE78DA"/>
    <w:rsid w:val="00DE7D59"/>
    <w:rsid w:val="00DE7E42"/>
    <w:rsid w:val="00DF02F1"/>
    <w:rsid w:val="00DF0946"/>
    <w:rsid w:val="00DF10F1"/>
    <w:rsid w:val="00DF158F"/>
    <w:rsid w:val="00DF1648"/>
    <w:rsid w:val="00DF1866"/>
    <w:rsid w:val="00DF1A34"/>
    <w:rsid w:val="00DF1AAF"/>
    <w:rsid w:val="00DF1E85"/>
    <w:rsid w:val="00DF2217"/>
    <w:rsid w:val="00DF2259"/>
    <w:rsid w:val="00DF2418"/>
    <w:rsid w:val="00DF25AA"/>
    <w:rsid w:val="00DF263C"/>
    <w:rsid w:val="00DF26FE"/>
    <w:rsid w:val="00DF2901"/>
    <w:rsid w:val="00DF29B5"/>
    <w:rsid w:val="00DF3291"/>
    <w:rsid w:val="00DF33DA"/>
    <w:rsid w:val="00DF3AB1"/>
    <w:rsid w:val="00DF3DE1"/>
    <w:rsid w:val="00DF4208"/>
    <w:rsid w:val="00DF446B"/>
    <w:rsid w:val="00DF4586"/>
    <w:rsid w:val="00DF4A84"/>
    <w:rsid w:val="00DF4F27"/>
    <w:rsid w:val="00DF520A"/>
    <w:rsid w:val="00DF52C9"/>
    <w:rsid w:val="00DF576B"/>
    <w:rsid w:val="00DF5D78"/>
    <w:rsid w:val="00DF5FCE"/>
    <w:rsid w:val="00DF60AC"/>
    <w:rsid w:val="00DF653C"/>
    <w:rsid w:val="00DF6B69"/>
    <w:rsid w:val="00DF6BD7"/>
    <w:rsid w:val="00DF6CE4"/>
    <w:rsid w:val="00DF6F79"/>
    <w:rsid w:val="00DF761B"/>
    <w:rsid w:val="00DF7C65"/>
    <w:rsid w:val="00DF7EFC"/>
    <w:rsid w:val="00DF7F6B"/>
    <w:rsid w:val="00E001B5"/>
    <w:rsid w:val="00E00387"/>
    <w:rsid w:val="00E01235"/>
    <w:rsid w:val="00E0129D"/>
    <w:rsid w:val="00E01542"/>
    <w:rsid w:val="00E0177A"/>
    <w:rsid w:val="00E01EFB"/>
    <w:rsid w:val="00E0251E"/>
    <w:rsid w:val="00E0253F"/>
    <w:rsid w:val="00E025BC"/>
    <w:rsid w:val="00E025CC"/>
    <w:rsid w:val="00E027DB"/>
    <w:rsid w:val="00E0295B"/>
    <w:rsid w:val="00E02B22"/>
    <w:rsid w:val="00E02CCB"/>
    <w:rsid w:val="00E03724"/>
    <w:rsid w:val="00E0449C"/>
    <w:rsid w:val="00E04ABE"/>
    <w:rsid w:val="00E0522E"/>
    <w:rsid w:val="00E053D0"/>
    <w:rsid w:val="00E054CD"/>
    <w:rsid w:val="00E05761"/>
    <w:rsid w:val="00E05A87"/>
    <w:rsid w:val="00E05BC7"/>
    <w:rsid w:val="00E05D7D"/>
    <w:rsid w:val="00E06160"/>
    <w:rsid w:val="00E062AA"/>
    <w:rsid w:val="00E066B7"/>
    <w:rsid w:val="00E067B8"/>
    <w:rsid w:val="00E06A10"/>
    <w:rsid w:val="00E06B03"/>
    <w:rsid w:val="00E06BC8"/>
    <w:rsid w:val="00E07383"/>
    <w:rsid w:val="00E074BA"/>
    <w:rsid w:val="00E078DE"/>
    <w:rsid w:val="00E07FD4"/>
    <w:rsid w:val="00E10247"/>
    <w:rsid w:val="00E10397"/>
    <w:rsid w:val="00E1041B"/>
    <w:rsid w:val="00E107DD"/>
    <w:rsid w:val="00E11026"/>
    <w:rsid w:val="00E111E6"/>
    <w:rsid w:val="00E11377"/>
    <w:rsid w:val="00E11380"/>
    <w:rsid w:val="00E113C5"/>
    <w:rsid w:val="00E1173F"/>
    <w:rsid w:val="00E11F4C"/>
    <w:rsid w:val="00E122FA"/>
    <w:rsid w:val="00E12F3C"/>
    <w:rsid w:val="00E136F3"/>
    <w:rsid w:val="00E1385F"/>
    <w:rsid w:val="00E139A2"/>
    <w:rsid w:val="00E13A1B"/>
    <w:rsid w:val="00E13E47"/>
    <w:rsid w:val="00E1407A"/>
    <w:rsid w:val="00E141FA"/>
    <w:rsid w:val="00E1423B"/>
    <w:rsid w:val="00E14494"/>
    <w:rsid w:val="00E1468E"/>
    <w:rsid w:val="00E14784"/>
    <w:rsid w:val="00E14C2B"/>
    <w:rsid w:val="00E14FA9"/>
    <w:rsid w:val="00E15236"/>
    <w:rsid w:val="00E15796"/>
    <w:rsid w:val="00E15C20"/>
    <w:rsid w:val="00E15CA4"/>
    <w:rsid w:val="00E15FA0"/>
    <w:rsid w:val="00E160C4"/>
    <w:rsid w:val="00E1622F"/>
    <w:rsid w:val="00E163CD"/>
    <w:rsid w:val="00E1663A"/>
    <w:rsid w:val="00E17052"/>
    <w:rsid w:val="00E1720A"/>
    <w:rsid w:val="00E17273"/>
    <w:rsid w:val="00E20200"/>
    <w:rsid w:val="00E2061A"/>
    <w:rsid w:val="00E211FA"/>
    <w:rsid w:val="00E212F6"/>
    <w:rsid w:val="00E2145E"/>
    <w:rsid w:val="00E2180C"/>
    <w:rsid w:val="00E21A19"/>
    <w:rsid w:val="00E21B17"/>
    <w:rsid w:val="00E21D1E"/>
    <w:rsid w:val="00E223DF"/>
    <w:rsid w:val="00E223E2"/>
    <w:rsid w:val="00E226A9"/>
    <w:rsid w:val="00E22D15"/>
    <w:rsid w:val="00E22DA3"/>
    <w:rsid w:val="00E23014"/>
    <w:rsid w:val="00E2312D"/>
    <w:rsid w:val="00E234E3"/>
    <w:rsid w:val="00E23649"/>
    <w:rsid w:val="00E23F2B"/>
    <w:rsid w:val="00E240C3"/>
    <w:rsid w:val="00E2422D"/>
    <w:rsid w:val="00E245F8"/>
    <w:rsid w:val="00E24BD5"/>
    <w:rsid w:val="00E25056"/>
    <w:rsid w:val="00E25394"/>
    <w:rsid w:val="00E25437"/>
    <w:rsid w:val="00E255D1"/>
    <w:rsid w:val="00E26183"/>
    <w:rsid w:val="00E26247"/>
    <w:rsid w:val="00E26821"/>
    <w:rsid w:val="00E269BC"/>
    <w:rsid w:val="00E26B75"/>
    <w:rsid w:val="00E26DE2"/>
    <w:rsid w:val="00E26E6E"/>
    <w:rsid w:val="00E27119"/>
    <w:rsid w:val="00E275A9"/>
    <w:rsid w:val="00E277E6"/>
    <w:rsid w:val="00E278DD"/>
    <w:rsid w:val="00E27A1B"/>
    <w:rsid w:val="00E30235"/>
    <w:rsid w:val="00E30460"/>
    <w:rsid w:val="00E304EA"/>
    <w:rsid w:val="00E30866"/>
    <w:rsid w:val="00E30967"/>
    <w:rsid w:val="00E3141B"/>
    <w:rsid w:val="00E31510"/>
    <w:rsid w:val="00E316CA"/>
    <w:rsid w:val="00E3190B"/>
    <w:rsid w:val="00E319A9"/>
    <w:rsid w:val="00E31A07"/>
    <w:rsid w:val="00E31A9C"/>
    <w:rsid w:val="00E31BC3"/>
    <w:rsid w:val="00E32393"/>
    <w:rsid w:val="00E33001"/>
    <w:rsid w:val="00E3318C"/>
    <w:rsid w:val="00E332A2"/>
    <w:rsid w:val="00E33522"/>
    <w:rsid w:val="00E33A3E"/>
    <w:rsid w:val="00E33FC7"/>
    <w:rsid w:val="00E3409D"/>
    <w:rsid w:val="00E341A0"/>
    <w:rsid w:val="00E343A2"/>
    <w:rsid w:val="00E347B4"/>
    <w:rsid w:val="00E348BC"/>
    <w:rsid w:val="00E34BFA"/>
    <w:rsid w:val="00E34E7E"/>
    <w:rsid w:val="00E35CDB"/>
    <w:rsid w:val="00E35E8D"/>
    <w:rsid w:val="00E362A3"/>
    <w:rsid w:val="00E36495"/>
    <w:rsid w:val="00E36554"/>
    <w:rsid w:val="00E36886"/>
    <w:rsid w:val="00E368B6"/>
    <w:rsid w:val="00E368E5"/>
    <w:rsid w:val="00E36B48"/>
    <w:rsid w:val="00E36CC3"/>
    <w:rsid w:val="00E36D54"/>
    <w:rsid w:val="00E372BB"/>
    <w:rsid w:val="00E374CD"/>
    <w:rsid w:val="00E37BC5"/>
    <w:rsid w:val="00E37F50"/>
    <w:rsid w:val="00E37FB2"/>
    <w:rsid w:val="00E40480"/>
    <w:rsid w:val="00E4090B"/>
    <w:rsid w:val="00E40A4B"/>
    <w:rsid w:val="00E40C5B"/>
    <w:rsid w:val="00E40FAA"/>
    <w:rsid w:val="00E41350"/>
    <w:rsid w:val="00E4146C"/>
    <w:rsid w:val="00E41755"/>
    <w:rsid w:val="00E41AE9"/>
    <w:rsid w:val="00E41BE2"/>
    <w:rsid w:val="00E4213C"/>
    <w:rsid w:val="00E4229F"/>
    <w:rsid w:val="00E423E7"/>
    <w:rsid w:val="00E42510"/>
    <w:rsid w:val="00E42792"/>
    <w:rsid w:val="00E42C9D"/>
    <w:rsid w:val="00E43100"/>
    <w:rsid w:val="00E43B57"/>
    <w:rsid w:val="00E43CE7"/>
    <w:rsid w:val="00E446B3"/>
    <w:rsid w:val="00E44B6F"/>
    <w:rsid w:val="00E44D3E"/>
    <w:rsid w:val="00E44EA6"/>
    <w:rsid w:val="00E44EBB"/>
    <w:rsid w:val="00E44FC8"/>
    <w:rsid w:val="00E45CC9"/>
    <w:rsid w:val="00E461D4"/>
    <w:rsid w:val="00E46694"/>
    <w:rsid w:val="00E47015"/>
    <w:rsid w:val="00E470B2"/>
    <w:rsid w:val="00E470F5"/>
    <w:rsid w:val="00E47810"/>
    <w:rsid w:val="00E479D2"/>
    <w:rsid w:val="00E47B41"/>
    <w:rsid w:val="00E47D6C"/>
    <w:rsid w:val="00E50252"/>
    <w:rsid w:val="00E502FB"/>
    <w:rsid w:val="00E508D0"/>
    <w:rsid w:val="00E50FCE"/>
    <w:rsid w:val="00E51843"/>
    <w:rsid w:val="00E523BE"/>
    <w:rsid w:val="00E5273E"/>
    <w:rsid w:val="00E5277F"/>
    <w:rsid w:val="00E52864"/>
    <w:rsid w:val="00E52A18"/>
    <w:rsid w:val="00E52B78"/>
    <w:rsid w:val="00E52D27"/>
    <w:rsid w:val="00E52F3A"/>
    <w:rsid w:val="00E53135"/>
    <w:rsid w:val="00E5333A"/>
    <w:rsid w:val="00E537E4"/>
    <w:rsid w:val="00E53E98"/>
    <w:rsid w:val="00E548D9"/>
    <w:rsid w:val="00E548EE"/>
    <w:rsid w:val="00E54A1D"/>
    <w:rsid w:val="00E54B91"/>
    <w:rsid w:val="00E551CB"/>
    <w:rsid w:val="00E552C6"/>
    <w:rsid w:val="00E55A1B"/>
    <w:rsid w:val="00E564CC"/>
    <w:rsid w:val="00E56558"/>
    <w:rsid w:val="00E56699"/>
    <w:rsid w:val="00E56922"/>
    <w:rsid w:val="00E56931"/>
    <w:rsid w:val="00E56DA9"/>
    <w:rsid w:val="00E56F72"/>
    <w:rsid w:val="00E5730E"/>
    <w:rsid w:val="00E5731F"/>
    <w:rsid w:val="00E575E6"/>
    <w:rsid w:val="00E60245"/>
    <w:rsid w:val="00E608E3"/>
    <w:rsid w:val="00E6096E"/>
    <w:rsid w:val="00E60D67"/>
    <w:rsid w:val="00E610AC"/>
    <w:rsid w:val="00E61267"/>
    <w:rsid w:val="00E6162B"/>
    <w:rsid w:val="00E617A5"/>
    <w:rsid w:val="00E61D9C"/>
    <w:rsid w:val="00E62122"/>
    <w:rsid w:val="00E62B8D"/>
    <w:rsid w:val="00E6314B"/>
    <w:rsid w:val="00E631DA"/>
    <w:rsid w:val="00E63354"/>
    <w:rsid w:val="00E63483"/>
    <w:rsid w:val="00E63A79"/>
    <w:rsid w:val="00E63BC7"/>
    <w:rsid w:val="00E63C16"/>
    <w:rsid w:val="00E63DC8"/>
    <w:rsid w:val="00E642D9"/>
    <w:rsid w:val="00E6441C"/>
    <w:rsid w:val="00E647EC"/>
    <w:rsid w:val="00E649D6"/>
    <w:rsid w:val="00E64DCD"/>
    <w:rsid w:val="00E64FAC"/>
    <w:rsid w:val="00E650C6"/>
    <w:rsid w:val="00E6520F"/>
    <w:rsid w:val="00E65310"/>
    <w:rsid w:val="00E65630"/>
    <w:rsid w:val="00E65CAE"/>
    <w:rsid w:val="00E66063"/>
    <w:rsid w:val="00E6651E"/>
    <w:rsid w:val="00E66C1C"/>
    <w:rsid w:val="00E66C77"/>
    <w:rsid w:val="00E66F17"/>
    <w:rsid w:val="00E66FE6"/>
    <w:rsid w:val="00E670FA"/>
    <w:rsid w:val="00E67388"/>
    <w:rsid w:val="00E67427"/>
    <w:rsid w:val="00E67617"/>
    <w:rsid w:val="00E67934"/>
    <w:rsid w:val="00E67E7C"/>
    <w:rsid w:val="00E70440"/>
    <w:rsid w:val="00E705A1"/>
    <w:rsid w:val="00E705CC"/>
    <w:rsid w:val="00E70638"/>
    <w:rsid w:val="00E70AD5"/>
    <w:rsid w:val="00E70B77"/>
    <w:rsid w:val="00E713F9"/>
    <w:rsid w:val="00E714F3"/>
    <w:rsid w:val="00E71813"/>
    <w:rsid w:val="00E71AA8"/>
    <w:rsid w:val="00E71EE6"/>
    <w:rsid w:val="00E720F4"/>
    <w:rsid w:val="00E726A0"/>
    <w:rsid w:val="00E728A9"/>
    <w:rsid w:val="00E7343D"/>
    <w:rsid w:val="00E73461"/>
    <w:rsid w:val="00E737A0"/>
    <w:rsid w:val="00E73FC8"/>
    <w:rsid w:val="00E743C0"/>
    <w:rsid w:val="00E74891"/>
    <w:rsid w:val="00E74896"/>
    <w:rsid w:val="00E749D9"/>
    <w:rsid w:val="00E75A0D"/>
    <w:rsid w:val="00E75C45"/>
    <w:rsid w:val="00E75D44"/>
    <w:rsid w:val="00E75DC6"/>
    <w:rsid w:val="00E760F5"/>
    <w:rsid w:val="00E761AD"/>
    <w:rsid w:val="00E76E07"/>
    <w:rsid w:val="00E76E6A"/>
    <w:rsid w:val="00E76FE4"/>
    <w:rsid w:val="00E776EB"/>
    <w:rsid w:val="00E77A30"/>
    <w:rsid w:val="00E8002F"/>
    <w:rsid w:val="00E8045D"/>
    <w:rsid w:val="00E8076C"/>
    <w:rsid w:val="00E80790"/>
    <w:rsid w:val="00E80B37"/>
    <w:rsid w:val="00E80E98"/>
    <w:rsid w:val="00E815F6"/>
    <w:rsid w:val="00E816E0"/>
    <w:rsid w:val="00E81D1A"/>
    <w:rsid w:val="00E81DB2"/>
    <w:rsid w:val="00E81E84"/>
    <w:rsid w:val="00E8235F"/>
    <w:rsid w:val="00E828D2"/>
    <w:rsid w:val="00E828F2"/>
    <w:rsid w:val="00E828F3"/>
    <w:rsid w:val="00E82BCA"/>
    <w:rsid w:val="00E830F6"/>
    <w:rsid w:val="00E8348B"/>
    <w:rsid w:val="00E835E4"/>
    <w:rsid w:val="00E83642"/>
    <w:rsid w:val="00E836FD"/>
    <w:rsid w:val="00E8375F"/>
    <w:rsid w:val="00E83818"/>
    <w:rsid w:val="00E839A9"/>
    <w:rsid w:val="00E839D2"/>
    <w:rsid w:val="00E83B60"/>
    <w:rsid w:val="00E83F51"/>
    <w:rsid w:val="00E84078"/>
    <w:rsid w:val="00E8414C"/>
    <w:rsid w:val="00E84440"/>
    <w:rsid w:val="00E84618"/>
    <w:rsid w:val="00E846A4"/>
    <w:rsid w:val="00E846A5"/>
    <w:rsid w:val="00E84A19"/>
    <w:rsid w:val="00E84BCF"/>
    <w:rsid w:val="00E84F08"/>
    <w:rsid w:val="00E84FD8"/>
    <w:rsid w:val="00E851C5"/>
    <w:rsid w:val="00E8532F"/>
    <w:rsid w:val="00E864C1"/>
    <w:rsid w:val="00E867FB"/>
    <w:rsid w:val="00E86861"/>
    <w:rsid w:val="00E86BDA"/>
    <w:rsid w:val="00E86D0A"/>
    <w:rsid w:val="00E86D6C"/>
    <w:rsid w:val="00E87C44"/>
    <w:rsid w:val="00E87FB7"/>
    <w:rsid w:val="00E90163"/>
    <w:rsid w:val="00E90880"/>
    <w:rsid w:val="00E909F5"/>
    <w:rsid w:val="00E90C88"/>
    <w:rsid w:val="00E910D0"/>
    <w:rsid w:val="00E91363"/>
    <w:rsid w:val="00E913B3"/>
    <w:rsid w:val="00E9172C"/>
    <w:rsid w:val="00E9182B"/>
    <w:rsid w:val="00E91BC9"/>
    <w:rsid w:val="00E91C22"/>
    <w:rsid w:val="00E921CF"/>
    <w:rsid w:val="00E92277"/>
    <w:rsid w:val="00E923D8"/>
    <w:rsid w:val="00E92504"/>
    <w:rsid w:val="00E927B0"/>
    <w:rsid w:val="00E927B8"/>
    <w:rsid w:val="00E929E0"/>
    <w:rsid w:val="00E935A9"/>
    <w:rsid w:val="00E935DD"/>
    <w:rsid w:val="00E935E5"/>
    <w:rsid w:val="00E93866"/>
    <w:rsid w:val="00E93B37"/>
    <w:rsid w:val="00E9480E"/>
    <w:rsid w:val="00E948E4"/>
    <w:rsid w:val="00E94D06"/>
    <w:rsid w:val="00E94E6D"/>
    <w:rsid w:val="00E95087"/>
    <w:rsid w:val="00E95E25"/>
    <w:rsid w:val="00E95E34"/>
    <w:rsid w:val="00E960A5"/>
    <w:rsid w:val="00E96275"/>
    <w:rsid w:val="00E96346"/>
    <w:rsid w:val="00E96737"/>
    <w:rsid w:val="00E9678D"/>
    <w:rsid w:val="00E96927"/>
    <w:rsid w:val="00E96E4E"/>
    <w:rsid w:val="00E975C2"/>
    <w:rsid w:val="00EA041A"/>
    <w:rsid w:val="00EA0C6A"/>
    <w:rsid w:val="00EA1197"/>
    <w:rsid w:val="00EA166E"/>
    <w:rsid w:val="00EA1BE9"/>
    <w:rsid w:val="00EA22C9"/>
    <w:rsid w:val="00EA2562"/>
    <w:rsid w:val="00EA2D04"/>
    <w:rsid w:val="00EA30F4"/>
    <w:rsid w:val="00EA3623"/>
    <w:rsid w:val="00EA3670"/>
    <w:rsid w:val="00EA3D41"/>
    <w:rsid w:val="00EA3FF4"/>
    <w:rsid w:val="00EA429F"/>
    <w:rsid w:val="00EA4741"/>
    <w:rsid w:val="00EA516F"/>
    <w:rsid w:val="00EA523F"/>
    <w:rsid w:val="00EA5443"/>
    <w:rsid w:val="00EA56AD"/>
    <w:rsid w:val="00EA5894"/>
    <w:rsid w:val="00EA5E45"/>
    <w:rsid w:val="00EA6122"/>
    <w:rsid w:val="00EA6ABE"/>
    <w:rsid w:val="00EA6D43"/>
    <w:rsid w:val="00EA6F52"/>
    <w:rsid w:val="00EA7364"/>
    <w:rsid w:val="00EA78B9"/>
    <w:rsid w:val="00EA7AF6"/>
    <w:rsid w:val="00EB0206"/>
    <w:rsid w:val="00EB020A"/>
    <w:rsid w:val="00EB045D"/>
    <w:rsid w:val="00EB04C7"/>
    <w:rsid w:val="00EB0BA7"/>
    <w:rsid w:val="00EB0C34"/>
    <w:rsid w:val="00EB0D18"/>
    <w:rsid w:val="00EB1086"/>
    <w:rsid w:val="00EB1113"/>
    <w:rsid w:val="00EB16AF"/>
    <w:rsid w:val="00EB1875"/>
    <w:rsid w:val="00EB1BC5"/>
    <w:rsid w:val="00EB1C1F"/>
    <w:rsid w:val="00EB1F01"/>
    <w:rsid w:val="00EB29BF"/>
    <w:rsid w:val="00EB2A9B"/>
    <w:rsid w:val="00EB2B1F"/>
    <w:rsid w:val="00EB2BA0"/>
    <w:rsid w:val="00EB2BB6"/>
    <w:rsid w:val="00EB2BD5"/>
    <w:rsid w:val="00EB2D2F"/>
    <w:rsid w:val="00EB31E6"/>
    <w:rsid w:val="00EB32A5"/>
    <w:rsid w:val="00EB34B4"/>
    <w:rsid w:val="00EB3885"/>
    <w:rsid w:val="00EB3AB3"/>
    <w:rsid w:val="00EB3E34"/>
    <w:rsid w:val="00EB3FB7"/>
    <w:rsid w:val="00EB4558"/>
    <w:rsid w:val="00EB456E"/>
    <w:rsid w:val="00EB4680"/>
    <w:rsid w:val="00EB46C1"/>
    <w:rsid w:val="00EB4856"/>
    <w:rsid w:val="00EB4895"/>
    <w:rsid w:val="00EB4DD3"/>
    <w:rsid w:val="00EB4E93"/>
    <w:rsid w:val="00EB560F"/>
    <w:rsid w:val="00EB565D"/>
    <w:rsid w:val="00EB56F7"/>
    <w:rsid w:val="00EB6E26"/>
    <w:rsid w:val="00EB7A69"/>
    <w:rsid w:val="00EB7C35"/>
    <w:rsid w:val="00EC0207"/>
    <w:rsid w:val="00EC0278"/>
    <w:rsid w:val="00EC0478"/>
    <w:rsid w:val="00EC0572"/>
    <w:rsid w:val="00EC1276"/>
    <w:rsid w:val="00EC152F"/>
    <w:rsid w:val="00EC2E82"/>
    <w:rsid w:val="00EC2F90"/>
    <w:rsid w:val="00EC30A5"/>
    <w:rsid w:val="00EC3389"/>
    <w:rsid w:val="00EC3491"/>
    <w:rsid w:val="00EC372F"/>
    <w:rsid w:val="00EC3D98"/>
    <w:rsid w:val="00EC3E60"/>
    <w:rsid w:val="00EC4188"/>
    <w:rsid w:val="00EC41B1"/>
    <w:rsid w:val="00EC4496"/>
    <w:rsid w:val="00EC44BF"/>
    <w:rsid w:val="00EC5588"/>
    <w:rsid w:val="00EC5B95"/>
    <w:rsid w:val="00EC5D29"/>
    <w:rsid w:val="00EC5F85"/>
    <w:rsid w:val="00EC6883"/>
    <w:rsid w:val="00EC6A3E"/>
    <w:rsid w:val="00EC72C4"/>
    <w:rsid w:val="00EC7595"/>
    <w:rsid w:val="00EC75F2"/>
    <w:rsid w:val="00EC764C"/>
    <w:rsid w:val="00EC7B3C"/>
    <w:rsid w:val="00ED08D7"/>
    <w:rsid w:val="00ED0AA1"/>
    <w:rsid w:val="00ED0D2E"/>
    <w:rsid w:val="00ED1133"/>
    <w:rsid w:val="00ED115A"/>
    <w:rsid w:val="00ED13D4"/>
    <w:rsid w:val="00ED1576"/>
    <w:rsid w:val="00ED17CF"/>
    <w:rsid w:val="00ED1BC9"/>
    <w:rsid w:val="00ED1F26"/>
    <w:rsid w:val="00ED2516"/>
    <w:rsid w:val="00ED266A"/>
    <w:rsid w:val="00ED26A8"/>
    <w:rsid w:val="00ED2880"/>
    <w:rsid w:val="00ED2AC0"/>
    <w:rsid w:val="00ED330D"/>
    <w:rsid w:val="00ED3B62"/>
    <w:rsid w:val="00ED3BB5"/>
    <w:rsid w:val="00ED3E55"/>
    <w:rsid w:val="00ED4444"/>
    <w:rsid w:val="00ED4A03"/>
    <w:rsid w:val="00ED4D4A"/>
    <w:rsid w:val="00ED52A4"/>
    <w:rsid w:val="00ED543D"/>
    <w:rsid w:val="00ED5879"/>
    <w:rsid w:val="00ED5AF3"/>
    <w:rsid w:val="00ED6A5F"/>
    <w:rsid w:val="00ED7595"/>
    <w:rsid w:val="00ED75A8"/>
    <w:rsid w:val="00ED783F"/>
    <w:rsid w:val="00ED7A44"/>
    <w:rsid w:val="00ED7E0C"/>
    <w:rsid w:val="00EE037A"/>
    <w:rsid w:val="00EE075B"/>
    <w:rsid w:val="00EE10E5"/>
    <w:rsid w:val="00EE13BC"/>
    <w:rsid w:val="00EE1CDC"/>
    <w:rsid w:val="00EE219C"/>
    <w:rsid w:val="00EE2C04"/>
    <w:rsid w:val="00EE2D41"/>
    <w:rsid w:val="00EE31D7"/>
    <w:rsid w:val="00EE366B"/>
    <w:rsid w:val="00EE3E88"/>
    <w:rsid w:val="00EE4352"/>
    <w:rsid w:val="00EE4540"/>
    <w:rsid w:val="00EE46E5"/>
    <w:rsid w:val="00EE4A07"/>
    <w:rsid w:val="00EE4C51"/>
    <w:rsid w:val="00EE529D"/>
    <w:rsid w:val="00EE5CC1"/>
    <w:rsid w:val="00EE6510"/>
    <w:rsid w:val="00EE7195"/>
    <w:rsid w:val="00EE7416"/>
    <w:rsid w:val="00EE748A"/>
    <w:rsid w:val="00EE770C"/>
    <w:rsid w:val="00EE77A3"/>
    <w:rsid w:val="00EE7DB2"/>
    <w:rsid w:val="00EF02AF"/>
    <w:rsid w:val="00EF02E3"/>
    <w:rsid w:val="00EF0619"/>
    <w:rsid w:val="00EF0A05"/>
    <w:rsid w:val="00EF0A59"/>
    <w:rsid w:val="00EF0C13"/>
    <w:rsid w:val="00EF0CDD"/>
    <w:rsid w:val="00EF177B"/>
    <w:rsid w:val="00EF1E34"/>
    <w:rsid w:val="00EF221A"/>
    <w:rsid w:val="00EF2C2E"/>
    <w:rsid w:val="00EF2D8F"/>
    <w:rsid w:val="00EF2DBE"/>
    <w:rsid w:val="00EF2F0C"/>
    <w:rsid w:val="00EF309E"/>
    <w:rsid w:val="00EF32EE"/>
    <w:rsid w:val="00EF3BCB"/>
    <w:rsid w:val="00EF3D6F"/>
    <w:rsid w:val="00EF3E7E"/>
    <w:rsid w:val="00EF3FAA"/>
    <w:rsid w:val="00EF3FB4"/>
    <w:rsid w:val="00EF41E1"/>
    <w:rsid w:val="00EF46D0"/>
    <w:rsid w:val="00EF476D"/>
    <w:rsid w:val="00EF513A"/>
    <w:rsid w:val="00EF554B"/>
    <w:rsid w:val="00EF5666"/>
    <w:rsid w:val="00EF5A22"/>
    <w:rsid w:val="00EF5B93"/>
    <w:rsid w:val="00EF5E52"/>
    <w:rsid w:val="00EF5FF2"/>
    <w:rsid w:val="00EF6168"/>
    <w:rsid w:val="00EF671A"/>
    <w:rsid w:val="00EF677D"/>
    <w:rsid w:val="00EF6B29"/>
    <w:rsid w:val="00EF6E86"/>
    <w:rsid w:val="00EF7262"/>
    <w:rsid w:val="00EF74D8"/>
    <w:rsid w:val="00EF7CBA"/>
    <w:rsid w:val="00F00360"/>
    <w:rsid w:val="00F00634"/>
    <w:rsid w:val="00F00653"/>
    <w:rsid w:val="00F009DC"/>
    <w:rsid w:val="00F00B4F"/>
    <w:rsid w:val="00F00F13"/>
    <w:rsid w:val="00F016F0"/>
    <w:rsid w:val="00F01A3A"/>
    <w:rsid w:val="00F01B62"/>
    <w:rsid w:val="00F01CF9"/>
    <w:rsid w:val="00F02004"/>
    <w:rsid w:val="00F038BE"/>
    <w:rsid w:val="00F03949"/>
    <w:rsid w:val="00F03B30"/>
    <w:rsid w:val="00F04CC7"/>
    <w:rsid w:val="00F04E94"/>
    <w:rsid w:val="00F05335"/>
    <w:rsid w:val="00F05782"/>
    <w:rsid w:val="00F05D76"/>
    <w:rsid w:val="00F05F52"/>
    <w:rsid w:val="00F06330"/>
    <w:rsid w:val="00F06F14"/>
    <w:rsid w:val="00F075A1"/>
    <w:rsid w:val="00F07736"/>
    <w:rsid w:val="00F10101"/>
    <w:rsid w:val="00F109EA"/>
    <w:rsid w:val="00F10E5B"/>
    <w:rsid w:val="00F113F1"/>
    <w:rsid w:val="00F116C2"/>
    <w:rsid w:val="00F12867"/>
    <w:rsid w:val="00F1295C"/>
    <w:rsid w:val="00F13197"/>
    <w:rsid w:val="00F13457"/>
    <w:rsid w:val="00F1370A"/>
    <w:rsid w:val="00F137CB"/>
    <w:rsid w:val="00F1392A"/>
    <w:rsid w:val="00F1419E"/>
    <w:rsid w:val="00F143D4"/>
    <w:rsid w:val="00F14883"/>
    <w:rsid w:val="00F14916"/>
    <w:rsid w:val="00F14924"/>
    <w:rsid w:val="00F14AA3"/>
    <w:rsid w:val="00F14B2D"/>
    <w:rsid w:val="00F14DCB"/>
    <w:rsid w:val="00F15104"/>
    <w:rsid w:val="00F152FD"/>
    <w:rsid w:val="00F15B7E"/>
    <w:rsid w:val="00F15F09"/>
    <w:rsid w:val="00F1634B"/>
    <w:rsid w:val="00F16475"/>
    <w:rsid w:val="00F164C6"/>
    <w:rsid w:val="00F168DB"/>
    <w:rsid w:val="00F16F39"/>
    <w:rsid w:val="00F16FE5"/>
    <w:rsid w:val="00F1745E"/>
    <w:rsid w:val="00F17E5D"/>
    <w:rsid w:val="00F17F61"/>
    <w:rsid w:val="00F20956"/>
    <w:rsid w:val="00F20ADC"/>
    <w:rsid w:val="00F210DD"/>
    <w:rsid w:val="00F2159C"/>
    <w:rsid w:val="00F2181E"/>
    <w:rsid w:val="00F21A2A"/>
    <w:rsid w:val="00F21A97"/>
    <w:rsid w:val="00F222B7"/>
    <w:rsid w:val="00F22809"/>
    <w:rsid w:val="00F22B6F"/>
    <w:rsid w:val="00F22FF7"/>
    <w:rsid w:val="00F23459"/>
    <w:rsid w:val="00F2345D"/>
    <w:rsid w:val="00F234E0"/>
    <w:rsid w:val="00F2365A"/>
    <w:rsid w:val="00F237CE"/>
    <w:rsid w:val="00F23ED9"/>
    <w:rsid w:val="00F2401F"/>
    <w:rsid w:val="00F245E2"/>
    <w:rsid w:val="00F24739"/>
    <w:rsid w:val="00F2518C"/>
    <w:rsid w:val="00F25775"/>
    <w:rsid w:val="00F25968"/>
    <w:rsid w:val="00F2602F"/>
    <w:rsid w:val="00F26E36"/>
    <w:rsid w:val="00F27A53"/>
    <w:rsid w:val="00F27B84"/>
    <w:rsid w:val="00F27B8E"/>
    <w:rsid w:val="00F304C8"/>
    <w:rsid w:val="00F305D3"/>
    <w:rsid w:val="00F30902"/>
    <w:rsid w:val="00F30B06"/>
    <w:rsid w:val="00F313A2"/>
    <w:rsid w:val="00F31A3A"/>
    <w:rsid w:val="00F31AE7"/>
    <w:rsid w:val="00F3200E"/>
    <w:rsid w:val="00F32309"/>
    <w:rsid w:val="00F32483"/>
    <w:rsid w:val="00F3265E"/>
    <w:rsid w:val="00F32B6D"/>
    <w:rsid w:val="00F336DE"/>
    <w:rsid w:val="00F337E0"/>
    <w:rsid w:val="00F3398A"/>
    <w:rsid w:val="00F339C4"/>
    <w:rsid w:val="00F33AF8"/>
    <w:rsid w:val="00F33DDE"/>
    <w:rsid w:val="00F33EE6"/>
    <w:rsid w:val="00F344A8"/>
    <w:rsid w:val="00F34881"/>
    <w:rsid w:val="00F34A35"/>
    <w:rsid w:val="00F34CA2"/>
    <w:rsid w:val="00F34E9C"/>
    <w:rsid w:val="00F34EA3"/>
    <w:rsid w:val="00F34F43"/>
    <w:rsid w:val="00F3519D"/>
    <w:rsid w:val="00F352EC"/>
    <w:rsid w:val="00F35B26"/>
    <w:rsid w:val="00F35CF1"/>
    <w:rsid w:val="00F3624C"/>
    <w:rsid w:val="00F365BD"/>
    <w:rsid w:val="00F36646"/>
    <w:rsid w:val="00F367CE"/>
    <w:rsid w:val="00F374BA"/>
    <w:rsid w:val="00F379CB"/>
    <w:rsid w:val="00F37B4D"/>
    <w:rsid w:val="00F37B77"/>
    <w:rsid w:val="00F37D89"/>
    <w:rsid w:val="00F37E24"/>
    <w:rsid w:val="00F37E2F"/>
    <w:rsid w:val="00F37E6D"/>
    <w:rsid w:val="00F4030C"/>
    <w:rsid w:val="00F40ECF"/>
    <w:rsid w:val="00F41110"/>
    <w:rsid w:val="00F41403"/>
    <w:rsid w:val="00F41740"/>
    <w:rsid w:val="00F418EC"/>
    <w:rsid w:val="00F418FF"/>
    <w:rsid w:val="00F41ADC"/>
    <w:rsid w:val="00F41B17"/>
    <w:rsid w:val="00F42267"/>
    <w:rsid w:val="00F422E1"/>
    <w:rsid w:val="00F422E4"/>
    <w:rsid w:val="00F422E9"/>
    <w:rsid w:val="00F423FC"/>
    <w:rsid w:val="00F42737"/>
    <w:rsid w:val="00F42772"/>
    <w:rsid w:val="00F431E9"/>
    <w:rsid w:val="00F435F9"/>
    <w:rsid w:val="00F436AA"/>
    <w:rsid w:val="00F436D6"/>
    <w:rsid w:val="00F43BE0"/>
    <w:rsid w:val="00F43C37"/>
    <w:rsid w:val="00F43CE4"/>
    <w:rsid w:val="00F44056"/>
    <w:rsid w:val="00F4488B"/>
    <w:rsid w:val="00F448A6"/>
    <w:rsid w:val="00F44C53"/>
    <w:rsid w:val="00F44ED2"/>
    <w:rsid w:val="00F4512B"/>
    <w:rsid w:val="00F4542B"/>
    <w:rsid w:val="00F45554"/>
    <w:rsid w:val="00F45BB7"/>
    <w:rsid w:val="00F460D6"/>
    <w:rsid w:val="00F46DE3"/>
    <w:rsid w:val="00F47158"/>
    <w:rsid w:val="00F471EA"/>
    <w:rsid w:val="00F47250"/>
    <w:rsid w:val="00F474FD"/>
    <w:rsid w:val="00F476FC"/>
    <w:rsid w:val="00F47ACF"/>
    <w:rsid w:val="00F47AFF"/>
    <w:rsid w:val="00F47D5F"/>
    <w:rsid w:val="00F47F56"/>
    <w:rsid w:val="00F5005F"/>
    <w:rsid w:val="00F501C2"/>
    <w:rsid w:val="00F50529"/>
    <w:rsid w:val="00F505CA"/>
    <w:rsid w:val="00F50635"/>
    <w:rsid w:val="00F506C8"/>
    <w:rsid w:val="00F50D90"/>
    <w:rsid w:val="00F50E45"/>
    <w:rsid w:val="00F51443"/>
    <w:rsid w:val="00F51831"/>
    <w:rsid w:val="00F5197E"/>
    <w:rsid w:val="00F51B49"/>
    <w:rsid w:val="00F51C19"/>
    <w:rsid w:val="00F520BF"/>
    <w:rsid w:val="00F52330"/>
    <w:rsid w:val="00F525E5"/>
    <w:rsid w:val="00F5321A"/>
    <w:rsid w:val="00F5391E"/>
    <w:rsid w:val="00F53D59"/>
    <w:rsid w:val="00F53EE9"/>
    <w:rsid w:val="00F5409E"/>
    <w:rsid w:val="00F54441"/>
    <w:rsid w:val="00F54725"/>
    <w:rsid w:val="00F552AA"/>
    <w:rsid w:val="00F558A3"/>
    <w:rsid w:val="00F5615F"/>
    <w:rsid w:val="00F56465"/>
    <w:rsid w:val="00F56638"/>
    <w:rsid w:val="00F56938"/>
    <w:rsid w:val="00F56973"/>
    <w:rsid w:val="00F57003"/>
    <w:rsid w:val="00F5710C"/>
    <w:rsid w:val="00F57F2E"/>
    <w:rsid w:val="00F57F7E"/>
    <w:rsid w:val="00F60035"/>
    <w:rsid w:val="00F601C0"/>
    <w:rsid w:val="00F6098A"/>
    <w:rsid w:val="00F6143E"/>
    <w:rsid w:val="00F61ACF"/>
    <w:rsid w:val="00F61BC0"/>
    <w:rsid w:val="00F621A4"/>
    <w:rsid w:val="00F625B8"/>
    <w:rsid w:val="00F6317F"/>
    <w:rsid w:val="00F63C28"/>
    <w:rsid w:val="00F64382"/>
    <w:rsid w:val="00F645DE"/>
    <w:rsid w:val="00F64647"/>
    <w:rsid w:val="00F64A7C"/>
    <w:rsid w:val="00F64AC9"/>
    <w:rsid w:val="00F64E5B"/>
    <w:rsid w:val="00F651B3"/>
    <w:rsid w:val="00F65406"/>
    <w:rsid w:val="00F65858"/>
    <w:rsid w:val="00F65C77"/>
    <w:rsid w:val="00F65CFA"/>
    <w:rsid w:val="00F662B4"/>
    <w:rsid w:val="00F666C3"/>
    <w:rsid w:val="00F66C69"/>
    <w:rsid w:val="00F66E84"/>
    <w:rsid w:val="00F66EC3"/>
    <w:rsid w:val="00F67106"/>
    <w:rsid w:val="00F701F4"/>
    <w:rsid w:val="00F70533"/>
    <w:rsid w:val="00F7070D"/>
    <w:rsid w:val="00F70AD0"/>
    <w:rsid w:val="00F70CAA"/>
    <w:rsid w:val="00F70DFE"/>
    <w:rsid w:val="00F70F96"/>
    <w:rsid w:val="00F7110F"/>
    <w:rsid w:val="00F712B4"/>
    <w:rsid w:val="00F71524"/>
    <w:rsid w:val="00F717B2"/>
    <w:rsid w:val="00F71B84"/>
    <w:rsid w:val="00F71C5D"/>
    <w:rsid w:val="00F72186"/>
    <w:rsid w:val="00F725A8"/>
    <w:rsid w:val="00F7266F"/>
    <w:rsid w:val="00F726CD"/>
    <w:rsid w:val="00F729FA"/>
    <w:rsid w:val="00F736C5"/>
    <w:rsid w:val="00F73838"/>
    <w:rsid w:val="00F740A9"/>
    <w:rsid w:val="00F7412C"/>
    <w:rsid w:val="00F74391"/>
    <w:rsid w:val="00F747DC"/>
    <w:rsid w:val="00F7495E"/>
    <w:rsid w:val="00F74A95"/>
    <w:rsid w:val="00F74CBB"/>
    <w:rsid w:val="00F74E3E"/>
    <w:rsid w:val="00F754C8"/>
    <w:rsid w:val="00F75540"/>
    <w:rsid w:val="00F75690"/>
    <w:rsid w:val="00F75C50"/>
    <w:rsid w:val="00F75DA0"/>
    <w:rsid w:val="00F75F41"/>
    <w:rsid w:val="00F76296"/>
    <w:rsid w:val="00F76474"/>
    <w:rsid w:val="00F76E22"/>
    <w:rsid w:val="00F76F98"/>
    <w:rsid w:val="00F7701B"/>
    <w:rsid w:val="00F77819"/>
    <w:rsid w:val="00F77FBE"/>
    <w:rsid w:val="00F8004A"/>
    <w:rsid w:val="00F804FF"/>
    <w:rsid w:val="00F805F8"/>
    <w:rsid w:val="00F81477"/>
    <w:rsid w:val="00F82E2E"/>
    <w:rsid w:val="00F83160"/>
    <w:rsid w:val="00F83334"/>
    <w:rsid w:val="00F835B0"/>
    <w:rsid w:val="00F8379B"/>
    <w:rsid w:val="00F839E5"/>
    <w:rsid w:val="00F83AAA"/>
    <w:rsid w:val="00F83ADA"/>
    <w:rsid w:val="00F8427A"/>
    <w:rsid w:val="00F84454"/>
    <w:rsid w:val="00F84579"/>
    <w:rsid w:val="00F84AB8"/>
    <w:rsid w:val="00F84DAB"/>
    <w:rsid w:val="00F84FB6"/>
    <w:rsid w:val="00F85896"/>
    <w:rsid w:val="00F85CD4"/>
    <w:rsid w:val="00F85CD6"/>
    <w:rsid w:val="00F8602E"/>
    <w:rsid w:val="00F86067"/>
    <w:rsid w:val="00F8643D"/>
    <w:rsid w:val="00F86686"/>
    <w:rsid w:val="00F86A46"/>
    <w:rsid w:val="00F8709D"/>
    <w:rsid w:val="00F87600"/>
    <w:rsid w:val="00F87686"/>
    <w:rsid w:val="00F8797E"/>
    <w:rsid w:val="00F87B85"/>
    <w:rsid w:val="00F87E5A"/>
    <w:rsid w:val="00F9009F"/>
    <w:rsid w:val="00F90426"/>
    <w:rsid w:val="00F904D0"/>
    <w:rsid w:val="00F907BB"/>
    <w:rsid w:val="00F908F3"/>
    <w:rsid w:val="00F90C35"/>
    <w:rsid w:val="00F90D79"/>
    <w:rsid w:val="00F9108E"/>
    <w:rsid w:val="00F91A93"/>
    <w:rsid w:val="00F91EC1"/>
    <w:rsid w:val="00F92278"/>
    <w:rsid w:val="00F923DF"/>
    <w:rsid w:val="00F926AF"/>
    <w:rsid w:val="00F926D0"/>
    <w:rsid w:val="00F929F4"/>
    <w:rsid w:val="00F92D64"/>
    <w:rsid w:val="00F92D83"/>
    <w:rsid w:val="00F92DDC"/>
    <w:rsid w:val="00F93569"/>
    <w:rsid w:val="00F936F0"/>
    <w:rsid w:val="00F937FC"/>
    <w:rsid w:val="00F93F99"/>
    <w:rsid w:val="00F9400F"/>
    <w:rsid w:val="00F9411C"/>
    <w:rsid w:val="00F9430B"/>
    <w:rsid w:val="00F94BD8"/>
    <w:rsid w:val="00F94CFD"/>
    <w:rsid w:val="00F94E4D"/>
    <w:rsid w:val="00F95445"/>
    <w:rsid w:val="00F9588F"/>
    <w:rsid w:val="00F95EBD"/>
    <w:rsid w:val="00F961A7"/>
    <w:rsid w:val="00F96D77"/>
    <w:rsid w:val="00F96E7E"/>
    <w:rsid w:val="00F96FB5"/>
    <w:rsid w:val="00F972AA"/>
    <w:rsid w:val="00F97884"/>
    <w:rsid w:val="00F978C5"/>
    <w:rsid w:val="00F9BD4F"/>
    <w:rsid w:val="00FA0218"/>
    <w:rsid w:val="00FA0346"/>
    <w:rsid w:val="00FA0D79"/>
    <w:rsid w:val="00FA1470"/>
    <w:rsid w:val="00FA16D9"/>
    <w:rsid w:val="00FA233A"/>
    <w:rsid w:val="00FA2620"/>
    <w:rsid w:val="00FA2FAE"/>
    <w:rsid w:val="00FA311F"/>
    <w:rsid w:val="00FA4462"/>
    <w:rsid w:val="00FA4A18"/>
    <w:rsid w:val="00FA4BB8"/>
    <w:rsid w:val="00FA4DBA"/>
    <w:rsid w:val="00FA4E90"/>
    <w:rsid w:val="00FA4ED4"/>
    <w:rsid w:val="00FA5CED"/>
    <w:rsid w:val="00FA5F06"/>
    <w:rsid w:val="00FA6085"/>
    <w:rsid w:val="00FA64A7"/>
    <w:rsid w:val="00FA65EB"/>
    <w:rsid w:val="00FA664A"/>
    <w:rsid w:val="00FA6811"/>
    <w:rsid w:val="00FA6D63"/>
    <w:rsid w:val="00FA6D66"/>
    <w:rsid w:val="00FA75CF"/>
    <w:rsid w:val="00FA7AC7"/>
    <w:rsid w:val="00FB0718"/>
    <w:rsid w:val="00FB0CB2"/>
    <w:rsid w:val="00FB0EF3"/>
    <w:rsid w:val="00FB12D6"/>
    <w:rsid w:val="00FB16FD"/>
    <w:rsid w:val="00FB1D31"/>
    <w:rsid w:val="00FB2298"/>
    <w:rsid w:val="00FB2781"/>
    <w:rsid w:val="00FB2837"/>
    <w:rsid w:val="00FB2D77"/>
    <w:rsid w:val="00FB2EEE"/>
    <w:rsid w:val="00FB3246"/>
    <w:rsid w:val="00FB393E"/>
    <w:rsid w:val="00FB4044"/>
    <w:rsid w:val="00FB42B0"/>
    <w:rsid w:val="00FB4714"/>
    <w:rsid w:val="00FB47EC"/>
    <w:rsid w:val="00FB49B6"/>
    <w:rsid w:val="00FB4AFE"/>
    <w:rsid w:val="00FB4B76"/>
    <w:rsid w:val="00FB4E54"/>
    <w:rsid w:val="00FB504F"/>
    <w:rsid w:val="00FB517D"/>
    <w:rsid w:val="00FB5930"/>
    <w:rsid w:val="00FB5977"/>
    <w:rsid w:val="00FB62B7"/>
    <w:rsid w:val="00FB63C7"/>
    <w:rsid w:val="00FB6816"/>
    <w:rsid w:val="00FB689C"/>
    <w:rsid w:val="00FB6A10"/>
    <w:rsid w:val="00FB6A99"/>
    <w:rsid w:val="00FB6FA2"/>
    <w:rsid w:val="00FB71DA"/>
    <w:rsid w:val="00FB71FD"/>
    <w:rsid w:val="00FB7469"/>
    <w:rsid w:val="00FB75B3"/>
    <w:rsid w:val="00FB7650"/>
    <w:rsid w:val="00FB7804"/>
    <w:rsid w:val="00FB7C5E"/>
    <w:rsid w:val="00FB7D8D"/>
    <w:rsid w:val="00FC0010"/>
    <w:rsid w:val="00FC06C9"/>
    <w:rsid w:val="00FC09A9"/>
    <w:rsid w:val="00FC0A02"/>
    <w:rsid w:val="00FC0CEE"/>
    <w:rsid w:val="00FC101B"/>
    <w:rsid w:val="00FC1740"/>
    <w:rsid w:val="00FC179E"/>
    <w:rsid w:val="00FC17EE"/>
    <w:rsid w:val="00FC18CB"/>
    <w:rsid w:val="00FC1970"/>
    <w:rsid w:val="00FC2208"/>
    <w:rsid w:val="00FC26AB"/>
    <w:rsid w:val="00FC27A0"/>
    <w:rsid w:val="00FC2EDD"/>
    <w:rsid w:val="00FC3483"/>
    <w:rsid w:val="00FC36F4"/>
    <w:rsid w:val="00FC4B82"/>
    <w:rsid w:val="00FC4BF9"/>
    <w:rsid w:val="00FC4DB4"/>
    <w:rsid w:val="00FC60FB"/>
    <w:rsid w:val="00FC6116"/>
    <w:rsid w:val="00FC68C0"/>
    <w:rsid w:val="00FC70B4"/>
    <w:rsid w:val="00FC70C9"/>
    <w:rsid w:val="00FC72F5"/>
    <w:rsid w:val="00FC76D2"/>
    <w:rsid w:val="00FC788E"/>
    <w:rsid w:val="00FC7D34"/>
    <w:rsid w:val="00FC7F1B"/>
    <w:rsid w:val="00FD0249"/>
    <w:rsid w:val="00FD04B3"/>
    <w:rsid w:val="00FD0594"/>
    <w:rsid w:val="00FD0A93"/>
    <w:rsid w:val="00FD0D4F"/>
    <w:rsid w:val="00FD1323"/>
    <w:rsid w:val="00FD1352"/>
    <w:rsid w:val="00FD155F"/>
    <w:rsid w:val="00FD1B18"/>
    <w:rsid w:val="00FD1DA7"/>
    <w:rsid w:val="00FD2DCE"/>
    <w:rsid w:val="00FD333D"/>
    <w:rsid w:val="00FD37F7"/>
    <w:rsid w:val="00FD3A91"/>
    <w:rsid w:val="00FD3F10"/>
    <w:rsid w:val="00FD40A5"/>
    <w:rsid w:val="00FD437D"/>
    <w:rsid w:val="00FD4684"/>
    <w:rsid w:val="00FD49D2"/>
    <w:rsid w:val="00FD4B9B"/>
    <w:rsid w:val="00FD4E04"/>
    <w:rsid w:val="00FD624E"/>
    <w:rsid w:val="00FD62FC"/>
    <w:rsid w:val="00FD667B"/>
    <w:rsid w:val="00FD675F"/>
    <w:rsid w:val="00FD6A06"/>
    <w:rsid w:val="00FD7276"/>
    <w:rsid w:val="00FD7337"/>
    <w:rsid w:val="00FD763D"/>
    <w:rsid w:val="00FD7702"/>
    <w:rsid w:val="00FD77DE"/>
    <w:rsid w:val="00FD7AB3"/>
    <w:rsid w:val="00FD7AD5"/>
    <w:rsid w:val="00FD7B71"/>
    <w:rsid w:val="00FE01BF"/>
    <w:rsid w:val="00FE02A0"/>
    <w:rsid w:val="00FE03D6"/>
    <w:rsid w:val="00FE0757"/>
    <w:rsid w:val="00FE07BC"/>
    <w:rsid w:val="00FE0AD0"/>
    <w:rsid w:val="00FE0E6D"/>
    <w:rsid w:val="00FE11D5"/>
    <w:rsid w:val="00FE138C"/>
    <w:rsid w:val="00FE18F1"/>
    <w:rsid w:val="00FE19FA"/>
    <w:rsid w:val="00FE1DDA"/>
    <w:rsid w:val="00FE200B"/>
    <w:rsid w:val="00FE21D9"/>
    <w:rsid w:val="00FE25DA"/>
    <w:rsid w:val="00FE2B15"/>
    <w:rsid w:val="00FE2B1C"/>
    <w:rsid w:val="00FE2C35"/>
    <w:rsid w:val="00FE2F12"/>
    <w:rsid w:val="00FE3B63"/>
    <w:rsid w:val="00FE3C81"/>
    <w:rsid w:val="00FE3C9C"/>
    <w:rsid w:val="00FE3EF7"/>
    <w:rsid w:val="00FE45FC"/>
    <w:rsid w:val="00FE4B88"/>
    <w:rsid w:val="00FE4D7E"/>
    <w:rsid w:val="00FE523E"/>
    <w:rsid w:val="00FE538C"/>
    <w:rsid w:val="00FE555D"/>
    <w:rsid w:val="00FE57E8"/>
    <w:rsid w:val="00FE5A37"/>
    <w:rsid w:val="00FE71EC"/>
    <w:rsid w:val="00FE722E"/>
    <w:rsid w:val="00FE7AB4"/>
    <w:rsid w:val="00FE7E48"/>
    <w:rsid w:val="00FF0199"/>
    <w:rsid w:val="00FF0599"/>
    <w:rsid w:val="00FF0D9B"/>
    <w:rsid w:val="00FF0E15"/>
    <w:rsid w:val="00FF0E71"/>
    <w:rsid w:val="00FF0F91"/>
    <w:rsid w:val="00FF0FA7"/>
    <w:rsid w:val="00FF1662"/>
    <w:rsid w:val="00FF1C56"/>
    <w:rsid w:val="00FF1D2E"/>
    <w:rsid w:val="00FF2773"/>
    <w:rsid w:val="00FF2855"/>
    <w:rsid w:val="00FF2A2F"/>
    <w:rsid w:val="00FF3353"/>
    <w:rsid w:val="00FF344F"/>
    <w:rsid w:val="00FF399F"/>
    <w:rsid w:val="00FF4133"/>
    <w:rsid w:val="00FF41E1"/>
    <w:rsid w:val="00FF4DE3"/>
    <w:rsid w:val="00FF52C0"/>
    <w:rsid w:val="00FF5464"/>
    <w:rsid w:val="00FF5627"/>
    <w:rsid w:val="00FF627D"/>
    <w:rsid w:val="00FF6499"/>
    <w:rsid w:val="00FF6787"/>
    <w:rsid w:val="00FF6809"/>
    <w:rsid w:val="00FF6B1E"/>
    <w:rsid w:val="00FF6B90"/>
    <w:rsid w:val="00FF6C31"/>
    <w:rsid w:val="00FF6E5F"/>
    <w:rsid w:val="00FF7025"/>
    <w:rsid w:val="00FF7344"/>
    <w:rsid w:val="00FF7864"/>
    <w:rsid w:val="00FF7CB1"/>
    <w:rsid w:val="00FF7EFB"/>
    <w:rsid w:val="01049FE1"/>
    <w:rsid w:val="010DC62B"/>
    <w:rsid w:val="01459500"/>
    <w:rsid w:val="020D8B9F"/>
    <w:rsid w:val="02112809"/>
    <w:rsid w:val="0228D1E5"/>
    <w:rsid w:val="023DA6FE"/>
    <w:rsid w:val="02442D7D"/>
    <w:rsid w:val="024E2F76"/>
    <w:rsid w:val="02878E83"/>
    <w:rsid w:val="02A1AD22"/>
    <w:rsid w:val="02B7F3F0"/>
    <w:rsid w:val="02CD3151"/>
    <w:rsid w:val="02F09D9E"/>
    <w:rsid w:val="03248A93"/>
    <w:rsid w:val="03750CB6"/>
    <w:rsid w:val="03B1C4A3"/>
    <w:rsid w:val="03C54183"/>
    <w:rsid w:val="0403FE3C"/>
    <w:rsid w:val="041B27EB"/>
    <w:rsid w:val="0498E7DC"/>
    <w:rsid w:val="04A49B23"/>
    <w:rsid w:val="04AF1DC4"/>
    <w:rsid w:val="04C00A86"/>
    <w:rsid w:val="04C28B19"/>
    <w:rsid w:val="04CF005D"/>
    <w:rsid w:val="04E20A52"/>
    <w:rsid w:val="04F0761E"/>
    <w:rsid w:val="050511C5"/>
    <w:rsid w:val="052325F2"/>
    <w:rsid w:val="0523F517"/>
    <w:rsid w:val="052955A6"/>
    <w:rsid w:val="055DB74F"/>
    <w:rsid w:val="0560456A"/>
    <w:rsid w:val="0566C66E"/>
    <w:rsid w:val="05A4FD0A"/>
    <w:rsid w:val="05CD999B"/>
    <w:rsid w:val="05E25243"/>
    <w:rsid w:val="05E32B89"/>
    <w:rsid w:val="05E66824"/>
    <w:rsid w:val="05EA2088"/>
    <w:rsid w:val="05F0B9A0"/>
    <w:rsid w:val="05F47121"/>
    <w:rsid w:val="062AEA5D"/>
    <w:rsid w:val="064BC658"/>
    <w:rsid w:val="066A2DC6"/>
    <w:rsid w:val="06A17EEA"/>
    <w:rsid w:val="06D4B224"/>
    <w:rsid w:val="072200BE"/>
    <w:rsid w:val="072A1965"/>
    <w:rsid w:val="0731FA3C"/>
    <w:rsid w:val="077BACBF"/>
    <w:rsid w:val="07900169"/>
    <w:rsid w:val="08283812"/>
    <w:rsid w:val="0855BBFB"/>
    <w:rsid w:val="089ECA1A"/>
    <w:rsid w:val="08BE54EE"/>
    <w:rsid w:val="09311054"/>
    <w:rsid w:val="09368129"/>
    <w:rsid w:val="094EFD69"/>
    <w:rsid w:val="099416E6"/>
    <w:rsid w:val="09B7179F"/>
    <w:rsid w:val="09EA79A8"/>
    <w:rsid w:val="09EE71D9"/>
    <w:rsid w:val="09F0D2EC"/>
    <w:rsid w:val="0A041BDC"/>
    <w:rsid w:val="0A210F34"/>
    <w:rsid w:val="0A40C5EE"/>
    <w:rsid w:val="0A68C6ED"/>
    <w:rsid w:val="0A7D60E9"/>
    <w:rsid w:val="0A8E593B"/>
    <w:rsid w:val="0AA0C9EC"/>
    <w:rsid w:val="0AA72FF9"/>
    <w:rsid w:val="0ACCF92E"/>
    <w:rsid w:val="0ADF0DF7"/>
    <w:rsid w:val="0AE00208"/>
    <w:rsid w:val="0AE244FF"/>
    <w:rsid w:val="0AEA41DB"/>
    <w:rsid w:val="0B0FB779"/>
    <w:rsid w:val="0B338772"/>
    <w:rsid w:val="0B5DF156"/>
    <w:rsid w:val="0B69D4FD"/>
    <w:rsid w:val="0BA7C59A"/>
    <w:rsid w:val="0C24B4E0"/>
    <w:rsid w:val="0C34F967"/>
    <w:rsid w:val="0C4127DF"/>
    <w:rsid w:val="0C4333C8"/>
    <w:rsid w:val="0C51DA46"/>
    <w:rsid w:val="0C570F85"/>
    <w:rsid w:val="0C77130C"/>
    <w:rsid w:val="0C97910B"/>
    <w:rsid w:val="0CBC9F6A"/>
    <w:rsid w:val="0CC1880E"/>
    <w:rsid w:val="0CD18E3B"/>
    <w:rsid w:val="0CDA4ADA"/>
    <w:rsid w:val="0D37F577"/>
    <w:rsid w:val="0D78778B"/>
    <w:rsid w:val="0D9D6CC5"/>
    <w:rsid w:val="0DA655B5"/>
    <w:rsid w:val="0DD2FF6F"/>
    <w:rsid w:val="0DF2DACF"/>
    <w:rsid w:val="0E0601DE"/>
    <w:rsid w:val="0E2E093C"/>
    <w:rsid w:val="0E55073D"/>
    <w:rsid w:val="0E754E89"/>
    <w:rsid w:val="0EA4E77D"/>
    <w:rsid w:val="0F02BD99"/>
    <w:rsid w:val="0F08A893"/>
    <w:rsid w:val="0F39370E"/>
    <w:rsid w:val="0F3CCDF4"/>
    <w:rsid w:val="0F4AF0FA"/>
    <w:rsid w:val="0F5B3373"/>
    <w:rsid w:val="0F6BA016"/>
    <w:rsid w:val="0FBA2BD0"/>
    <w:rsid w:val="0FDE8E9A"/>
    <w:rsid w:val="0FFE1220"/>
    <w:rsid w:val="10104D58"/>
    <w:rsid w:val="1017E29A"/>
    <w:rsid w:val="101820C3"/>
    <w:rsid w:val="1042ECDB"/>
    <w:rsid w:val="10C16408"/>
    <w:rsid w:val="10D498A3"/>
    <w:rsid w:val="10DC9D1B"/>
    <w:rsid w:val="10F91BAB"/>
    <w:rsid w:val="1111BA4A"/>
    <w:rsid w:val="111FBA64"/>
    <w:rsid w:val="112C4EA4"/>
    <w:rsid w:val="1131AFE1"/>
    <w:rsid w:val="114D5FB9"/>
    <w:rsid w:val="1159FB78"/>
    <w:rsid w:val="116214F7"/>
    <w:rsid w:val="11674531"/>
    <w:rsid w:val="11939EFA"/>
    <w:rsid w:val="11A228E8"/>
    <w:rsid w:val="11BEBE72"/>
    <w:rsid w:val="11C372D0"/>
    <w:rsid w:val="11D44F67"/>
    <w:rsid w:val="11E6C82F"/>
    <w:rsid w:val="11FA3444"/>
    <w:rsid w:val="120C5A15"/>
    <w:rsid w:val="12885BBD"/>
    <w:rsid w:val="1289487E"/>
    <w:rsid w:val="128A17A1"/>
    <w:rsid w:val="12A01056"/>
    <w:rsid w:val="12B58E2C"/>
    <w:rsid w:val="12DA0A5A"/>
    <w:rsid w:val="12EAEC0B"/>
    <w:rsid w:val="131DED1A"/>
    <w:rsid w:val="1326E962"/>
    <w:rsid w:val="1328527D"/>
    <w:rsid w:val="13556F71"/>
    <w:rsid w:val="135A0B6B"/>
    <w:rsid w:val="1371DC75"/>
    <w:rsid w:val="13755BDA"/>
    <w:rsid w:val="1377E865"/>
    <w:rsid w:val="137CAD2B"/>
    <w:rsid w:val="13C18FE6"/>
    <w:rsid w:val="13CE9137"/>
    <w:rsid w:val="13D3FCBA"/>
    <w:rsid w:val="13D8404D"/>
    <w:rsid w:val="13E4C841"/>
    <w:rsid w:val="13F0D702"/>
    <w:rsid w:val="1414E5B0"/>
    <w:rsid w:val="144F393C"/>
    <w:rsid w:val="1477EC6E"/>
    <w:rsid w:val="14A4BF76"/>
    <w:rsid w:val="14B3C625"/>
    <w:rsid w:val="14EFDE2C"/>
    <w:rsid w:val="1500DB75"/>
    <w:rsid w:val="15451349"/>
    <w:rsid w:val="156FAEED"/>
    <w:rsid w:val="1570B2C0"/>
    <w:rsid w:val="159252C6"/>
    <w:rsid w:val="15B609F2"/>
    <w:rsid w:val="15CD308C"/>
    <w:rsid w:val="15D97B14"/>
    <w:rsid w:val="15E9B6FC"/>
    <w:rsid w:val="15ECA4DC"/>
    <w:rsid w:val="163FC209"/>
    <w:rsid w:val="164167AE"/>
    <w:rsid w:val="16461569"/>
    <w:rsid w:val="164B75BA"/>
    <w:rsid w:val="166D60CE"/>
    <w:rsid w:val="16875B48"/>
    <w:rsid w:val="168B1345"/>
    <w:rsid w:val="16C42219"/>
    <w:rsid w:val="16C48EAA"/>
    <w:rsid w:val="173BBBDE"/>
    <w:rsid w:val="17B321E0"/>
    <w:rsid w:val="17B76094"/>
    <w:rsid w:val="17DC9A08"/>
    <w:rsid w:val="180165DB"/>
    <w:rsid w:val="180D61D5"/>
    <w:rsid w:val="181C2934"/>
    <w:rsid w:val="182C806F"/>
    <w:rsid w:val="1830D259"/>
    <w:rsid w:val="1841B04F"/>
    <w:rsid w:val="185C0952"/>
    <w:rsid w:val="186B473B"/>
    <w:rsid w:val="18836370"/>
    <w:rsid w:val="18884301"/>
    <w:rsid w:val="189332C4"/>
    <w:rsid w:val="18976FA6"/>
    <w:rsid w:val="18A05B5A"/>
    <w:rsid w:val="18ABFE9A"/>
    <w:rsid w:val="18BD80D7"/>
    <w:rsid w:val="18EBC18E"/>
    <w:rsid w:val="194AD56F"/>
    <w:rsid w:val="194F0ADE"/>
    <w:rsid w:val="196D97CE"/>
    <w:rsid w:val="19718B69"/>
    <w:rsid w:val="198BD7D9"/>
    <w:rsid w:val="198C7FF9"/>
    <w:rsid w:val="199EAA50"/>
    <w:rsid w:val="19B3B047"/>
    <w:rsid w:val="19B9745C"/>
    <w:rsid w:val="19E5B994"/>
    <w:rsid w:val="1A54506D"/>
    <w:rsid w:val="1A55BB91"/>
    <w:rsid w:val="1A5D0E44"/>
    <w:rsid w:val="1AB917AB"/>
    <w:rsid w:val="1AEC4189"/>
    <w:rsid w:val="1B078F61"/>
    <w:rsid w:val="1B138206"/>
    <w:rsid w:val="1B5F7FC1"/>
    <w:rsid w:val="1B6FA5DA"/>
    <w:rsid w:val="1BA60F34"/>
    <w:rsid w:val="1BC2CE7D"/>
    <w:rsid w:val="1BEF120B"/>
    <w:rsid w:val="1BFF3543"/>
    <w:rsid w:val="1C218FD9"/>
    <w:rsid w:val="1C44EA3B"/>
    <w:rsid w:val="1C4CA791"/>
    <w:rsid w:val="1C784174"/>
    <w:rsid w:val="1CAD9DF5"/>
    <w:rsid w:val="1CAE1EED"/>
    <w:rsid w:val="1CBE1DD9"/>
    <w:rsid w:val="1CD897E7"/>
    <w:rsid w:val="1CE8FA4D"/>
    <w:rsid w:val="1D1C12DF"/>
    <w:rsid w:val="1D1D37B5"/>
    <w:rsid w:val="1D3995D0"/>
    <w:rsid w:val="1D587902"/>
    <w:rsid w:val="1DD91752"/>
    <w:rsid w:val="1DE8B717"/>
    <w:rsid w:val="1DF260F9"/>
    <w:rsid w:val="1E0E2998"/>
    <w:rsid w:val="1E2B5125"/>
    <w:rsid w:val="1E44F471"/>
    <w:rsid w:val="1E4D0D97"/>
    <w:rsid w:val="1E9596B7"/>
    <w:rsid w:val="1EDF9B77"/>
    <w:rsid w:val="1EF111E7"/>
    <w:rsid w:val="1F0458E4"/>
    <w:rsid w:val="1F0AA421"/>
    <w:rsid w:val="1F0CFC4C"/>
    <w:rsid w:val="1F780D03"/>
    <w:rsid w:val="1F98A797"/>
    <w:rsid w:val="1F9E8B36"/>
    <w:rsid w:val="1F9EFE71"/>
    <w:rsid w:val="1FBB608B"/>
    <w:rsid w:val="1FE958AC"/>
    <w:rsid w:val="201B6347"/>
    <w:rsid w:val="201E5D5D"/>
    <w:rsid w:val="20601659"/>
    <w:rsid w:val="206B44F4"/>
    <w:rsid w:val="20A34B97"/>
    <w:rsid w:val="20F35EE3"/>
    <w:rsid w:val="21027011"/>
    <w:rsid w:val="21138280"/>
    <w:rsid w:val="211F67F8"/>
    <w:rsid w:val="21282472"/>
    <w:rsid w:val="21299BCB"/>
    <w:rsid w:val="216E1392"/>
    <w:rsid w:val="217DCD12"/>
    <w:rsid w:val="2182ED7F"/>
    <w:rsid w:val="219DC499"/>
    <w:rsid w:val="21D21404"/>
    <w:rsid w:val="21F33F35"/>
    <w:rsid w:val="2203EC32"/>
    <w:rsid w:val="2217E1AF"/>
    <w:rsid w:val="222CF912"/>
    <w:rsid w:val="2235186E"/>
    <w:rsid w:val="22504C74"/>
    <w:rsid w:val="228A0734"/>
    <w:rsid w:val="22D211E5"/>
    <w:rsid w:val="22D22632"/>
    <w:rsid w:val="22D6648A"/>
    <w:rsid w:val="23125461"/>
    <w:rsid w:val="23139228"/>
    <w:rsid w:val="2355F8BB"/>
    <w:rsid w:val="2369BFB3"/>
    <w:rsid w:val="23991AF0"/>
    <w:rsid w:val="23B635F6"/>
    <w:rsid w:val="23BC0BD0"/>
    <w:rsid w:val="244EF1A5"/>
    <w:rsid w:val="24818F9E"/>
    <w:rsid w:val="248DA9D4"/>
    <w:rsid w:val="2491D76C"/>
    <w:rsid w:val="2493387F"/>
    <w:rsid w:val="24A347CB"/>
    <w:rsid w:val="24A45A1D"/>
    <w:rsid w:val="24C090E7"/>
    <w:rsid w:val="250E5A79"/>
    <w:rsid w:val="251C100A"/>
    <w:rsid w:val="253B5B35"/>
    <w:rsid w:val="25496BA4"/>
    <w:rsid w:val="2556F3DE"/>
    <w:rsid w:val="257749C5"/>
    <w:rsid w:val="257EDEAB"/>
    <w:rsid w:val="25A4011D"/>
    <w:rsid w:val="25D6C228"/>
    <w:rsid w:val="261F67FB"/>
    <w:rsid w:val="262B6D9A"/>
    <w:rsid w:val="2689654E"/>
    <w:rsid w:val="269F3C52"/>
    <w:rsid w:val="26E0B4D1"/>
    <w:rsid w:val="26E25933"/>
    <w:rsid w:val="2708735B"/>
    <w:rsid w:val="27088619"/>
    <w:rsid w:val="273CED75"/>
    <w:rsid w:val="274D4532"/>
    <w:rsid w:val="27777369"/>
    <w:rsid w:val="2785FEF8"/>
    <w:rsid w:val="27A15521"/>
    <w:rsid w:val="27F0509C"/>
    <w:rsid w:val="27F7D7BE"/>
    <w:rsid w:val="27FAF656"/>
    <w:rsid w:val="28240AF7"/>
    <w:rsid w:val="282453F0"/>
    <w:rsid w:val="282D68FC"/>
    <w:rsid w:val="2831816D"/>
    <w:rsid w:val="283753F5"/>
    <w:rsid w:val="28428406"/>
    <w:rsid w:val="2848299F"/>
    <w:rsid w:val="28757FEA"/>
    <w:rsid w:val="28B4AC61"/>
    <w:rsid w:val="28D3F0D0"/>
    <w:rsid w:val="28E62F50"/>
    <w:rsid w:val="28EB350F"/>
    <w:rsid w:val="2942C91B"/>
    <w:rsid w:val="2957E433"/>
    <w:rsid w:val="29A2D2C1"/>
    <w:rsid w:val="29EF0CC9"/>
    <w:rsid w:val="29F4DD4D"/>
    <w:rsid w:val="2A0A3550"/>
    <w:rsid w:val="2A1CB71B"/>
    <w:rsid w:val="2A211863"/>
    <w:rsid w:val="2A3B6F43"/>
    <w:rsid w:val="2A6531C8"/>
    <w:rsid w:val="2A825A13"/>
    <w:rsid w:val="2A8A7B0A"/>
    <w:rsid w:val="2A913DE3"/>
    <w:rsid w:val="2AA4A56C"/>
    <w:rsid w:val="2AE420E6"/>
    <w:rsid w:val="2AE80E6F"/>
    <w:rsid w:val="2B0C8455"/>
    <w:rsid w:val="2B1071FE"/>
    <w:rsid w:val="2B14366F"/>
    <w:rsid w:val="2B3239C6"/>
    <w:rsid w:val="2B361BC7"/>
    <w:rsid w:val="2B3D2981"/>
    <w:rsid w:val="2B44AE9B"/>
    <w:rsid w:val="2B545B12"/>
    <w:rsid w:val="2B581639"/>
    <w:rsid w:val="2BB1701A"/>
    <w:rsid w:val="2BD49096"/>
    <w:rsid w:val="2BE6D4F6"/>
    <w:rsid w:val="2BE9604C"/>
    <w:rsid w:val="2BF80B10"/>
    <w:rsid w:val="2C166E5C"/>
    <w:rsid w:val="2C1AB6EB"/>
    <w:rsid w:val="2C33BD14"/>
    <w:rsid w:val="2C8E81E6"/>
    <w:rsid w:val="2C918236"/>
    <w:rsid w:val="2C97CA5C"/>
    <w:rsid w:val="2C9D2D82"/>
    <w:rsid w:val="2CCB4565"/>
    <w:rsid w:val="2D19836A"/>
    <w:rsid w:val="2D728BF9"/>
    <w:rsid w:val="2DE6DC4B"/>
    <w:rsid w:val="2DF4D7C1"/>
    <w:rsid w:val="2DFE011B"/>
    <w:rsid w:val="2E15A8E1"/>
    <w:rsid w:val="2E3D0787"/>
    <w:rsid w:val="2E54A7CD"/>
    <w:rsid w:val="2E5F9220"/>
    <w:rsid w:val="2E6C80AF"/>
    <w:rsid w:val="2E73910C"/>
    <w:rsid w:val="2E7B9C6B"/>
    <w:rsid w:val="2E89BF6F"/>
    <w:rsid w:val="2E8E9150"/>
    <w:rsid w:val="2EACA0A9"/>
    <w:rsid w:val="2F2F8ECA"/>
    <w:rsid w:val="2F4A6134"/>
    <w:rsid w:val="2F848369"/>
    <w:rsid w:val="2F99AE28"/>
    <w:rsid w:val="2FCB3DB7"/>
    <w:rsid w:val="2FDDB901"/>
    <w:rsid w:val="30181909"/>
    <w:rsid w:val="3022681C"/>
    <w:rsid w:val="30865F3A"/>
    <w:rsid w:val="30CA8975"/>
    <w:rsid w:val="30CD9A7A"/>
    <w:rsid w:val="30E07896"/>
    <w:rsid w:val="3105FD0D"/>
    <w:rsid w:val="31138AE9"/>
    <w:rsid w:val="3142EE50"/>
    <w:rsid w:val="314AFF85"/>
    <w:rsid w:val="31672EB2"/>
    <w:rsid w:val="3174A849"/>
    <w:rsid w:val="317C220C"/>
    <w:rsid w:val="3195A253"/>
    <w:rsid w:val="31C659B6"/>
    <w:rsid w:val="31DC5013"/>
    <w:rsid w:val="31E53753"/>
    <w:rsid w:val="3203F2DF"/>
    <w:rsid w:val="32135EB0"/>
    <w:rsid w:val="3221ED05"/>
    <w:rsid w:val="323CFA99"/>
    <w:rsid w:val="323E4768"/>
    <w:rsid w:val="32983C0B"/>
    <w:rsid w:val="329EC749"/>
    <w:rsid w:val="32C895F4"/>
    <w:rsid w:val="32DAA8BD"/>
    <w:rsid w:val="33385F56"/>
    <w:rsid w:val="333AF0C9"/>
    <w:rsid w:val="335FE775"/>
    <w:rsid w:val="33606923"/>
    <w:rsid w:val="33608C25"/>
    <w:rsid w:val="33D8FFAB"/>
    <w:rsid w:val="34265167"/>
    <w:rsid w:val="343A5A60"/>
    <w:rsid w:val="34480C32"/>
    <w:rsid w:val="344FAD79"/>
    <w:rsid w:val="346A8C78"/>
    <w:rsid w:val="34B727CB"/>
    <w:rsid w:val="34C3EFED"/>
    <w:rsid w:val="34C50BC6"/>
    <w:rsid w:val="34E49F95"/>
    <w:rsid w:val="34EB60B1"/>
    <w:rsid w:val="3511AD86"/>
    <w:rsid w:val="35192871"/>
    <w:rsid w:val="352CF133"/>
    <w:rsid w:val="3555F91F"/>
    <w:rsid w:val="356AA026"/>
    <w:rsid w:val="35720E33"/>
    <w:rsid w:val="357C3906"/>
    <w:rsid w:val="35833924"/>
    <w:rsid w:val="35B9B32A"/>
    <w:rsid w:val="35EFE281"/>
    <w:rsid w:val="3631FBDD"/>
    <w:rsid w:val="3655DEAD"/>
    <w:rsid w:val="36753461"/>
    <w:rsid w:val="367645DE"/>
    <w:rsid w:val="37097378"/>
    <w:rsid w:val="370ACF03"/>
    <w:rsid w:val="37167870"/>
    <w:rsid w:val="37274F7F"/>
    <w:rsid w:val="3729CC64"/>
    <w:rsid w:val="373FA9E1"/>
    <w:rsid w:val="375FB2D3"/>
    <w:rsid w:val="37963032"/>
    <w:rsid w:val="37C9C733"/>
    <w:rsid w:val="37DD63E5"/>
    <w:rsid w:val="37E360C6"/>
    <w:rsid w:val="3807800C"/>
    <w:rsid w:val="381EF975"/>
    <w:rsid w:val="3832ACA3"/>
    <w:rsid w:val="3852F17C"/>
    <w:rsid w:val="38557EBB"/>
    <w:rsid w:val="38858566"/>
    <w:rsid w:val="39172737"/>
    <w:rsid w:val="39196870"/>
    <w:rsid w:val="39248D3D"/>
    <w:rsid w:val="397115E7"/>
    <w:rsid w:val="39CCE96A"/>
    <w:rsid w:val="39D12BD2"/>
    <w:rsid w:val="39FF039F"/>
    <w:rsid w:val="3A03D110"/>
    <w:rsid w:val="3A0885B1"/>
    <w:rsid w:val="3A39FA91"/>
    <w:rsid w:val="3A579C1A"/>
    <w:rsid w:val="3A74E4BA"/>
    <w:rsid w:val="3A80F952"/>
    <w:rsid w:val="3AB72F08"/>
    <w:rsid w:val="3AC1A8E1"/>
    <w:rsid w:val="3ACE2005"/>
    <w:rsid w:val="3AF7CD83"/>
    <w:rsid w:val="3B6EF648"/>
    <w:rsid w:val="3B965887"/>
    <w:rsid w:val="3BA2891F"/>
    <w:rsid w:val="3BC5E85D"/>
    <w:rsid w:val="3BD97D95"/>
    <w:rsid w:val="3BDCD388"/>
    <w:rsid w:val="3BE96F1B"/>
    <w:rsid w:val="3BE9F58B"/>
    <w:rsid w:val="3C244CC7"/>
    <w:rsid w:val="3C31E1F1"/>
    <w:rsid w:val="3CBF565B"/>
    <w:rsid w:val="3CC03902"/>
    <w:rsid w:val="3CC26D61"/>
    <w:rsid w:val="3CCB61DA"/>
    <w:rsid w:val="3CCCB914"/>
    <w:rsid w:val="3CCCBAD8"/>
    <w:rsid w:val="3CDFAE09"/>
    <w:rsid w:val="3D185D9A"/>
    <w:rsid w:val="3D331582"/>
    <w:rsid w:val="3D352474"/>
    <w:rsid w:val="3D61E1F3"/>
    <w:rsid w:val="3D6CD07F"/>
    <w:rsid w:val="3D814C13"/>
    <w:rsid w:val="3D9A2B9C"/>
    <w:rsid w:val="3D9F0089"/>
    <w:rsid w:val="3DB89A14"/>
    <w:rsid w:val="3DB8ACE8"/>
    <w:rsid w:val="3E2A98D8"/>
    <w:rsid w:val="3E602AAE"/>
    <w:rsid w:val="3E6648A8"/>
    <w:rsid w:val="3E7EEC00"/>
    <w:rsid w:val="3E882841"/>
    <w:rsid w:val="3E959B20"/>
    <w:rsid w:val="3EACFC1A"/>
    <w:rsid w:val="3EBDA4C2"/>
    <w:rsid w:val="3EDA273E"/>
    <w:rsid w:val="3F00C663"/>
    <w:rsid w:val="3F052C9F"/>
    <w:rsid w:val="3F0BA74B"/>
    <w:rsid w:val="3F198008"/>
    <w:rsid w:val="3F5AF63A"/>
    <w:rsid w:val="3F78A7F7"/>
    <w:rsid w:val="3F7C57A5"/>
    <w:rsid w:val="3FA474DE"/>
    <w:rsid w:val="3FAD40DC"/>
    <w:rsid w:val="3FDFC2CB"/>
    <w:rsid w:val="400B81CD"/>
    <w:rsid w:val="401C3507"/>
    <w:rsid w:val="402A2B9E"/>
    <w:rsid w:val="405B0550"/>
    <w:rsid w:val="405B3F9C"/>
    <w:rsid w:val="406498D1"/>
    <w:rsid w:val="4099EB22"/>
    <w:rsid w:val="40B44B52"/>
    <w:rsid w:val="40D7E558"/>
    <w:rsid w:val="4116F90D"/>
    <w:rsid w:val="4140D488"/>
    <w:rsid w:val="4156B713"/>
    <w:rsid w:val="41C5456E"/>
    <w:rsid w:val="41EBCEBD"/>
    <w:rsid w:val="42341678"/>
    <w:rsid w:val="4261F47D"/>
    <w:rsid w:val="4272E2DA"/>
    <w:rsid w:val="4284909C"/>
    <w:rsid w:val="42866E11"/>
    <w:rsid w:val="42AC0558"/>
    <w:rsid w:val="42AD007C"/>
    <w:rsid w:val="42CC5E3B"/>
    <w:rsid w:val="42D5AB4D"/>
    <w:rsid w:val="432C4880"/>
    <w:rsid w:val="433BA089"/>
    <w:rsid w:val="437BB221"/>
    <w:rsid w:val="43870B10"/>
    <w:rsid w:val="438B74AC"/>
    <w:rsid w:val="43B6670B"/>
    <w:rsid w:val="43C6BA5A"/>
    <w:rsid w:val="43D2BF9A"/>
    <w:rsid w:val="43D3AA4B"/>
    <w:rsid w:val="43E0AF10"/>
    <w:rsid w:val="43E5CFE1"/>
    <w:rsid w:val="43F51B54"/>
    <w:rsid w:val="43FA4F34"/>
    <w:rsid w:val="44096DDB"/>
    <w:rsid w:val="440BBED8"/>
    <w:rsid w:val="444160E1"/>
    <w:rsid w:val="448419C6"/>
    <w:rsid w:val="44A22907"/>
    <w:rsid w:val="44ADE2ED"/>
    <w:rsid w:val="44D65104"/>
    <w:rsid w:val="44E3B191"/>
    <w:rsid w:val="44EFD7A2"/>
    <w:rsid w:val="44F8CF37"/>
    <w:rsid w:val="45034D5F"/>
    <w:rsid w:val="4514EB52"/>
    <w:rsid w:val="4527B835"/>
    <w:rsid w:val="4532B582"/>
    <w:rsid w:val="45539F62"/>
    <w:rsid w:val="45576766"/>
    <w:rsid w:val="455C1C08"/>
    <w:rsid w:val="455DD15F"/>
    <w:rsid w:val="459D076B"/>
    <w:rsid w:val="45B0FCA7"/>
    <w:rsid w:val="45BF6CE0"/>
    <w:rsid w:val="4614A884"/>
    <w:rsid w:val="462F3595"/>
    <w:rsid w:val="463A19E8"/>
    <w:rsid w:val="467DD291"/>
    <w:rsid w:val="468EB5E1"/>
    <w:rsid w:val="4694AB1B"/>
    <w:rsid w:val="46960F06"/>
    <w:rsid w:val="46B3F05F"/>
    <w:rsid w:val="46C82126"/>
    <w:rsid w:val="46CD4640"/>
    <w:rsid w:val="47367C9D"/>
    <w:rsid w:val="47628FF3"/>
    <w:rsid w:val="4787545A"/>
    <w:rsid w:val="47B982FC"/>
    <w:rsid w:val="47E1B819"/>
    <w:rsid w:val="48165C27"/>
    <w:rsid w:val="4828D7C3"/>
    <w:rsid w:val="482E90E5"/>
    <w:rsid w:val="484460F2"/>
    <w:rsid w:val="4876E0EE"/>
    <w:rsid w:val="488BBF04"/>
    <w:rsid w:val="48B1BFD4"/>
    <w:rsid w:val="48C8DE54"/>
    <w:rsid w:val="48D4A82D"/>
    <w:rsid w:val="4933969C"/>
    <w:rsid w:val="49C70E96"/>
    <w:rsid w:val="4A15E6AC"/>
    <w:rsid w:val="4A432E0F"/>
    <w:rsid w:val="4A45711E"/>
    <w:rsid w:val="4A7BC7B9"/>
    <w:rsid w:val="4AD6001B"/>
    <w:rsid w:val="4B220013"/>
    <w:rsid w:val="4B43A7F1"/>
    <w:rsid w:val="4B506FB4"/>
    <w:rsid w:val="4B578577"/>
    <w:rsid w:val="4B91BC44"/>
    <w:rsid w:val="4BBCF542"/>
    <w:rsid w:val="4BDACC0F"/>
    <w:rsid w:val="4BF41650"/>
    <w:rsid w:val="4C3C6954"/>
    <w:rsid w:val="4C43E14E"/>
    <w:rsid w:val="4C4452A0"/>
    <w:rsid w:val="4C491481"/>
    <w:rsid w:val="4C851D7D"/>
    <w:rsid w:val="4C903D6A"/>
    <w:rsid w:val="4CB1963F"/>
    <w:rsid w:val="4CC9A16C"/>
    <w:rsid w:val="4CF89839"/>
    <w:rsid w:val="4D2C4EBD"/>
    <w:rsid w:val="4D2D9E0A"/>
    <w:rsid w:val="4D692C38"/>
    <w:rsid w:val="4D727309"/>
    <w:rsid w:val="4D83814A"/>
    <w:rsid w:val="4D8BEAF8"/>
    <w:rsid w:val="4DAAE578"/>
    <w:rsid w:val="4DCA0902"/>
    <w:rsid w:val="4DE9DFBA"/>
    <w:rsid w:val="4E2208F8"/>
    <w:rsid w:val="4E302338"/>
    <w:rsid w:val="4E61F70B"/>
    <w:rsid w:val="4E88D59A"/>
    <w:rsid w:val="4EA9FF48"/>
    <w:rsid w:val="4ED14FAC"/>
    <w:rsid w:val="4F26A69D"/>
    <w:rsid w:val="4F317088"/>
    <w:rsid w:val="4F3F2D62"/>
    <w:rsid w:val="4F519356"/>
    <w:rsid w:val="4F77987D"/>
    <w:rsid w:val="4F7E8AA8"/>
    <w:rsid w:val="4F87335E"/>
    <w:rsid w:val="4F882F1F"/>
    <w:rsid w:val="4F8A08B8"/>
    <w:rsid w:val="4F943A58"/>
    <w:rsid w:val="4F959C19"/>
    <w:rsid w:val="4FB86BD6"/>
    <w:rsid w:val="4FBFFA01"/>
    <w:rsid w:val="4FC80FE5"/>
    <w:rsid w:val="4FD231AD"/>
    <w:rsid w:val="502612DF"/>
    <w:rsid w:val="50266212"/>
    <w:rsid w:val="5032E08A"/>
    <w:rsid w:val="503344E8"/>
    <w:rsid w:val="5034AF11"/>
    <w:rsid w:val="5034C1DA"/>
    <w:rsid w:val="50488F6C"/>
    <w:rsid w:val="50551DFE"/>
    <w:rsid w:val="5058F57F"/>
    <w:rsid w:val="5070A6E9"/>
    <w:rsid w:val="507FE887"/>
    <w:rsid w:val="50848717"/>
    <w:rsid w:val="50FFC8AA"/>
    <w:rsid w:val="512C55ED"/>
    <w:rsid w:val="5183B51D"/>
    <w:rsid w:val="518536C1"/>
    <w:rsid w:val="51A2E81B"/>
    <w:rsid w:val="51B96BE8"/>
    <w:rsid w:val="51DBD5BE"/>
    <w:rsid w:val="51FEEF86"/>
    <w:rsid w:val="5258733E"/>
    <w:rsid w:val="531B3DEB"/>
    <w:rsid w:val="5327107B"/>
    <w:rsid w:val="532C6D76"/>
    <w:rsid w:val="533EB0C4"/>
    <w:rsid w:val="53632444"/>
    <w:rsid w:val="538FFAEB"/>
    <w:rsid w:val="53EFA044"/>
    <w:rsid w:val="53F61D6E"/>
    <w:rsid w:val="5406022F"/>
    <w:rsid w:val="54155F8B"/>
    <w:rsid w:val="541BC420"/>
    <w:rsid w:val="5454D69F"/>
    <w:rsid w:val="5459A044"/>
    <w:rsid w:val="54B17269"/>
    <w:rsid w:val="54D71344"/>
    <w:rsid w:val="54E8D84A"/>
    <w:rsid w:val="550E5236"/>
    <w:rsid w:val="5532F0EA"/>
    <w:rsid w:val="553C312A"/>
    <w:rsid w:val="554CB6EB"/>
    <w:rsid w:val="55814720"/>
    <w:rsid w:val="55CF4E46"/>
    <w:rsid w:val="56A0F66D"/>
    <w:rsid w:val="56AED95C"/>
    <w:rsid w:val="56EA5A6E"/>
    <w:rsid w:val="56F5C7DE"/>
    <w:rsid w:val="5726DAAB"/>
    <w:rsid w:val="572971E8"/>
    <w:rsid w:val="572DF09C"/>
    <w:rsid w:val="574849EA"/>
    <w:rsid w:val="576D8D14"/>
    <w:rsid w:val="5776D2D0"/>
    <w:rsid w:val="57A31B0B"/>
    <w:rsid w:val="57C3E28B"/>
    <w:rsid w:val="57C85368"/>
    <w:rsid w:val="5810464C"/>
    <w:rsid w:val="58687AB2"/>
    <w:rsid w:val="589D741F"/>
    <w:rsid w:val="59324AE1"/>
    <w:rsid w:val="59593D29"/>
    <w:rsid w:val="5988636C"/>
    <w:rsid w:val="59994736"/>
    <w:rsid w:val="59A5B8EB"/>
    <w:rsid w:val="59F842AF"/>
    <w:rsid w:val="59F9D3C6"/>
    <w:rsid w:val="5A0F0431"/>
    <w:rsid w:val="5A20FD95"/>
    <w:rsid w:val="5A401A68"/>
    <w:rsid w:val="5A52FE80"/>
    <w:rsid w:val="5A8DEE1F"/>
    <w:rsid w:val="5AC1E38C"/>
    <w:rsid w:val="5AD24BBC"/>
    <w:rsid w:val="5AD3E014"/>
    <w:rsid w:val="5AEE26EC"/>
    <w:rsid w:val="5B235D0C"/>
    <w:rsid w:val="5B25761E"/>
    <w:rsid w:val="5B4883E7"/>
    <w:rsid w:val="5BA277CD"/>
    <w:rsid w:val="5BBA8922"/>
    <w:rsid w:val="5BC702BD"/>
    <w:rsid w:val="5BF58265"/>
    <w:rsid w:val="5BF9E30C"/>
    <w:rsid w:val="5C0E88A8"/>
    <w:rsid w:val="5C44161C"/>
    <w:rsid w:val="5C4FFAAD"/>
    <w:rsid w:val="5C8A1DF1"/>
    <w:rsid w:val="5CF6635D"/>
    <w:rsid w:val="5CFEAC28"/>
    <w:rsid w:val="5D03ED49"/>
    <w:rsid w:val="5D1E8EED"/>
    <w:rsid w:val="5D1EC4ED"/>
    <w:rsid w:val="5D512EF0"/>
    <w:rsid w:val="5D57B46F"/>
    <w:rsid w:val="5D62823D"/>
    <w:rsid w:val="5D746226"/>
    <w:rsid w:val="5DC96FFE"/>
    <w:rsid w:val="5DCE91CA"/>
    <w:rsid w:val="5DDE157D"/>
    <w:rsid w:val="5DE263BD"/>
    <w:rsid w:val="5DE5FC88"/>
    <w:rsid w:val="5E36F8B7"/>
    <w:rsid w:val="5EAC7C50"/>
    <w:rsid w:val="5EE02982"/>
    <w:rsid w:val="5EEFAE1C"/>
    <w:rsid w:val="5F10DBE3"/>
    <w:rsid w:val="5F27DD5E"/>
    <w:rsid w:val="5F2C45B0"/>
    <w:rsid w:val="5F6047E2"/>
    <w:rsid w:val="5FA235ED"/>
    <w:rsid w:val="5FA71ECC"/>
    <w:rsid w:val="5FE0BBFE"/>
    <w:rsid w:val="603A2B32"/>
    <w:rsid w:val="6063EA68"/>
    <w:rsid w:val="609253C1"/>
    <w:rsid w:val="60C99693"/>
    <w:rsid w:val="60ECD5E2"/>
    <w:rsid w:val="6105DE57"/>
    <w:rsid w:val="610F1B24"/>
    <w:rsid w:val="611DF759"/>
    <w:rsid w:val="61743A32"/>
    <w:rsid w:val="61B5735E"/>
    <w:rsid w:val="61B72892"/>
    <w:rsid w:val="61D4C805"/>
    <w:rsid w:val="61F7EFDF"/>
    <w:rsid w:val="62082C2A"/>
    <w:rsid w:val="62131044"/>
    <w:rsid w:val="62B0C8BF"/>
    <w:rsid w:val="62B1C973"/>
    <w:rsid w:val="62B8C121"/>
    <w:rsid w:val="62F6B680"/>
    <w:rsid w:val="62FBD38F"/>
    <w:rsid w:val="6380A8AC"/>
    <w:rsid w:val="63A44211"/>
    <w:rsid w:val="63B9199C"/>
    <w:rsid w:val="63EAD1E4"/>
    <w:rsid w:val="63FC90AE"/>
    <w:rsid w:val="63FF0D84"/>
    <w:rsid w:val="64652930"/>
    <w:rsid w:val="6486C3F4"/>
    <w:rsid w:val="64B4C499"/>
    <w:rsid w:val="64BEBA95"/>
    <w:rsid w:val="64F88C98"/>
    <w:rsid w:val="64FF7D04"/>
    <w:rsid w:val="651AC8FA"/>
    <w:rsid w:val="653E37A7"/>
    <w:rsid w:val="65513F11"/>
    <w:rsid w:val="655BAC20"/>
    <w:rsid w:val="655E6E12"/>
    <w:rsid w:val="65615380"/>
    <w:rsid w:val="65A8BBE4"/>
    <w:rsid w:val="65CE2C3B"/>
    <w:rsid w:val="65EF261D"/>
    <w:rsid w:val="66044E8C"/>
    <w:rsid w:val="6610F5CF"/>
    <w:rsid w:val="6618C831"/>
    <w:rsid w:val="665C836E"/>
    <w:rsid w:val="6681242A"/>
    <w:rsid w:val="668A1D26"/>
    <w:rsid w:val="66923ECB"/>
    <w:rsid w:val="66977E96"/>
    <w:rsid w:val="66B48918"/>
    <w:rsid w:val="66C2D462"/>
    <w:rsid w:val="66CF9318"/>
    <w:rsid w:val="66E97FA6"/>
    <w:rsid w:val="6707D91A"/>
    <w:rsid w:val="671F7299"/>
    <w:rsid w:val="6723648A"/>
    <w:rsid w:val="673FF9A0"/>
    <w:rsid w:val="674FE552"/>
    <w:rsid w:val="675D3179"/>
    <w:rsid w:val="6775EAF8"/>
    <w:rsid w:val="678B6A48"/>
    <w:rsid w:val="6796E9AC"/>
    <w:rsid w:val="67A37CDE"/>
    <w:rsid w:val="67CA8AD9"/>
    <w:rsid w:val="67E1E50C"/>
    <w:rsid w:val="681FE568"/>
    <w:rsid w:val="682ABB40"/>
    <w:rsid w:val="6835C798"/>
    <w:rsid w:val="687E00BA"/>
    <w:rsid w:val="689F5A44"/>
    <w:rsid w:val="68D3085F"/>
    <w:rsid w:val="68DDE1B9"/>
    <w:rsid w:val="690E2E1F"/>
    <w:rsid w:val="69291A42"/>
    <w:rsid w:val="693CF71B"/>
    <w:rsid w:val="69457B03"/>
    <w:rsid w:val="697FFD3D"/>
    <w:rsid w:val="69ED19AB"/>
    <w:rsid w:val="69FCC632"/>
    <w:rsid w:val="6A638AA4"/>
    <w:rsid w:val="6A63DA06"/>
    <w:rsid w:val="6AAE0FE4"/>
    <w:rsid w:val="6B2BA1F2"/>
    <w:rsid w:val="6B30E234"/>
    <w:rsid w:val="6B527BB0"/>
    <w:rsid w:val="6B6D4953"/>
    <w:rsid w:val="6B9439DB"/>
    <w:rsid w:val="6BA2D780"/>
    <w:rsid w:val="6BD624AA"/>
    <w:rsid w:val="6C07D8E2"/>
    <w:rsid w:val="6C6308A2"/>
    <w:rsid w:val="6C76AFF2"/>
    <w:rsid w:val="6C8DE79D"/>
    <w:rsid w:val="6C92D85E"/>
    <w:rsid w:val="6CF8BC16"/>
    <w:rsid w:val="6D20C1EE"/>
    <w:rsid w:val="6D24311D"/>
    <w:rsid w:val="6D359163"/>
    <w:rsid w:val="6D3FABC7"/>
    <w:rsid w:val="6D5F432D"/>
    <w:rsid w:val="6DC966D4"/>
    <w:rsid w:val="6DE0A6CE"/>
    <w:rsid w:val="6DE52C7C"/>
    <w:rsid w:val="6E2CCDCC"/>
    <w:rsid w:val="6E5635BD"/>
    <w:rsid w:val="6E753138"/>
    <w:rsid w:val="6E778B1E"/>
    <w:rsid w:val="6E84D537"/>
    <w:rsid w:val="6EC03651"/>
    <w:rsid w:val="6EC46531"/>
    <w:rsid w:val="6EE06343"/>
    <w:rsid w:val="6F28A89E"/>
    <w:rsid w:val="6F80FCDD"/>
    <w:rsid w:val="6FC7C9C6"/>
    <w:rsid w:val="6FD290FE"/>
    <w:rsid w:val="6FED3945"/>
    <w:rsid w:val="7023B76C"/>
    <w:rsid w:val="70442C06"/>
    <w:rsid w:val="7053A9ED"/>
    <w:rsid w:val="705EC9BE"/>
    <w:rsid w:val="70647854"/>
    <w:rsid w:val="708A2A66"/>
    <w:rsid w:val="70ABCE85"/>
    <w:rsid w:val="70D4C231"/>
    <w:rsid w:val="70D83FF5"/>
    <w:rsid w:val="7107E9D2"/>
    <w:rsid w:val="716825B7"/>
    <w:rsid w:val="7169ADBB"/>
    <w:rsid w:val="7174F1D6"/>
    <w:rsid w:val="718256CD"/>
    <w:rsid w:val="71E061C3"/>
    <w:rsid w:val="71F706BF"/>
    <w:rsid w:val="720C5D57"/>
    <w:rsid w:val="72179BB5"/>
    <w:rsid w:val="7221C671"/>
    <w:rsid w:val="7275D551"/>
    <w:rsid w:val="727B6D67"/>
    <w:rsid w:val="727BE976"/>
    <w:rsid w:val="729C3FDD"/>
    <w:rsid w:val="72C4C3A2"/>
    <w:rsid w:val="72C4DB44"/>
    <w:rsid w:val="72DC7D41"/>
    <w:rsid w:val="72F533E0"/>
    <w:rsid w:val="73158113"/>
    <w:rsid w:val="732C4E6E"/>
    <w:rsid w:val="735EB6D9"/>
    <w:rsid w:val="7402BD50"/>
    <w:rsid w:val="743A8A7D"/>
    <w:rsid w:val="745D8348"/>
    <w:rsid w:val="74609403"/>
    <w:rsid w:val="74780A59"/>
    <w:rsid w:val="74878B24"/>
    <w:rsid w:val="750BEE18"/>
    <w:rsid w:val="752A05C8"/>
    <w:rsid w:val="75321276"/>
    <w:rsid w:val="7533A6B5"/>
    <w:rsid w:val="755E66D5"/>
    <w:rsid w:val="756255C4"/>
    <w:rsid w:val="758B0152"/>
    <w:rsid w:val="75AEE972"/>
    <w:rsid w:val="75B5AFA3"/>
    <w:rsid w:val="75C1251C"/>
    <w:rsid w:val="75E0A1B9"/>
    <w:rsid w:val="75F3C265"/>
    <w:rsid w:val="75FECC44"/>
    <w:rsid w:val="7627FD48"/>
    <w:rsid w:val="762FFF81"/>
    <w:rsid w:val="7646CA97"/>
    <w:rsid w:val="76903045"/>
    <w:rsid w:val="76A2DE93"/>
    <w:rsid w:val="76CA975A"/>
    <w:rsid w:val="774B6F11"/>
    <w:rsid w:val="7751AD37"/>
    <w:rsid w:val="775D50A7"/>
    <w:rsid w:val="77636420"/>
    <w:rsid w:val="777F6677"/>
    <w:rsid w:val="7794671B"/>
    <w:rsid w:val="77968554"/>
    <w:rsid w:val="77B1F5C8"/>
    <w:rsid w:val="77BCB871"/>
    <w:rsid w:val="77CDAE73"/>
    <w:rsid w:val="77D5CC61"/>
    <w:rsid w:val="77D6057A"/>
    <w:rsid w:val="77D8CFBC"/>
    <w:rsid w:val="77DCF14D"/>
    <w:rsid w:val="785FE5EC"/>
    <w:rsid w:val="7865FF88"/>
    <w:rsid w:val="787813A4"/>
    <w:rsid w:val="78897204"/>
    <w:rsid w:val="78A27721"/>
    <w:rsid w:val="78D69FFE"/>
    <w:rsid w:val="78E7D6EA"/>
    <w:rsid w:val="78F62377"/>
    <w:rsid w:val="7923BF85"/>
    <w:rsid w:val="794E11F0"/>
    <w:rsid w:val="794F784A"/>
    <w:rsid w:val="7955E80F"/>
    <w:rsid w:val="79893929"/>
    <w:rsid w:val="799D498F"/>
    <w:rsid w:val="799F1C59"/>
    <w:rsid w:val="79BC4DCF"/>
    <w:rsid w:val="79F381D1"/>
    <w:rsid w:val="7A04B244"/>
    <w:rsid w:val="7A5DA8AF"/>
    <w:rsid w:val="7A692E00"/>
    <w:rsid w:val="7A71E79D"/>
    <w:rsid w:val="7A8B9356"/>
    <w:rsid w:val="7AA57E85"/>
    <w:rsid w:val="7AE72632"/>
    <w:rsid w:val="7AEF415F"/>
    <w:rsid w:val="7B4834EC"/>
    <w:rsid w:val="7B4B2B72"/>
    <w:rsid w:val="7B751B11"/>
    <w:rsid w:val="7B80BB51"/>
    <w:rsid w:val="7BACDEE3"/>
    <w:rsid w:val="7BB6F540"/>
    <w:rsid w:val="7BB7DFB4"/>
    <w:rsid w:val="7BBF2B81"/>
    <w:rsid w:val="7BC2769E"/>
    <w:rsid w:val="7BD284FB"/>
    <w:rsid w:val="7BECBF29"/>
    <w:rsid w:val="7BFA953D"/>
    <w:rsid w:val="7C0D01EA"/>
    <w:rsid w:val="7C2C3A68"/>
    <w:rsid w:val="7C42450F"/>
    <w:rsid w:val="7C4B4F30"/>
    <w:rsid w:val="7C5F66A7"/>
    <w:rsid w:val="7C653CAE"/>
    <w:rsid w:val="7C7626BC"/>
    <w:rsid w:val="7CAC8580"/>
    <w:rsid w:val="7D1F1BAA"/>
    <w:rsid w:val="7D2402F2"/>
    <w:rsid w:val="7D40A641"/>
    <w:rsid w:val="7D6F37B2"/>
    <w:rsid w:val="7DB7B81B"/>
    <w:rsid w:val="7DB982A0"/>
    <w:rsid w:val="7DBFD855"/>
    <w:rsid w:val="7E01F9D1"/>
    <w:rsid w:val="7E0D3109"/>
    <w:rsid w:val="7E25AA4B"/>
    <w:rsid w:val="7E2A0D56"/>
    <w:rsid w:val="7E2BC699"/>
    <w:rsid w:val="7E676E30"/>
    <w:rsid w:val="7E7F5DD2"/>
    <w:rsid w:val="7EA384FE"/>
    <w:rsid w:val="7EA86575"/>
    <w:rsid w:val="7EC1DFE9"/>
    <w:rsid w:val="7ECBB2B3"/>
    <w:rsid w:val="7EE31841"/>
    <w:rsid w:val="7EF02F99"/>
    <w:rsid w:val="7EF461EC"/>
    <w:rsid w:val="7F17BC3B"/>
    <w:rsid w:val="7F1B4953"/>
    <w:rsid w:val="7F46B05D"/>
    <w:rsid w:val="7F69B665"/>
    <w:rsid w:val="7F726BDA"/>
    <w:rsid w:val="7F7913E5"/>
    <w:rsid w:val="7F84B98D"/>
    <w:rsid w:val="7F89DB00"/>
    <w:rsid w:val="7F8E95A5"/>
    <w:rsid w:val="7FAB7E35"/>
    <w:rsid w:val="7FB47F7F"/>
    <w:rsid w:val="7FBFC956"/>
    <w:rsid w:val="7FC06CBC"/>
    <w:rsid w:val="7FD1E6AA"/>
    <w:rsid w:val="7FDAE17D"/>
    <w:rsid w:val="7FE7E3E7"/>
    <w:rsid w:val="7FFD658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2815AC"/>
  <w15:docId w15:val="{060F2A42-D0B8-4531-85EB-81BAE1E50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CFB"/>
    <w:pPr>
      <w:spacing w:after="0" w:line="240" w:lineRule="auto"/>
    </w:pPr>
  </w:style>
  <w:style w:type="paragraph" w:styleId="Heading1">
    <w:name w:val="heading 1"/>
    <w:basedOn w:val="Normal"/>
    <w:next w:val="Normal"/>
    <w:link w:val="Heading1Char"/>
    <w:uiPriority w:val="9"/>
    <w:qFormat/>
    <w:rsid w:val="003253C6"/>
    <w:pPr>
      <w:keepNext/>
      <w:keepLines/>
      <w:spacing w:before="480" w:line="259" w:lineRule="auto"/>
      <w:outlineLvl w:val="0"/>
    </w:pPr>
    <w:rPr>
      <w:rFonts w:asciiTheme="majorHAnsi" w:eastAsiaTheme="majorEastAsia" w:hAnsiTheme="majorHAnsi" w:cstheme="majorBidi"/>
      <w:b/>
      <w:bCs/>
      <w:color w:val="42558C" w:themeColor="accent1" w:themeShade="BF"/>
      <w:sz w:val="28"/>
      <w:szCs w:val="28"/>
    </w:rPr>
  </w:style>
  <w:style w:type="paragraph" w:styleId="Heading2">
    <w:name w:val="heading 2"/>
    <w:basedOn w:val="Normal"/>
    <w:next w:val="Normal"/>
    <w:link w:val="Heading2Char"/>
    <w:uiPriority w:val="9"/>
    <w:unhideWhenUsed/>
    <w:qFormat/>
    <w:rsid w:val="006D589C"/>
    <w:pPr>
      <w:keepNext/>
      <w:keepLines/>
      <w:spacing w:before="200" w:line="276" w:lineRule="auto"/>
      <w:outlineLvl w:val="1"/>
    </w:pPr>
    <w:rPr>
      <w:rFonts w:asciiTheme="majorHAnsi" w:eastAsiaTheme="majorEastAsia" w:hAnsiTheme="majorHAnsi" w:cstheme="majorBidi"/>
      <w:b/>
      <w:bCs/>
      <w:color w:val="6076B4" w:themeColor="accent1"/>
      <w:sz w:val="26"/>
      <w:szCs w:val="26"/>
    </w:rPr>
  </w:style>
  <w:style w:type="paragraph" w:styleId="Heading3">
    <w:name w:val="heading 3"/>
    <w:basedOn w:val="Normal"/>
    <w:next w:val="Normal"/>
    <w:link w:val="Heading3Char"/>
    <w:uiPriority w:val="9"/>
    <w:semiHidden/>
    <w:unhideWhenUsed/>
    <w:qFormat/>
    <w:rsid w:val="009E7FF0"/>
    <w:pPr>
      <w:keepNext/>
      <w:keepLines/>
      <w:spacing w:before="200" w:line="276" w:lineRule="auto"/>
      <w:outlineLvl w:val="2"/>
    </w:pPr>
    <w:rPr>
      <w:rFonts w:asciiTheme="majorHAnsi" w:eastAsiaTheme="majorEastAsia" w:hAnsiTheme="majorHAnsi" w:cstheme="majorBidi"/>
      <w:b/>
      <w:bCs/>
      <w:color w:val="6076B4" w:themeColor="accent1"/>
      <w:sz w:val="22"/>
      <w:szCs w:val="22"/>
    </w:rPr>
  </w:style>
  <w:style w:type="paragraph" w:styleId="Heading4">
    <w:name w:val="heading 4"/>
    <w:basedOn w:val="Normal"/>
    <w:next w:val="Normal"/>
    <w:link w:val="Heading4Char"/>
    <w:uiPriority w:val="9"/>
    <w:semiHidden/>
    <w:unhideWhenUsed/>
    <w:qFormat/>
    <w:rsid w:val="00CC3BFC"/>
    <w:pPr>
      <w:keepNext/>
      <w:keepLines/>
      <w:spacing w:before="200" w:line="276" w:lineRule="auto"/>
      <w:outlineLvl w:val="3"/>
    </w:pPr>
    <w:rPr>
      <w:rFonts w:asciiTheme="majorHAnsi" w:eastAsiaTheme="majorEastAsia" w:hAnsiTheme="majorHAnsi" w:cstheme="majorBidi"/>
      <w:b/>
      <w:bCs/>
      <w:i/>
      <w:iCs/>
      <w:color w:val="6076B4" w:themeColor="accent1"/>
      <w:sz w:val="22"/>
      <w:szCs w:val="22"/>
    </w:rPr>
  </w:style>
  <w:style w:type="paragraph" w:styleId="Heading6">
    <w:name w:val="heading 6"/>
    <w:basedOn w:val="Normal"/>
    <w:next w:val="Normal"/>
    <w:link w:val="Heading6Char"/>
    <w:uiPriority w:val="9"/>
    <w:semiHidden/>
    <w:unhideWhenUsed/>
    <w:qFormat/>
    <w:rsid w:val="00EF5FF2"/>
    <w:pPr>
      <w:keepNext/>
      <w:keepLines/>
      <w:spacing w:before="200" w:line="276" w:lineRule="auto"/>
      <w:outlineLvl w:val="5"/>
    </w:pPr>
    <w:rPr>
      <w:rFonts w:asciiTheme="majorHAnsi" w:eastAsiaTheme="majorEastAsia" w:hAnsiTheme="majorHAnsi" w:cstheme="majorBidi"/>
      <w:i/>
      <w:iCs/>
      <w:color w:val="2C385D" w:themeColor="accent1" w:themeShade="7F"/>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07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0709"/>
    <w:pPr>
      <w:tabs>
        <w:tab w:val="center" w:pos="4680"/>
        <w:tab w:val="right" w:pos="9360"/>
      </w:tabs>
    </w:pPr>
    <w:rPr>
      <w:rFonts w:cstheme="minorBidi"/>
      <w:sz w:val="22"/>
      <w:szCs w:val="22"/>
    </w:rPr>
  </w:style>
  <w:style w:type="character" w:customStyle="1" w:styleId="HeaderChar">
    <w:name w:val="Header Char"/>
    <w:basedOn w:val="DefaultParagraphFont"/>
    <w:link w:val="Header"/>
    <w:uiPriority w:val="99"/>
    <w:rsid w:val="008C0709"/>
  </w:style>
  <w:style w:type="paragraph" w:styleId="NoSpacing">
    <w:name w:val="No Spacing"/>
    <w:uiPriority w:val="1"/>
    <w:qFormat/>
    <w:rsid w:val="008C0709"/>
    <w:pPr>
      <w:spacing w:after="0" w:line="240" w:lineRule="auto"/>
    </w:pPr>
  </w:style>
  <w:style w:type="paragraph" w:styleId="FootnoteText">
    <w:name w:val="footnote text"/>
    <w:basedOn w:val="Normal"/>
    <w:link w:val="FootnoteTextChar"/>
    <w:uiPriority w:val="99"/>
    <w:unhideWhenUsed/>
    <w:rsid w:val="008C0709"/>
    <w:rPr>
      <w:rFonts w:cstheme="minorBidi"/>
      <w:sz w:val="20"/>
      <w:szCs w:val="20"/>
    </w:rPr>
  </w:style>
  <w:style w:type="character" w:customStyle="1" w:styleId="FootnoteTextChar">
    <w:name w:val="Footnote Text Char"/>
    <w:basedOn w:val="DefaultParagraphFont"/>
    <w:link w:val="FootnoteText"/>
    <w:uiPriority w:val="99"/>
    <w:rsid w:val="008C0709"/>
    <w:rPr>
      <w:sz w:val="20"/>
      <w:szCs w:val="20"/>
    </w:rPr>
  </w:style>
  <w:style w:type="character" w:styleId="FootnoteReference">
    <w:name w:val="footnote reference"/>
    <w:basedOn w:val="DefaultParagraphFont"/>
    <w:uiPriority w:val="99"/>
    <w:unhideWhenUsed/>
    <w:rsid w:val="008C0709"/>
    <w:rPr>
      <w:vertAlign w:val="superscript"/>
    </w:rPr>
  </w:style>
  <w:style w:type="paragraph" w:styleId="ListParagraph">
    <w:name w:val="List Paragraph"/>
    <w:basedOn w:val="Normal"/>
    <w:link w:val="ListParagraphChar"/>
    <w:uiPriority w:val="34"/>
    <w:qFormat/>
    <w:rsid w:val="00C12BBA"/>
    <w:pPr>
      <w:spacing w:after="200" w:line="276" w:lineRule="auto"/>
      <w:ind w:left="720"/>
      <w:contextualSpacing/>
    </w:pPr>
    <w:rPr>
      <w:rFonts w:cstheme="minorBidi"/>
      <w:sz w:val="22"/>
      <w:szCs w:val="22"/>
    </w:rPr>
  </w:style>
  <w:style w:type="paragraph" w:customStyle="1" w:styleId="Default">
    <w:name w:val="Default"/>
    <w:rsid w:val="00C12BBA"/>
    <w:pPr>
      <w:autoSpaceDE w:val="0"/>
      <w:autoSpaceDN w:val="0"/>
      <w:adjustRightInd w:val="0"/>
      <w:spacing w:after="0" w:line="240" w:lineRule="auto"/>
    </w:pPr>
    <w:rPr>
      <w:rFonts w:ascii="HQIEQ S+ Times New" w:hAnsi="HQIEQ S+ Times New" w:cs="HQIEQ S+ Times New"/>
      <w:color w:val="000000"/>
    </w:rPr>
  </w:style>
  <w:style w:type="paragraph" w:styleId="EndnoteText">
    <w:name w:val="endnote text"/>
    <w:basedOn w:val="Normal"/>
    <w:link w:val="EndnoteTextChar"/>
    <w:uiPriority w:val="99"/>
    <w:unhideWhenUsed/>
    <w:rsid w:val="003253C6"/>
    <w:rPr>
      <w:rFonts w:cstheme="minorBidi"/>
      <w:sz w:val="20"/>
      <w:szCs w:val="20"/>
    </w:rPr>
  </w:style>
  <w:style w:type="character" w:customStyle="1" w:styleId="EndnoteTextChar">
    <w:name w:val="Endnote Text Char"/>
    <w:basedOn w:val="DefaultParagraphFont"/>
    <w:link w:val="EndnoteText"/>
    <w:uiPriority w:val="99"/>
    <w:rsid w:val="003253C6"/>
    <w:rPr>
      <w:sz w:val="20"/>
      <w:szCs w:val="20"/>
    </w:rPr>
  </w:style>
  <w:style w:type="character" w:styleId="EndnoteReference">
    <w:name w:val="endnote reference"/>
    <w:basedOn w:val="DefaultParagraphFont"/>
    <w:uiPriority w:val="99"/>
    <w:semiHidden/>
    <w:unhideWhenUsed/>
    <w:rsid w:val="003253C6"/>
    <w:rPr>
      <w:vertAlign w:val="superscript"/>
    </w:rPr>
  </w:style>
  <w:style w:type="character" w:styleId="Hyperlink">
    <w:name w:val="Hyperlink"/>
    <w:basedOn w:val="DefaultParagraphFont"/>
    <w:uiPriority w:val="99"/>
    <w:unhideWhenUsed/>
    <w:rsid w:val="003253C6"/>
    <w:rPr>
      <w:color w:val="3399FF" w:themeColor="hyperlink"/>
      <w:u w:val="single"/>
    </w:rPr>
  </w:style>
  <w:style w:type="paragraph" w:styleId="BalloonText">
    <w:name w:val="Balloon Text"/>
    <w:basedOn w:val="Normal"/>
    <w:link w:val="BalloonTextChar"/>
    <w:uiPriority w:val="99"/>
    <w:semiHidden/>
    <w:unhideWhenUsed/>
    <w:rsid w:val="003253C6"/>
    <w:rPr>
      <w:rFonts w:ascii="Tahoma" w:hAnsi="Tahoma" w:cs="Tahoma"/>
      <w:sz w:val="16"/>
      <w:szCs w:val="16"/>
    </w:rPr>
  </w:style>
  <w:style w:type="character" w:customStyle="1" w:styleId="BalloonTextChar">
    <w:name w:val="Balloon Text Char"/>
    <w:basedOn w:val="DefaultParagraphFont"/>
    <w:link w:val="BalloonText"/>
    <w:uiPriority w:val="99"/>
    <w:semiHidden/>
    <w:rsid w:val="003253C6"/>
    <w:rPr>
      <w:rFonts w:ascii="Tahoma" w:hAnsi="Tahoma" w:cs="Tahoma"/>
      <w:sz w:val="16"/>
      <w:szCs w:val="16"/>
    </w:rPr>
  </w:style>
  <w:style w:type="character" w:customStyle="1" w:styleId="Heading1Char">
    <w:name w:val="Heading 1 Char"/>
    <w:basedOn w:val="DefaultParagraphFont"/>
    <w:link w:val="Heading1"/>
    <w:uiPriority w:val="9"/>
    <w:rsid w:val="003253C6"/>
    <w:rPr>
      <w:rFonts w:asciiTheme="majorHAnsi" w:eastAsiaTheme="majorEastAsia" w:hAnsiTheme="majorHAnsi" w:cstheme="majorBidi"/>
      <w:b/>
      <w:bCs/>
      <w:color w:val="42558C" w:themeColor="accent1" w:themeShade="BF"/>
      <w:sz w:val="28"/>
      <w:szCs w:val="28"/>
    </w:rPr>
  </w:style>
  <w:style w:type="character" w:styleId="CommentReference">
    <w:name w:val="annotation reference"/>
    <w:basedOn w:val="DefaultParagraphFont"/>
    <w:uiPriority w:val="99"/>
    <w:semiHidden/>
    <w:unhideWhenUsed/>
    <w:rsid w:val="003826C7"/>
    <w:rPr>
      <w:sz w:val="16"/>
      <w:szCs w:val="16"/>
    </w:rPr>
  </w:style>
  <w:style w:type="paragraph" w:styleId="CommentText">
    <w:name w:val="annotation text"/>
    <w:basedOn w:val="Normal"/>
    <w:link w:val="CommentTextChar"/>
    <w:uiPriority w:val="99"/>
    <w:unhideWhenUsed/>
    <w:rsid w:val="003826C7"/>
    <w:pPr>
      <w:spacing w:after="200"/>
    </w:pPr>
    <w:rPr>
      <w:rFonts w:cstheme="minorBidi"/>
      <w:sz w:val="20"/>
      <w:szCs w:val="20"/>
    </w:rPr>
  </w:style>
  <w:style w:type="character" w:customStyle="1" w:styleId="CommentTextChar">
    <w:name w:val="Comment Text Char"/>
    <w:basedOn w:val="DefaultParagraphFont"/>
    <w:link w:val="CommentText"/>
    <w:uiPriority w:val="99"/>
    <w:rsid w:val="003826C7"/>
    <w:rPr>
      <w:sz w:val="20"/>
      <w:szCs w:val="20"/>
    </w:rPr>
  </w:style>
  <w:style w:type="paragraph" w:styleId="CommentSubject">
    <w:name w:val="annotation subject"/>
    <w:basedOn w:val="CommentText"/>
    <w:next w:val="CommentText"/>
    <w:link w:val="CommentSubjectChar"/>
    <w:uiPriority w:val="99"/>
    <w:semiHidden/>
    <w:unhideWhenUsed/>
    <w:rsid w:val="003826C7"/>
    <w:rPr>
      <w:b/>
      <w:bCs/>
    </w:rPr>
  </w:style>
  <w:style w:type="character" w:customStyle="1" w:styleId="CommentSubjectChar">
    <w:name w:val="Comment Subject Char"/>
    <w:basedOn w:val="CommentTextChar"/>
    <w:link w:val="CommentSubject"/>
    <w:uiPriority w:val="99"/>
    <w:semiHidden/>
    <w:rsid w:val="003826C7"/>
    <w:rPr>
      <w:b/>
      <w:bCs/>
      <w:sz w:val="20"/>
      <w:szCs w:val="20"/>
    </w:rPr>
  </w:style>
  <w:style w:type="paragraph" w:styleId="BodyText">
    <w:name w:val="Body Text"/>
    <w:basedOn w:val="Normal"/>
    <w:link w:val="BodyTextChar"/>
    <w:uiPriority w:val="99"/>
    <w:semiHidden/>
    <w:unhideWhenUsed/>
    <w:rsid w:val="00C722B3"/>
    <w:pPr>
      <w:spacing w:after="120" w:line="276" w:lineRule="auto"/>
    </w:pPr>
    <w:rPr>
      <w:rFonts w:cstheme="minorBidi"/>
      <w:sz w:val="22"/>
      <w:szCs w:val="22"/>
    </w:rPr>
  </w:style>
  <w:style w:type="character" w:customStyle="1" w:styleId="BodyTextChar">
    <w:name w:val="Body Text Char"/>
    <w:basedOn w:val="DefaultParagraphFont"/>
    <w:link w:val="BodyText"/>
    <w:uiPriority w:val="99"/>
    <w:semiHidden/>
    <w:rsid w:val="00C722B3"/>
  </w:style>
  <w:style w:type="paragraph" w:styleId="Footer">
    <w:name w:val="footer"/>
    <w:basedOn w:val="Normal"/>
    <w:link w:val="FooterChar"/>
    <w:uiPriority w:val="99"/>
    <w:unhideWhenUsed/>
    <w:rsid w:val="00D16565"/>
    <w:pPr>
      <w:tabs>
        <w:tab w:val="center" w:pos="4680"/>
        <w:tab w:val="right" w:pos="9360"/>
      </w:tabs>
    </w:pPr>
    <w:rPr>
      <w:rFonts w:cstheme="minorBidi"/>
      <w:sz w:val="22"/>
      <w:szCs w:val="22"/>
    </w:rPr>
  </w:style>
  <w:style w:type="character" w:customStyle="1" w:styleId="FooterChar">
    <w:name w:val="Footer Char"/>
    <w:basedOn w:val="DefaultParagraphFont"/>
    <w:link w:val="Footer"/>
    <w:uiPriority w:val="99"/>
    <w:rsid w:val="00D16565"/>
  </w:style>
  <w:style w:type="character" w:customStyle="1" w:styleId="Heading2Char">
    <w:name w:val="Heading 2 Char"/>
    <w:basedOn w:val="DefaultParagraphFont"/>
    <w:link w:val="Heading2"/>
    <w:uiPriority w:val="9"/>
    <w:rsid w:val="006D589C"/>
    <w:rPr>
      <w:rFonts w:asciiTheme="majorHAnsi" w:eastAsiaTheme="majorEastAsia" w:hAnsiTheme="majorHAnsi" w:cstheme="majorBidi"/>
      <w:b/>
      <w:bCs/>
      <w:color w:val="6076B4" w:themeColor="accent1"/>
      <w:sz w:val="26"/>
      <w:szCs w:val="26"/>
    </w:rPr>
  </w:style>
  <w:style w:type="character" w:customStyle="1" w:styleId="ListParagraphChar">
    <w:name w:val="List Paragraph Char"/>
    <w:basedOn w:val="DefaultParagraphFont"/>
    <w:link w:val="ListParagraph"/>
    <w:uiPriority w:val="34"/>
    <w:locked/>
    <w:rsid w:val="00AC68E5"/>
  </w:style>
  <w:style w:type="table" w:customStyle="1" w:styleId="GridTable4-Accent11">
    <w:name w:val="Grid Table 4 - Accent 11"/>
    <w:basedOn w:val="TableNormal"/>
    <w:uiPriority w:val="49"/>
    <w:rsid w:val="00AC68E5"/>
    <w:pPr>
      <w:spacing w:after="0" w:line="240" w:lineRule="auto"/>
    </w:pPr>
    <w:tblPr>
      <w:tblStyleRowBandSize w:val="1"/>
      <w:tblStyleColBandSize w:val="1"/>
      <w:tblBorders>
        <w:top w:val="single" w:sz="4" w:space="0" w:color="9FACD2" w:themeColor="accent1" w:themeTint="99"/>
        <w:left w:val="single" w:sz="4" w:space="0" w:color="9FACD2" w:themeColor="accent1" w:themeTint="99"/>
        <w:bottom w:val="single" w:sz="4" w:space="0" w:color="9FACD2" w:themeColor="accent1" w:themeTint="99"/>
        <w:right w:val="single" w:sz="4" w:space="0" w:color="9FACD2" w:themeColor="accent1" w:themeTint="99"/>
        <w:insideH w:val="single" w:sz="4" w:space="0" w:color="9FACD2" w:themeColor="accent1" w:themeTint="99"/>
        <w:insideV w:val="single" w:sz="4" w:space="0" w:color="9FACD2" w:themeColor="accent1" w:themeTint="99"/>
      </w:tblBorders>
    </w:tblPr>
    <w:tblStylePr w:type="firstRow">
      <w:rPr>
        <w:b/>
        <w:bCs/>
        <w:color w:val="FFFFFF" w:themeColor="background1"/>
      </w:rPr>
      <w:tblPr/>
      <w:tcPr>
        <w:tcBorders>
          <w:top w:val="single" w:sz="4" w:space="0" w:color="6076B4" w:themeColor="accent1"/>
          <w:left w:val="single" w:sz="4" w:space="0" w:color="6076B4" w:themeColor="accent1"/>
          <w:bottom w:val="single" w:sz="4" w:space="0" w:color="6076B4" w:themeColor="accent1"/>
          <w:right w:val="single" w:sz="4" w:space="0" w:color="6076B4" w:themeColor="accent1"/>
          <w:insideH w:val="nil"/>
          <w:insideV w:val="nil"/>
        </w:tcBorders>
        <w:shd w:val="clear" w:color="auto" w:fill="6076B4" w:themeFill="accent1"/>
      </w:tcPr>
    </w:tblStylePr>
    <w:tblStylePr w:type="lastRow">
      <w:rPr>
        <w:b/>
        <w:bCs/>
      </w:rPr>
      <w:tblPr/>
      <w:tcPr>
        <w:tcBorders>
          <w:top w:val="double" w:sz="4" w:space="0" w:color="6076B4" w:themeColor="accent1"/>
        </w:tcBorders>
      </w:tcPr>
    </w:tblStylePr>
    <w:tblStylePr w:type="firstCol">
      <w:rPr>
        <w:b/>
        <w:bCs/>
      </w:rPr>
    </w:tblStylePr>
    <w:tblStylePr w:type="lastCol">
      <w:rPr>
        <w:b/>
        <w:bCs/>
      </w:rPr>
    </w:tblStylePr>
    <w:tblStylePr w:type="band1Vert">
      <w:tblPr/>
      <w:tcPr>
        <w:shd w:val="clear" w:color="auto" w:fill="DFE3F0" w:themeFill="accent1" w:themeFillTint="33"/>
      </w:tcPr>
    </w:tblStylePr>
    <w:tblStylePr w:type="band1Horz">
      <w:tblPr/>
      <w:tcPr>
        <w:shd w:val="clear" w:color="auto" w:fill="DFE3F0" w:themeFill="accent1" w:themeFillTint="33"/>
      </w:tcPr>
    </w:tblStylePr>
  </w:style>
  <w:style w:type="paragraph" w:styleId="Revision">
    <w:name w:val="Revision"/>
    <w:hidden/>
    <w:uiPriority w:val="99"/>
    <w:semiHidden/>
    <w:rsid w:val="00D1476A"/>
    <w:pPr>
      <w:spacing w:after="0" w:line="240" w:lineRule="auto"/>
    </w:pPr>
  </w:style>
  <w:style w:type="character" w:customStyle="1" w:styleId="UnresolvedMention1">
    <w:name w:val="Unresolved Mention1"/>
    <w:basedOn w:val="DefaultParagraphFont"/>
    <w:uiPriority w:val="99"/>
    <w:semiHidden/>
    <w:unhideWhenUsed/>
    <w:rsid w:val="004954E4"/>
    <w:rPr>
      <w:color w:val="605E5C"/>
      <w:shd w:val="clear" w:color="auto" w:fill="E1DFDD"/>
    </w:rPr>
  </w:style>
  <w:style w:type="paragraph" w:styleId="TOCHeading">
    <w:name w:val="TOC Heading"/>
    <w:basedOn w:val="Heading1"/>
    <w:next w:val="Normal"/>
    <w:uiPriority w:val="39"/>
    <w:unhideWhenUsed/>
    <w:qFormat/>
    <w:rsid w:val="00E8532F"/>
    <w:pPr>
      <w:spacing w:before="240"/>
      <w:outlineLvl w:val="9"/>
    </w:pPr>
    <w:rPr>
      <w:b w:val="0"/>
      <w:bCs w:val="0"/>
      <w:sz w:val="32"/>
      <w:szCs w:val="32"/>
    </w:rPr>
  </w:style>
  <w:style w:type="paragraph" w:styleId="TOC1">
    <w:name w:val="toc 1"/>
    <w:basedOn w:val="Normal"/>
    <w:next w:val="Normal"/>
    <w:autoRedefine/>
    <w:uiPriority w:val="39"/>
    <w:unhideWhenUsed/>
    <w:rsid w:val="003A12B3"/>
    <w:pPr>
      <w:tabs>
        <w:tab w:val="right" w:leader="dot" w:pos="9450"/>
      </w:tabs>
      <w:spacing w:after="100" w:line="276" w:lineRule="auto"/>
      <w:ind w:left="450"/>
    </w:pPr>
    <w:rPr>
      <w:rFonts w:ascii="Calibri" w:eastAsiaTheme="majorEastAsia" w:hAnsi="Calibri" w:cstheme="majorBidi"/>
      <w:noProof/>
      <w:szCs w:val="22"/>
    </w:rPr>
  </w:style>
  <w:style w:type="paragraph" w:styleId="TOC2">
    <w:name w:val="toc 2"/>
    <w:basedOn w:val="Normal"/>
    <w:next w:val="Normal"/>
    <w:autoRedefine/>
    <w:uiPriority w:val="39"/>
    <w:unhideWhenUsed/>
    <w:rsid w:val="001D23E0"/>
    <w:pPr>
      <w:tabs>
        <w:tab w:val="right" w:leader="dot" w:pos="9450"/>
      </w:tabs>
      <w:spacing w:after="100" w:line="276" w:lineRule="auto"/>
      <w:ind w:left="450"/>
    </w:pPr>
    <w:rPr>
      <w:noProof/>
      <w:color w:val="000000" w:themeColor="text1"/>
    </w:rPr>
  </w:style>
  <w:style w:type="paragraph" w:styleId="NormalWeb">
    <w:name w:val="Normal (Web)"/>
    <w:basedOn w:val="Normal"/>
    <w:uiPriority w:val="99"/>
    <w:unhideWhenUsed/>
    <w:rsid w:val="00040884"/>
  </w:style>
  <w:style w:type="character" w:customStyle="1" w:styleId="Heading4Char">
    <w:name w:val="Heading 4 Char"/>
    <w:basedOn w:val="DefaultParagraphFont"/>
    <w:link w:val="Heading4"/>
    <w:uiPriority w:val="9"/>
    <w:semiHidden/>
    <w:rsid w:val="00CC3BFC"/>
    <w:rPr>
      <w:rFonts w:asciiTheme="majorHAnsi" w:eastAsiaTheme="majorEastAsia" w:hAnsiTheme="majorHAnsi" w:cstheme="majorBidi"/>
      <w:b/>
      <w:bCs/>
      <w:i/>
      <w:iCs/>
      <w:color w:val="6076B4" w:themeColor="accent1"/>
    </w:rPr>
  </w:style>
  <w:style w:type="table" w:customStyle="1" w:styleId="TableGrid1">
    <w:name w:val="Table Grid1"/>
    <w:basedOn w:val="TableNormal"/>
    <w:next w:val="TableGrid"/>
    <w:uiPriority w:val="59"/>
    <w:rsid w:val="00E830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EF5FF2"/>
    <w:rPr>
      <w:rFonts w:asciiTheme="majorHAnsi" w:eastAsiaTheme="majorEastAsia" w:hAnsiTheme="majorHAnsi" w:cstheme="majorBidi"/>
      <w:i/>
      <w:iCs/>
      <w:color w:val="2C385D" w:themeColor="accent1" w:themeShade="7F"/>
    </w:rPr>
  </w:style>
  <w:style w:type="character" w:customStyle="1" w:styleId="UnresolvedMention2">
    <w:name w:val="Unresolved Mention2"/>
    <w:basedOn w:val="DefaultParagraphFont"/>
    <w:uiPriority w:val="99"/>
    <w:semiHidden/>
    <w:unhideWhenUsed/>
    <w:rsid w:val="002252A2"/>
    <w:rPr>
      <w:color w:val="605E5C"/>
      <w:shd w:val="clear" w:color="auto" w:fill="E1DFDD"/>
    </w:rPr>
  </w:style>
  <w:style w:type="paragraph" w:styleId="PlainText">
    <w:name w:val="Plain Text"/>
    <w:basedOn w:val="Normal"/>
    <w:link w:val="PlainTextChar"/>
    <w:uiPriority w:val="99"/>
    <w:semiHidden/>
    <w:unhideWhenUsed/>
    <w:rsid w:val="009E7FF0"/>
    <w:rPr>
      <w:rFonts w:ascii="Calibri" w:hAnsi="Calibri" w:cs="Calibri"/>
      <w:sz w:val="22"/>
      <w:szCs w:val="22"/>
    </w:rPr>
  </w:style>
  <w:style w:type="character" w:customStyle="1" w:styleId="PlainTextChar">
    <w:name w:val="Plain Text Char"/>
    <w:basedOn w:val="DefaultParagraphFont"/>
    <w:link w:val="PlainText"/>
    <w:uiPriority w:val="99"/>
    <w:semiHidden/>
    <w:rsid w:val="009E7FF0"/>
    <w:rPr>
      <w:rFonts w:ascii="Calibri" w:hAnsi="Calibri" w:cs="Calibri"/>
    </w:rPr>
  </w:style>
  <w:style w:type="character" w:customStyle="1" w:styleId="Heading3Char">
    <w:name w:val="Heading 3 Char"/>
    <w:basedOn w:val="DefaultParagraphFont"/>
    <w:link w:val="Heading3"/>
    <w:uiPriority w:val="9"/>
    <w:semiHidden/>
    <w:rsid w:val="009E7FF0"/>
    <w:rPr>
      <w:rFonts w:asciiTheme="majorHAnsi" w:eastAsiaTheme="majorEastAsia" w:hAnsiTheme="majorHAnsi" w:cstheme="majorBidi"/>
      <w:b/>
      <w:bCs/>
      <w:color w:val="6076B4" w:themeColor="accent1"/>
    </w:rPr>
  </w:style>
  <w:style w:type="paragraph" w:styleId="HTMLPreformatted">
    <w:name w:val="HTML Preformatted"/>
    <w:basedOn w:val="Normal"/>
    <w:link w:val="HTMLPreformattedChar"/>
    <w:uiPriority w:val="99"/>
    <w:unhideWhenUsed/>
    <w:rsid w:val="0011211C"/>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11211C"/>
    <w:rPr>
      <w:rFonts w:ascii="Consolas" w:hAnsi="Consolas" w:cs="Consolas"/>
      <w:sz w:val="20"/>
      <w:szCs w:val="20"/>
    </w:rPr>
  </w:style>
  <w:style w:type="character" w:customStyle="1" w:styleId="date-display-single">
    <w:name w:val="date-display-single"/>
    <w:basedOn w:val="DefaultParagraphFont"/>
    <w:rsid w:val="0011211C"/>
  </w:style>
  <w:style w:type="paragraph" w:styleId="Caption">
    <w:name w:val="caption"/>
    <w:basedOn w:val="Normal"/>
    <w:next w:val="Normal"/>
    <w:uiPriority w:val="35"/>
    <w:unhideWhenUsed/>
    <w:qFormat/>
    <w:rsid w:val="00980000"/>
    <w:pPr>
      <w:spacing w:after="200"/>
    </w:pPr>
    <w:rPr>
      <w:rFonts w:cstheme="minorBidi"/>
      <w:b/>
      <w:bCs/>
      <w:color w:val="6076B4" w:themeColor="accent1"/>
      <w:sz w:val="18"/>
      <w:szCs w:val="18"/>
    </w:rPr>
  </w:style>
  <w:style w:type="character" w:customStyle="1" w:styleId="UnresolvedMention3">
    <w:name w:val="Unresolved Mention3"/>
    <w:basedOn w:val="DefaultParagraphFont"/>
    <w:uiPriority w:val="99"/>
    <w:semiHidden/>
    <w:unhideWhenUsed/>
    <w:rsid w:val="00260429"/>
    <w:rPr>
      <w:color w:val="605E5C"/>
      <w:shd w:val="clear" w:color="auto" w:fill="E1DFDD"/>
    </w:rPr>
  </w:style>
  <w:style w:type="character" w:styleId="FollowedHyperlink">
    <w:name w:val="FollowedHyperlink"/>
    <w:basedOn w:val="DefaultParagraphFont"/>
    <w:uiPriority w:val="99"/>
    <w:semiHidden/>
    <w:unhideWhenUsed/>
    <w:rsid w:val="00C15030"/>
    <w:rPr>
      <w:color w:val="B2B2B2" w:themeColor="followedHyperlink"/>
      <w:u w:val="single"/>
    </w:rPr>
  </w:style>
  <w:style w:type="character" w:customStyle="1" w:styleId="UnresolvedMention4">
    <w:name w:val="Unresolved Mention4"/>
    <w:basedOn w:val="DefaultParagraphFont"/>
    <w:uiPriority w:val="99"/>
    <w:semiHidden/>
    <w:unhideWhenUsed/>
    <w:rsid w:val="00671169"/>
    <w:rPr>
      <w:color w:val="605E5C"/>
      <w:shd w:val="clear" w:color="auto" w:fill="E1DFDD"/>
    </w:rPr>
  </w:style>
  <w:style w:type="character" w:customStyle="1" w:styleId="UnresolvedMention5">
    <w:name w:val="Unresolved Mention5"/>
    <w:basedOn w:val="DefaultParagraphFont"/>
    <w:uiPriority w:val="99"/>
    <w:semiHidden/>
    <w:unhideWhenUsed/>
    <w:rsid w:val="00EB560F"/>
    <w:rPr>
      <w:color w:val="605E5C"/>
      <w:shd w:val="clear" w:color="auto" w:fill="E1DFDD"/>
    </w:rPr>
  </w:style>
  <w:style w:type="character" w:customStyle="1" w:styleId="UnresolvedMention6">
    <w:name w:val="Unresolved Mention6"/>
    <w:basedOn w:val="DefaultParagraphFont"/>
    <w:uiPriority w:val="99"/>
    <w:semiHidden/>
    <w:unhideWhenUsed/>
    <w:rsid w:val="002D2E0C"/>
    <w:rPr>
      <w:color w:val="605E5C"/>
      <w:shd w:val="clear" w:color="auto" w:fill="E1DFDD"/>
    </w:rPr>
  </w:style>
  <w:style w:type="character" w:customStyle="1" w:styleId="UnresolvedMention7">
    <w:name w:val="Unresolved Mention7"/>
    <w:basedOn w:val="DefaultParagraphFont"/>
    <w:uiPriority w:val="99"/>
    <w:semiHidden/>
    <w:unhideWhenUsed/>
    <w:rsid w:val="00826796"/>
    <w:rPr>
      <w:color w:val="605E5C"/>
      <w:shd w:val="clear" w:color="auto" w:fill="E1DFDD"/>
    </w:rPr>
  </w:style>
  <w:style w:type="paragraph" w:customStyle="1" w:styleId="CM4">
    <w:name w:val="CM4"/>
    <w:basedOn w:val="Default"/>
    <w:next w:val="Default"/>
    <w:uiPriority w:val="99"/>
    <w:rsid w:val="001A7B48"/>
    <w:pPr>
      <w:spacing w:line="280" w:lineRule="atLeast"/>
    </w:pPr>
    <w:rPr>
      <w:rFonts w:cstheme="minorBidi"/>
      <w:color w:val="auto"/>
    </w:rPr>
  </w:style>
  <w:style w:type="character" w:styleId="Strong">
    <w:name w:val="Strong"/>
    <w:basedOn w:val="DefaultParagraphFont"/>
    <w:uiPriority w:val="22"/>
    <w:qFormat/>
    <w:rsid w:val="00D52480"/>
    <w:rPr>
      <w:b/>
      <w:bCs/>
    </w:rPr>
  </w:style>
  <w:style w:type="character" w:customStyle="1" w:styleId="authors">
    <w:name w:val="authors"/>
    <w:basedOn w:val="DefaultParagraphFont"/>
    <w:rsid w:val="009C45F2"/>
  </w:style>
  <w:style w:type="character" w:customStyle="1" w:styleId="full-stop">
    <w:name w:val="full-stop"/>
    <w:basedOn w:val="DefaultParagraphFont"/>
    <w:rsid w:val="009C45F2"/>
  </w:style>
  <w:style w:type="character" w:customStyle="1" w:styleId="item-title">
    <w:name w:val="item-title"/>
    <w:basedOn w:val="DefaultParagraphFont"/>
    <w:rsid w:val="009C45F2"/>
  </w:style>
  <w:style w:type="character" w:customStyle="1" w:styleId="italicized">
    <w:name w:val="italicized"/>
    <w:basedOn w:val="DefaultParagraphFont"/>
    <w:rsid w:val="009C45F2"/>
  </w:style>
  <w:style w:type="character" w:customStyle="1" w:styleId="yop">
    <w:name w:val="yop"/>
    <w:basedOn w:val="DefaultParagraphFont"/>
    <w:rsid w:val="009C45F2"/>
  </w:style>
  <w:style w:type="character" w:customStyle="1" w:styleId="volissue">
    <w:name w:val="volissue"/>
    <w:basedOn w:val="DefaultParagraphFont"/>
    <w:rsid w:val="009C45F2"/>
  </w:style>
  <w:style w:type="character" w:customStyle="1" w:styleId="pages">
    <w:name w:val="pages"/>
    <w:basedOn w:val="DefaultParagraphFont"/>
    <w:rsid w:val="009C45F2"/>
  </w:style>
  <w:style w:type="character" w:customStyle="1" w:styleId="pub-url">
    <w:name w:val="pub-url"/>
    <w:basedOn w:val="DefaultParagraphFont"/>
    <w:rsid w:val="009C45F2"/>
  </w:style>
  <w:style w:type="character" w:customStyle="1" w:styleId="doi">
    <w:name w:val="doi"/>
    <w:basedOn w:val="DefaultParagraphFont"/>
    <w:rsid w:val="009C45F2"/>
  </w:style>
  <w:style w:type="character" w:customStyle="1" w:styleId="apple-converted-space">
    <w:name w:val="apple-converted-space"/>
    <w:basedOn w:val="DefaultParagraphFont"/>
    <w:rsid w:val="00E63DC8"/>
  </w:style>
  <w:style w:type="paragraph" w:customStyle="1" w:styleId="RBNBasicNoSpace">
    <w:name w:val="RBN Basic No Space"/>
    <w:basedOn w:val="Normal"/>
    <w:rsid w:val="00B13F08"/>
    <w:rPr>
      <w:rFonts w:eastAsia="Calibri"/>
      <w:szCs w:val="20"/>
    </w:rPr>
  </w:style>
  <w:style w:type="paragraph" w:customStyle="1" w:styleId="RB2Bullets">
    <w:name w:val="RB2 Bullets"/>
    <w:basedOn w:val="Normal"/>
    <w:rsid w:val="00B13F08"/>
    <w:pPr>
      <w:numPr>
        <w:ilvl w:val="1"/>
        <w:numId w:val="1"/>
      </w:numPr>
      <w:spacing w:after="120"/>
    </w:pPr>
    <w:rPr>
      <w:rFonts w:eastAsia="Calibri"/>
      <w:szCs w:val="20"/>
    </w:rPr>
  </w:style>
  <w:style w:type="paragraph" w:customStyle="1" w:styleId="RB3Bullets">
    <w:name w:val="RB3 Bullets"/>
    <w:basedOn w:val="Normal"/>
    <w:rsid w:val="00B13F08"/>
    <w:pPr>
      <w:numPr>
        <w:ilvl w:val="2"/>
        <w:numId w:val="1"/>
      </w:numPr>
      <w:spacing w:after="120"/>
    </w:pPr>
    <w:rPr>
      <w:rFonts w:eastAsia="Calibri"/>
      <w:szCs w:val="20"/>
    </w:rPr>
  </w:style>
  <w:style w:type="paragraph" w:customStyle="1" w:styleId="RB4Bullets">
    <w:name w:val="RB4 Bullets"/>
    <w:basedOn w:val="Normal"/>
    <w:rsid w:val="00B13F08"/>
    <w:pPr>
      <w:numPr>
        <w:ilvl w:val="3"/>
        <w:numId w:val="1"/>
      </w:numPr>
      <w:spacing w:after="120"/>
    </w:pPr>
    <w:rPr>
      <w:rFonts w:eastAsia="Calibri"/>
      <w:szCs w:val="20"/>
    </w:rPr>
  </w:style>
  <w:style w:type="paragraph" w:customStyle="1" w:styleId="RB5Bullets">
    <w:name w:val="RB5 Bullets"/>
    <w:basedOn w:val="Normal"/>
    <w:rsid w:val="00B13F08"/>
    <w:pPr>
      <w:numPr>
        <w:ilvl w:val="4"/>
        <w:numId w:val="1"/>
      </w:numPr>
      <w:spacing w:after="120"/>
    </w:pPr>
    <w:rPr>
      <w:rFonts w:eastAsia="Calibri"/>
      <w:szCs w:val="20"/>
    </w:rPr>
  </w:style>
  <w:style w:type="paragraph" w:customStyle="1" w:styleId="RB6Bullets">
    <w:name w:val="RB6 Bullets"/>
    <w:basedOn w:val="Normal"/>
    <w:rsid w:val="00B13F08"/>
    <w:pPr>
      <w:numPr>
        <w:ilvl w:val="5"/>
        <w:numId w:val="1"/>
      </w:numPr>
      <w:spacing w:after="120"/>
    </w:pPr>
    <w:rPr>
      <w:rFonts w:eastAsia="Calibri"/>
      <w:szCs w:val="20"/>
    </w:rPr>
  </w:style>
  <w:style w:type="paragraph" w:customStyle="1" w:styleId="RB7Bullets">
    <w:name w:val="RB7 Bullets"/>
    <w:basedOn w:val="Normal"/>
    <w:rsid w:val="00B13F08"/>
    <w:pPr>
      <w:numPr>
        <w:ilvl w:val="6"/>
        <w:numId w:val="1"/>
      </w:numPr>
      <w:spacing w:after="120"/>
    </w:pPr>
    <w:rPr>
      <w:rFonts w:eastAsia="Calibri"/>
      <w:szCs w:val="20"/>
    </w:rPr>
  </w:style>
  <w:style w:type="paragraph" w:customStyle="1" w:styleId="RB8Bullets">
    <w:name w:val="RB8 Bullets"/>
    <w:basedOn w:val="Normal"/>
    <w:rsid w:val="00B13F08"/>
    <w:pPr>
      <w:numPr>
        <w:ilvl w:val="7"/>
        <w:numId w:val="1"/>
      </w:numPr>
      <w:spacing w:after="120"/>
    </w:pPr>
    <w:rPr>
      <w:rFonts w:eastAsia="Calibri"/>
      <w:szCs w:val="20"/>
    </w:rPr>
  </w:style>
  <w:style w:type="paragraph" w:customStyle="1" w:styleId="RB9Bullets">
    <w:name w:val="RB9 Bullets"/>
    <w:basedOn w:val="Normal"/>
    <w:rsid w:val="00B13F08"/>
    <w:pPr>
      <w:numPr>
        <w:ilvl w:val="8"/>
        <w:numId w:val="1"/>
      </w:numPr>
      <w:spacing w:after="120"/>
    </w:pPr>
    <w:rPr>
      <w:rFonts w:eastAsia="Calibri"/>
      <w:szCs w:val="20"/>
    </w:rPr>
  </w:style>
  <w:style w:type="paragraph" w:customStyle="1" w:styleId="RBUBullets">
    <w:name w:val="RBU Bullets"/>
    <w:basedOn w:val="Normal"/>
    <w:link w:val="RBUBulletsChar"/>
    <w:rsid w:val="00B13F08"/>
    <w:pPr>
      <w:numPr>
        <w:numId w:val="1"/>
      </w:numPr>
      <w:spacing w:after="120"/>
      <w:ind w:left="720"/>
      <w:jc w:val="both"/>
    </w:pPr>
    <w:rPr>
      <w:rFonts w:eastAsia="Calibri"/>
      <w:szCs w:val="20"/>
    </w:rPr>
  </w:style>
  <w:style w:type="character" w:customStyle="1" w:styleId="RBUBulletsChar">
    <w:name w:val="RBU Bullets Char"/>
    <w:basedOn w:val="DefaultParagraphFont"/>
    <w:link w:val="RBUBullets"/>
    <w:rsid w:val="00B13F08"/>
    <w:rPr>
      <w:rFonts w:eastAsia="Calibri"/>
      <w:szCs w:val="20"/>
    </w:rPr>
  </w:style>
  <w:style w:type="paragraph" w:customStyle="1" w:styleId="RNNum">
    <w:name w:val="RN Num"/>
    <w:basedOn w:val="Normal"/>
    <w:link w:val="RNNumChar"/>
    <w:rsid w:val="007B1DAB"/>
    <w:pPr>
      <w:numPr>
        <w:numId w:val="2"/>
      </w:numPr>
      <w:spacing w:after="240"/>
    </w:pPr>
    <w:rPr>
      <w:rFonts w:eastAsia="Calibri"/>
      <w:szCs w:val="20"/>
    </w:rPr>
  </w:style>
  <w:style w:type="character" w:customStyle="1" w:styleId="RNNumChar">
    <w:name w:val="RN Num Char"/>
    <w:link w:val="RNNum"/>
    <w:rsid w:val="007B1DAB"/>
    <w:rPr>
      <w:rFonts w:eastAsia="Calibri"/>
      <w:szCs w:val="20"/>
    </w:rPr>
  </w:style>
  <w:style w:type="paragraph" w:customStyle="1" w:styleId="RN2Num">
    <w:name w:val="RN2 Num"/>
    <w:basedOn w:val="Normal"/>
    <w:rsid w:val="007B1DAB"/>
    <w:pPr>
      <w:numPr>
        <w:ilvl w:val="1"/>
        <w:numId w:val="2"/>
      </w:numPr>
      <w:spacing w:after="240"/>
    </w:pPr>
    <w:rPr>
      <w:rFonts w:eastAsia="Calibri"/>
      <w:szCs w:val="20"/>
    </w:rPr>
  </w:style>
  <w:style w:type="paragraph" w:customStyle="1" w:styleId="RN3Num">
    <w:name w:val="RN3 Num"/>
    <w:basedOn w:val="Normal"/>
    <w:rsid w:val="007B1DAB"/>
    <w:pPr>
      <w:numPr>
        <w:ilvl w:val="2"/>
        <w:numId w:val="2"/>
      </w:numPr>
      <w:spacing w:after="240"/>
    </w:pPr>
    <w:rPr>
      <w:rFonts w:eastAsia="Calibri"/>
      <w:szCs w:val="20"/>
    </w:rPr>
  </w:style>
  <w:style w:type="paragraph" w:customStyle="1" w:styleId="RN4Num">
    <w:name w:val="RN4 Num"/>
    <w:basedOn w:val="Normal"/>
    <w:rsid w:val="007B1DAB"/>
    <w:pPr>
      <w:numPr>
        <w:ilvl w:val="3"/>
        <w:numId w:val="2"/>
      </w:numPr>
    </w:pPr>
    <w:rPr>
      <w:rFonts w:eastAsia="Calibri"/>
      <w:szCs w:val="20"/>
    </w:rPr>
  </w:style>
  <w:style w:type="paragraph" w:customStyle="1" w:styleId="RN5Num">
    <w:name w:val="RN5 Num"/>
    <w:basedOn w:val="Normal"/>
    <w:rsid w:val="007B1DAB"/>
    <w:pPr>
      <w:numPr>
        <w:ilvl w:val="4"/>
        <w:numId w:val="2"/>
      </w:numPr>
      <w:spacing w:after="240"/>
    </w:pPr>
    <w:rPr>
      <w:rFonts w:eastAsia="Calibri"/>
      <w:szCs w:val="20"/>
    </w:rPr>
  </w:style>
  <w:style w:type="paragraph" w:customStyle="1" w:styleId="RN6Num">
    <w:name w:val="RN6 Num"/>
    <w:basedOn w:val="Normal"/>
    <w:rsid w:val="007B1DAB"/>
    <w:pPr>
      <w:numPr>
        <w:ilvl w:val="5"/>
        <w:numId w:val="2"/>
      </w:numPr>
      <w:spacing w:after="240"/>
    </w:pPr>
    <w:rPr>
      <w:rFonts w:eastAsia="Calibri"/>
      <w:szCs w:val="20"/>
    </w:rPr>
  </w:style>
  <w:style w:type="paragraph" w:customStyle="1" w:styleId="RN7Num">
    <w:name w:val="RN7 Num"/>
    <w:basedOn w:val="Normal"/>
    <w:rsid w:val="007B1DAB"/>
    <w:pPr>
      <w:numPr>
        <w:ilvl w:val="6"/>
        <w:numId w:val="2"/>
      </w:numPr>
      <w:spacing w:after="240"/>
    </w:pPr>
    <w:rPr>
      <w:rFonts w:eastAsia="Calibri"/>
      <w:szCs w:val="20"/>
    </w:rPr>
  </w:style>
  <w:style w:type="paragraph" w:customStyle="1" w:styleId="RN8Num">
    <w:name w:val="RN8 Num"/>
    <w:basedOn w:val="Normal"/>
    <w:rsid w:val="007B1DAB"/>
    <w:pPr>
      <w:numPr>
        <w:ilvl w:val="7"/>
        <w:numId w:val="2"/>
      </w:numPr>
      <w:spacing w:after="240"/>
    </w:pPr>
    <w:rPr>
      <w:rFonts w:eastAsia="Calibri"/>
      <w:szCs w:val="20"/>
    </w:rPr>
  </w:style>
  <w:style w:type="paragraph" w:customStyle="1" w:styleId="RN9Num">
    <w:name w:val="RN9 Num"/>
    <w:basedOn w:val="Normal"/>
    <w:rsid w:val="007B1DAB"/>
    <w:pPr>
      <w:numPr>
        <w:ilvl w:val="8"/>
        <w:numId w:val="2"/>
      </w:numPr>
      <w:spacing w:after="240"/>
    </w:pPr>
    <w:rPr>
      <w:rFonts w:eastAsia="Calibri"/>
      <w:szCs w:val="20"/>
    </w:rPr>
  </w:style>
  <w:style w:type="character" w:styleId="UnresolvedMention">
    <w:name w:val="Unresolved Mention"/>
    <w:basedOn w:val="DefaultParagraphFont"/>
    <w:uiPriority w:val="99"/>
    <w:semiHidden/>
    <w:unhideWhenUsed/>
    <w:rsid w:val="008C0869"/>
    <w:rPr>
      <w:color w:val="605E5C"/>
      <w:shd w:val="clear" w:color="auto" w:fill="E1DFDD"/>
    </w:rPr>
  </w:style>
  <w:style w:type="character" w:styleId="Emphasis">
    <w:name w:val="Emphasis"/>
    <w:basedOn w:val="DefaultParagraphFont"/>
    <w:uiPriority w:val="20"/>
    <w:qFormat/>
    <w:rsid w:val="006B02BE"/>
    <w:rPr>
      <w:i/>
      <w:iCs/>
    </w:rPr>
  </w:style>
  <w:style w:type="paragraph" w:styleId="TOC3">
    <w:name w:val="toc 3"/>
    <w:basedOn w:val="Normal"/>
    <w:next w:val="Normal"/>
    <w:autoRedefine/>
    <w:uiPriority w:val="39"/>
    <w:unhideWhenUsed/>
    <w:rsid w:val="007D1CA1"/>
    <w:pPr>
      <w:spacing w:after="100" w:line="259" w:lineRule="auto"/>
      <w:ind w:left="440"/>
    </w:pPr>
    <w:rPr>
      <w:rFonts w:eastAsiaTheme="minorEastAsia"/>
      <w:sz w:val="22"/>
      <w:szCs w:val="22"/>
    </w:rPr>
  </w:style>
  <w:style w:type="paragraph" w:customStyle="1" w:styleId="FootnoteText1">
    <w:name w:val="Footnote Text1"/>
    <w:basedOn w:val="Normal"/>
    <w:next w:val="FootnoteText"/>
    <w:uiPriority w:val="99"/>
    <w:unhideWhenUsed/>
    <w:rsid w:val="00C22A7C"/>
    <w:rPr>
      <w:rFonts w:ascii="Calibri" w:eastAsia="Calibri" w:hAnsi="Calibri"/>
      <w:sz w:val="20"/>
      <w:szCs w:val="20"/>
    </w:rPr>
  </w:style>
  <w:style w:type="character" w:customStyle="1" w:styleId="Hyperlink1">
    <w:name w:val="Hyperlink1"/>
    <w:basedOn w:val="DefaultParagraphFont"/>
    <w:uiPriority w:val="99"/>
    <w:unhideWhenUsed/>
    <w:rsid w:val="00550940"/>
    <w:rPr>
      <w:color w:val="0563C1"/>
      <w:u w:val="single"/>
    </w:rPr>
  </w:style>
  <w:style w:type="paragraph" w:customStyle="1" w:styleId="paragraph">
    <w:name w:val="paragraph"/>
    <w:basedOn w:val="Normal"/>
    <w:rsid w:val="00FF3353"/>
    <w:pPr>
      <w:spacing w:before="100" w:beforeAutospacing="1" w:after="100" w:afterAutospacing="1"/>
    </w:pPr>
  </w:style>
  <w:style w:type="character" w:customStyle="1" w:styleId="normaltextrun">
    <w:name w:val="normaltextrun"/>
    <w:basedOn w:val="DefaultParagraphFont"/>
    <w:rsid w:val="00FF3353"/>
  </w:style>
  <w:style w:type="character" w:customStyle="1" w:styleId="eop">
    <w:name w:val="eop"/>
    <w:basedOn w:val="DefaultParagraphFont"/>
    <w:rsid w:val="00FF3353"/>
  </w:style>
  <w:style w:type="character" w:customStyle="1" w:styleId="contextualspellingandgrammarerror">
    <w:name w:val="contextualspellingandgrammarerror"/>
    <w:basedOn w:val="DefaultParagraphFont"/>
    <w:rsid w:val="00FF3353"/>
  </w:style>
  <w:style w:type="character" w:customStyle="1" w:styleId="FootnoteTextChar1">
    <w:name w:val="Footnote Text Char1"/>
    <w:basedOn w:val="DefaultParagraphFont"/>
    <w:uiPriority w:val="99"/>
    <w:semiHidden/>
    <w:rsid w:val="00D523F2"/>
    <w:rPr>
      <w:sz w:val="20"/>
      <w:szCs w:val="20"/>
    </w:rPr>
  </w:style>
  <w:style w:type="paragraph" w:customStyle="1" w:styleId="EndnoteText1">
    <w:name w:val="Endnote Text1"/>
    <w:basedOn w:val="Normal"/>
    <w:next w:val="EndnoteText"/>
    <w:uiPriority w:val="99"/>
    <w:unhideWhenUsed/>
    <w:rsid w:val="00D523F2"/>
    <w:rPr>
      <w:rFonts w:ascii="Calibri" w:eastAsia="Calibri" w:hAnsi="Calibri"/>
      <w:sz w:val="20"/>
      <w:szCs w:val="20"/>
    </w:rPr>
  </w:style>
  <w:style w:type="paragraph" w:customStyle="1" w:styleId="TableParagraph">
    <w:name w:val="Table Paragraph"/>
    <w:basedOn w:val="Normal"/>
    <w:uiPriority w:val="1"/>
    <w:qFormat/>
    <w:rsid w:val="00E720F4"/>
    <w:pPr>
      <w:widowControl w:val="0"/>
      <w:autoSpaceDE w:val="0"/>
      <w:autoSpaceDN w:val="0"/>
      <w:spacing w:line="205" w:lineRule="exact"/>
      <w:ind w:left="107"/>
    </w:pPr>
    <w:rPr>
      <w:rFonts w:ascii="Garamond" w:eastAsia="Garamond" w:hAnsi="Garamond" w:cs="Garamond"/>
      <w:sz w:val="22"/>
      <w:szCs w:val="22"/>
    </w:rPr>
  </w:style>
  <w:style w:type="character" w:customStyle="1" w:styleId="footnotedescriptionChar">
    <w:name w:val="footnote description Char"/>
    <w:link w:val="footnotedescription"/>
    <w:locked/>
    <w:rsid w:val="00940CC4"/>
    <w:rPr>
      <w:rFonts w:ascii="Calibri" w:eastAsia="Calibri" w:hAnsi="Calibri" w:cs="Calibri"/>
      <w:color w:val="000000"/>
      <w:sz w:val="20"/>
    </w:rPr>
  </w:style>
  <w:style w:type="paragraph" w:customStyle="1" w:styleId="footnotedescription">
    <w:name w:val="footnote description"/>
    <w:next w:val="Normal"/>
    <w:link w:val="footnotedescriptionChar"/>
    <w:rsid w:val="00940CC4"/>
    <w:pPr>
      <w:spacing w:after="0" w:line="256" w:lineRule="auto"/>
    </w:pPr>
    <w:rPr>
      <w:rFonts w:ascii="Calibri" w:eastAsia="Calibri" w:hAnsi="Calibri" w:cs="Calibri"/>
      <w:color w:val="000000"/>
      <w:sz w:val="20"/>
    </w:rPr>
  </w:style>
  <w:style w:type="character" w:customStyle="1" w:styleId="footnotemark">
    <w:name w:val="footnote mark"/>
    <w:rsid w:val="00940CC4"/>
    <w:rPr>
      <w:rFonts w:ascii="Calibri" w:eastAsia="Calibri" w:hAnsi="Calibri" w:cs="Calibri" w:hint="default"/>
      <w:color w:val="000000"/>
      <w:sz w:val="20"/>
      <w:vertAlign w:val="superscript"/>
    </w:rPr>
  </w:style>
  <w:style w:type="table" w:customStyle="1" w:styleId="TableGrid11">
    <w:name w:val="Table Grid11"/>
    <w:basedOn w:val="TableNormal"/>
    <w:next w:val="TableGrid"/>
    <w:uiPriority w:val="39"/>
    <w:rsid w:val="00C43448"/>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next w:val="PlainTable1"/>
    <w:uiPriority w:val="41"/>
    <w:rsid w:val="00A31DE2"/>
    <w:pPr>
      <w:spacing w:after="0" w:line="240" w:lineRule="auto"/>
    </w:pPr>
    <w:rPr>
      <w:rFonts w:cs="Times New Roman"/>
      <w:kern w:val="2"/>
      <w:sz w:val="22"/>
      <w:szCs w:val="22"/>
      <w14:ligatures w14:val="standardContextua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1">
    <w:name w:val="Plain Table 1"/>
    <w:basedOn w:val="TableNormal"/>
    <w:uiPriority w:val="41"/>
    <w:rsid w:val="00A31DE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VlnBullet1">
    <w:name w:val="Vln Bullet 1"/>
    <w:basedOn w:val="BodyText"/>
    <w:qFormat/>
    <w:rsid w:val="00FA75CF"/>
    <w:pPr>
      <w:numPr>
        <w:numId w:val="13"/>
      </w:numPr>
      <w:spacing w:after="160" w:line="259" w:lineRule="auto"/>
      <w:contextualSpacing/>
    </w:pPr>
    <w:rPr>
      <w:rFonts w:cstheme="minorHAnsi"/>
      <w:sz w:val="24"/>
      <w:szCs w:val="24"/>
    </w:rPr>
  </w:style>
  <w:style w:type="paragraph" w:customStyle="1" w:styleId="VlnBullet2">
    <w:name w:val="Vln Bullet 2"/>
    <w:basedOn w:val="VlnBullet1"/>
    <w:qFormat/>
    <w:rsid w:val="00FA75CF"/>
    <w:pPr>
      <w:numPr>
        <w:ilvl w:val="1"/>
      </w:numPr>
    </w:pPr>
    <w:rPr>
      <w:rFonts w:eastAsia="Times New Roman" w:cs="Times New Roman"/>
    </w:rPr>
  </w:style>
  <w:style w:type="paragraph" w:customStyle="1" w:styleId="VlnBullet3">
    <w:name w:val="Vln Bullet 3"/>
    <w:basedOn w:val="VlnBullet1"/>
    <w:qFormat/>
    <w:rsid w:val="00FA75CF"/>
    <w:pPr>
      <w:numPr>
        <w:ilvl w:val="2"/>
      </w:numPr>
    </w:pPr>
  </w:style>
  <w:style w:type="paragraph" w:customStyle="1" w:styleId="VlnBullet4">
    <w:name w:val="Vln Bullet 4"/>
    <w:basedOn w:val="VlnBullet1"/>
    <w:qFormat/>
    <w:rsid w:val="00FA75CF"/>
    <w:pPr>
      <w:numPr>
        <w:ilvl w:val="3"/>
      </w:numPr>
    </w:pPr>
  </w:style>
  <w:style w:type="paragraph" w:customStyle="1" w:styleId="VlnBullet5">
    <w:name w:val="Vln Bullet 5"/>
    <w:basedOn w:val="VlnBullet1"/>
    <w:qFormat/>
    <w:rsid w:val="00FA75CF"/>
    <w:pPr>
      <w:numPr>
        <w:ilvl w:val="4"/>
      </w:numPr>
    </w:pPr>
  </w:style>
  <w:style w:type="paragraph" w:customStyle="1" w:styleId="VlnList1">
    <w:name w:val="Vln List 1"/>
    <w:basedOn w:val="Normal"/>
    <w:qFormat/>
    <w:rsid w:val="00FA75CF"/>
    <w:pPr>
      <w:numPr>
        <w:numId w:val="12"/>
      </w:numPr>
      <w:spacing w:after="160" w:line="259" w:lineRule="auto"/>
      <w:contextualSpacing/>
    </w:pPr>
    <w:rPr>
      <w:rFonts w:eastAsia="Times New Roman" w:cs="Times New Roman"/>
    </w:rPr>
  </w:style>
  <w:style w:type="paragraph" w:customStyle="1" w:styleId="VlnList2">
    <w:name w:val="Vln List 2"/>
    <w:basedOn w:val="VlnList1"/>
    <w:qFormat/>
    <w:rsid w:val="00FA75CF"/>
    <w:pPr>
      <w:numPr>
        <w:ilvl w:val="1"/>
      </w:numPr>
    </w:pPr>
  </w:style>
  <w:style w:type="paragraph" w:customStyle="1" w:styleId="VlnList3">
    <w:name w:val="Vln List 3"/>
    <w:basedOn w:val="VlnList1"/>
    <w:qFormat/>
    <w:rsid w:val="00FA75CF"/>
    <w:pPr>
      <w:numPr>
        <w:ilvl w:val="2"/>
      </w:numPr>
    </w:pPr>
  </w:style>
  <w:style w:type="paragraph" w:customStyle="1" w:styleId="VlnList4">
    <w:name w:val="Vln List 4"/>
    <w:basedOn w:val="VlnList1"/>
    <w:qFormat/>
    <w:rsid w:val="00FA75CF"/>
    <w:pPr>
      <w:numPr>
        <w:ilvl w:val="3"/>
      </w:numPr>
    </w:pPr>
  </w:style>
  <w:style w:type="paragraph" w:customStyle="1" w:styleId="VlnList5">
    <w:name w:val="Vln List 5"/>
    <w:basedOn w:val="VlnList1"/>
    <w:qFormat/>
    <w:rsid w:val="00FA75CF"/>
    <w:pPr>
      <w:numPr>
        <w:ilvl w:val="4"/>
      </w:numPr>
    </w:pPr>
  </w:style>
  <w:style w:type="numbering" w:customStyle="1" w:styleId="VlnBullets">
    <w:name w:val="Vln Bullets"/>
    <w:uiPriority w:val="99"/>
    <w:rsid w:val="00FA75CF"/>
    <w:pPr>
      <w:numPr>
        <w:numId w:val="13"/>
      </w:numPr>
    </w:p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687">
      <w:bodyDiv w:val="1"/>
      <w:marLeft w:val="0"/>
      <w:marRight w:val="0"/>
      <w:marTop w:val="0"/>
      <w:marBottom w:val="0"/>
      <w:divBdr>
        <w:top w:val="none" w:sz="0" w:space="0" w:color="auto"/>
        <w:left w:val="none" w:sz="0" w:space="0" w:color="auto"/>
        <w:bottom w:val="none" w:sz="0" w:space="0" w:color="auto"/>
        <w:right w:val="none" w:sz="0" w:space="0" w:color="auto"/>
      </w:divBdr>
    </w:div>
    <w:div w:id="4866175">
      <w:bodyDiv w:val="1"/>
      <w:marLeft w:val="0"/>
      <w:marRight w:val="0"/>
      <w:marTop w:val="0"/>
      <w:marBottom w:val="0"/>
      <w:divBdr>
        <w:top w:val="none" w:sz="0" w:space="0" w:color="auto"/>
        <w:left w:val="none" w:sz="0" w:space="0" w:color="auto"/>
        <w:bottom w:val="none" w:sz="0" w:space="0" w:color="auto"/>
        <w:right w:val="none" w:sz="0" w:space="0" w:color="auto"/>
      </w:divBdr>
    </w:div>
    <w:div w:id="23334727">
      <w:bodyDiv w:val="1"/>
      <w:marLeft w:val="0"/>
      <w:marRight w:val="0"/>
      <w:marTop w:val="0"/>
      <w:marBottom w:val="0"/>
      <w:divBdr>
        <w:top w:val="none" w:sz="0" w:space="0" w:color="auto"/>
        <w:left w:val="none" w:sz="0" w:space="0" w:color="auto"/>
        <w:bottom w:val="none" w:sz="0" w:space="0" w:color="auto"/>
        <w:right w:val="none" w:sz="0" w:space="0" w:color="auto"/>
      </w:divBdr>
    </w:div>
    <w:div w:id="25371113">
      <w:bodyDiv w:val="1"/>
      <w:marLeft w:val="0"/>
      <w:marRight w:val="0"/>
      <w:marTop w:val="0"/>
      <w:marBottom w:val="0"/>
      <w:divBdr>
        <w:top w:val="none" w:sz="0" w:space="0" w:color="auto"/>
        <w:left w:val="none" w:sz="0" w:space="0" w:color="auto"/>
        <w:bottom w:val="none" w:sz="0" w:space="0" w:color="auto"/>
        <w:right w:val="none" w:sz="0" w:space="0" w:color="auto"/>
      </w:divBdr>
    </w:div>
    <w:div w:id="25714785">
      <w:bodyDiv w:val="1"/>
      <w:marLeft w:val="0"/>
      <w:marRight w:val="0"/>
      <w:marTop w:val="0"/>
      <w:marBottom w:val="0"/>
      <w:divBdr>
        <w:top w:val="none" w:sz="0" w:space="0" w:color="auto"/>
        <w:left w:val="none" w:sz="0" w:space="0" w:color="auto"/>
        <w:bottom w:val="none" w:sz="0" w:space="0" w:color="auto"/>
        <w:right w:val="none" w:sz="0" w:space="0" w:color="auto"/>
      </w:divBdr>
    </w:div>
    <w:div w:id="31225591">
      <w:bodyDiv w:val="1"/>
      <w:marLeft w:val="0"/>
      <w:marRight w:val="0"/>
      <w:marTop w:val="0"/>
      <w:marBottom w:val="0"/>
      <w:divBdr>
        <w:top w:val="none" w:sz="0" w:space="0" w:color="auto"/>
        <w:left w:val="none" w:sz="0" w:space="0" w:color="auto"/>
        <w:bottom w:val="none" w:sz="0" w:space="0" w:color="auto"/>
        <w:right w:val="none" w:sz="0" w:space="0" w:color="auto"/>
      </w:divBdr>
    </w:div>
    <w:div w:id="48655317">
      <w:bodyDiv w:val="1"/>
      <w:marLeft w:val="0"/>
      <w:marRight w:val="0"/>
      <w:marTop w:val="0"/>
      <w:marBottom w:val="0"/>
      <w:divBdr>
        <w:top w:val="none" w:sz="0" w:space="0" w:color="auto"/>
        <w:left w:val="none" w:sz="0" w:space="0" w:color="auto"/>
        <w:bottom w:val="none" w:sz="0" w:space="0" w:color="auto"/>
        <w:right w:val="none" w:sz="0" w:space="0" w:color="auto"/>
      </w:divBdr>
    </w:div>
    <w:div w:id="60102502">
      <w:bodyDiv w:val="1"/>
      <w:marLeft w:val="0"/>
      <w:marRight w:val="0"/>
      <w:marTop w:val="0"/>
      <w:marBottom w:val="0"/>
      <w:divBdr>
        <w:top w:val="none" w:sz="0" w:space="0" w:color="auto"/>
        <w:left w:val="none" w:sz="0" w:space="0" w:color="auto"/>
        <w:bottom w:val="none" w:sz="0" w:space="0" w:color="auto"/>
        <w:right w:val="none" w:sz="0" w:space="0" w:color="auto"/>
      </w:divBdr>
    </w:div>
    <w:div w:id="66146821">
      <w:bodyDiv w:val="1"/>
      <w:marLeft w:val="0"/>
      <w:marRight w:val="0"/>
      <w:marTop w:val="0"/>
      <w:marBottom w:val="0"/>
      <w:divBdr>
        <w:top w:val="none" w:sz="0" w:space="0" w:color="auto"/>
        <w:left w:val="none" w:sz="0" w:space="0" w:color="auto"/>
        <w:bottom w:val="none" w:sz="0" w:space="0" w:color="auto"/>
        <w:right w:val="none" w:sz="0" w:space="0" w:color="auto"/>
      </w:divBdr>
    </w:div>
    <w:div w:id="78793499">
      <w:bodyDiv w:val="1"/>
      <w:marLeft w:val="0"/>
      <w:marRight w:val="0"/>
      <w:marTop w:val="0"/>
      <w:marBottom w:val="0"/>
      <w:divBdr>
        <w:top w:val="none" w:sz="0" w:space="0" w:color="auto"/>
        <w:left w:val="none" w:sz="0" w:space="0" w:color="auto"/>
        <w:bottom w:val="none" w:sz="0" w:space="0" w:color="auto"/>
        <w:right w:val="none" w:sz="0" w:space="0" w:color="auto"/>
      </w:divBdr>
    </w:div>
    <w:div w:id="81608576">
      <w:bodyDiv w:val="1"/>
      <w:marLeft w:val="0"/>
      <w:marRight w:val="0"/>
      <w:marTop w:val="0"/>
      <w:marBottom w:val="0"/>
      <w:divBdr>
        <w:top w:val="none" w:sz="0" w:space="0" w:color="auto"/>
        <w:left w:val="none" w:sz="0" w:space="0" w:color="auto"/>
        <w:bottom w:val="none" w:sz="0" w:space="0" w:color="auto"/>
        <w:right w:val="none" w:sz="0" w:space="0" w:color="auto"/>
      </w:divBdr>
      <w:divsChild>
        <w:div w:id="405301629">
          <w:marLeft w:val="1440"/>
          <w:marRight w:val="0"/>
          <w:marTop w:val="0"/>
          <w:marBottom w:val="0"/>
          <w:divBdr>
            <w:top w:val="none" w:sz="0" w:space="0" w:color="auto"/>
            <w:left w:val="none" w:sz="0" w:space="0" w:color="auto"/>
            <w:bottom w:val="none" w:sz="0" w:space="0" w:color="auto"/>
            <w:right w:val="none" w:sz="0" w:space="0" w:color="auto"/>
          </w:divBdr>
        </w:div>
      </w:divsChild>
    </w:div>
    <w:div w:id="106003901">
      <w:bodyDiv w:val="1"/>
      <w:marLeft w:val="0"/>
      <w:marRight w:val="0"/>
      <w:marTop w:val="0"/>
      <w:marBottom w:val="0"/>
      <w:divBdr>
        <w:top w:val="none" w:sz="0" w:space="0" w:color="auto"/>
        <w:left w:val="none" w:sz="0" w:space="0" w:color="auto"/>
        <w:bottom w:val="none" w:sz="0" w:space="0" w:color="auto"/>
        <w:right w:val="none" w:sz="0" w:space="0" w:color="auto"/>
      </w:divBdr>
    </w:div>
    <w:div w:id="106392640">
      <w:bodyDiv w:val="1"/>
      <w:marLeft w:val="0"/>
      <w:marRight w:val="0"/>
      <w:marTop w:val="0"/>
      <w:marBottom w:val="0"/>
      <w:divBdr>
        <w:top w:val="none" w:sz="0" w:space="0" w:color="auto"/>
        <w:left w:val="none" w:sz="0" w:space="0" w:color="auto"/>
        <w:bottom w:val="none" w:sz="0" w:space="0" w:color="auto"/>
        <w:right w:val="none" w:sz="0" w:space="0" w:color="auto"/>
      </w:divBdr>
    </w:div>
    <w:div w:id="111173961">
      <w:bodyDiv w:val="1"/>
      <w:marLeft w:val="0"/>
      <w:marRight w:val="0"/>
      <w:marTop w:val="0"/>
      <w:marBottom w:val="0"/>
      <w:divBdr>
        <w:top w:val="none" w:sz="0" w:space="0" w:color="auto"/>
        <w:left w:val="none" w:sz="0" w:space="0" w:color="auto"/>
        <w:bottom w:val="none" w:sz="0" w:space="0" w:color="auto"/>
        <w:right w:val="none" w:sz="0" w:space="0" w:color="auto"/>
      </w:divBdr>
    </w:div>
    <w:div w:id="112873127">
      <w:bodyDiv w:val="1"/>
      <w:marLeft w:val="0"/>
      <w:marRight w:val="0"/>
      <w:marTop w:val="0"/>
      <w:marBottom w:val="0"/>
      <w:divBdr>
        <w:top w:val="none" w:sz="0" w:space="0" w:color="auto"/>
        <w:left w:val="none" w:sz="0" w:space="0" w:color="auto"/>
        <w:bottom w:val="none" w:sz="0" w:space="0" w:color="auto"/>
        <w:right w:val="none" w:sz="0" w:space="0" w:color="auto"/>
      </w:divBdr>
    </w:div>
    <w:div w:id="119492088">
      <w:bodyDiv w:val="1"/>
      <w:marLeft w:val="0"/>
      <w:marRight w:val="0"/>
      <w:marTop w:val="0"/>
      <w:marBottom w:val="0"/>
      <w:divBdr>
        <w:top w:val="none" w:sz="0" w:space="0" w:color="auto"/>
        <w:left w:val="none" w:sz="0" w:space="0" w:color="auto"/>
        <w:bottom w:val="none" w:sz="0" w:space="0" w:color="auto"/>
        <w:right w:val="none" w:sz="0" w:space="0" w:color="auto"/>
      </w:divBdr>
    </w:div>
    <w:div w:id="126819132">
      <w:bodyDiv w:val="1"/>
      <w:marLeft w:val="0"/>
      <w:marRight w:val="0"/>
      <w:marTop w:val="0"/>
      <w:marBottom w:val="0"/>
      <w:divBdr>
        <w:top w:val="none" w:sz="0" w:space="0" w:color="auto"/>
        <w:left w:val="none" w:sz="0" w:space="0" w:color="auto"/>
        <w:bottom w:val="none" w:sz="0" w:space="0" w:color="auto"/>
        <w:right w:val="none" w:sz="0" w:space="0" w:color="auto"/>
      </w:divBdr>
    </w:div>
    <w:div w:id="171456256">
      <w:bodyDiv w:val="1"/>
      <w:marLeft w:val="0"/>
      <w:marRight w:val="0"/>
      <w:marTop w:val="0"/>
      <w:marBottom w:val="0"/>
      <w:divBdr>
        <w:top w:val="none" w:sz="0" w:space="0" w:color="auto"/>
        <w:left w:val="none" w:sz="0" w:space="0" w:color="auto"/>
        <w:bottom w:val="none" w:sz="0" w:space="0" w:color="auto"/>
        <w:right w:val="none" w:sz="0" w:space="0" w:color="auto"/>
      </w:divBdr>
    </w:div>
    <w:div w:id="172186174">
      <w:bodyDiv w:val="1"/>
      <w:marLeft w:val="0"/>
      <w:marRight w:val="0"/>
      <w:marTop w:val="0"/>
      <w:marBottom w:val="0"/>
      <w:divBdr>
        <w:top w:val="none" w:sz="0" w:space="0" w:color="auto"/>
        <w:left w:val="none" w:sz="0" w:space="0" w:color="auto"/>
        <w:bottom w:val="none" w:sz="0" w:space="0" w:color="auto"/>
        <w:right w:val="none" w:sz="0" w:space="0" w:color="auto"/>
      </w:divBdr>
    </w:div>
    <w:div w:id="217472627">
      <w:bodyDiv w:val="1"/>
      <w:marLeft w:val="0"/>
      <w:marRight w:val="0"/>
      <w:marTop w:val="0"/>
      <w:marBottom w:val="0"/>
      <w:divBdr>
        <w:top w:val="none" w:sz="0" w:space="0" w:color="auto"/>
        <w:left w:val="none" w:sz="0" w:space="0" w:color="auto"/>
        <w:bottom w:val="none" w:sz="0" w:space="0" w:color="auto"/>
        <w:right w:val="none" w:sz="0" w:space="0" w:color="auto"/>
      </w:divBdr>
    </w:div>
    <w:div w:id="220099659">
      <w:bodyDiv w:val="1"/>
      <w:marLeft w:val="0"/>
      <w:marRight w:val="0"/>
      <w:marTop w:val="0"/>
      <w:marBottom w:val="0"/>
      <w:divBdr>
        <w:top w:val="none" w:sz="0" w:space="0" w:color="auto"/>
        <w:left w:val="none" w:sz="0" w:space="0" w:color="auto"/>
        <w:bottom w:val="none" w:sz="0" w:space="0" w:color="auto"/>
        <w:right w:val="none" w:sz="0" w:space="0" w:color="auto"/>
      </w:divBdr>
    </w:div>
    <w:div w:id="230434385">
      <w:bodyDiv w:val="1"/>
      <w:marLeft w:val="0"/>
      <w:marRight w:val="0"/>
      <w:marTop w:val="0"/>
      <w:marBottom w:val="0"/>
      <w:divBdr>
        <w:top w:val="none" w:sz="0" w:space="0" w:color="auto"/>
        <w:left w:val="none" w:sz="0" w:space="0" w:color="auto"/>
        <w:bottom w:val="none" w:sz="0" w:space="0" w:color="auto"/>
        <w:right w:val="none" w:sz="0" w:space="0" w:color="auto"/>
      </w:divBdr>
    </w:div>
    <w:div w:id="232201397">
      <w:bodyDiv w:val="1"/>
      <w:marLeft w:val="0"/>
      <w:marRight w:val="0"/>
      <w:marTop w:val="0"/>
      <w:marBottom w:val="0"/>
      <w:divBdr>
        <w:top w:val="none" w:sz="0" w:space="0" w:color="auto"/>
        <w:left w:val="none" w:sz="0" w:space="0" w:color="auto"/>
        <w:bottom w:val="none" w:sz="0" w:space="0" w:color="auto"/>
        <w:right w:val="none" w:sz="0" w:space="0" w:color="auto"/>
      </w:divBdr>
    </w:div>
    <w:div w:id="233586987">
      <w:bodyDiv w:val="1"/>
      <w:marLeft w:val="0"/>
      <w:marRight w:val="0"/>
      <w:marTop w:val="0"/>
      <w:marBottom w:val="0"/>
      <w:divBdr>
        <w:top w:val="none" w:sz="0" w:space="0" w:color="auto"/>
        <w:left w:val="none" w:sz="0" w:space="0" w:color="auto"/>
        <w:bottom w:val="none" w:sz="0" w:space="0" w:color="auto"/>
        <w:right w:val="none" w:sz="0" w:space="0" w:color="auto"/>
      </w:divBdr>
    </w:div>
    <w:div w:id="243420985">
      <w:bodyDiv w:val="1"/>
      <w:marLeft w:val="0"/>
      <w:marRight w:val="0"/>
      <w:marTop w:val="0"/>
      <w:marBottom w:val="0"/>
      <w:divBdr>
        <w:top w:val="none" w:sz="0" w:space="0" w:color="auto"/>
        <w:left w:val="none" w:sz="0" w:space="0" w:color="auto"/>
        <w:bottom w:val="none" w:sz="0" w:space="0" w:color="auto"/>
        <w:right w:val="none" w:sz="0" w:space="0" w:color="auto"/>
      </w:divBdr>
    </w:div>
    <w:div w:id="247159749">
      <w:bodyDiv w:val="1"/>
      <w:marLeft w:val="0"/>
      <w:marRight w:val="0"/>
      <w:marTop w:val="0"/>
      <w:marBottom w:val="0"/>
      <w:divBdr>
        <w:top w:val="none" w:sz="0" w:space="0" w:color="auto"/>
        <w:left w:val="none" w:sz="0" w:space="0" w:color="auto"/>
        <w:bottom w:val="none" w:sz="0" w:space="0" w:color="auto"/>
        <w:right w:val="none" w:sz="0" w:space="0" w:color="auto"/>
      </w:divBdr>
    </w:div>
    <w:div w:id="263928468">
      <w:bodyDiv w:val="1"/>
      <w:marLeft w:val="0"/>
      <w:marRight w:val="0"/>
      <w:marTop w:val="0"/>
      <w:marBottom w:val="0"/>
      <w:divBdr>
        <w:top w:val="none" w:sz="0" w:space="0" w:color="auto"/>
        <w:left w:val="none" w:sz="0" w:space="0" w:color="auto"/>
        <w:bottom w:val="none" w:sz="0" w:space="0" w:color="auto"/>
        <w:right w:val="none" w:sz="0" w:space="0" w:color="auto"/>
      </w:divBdr>
    </w:div>
    <w:div w:id="268321797">
      <w:bodyDiv w:val="1"/>
      <w:marLeft w:val="0"/>
      <w:marRight w:val="0"/>
      <w:marTop w:val="0"/>
      <w:marBottom w:val="0"/>
      <w:divBdr>
        <w:top w:val="none" w:sz="0" w:space="0" w:color="auto"/>
        <w:left w:val="none" w:sz="0" w:space="0" w:color="auto"/>
        <w:bottom w:val="none" w:sz="0" w:space="0" w:color="auto"/>
        <w:right w:val="none" w:sz="0" w:space="0" w:color="auto"/>
      </w:divBdr>
    </w:div>
    <w:div w:id="273948524">
      <w:bodyDiv w:val="1"/>
      <w:marLeft w:val="0"/>
      <w:marRight w:val="0"/>
      <w:marTop w:val="0"/>
      <w:marBottom w:val="0"/>
      <w:divBdr>
        <w:top w:val="none" w:sz="0" w:space="0" w:color="auto"/>
        <w:left w:val="none" w:sz="0" w:space="0" w:color="auto"/>
        <w:bottom w:val="none" w:sz="0" w:space="0" w:color="auto"/>
        <w:right w:val="none" w:sz="0" w:space="0" w:color="auto"/>
      </w:divBdr>
    </w:div>
    <w:div w:id="274409676">
      <w:bodyDiv w:val="1"/>
      <w:marLeft w:val="0"/>
      <w:marRight w:val="0"/>
      <w:marTop w:val="0"/>
      <w:marBottom w:val="0"/>
      <w:divBdr>
        <w:top w:val="none" w:sz="0" w:space="0" w:color="auto"/>
        <w:left w:val="none" w:sz="0" w:space="0" w:color="auto"/>
        <w:bottom w:val="none" w:sz="0" w:space="0" w:color="auto"/>
        <w:right w:val="none" w:sz="0" w:space="0" w:color="auto"/>
      </w:divBdr>
    </w:div>
    <w:div w:id="286470911">
      <w:bodyDiv w:val="1"/>
      <w:marLeft w:val="0"/>
      <w:marRight w:val="0"/>
      <w:marTop w:val="0"/>
      <w:marBottom w:val="0"/>
      <w:divBdr>
        <w:top w:val="none" w:sz="0" w:space="0" w:color="auto"/>
        <w:left w:val="none" w:sz="0" w:space="0" w:color="auto"/>
        <w:bottom w:val="none" w:sz="0" w:space="0" w:color="auto"/>
        <w:right w:val="none" w:sz="0" w:space="0" w:color="auto"/>
      </w:divBdr>
    </w:div>
    <w:div w:id="289477920">
      <w:bodyDiv w:val="1"/>
      <w:marLeft w:val="0"/>
      <w:marRight w:val="0"/>
      <w:marTop w:val="0"/>
      <w:marBottom w:val="0"/>
      <w:divBdr>
        <w:top w:val="none" w:sz="0" w:space="0" w:color="auto"/>
        <w:left w:val="none" w:sz="0" w:space="0" w:color="auto"/>
        <w:bottom w:val="none" w:sz="0" w:space="0" w:color="auto"/>
        <w:right w:val="none" w:sz="0" w:space="0" w:color="auto"/>
      </w:divBdr>
    </w:div>
    <w:div w:id="330908668">
      <w:bodyDiv w:val="1"/>
      <w:marLeft w:val="0"/>
      <w:marRight w:val="0"/>
      <w:marTop w:val="0"/>
      <w:marBottom w:val="0"/>
      <w:divBdr>
        <w:top w:val="none" w:sz="0" w:space="0" w:color="auto"/>
        <w:left w:val="none" w:sz="0" w:space="0" w:color="auto"/>
        <w:bottom w:val="none" w:sz="0" w:space="0" w:color="auto"/>
        <w:right w:val="none" w:sz="0" w:space="0" w:color="auto"/>
      </w:divBdr>
    </w:div>
    <w:div w:id="349767249">
      <w:bodyDiv w:val="1"/>
      <w:marLeft w:val="0"/>
      <w:marRight w:val="0"/>
      <w:marTop w:val="0"/>
      <w:marBottom w:val="0"/>
      <w:divBdr>
        <w:top w:val="none" w:sz="0" w:space="0" w:color="auto"/>
        <w:left w:val="none" w:sz="0" w:space="0" w:color="auto"/>
        <w:bottom w:val="none" w:sz="0" w:space="0" w:color="auto"/>
        <w:right w:val="none" w:sz="0" w:space="0" w:color="auto"/>
      </w:divBdr>
    </w:div>
    <w:div w:id="350762283">
      <w:bodyDiv w:val="1"/>
      <w:marLeft w:val="0"/>
      <w:marRight w:val="0"/>
      <w:marTop w:val="0"/>
      <w:marBottom w:val="0"/>
      <w:divBdr>
        <w:top w:val="none" w:sz="0" w:space="0" w:color="auto"/>
        <w:left w:val="none" w:sz="0" w:space="0" w:color="auto"/>
        <w:bottom w:val="none" w:sz="0" w:space="0" w:color="auto"/>
        <w:right w:val="none" w:sz="0" w:space="0" w:color="auto"/>
      </w:divBdr>
    </w:div>
    <w:div w:id="351535664">
      <w:bodyDiv w:val="1"/>
      <w:marLeft w:val="0"/>
      <w:marRight w:val="0"/>
      <w:marTop w:val="0"/>
      <w:marBottom w:val="0"/>
      <w:divBdr>
        <w:top w:val="none" w:sz="0" w:space="0" w:color="auto"/>
        <w:left w:val="none" w:sz="0" w:space="0" w:color="auto"/>
        <w:bottom w:val="none" w:sz="0" w:space="0" w:color="auto"/>
        <w:right w:val="none" w:sz="0" w:space="0" w:color="auto"/>
      </w:divBdr>
    </w:div>
    <w:div w:id="354573098">
      <w:bodyDiv w:val="1"/>
      <w:marLeft w:val="0"/>
      <w:marRight w:val="0"/>
      <w:marTop w:val="0"/>
      <w:marBottom w:val="0"/>
      <w:divBdr>
        <w:top w:val="none" w:sz="0" w:space="0" w:color="auto"/>
        <w:left w:val="none" w:sz="0" w:space="0" w:color="auto"/>
        <w:bottom w:val="none" w:sz="0" w:space="0" w:color="auto"/>
        <w:right w:val="none" w:sz="0" w:space="0" w:color="auto"/>
      </w:divBdr>
    </w:div>
    <w:div w:id="362363201">
      <w:bodyDiv w:val="1"/>
      <w:marLeft w:val="0"/>
      <w:marRight w:val="0"/>
      <w:marTop w:val="0"/>
      <w:marBottom w:val="0"/>
      <w:divBdr>
        <w:top w:val="none" w:sz="0" w:space="0" w:color="auto"/>
        <w:left w:val="none" w:sz="0" w:space="0" w:color="auto"/>
        <w:bottom w:val="none" w:sz="0" w:space="0" w:color="auto"/>
        <w:right w:val="none" w:sz="0" w:space="0" w:color="auto"/>
      </w:divBdr>
    </w:div>
    <w:div w:id="366806678">
      <w:bodyDiv w:val="1"/>
      <w:marLeft w:val="0"/>
      <w:marRight w:val="0"/>
      <w:marTop w:val="0"/>
      <w:marBottom w:val="0"/>
      <w:divBdr>
        <w:top w:val="none" w:sz="0" w:space="0" w:color="auto"/>
        <w:left w:val="none" w:sz="0" w:space="0" w:color="auto"/>
        <w:bottom w:val="none" w:sz="0" w:space="0" w:color="auto"/>
        <w:right w:val="none" w:sz="0" w:space="0" w:color="auto"/>
      </w:divBdr>
    </w:div>
    <w:div w:id="405147599">
      <w:bodyDiv w:val="1"/>
      <w:marLeft w:val="0"/>
      <w:marRight w:val="0"/>
      <w:marTop w:val="0"/>
      <w:marBottom w:val="0"/>
      <w:divBdr>
        <w:top w:val="none" w:sz="0" w:space="0" w:color="auto"/>
        <w:left w:val="none" w:sz="0" w:space="0" w:color="auto"/>
        <w:bottom w:val="none" w:sz="0" w:space="0" w:color="auto"/>
        <w:right w:val="none" w:sz="0" w:space="0" w:color="auto"/>
      </w:divBdr>
    </w:div>
    <w:div w:id="412052856">
      <w:bodyDiv w:val="1"/>
      <w:marLeft w:val="0"/>
      <w:marRight w:val="0"/>
      <w:marTop w:val="0"/>
      <w:marBottom w:val="0"/>
      <w:divBdr>
        <w:top w:val="none" w:sz="0" w:space="0" w:color="auto"/>
        <w:left w:val="none" w:sz="0" w:space="0" w:color="auto"/>
        <w:bottom w:val="none" w:sz="0" w:space="0" w:color="auto"/>
        <w:right w:val="none" w:sz="0" w:space="0" w:color="auto"/>
      </w:divBdr>
    </w:div>
    <w:div w:id="438108575">
      <w:bodyDiv w:val="1"/>
      <w:marLeft w:val="0"/>
      <w:marRight w:val="0"/>
      <w:marTop w:val="0"/>
      <w:marBottom w:val="0"/>
      <w:divBdr>
        <w:top w:val="none" w:sz="0" w:space="0" w:color="auto"/>
        <w:left w:val="none" w:sz="0" w:space="0" w:color="auto"/>
        <w:bottom w:val="none" w:sz="0" w:space="0" w:color="auto"/>
        <w:right w:val="none" w:sz="0" w:space="0" w:color="auto"/>
      </w:divBdr>
    </w:div>
    <w:div w:id="456798103">
      <w:bodyDiv w:val="1"/>
      <w:marLeft w:val="0"/>
      <w:marRight w:val="0"/>
      <w:marTop w:val="0"/>
      <w:marBottom w:val="0"/>
      <w:divBdr>
        <w:top w:val="none" w:sz="0" w:space="0" w:color="auto"/>
        <w:left w:val="none" w:sz="0" w:space="0" w:color="auto"/>
        <w:bottom w:val="none" w:sz="0" w:space="0" w:color="auto"/>
        <w:right w:val="none" w:sz="0" w:space="0" w:color="auto"/>
      </w:divBdr>
    </w:div>
    <w:div w:id="460079067">
      <w:bodyDiv w:val="1"/>
      <w:marLeft w:val="0"/>
      <w:marRight w:val="0"/>
      <w:marTop w:val="0"/>
      <w:marBottom w:val="0"/>
      <w:divBdr>
        <w:top w:val="none" w:sz="0" w:space="0" w:color="auto"/>
        <w:left w:val="none" w:sz="0" w:space="0" w:color="auto"/>
        <w:bottom w:val="none" w:sz="0" w:space="0" w:color="auto"/>
        <w:right w:val="none" w:sz="0" w:space="0" w:color="auto"/>
      </w:divBdr>
    </w:div>
    <w:div w:id="471869951">
      <w:bodyDiv w:val="1"/>
      <w:marLeft w:val="0"/>
      <w:marRight w:val="0"/>
      <w:marTop w:val="0"/>
      <w:marBottom w:val="0"/>
      <w:divBdr>
        <w:top w:val="none" w:sz="0" w:space="0" w:color="auto"/>
        <w:left w:val="none" w:sz="0" w:space="0" w:color="auto"/>
        <w:bottom w:val="none" w:sz="0" w:space="0" w:color="auto"/>
        <w:right w:val="none" w:sz="0" w:space="0" w:color="auto"/>
      </w:divBdr>
    </w:div>
    <w:div w:id="484012355">
      <w:bodyDiv w:val="1"/>
      <w:marLeft w:val="0"/>
      <w:marRight w:val="0"/>
      <w:marTop w:val="0"/>
      <w:marBottom w:val="0"/>
      <w:divBdr>
        <w:top w:val="none" w:sz="0" w:space="0" w:color="auto"/>
        <w:left w:val="none" w:sz="0" w:space="0" w:color="auto"/>
        <w:bottom w:val="none" w:sz="0" w:space="0" w:color="auto"/>
        <w:right w:val="none" w:sz="0" w:space="0" w:color="auto"/>
      </w:divBdr>
    </w:div>
    <w:div w:id="490221621">
      <w:bodyDiv w:val="1"/>
      <w:marLeft w:val="0"/>
      <w:marRight w:val="0"/>
      <w:marTop w:val="0"/>
      <w:marBottom w:val="0"/>
      <w:divBdr>
        <w:top w:val="none" w:sz="0" w:space="0" w:color="auto"/>
        <w:left w:val="none" w:sz="0" w:space="0" w:color="auto"/>
        <w:bottom w:val="none" w:sz="0" w:space="0" w:color="auto"/>
        <w:right w:val="none" w:sz="0" w:space="0" w:color="auto"/>
      </w:divBdr>
    </w:div>
    <w:div w:id="491993489">
      <w:bodyDiv w:val="1"/>
      <w:marLeft w:val="0"/>
      <w:marRight w:val="0"/>
      <w:marTop w:val="0"/>
      <w:marBottom w:val="0"/>
      <w:divBdr>
        <w:top w:val="none" w:sz="0" w:space="0" w:color="auto"/>
        <w:left w:val="none" w:sz="0" w:space="0" w:color="auto"/>
        <w:bottom w:val="none" w:sz="0" w:space="0" w:color="auto"/>
        <w:right w:val="none" w:sz="0" w:space="0" w:color="auto"/>
      </w:divBdr>
    </w:div>
    <w:div w:id="500658582">
      <w:bodyDiv w:val="1"/>
      <w:marLeft w:val="0"/>
      <w:marRight w:val="0"/>
      <w:marTop w:val="0"/>
      <w:marBottom w:val="0"/>
      <w:divBdr>
        <w:top w:val="none" w:sz="0" w:space="0" w:color="auto"/>
        <w:left w:val="none" w:sz="0" w:space="0" w:color="auto"/>
        <w:bottom w:val="none" w:sz="0" w:space="0" w:color="auto"/>
        <w:right w:val="none" w:sz="0" w:space="0" w:color="auto"/>
      </w:divBdr>
    </w:div>
    <w:div w:id="500699099">
      <w:bodyDiv w:val="1"/>
      <w:marLeft w:val="0"/>
      <w:marRight w:val="0"/>
      <w:marTop w:val="0"/>
      <w:marBottom w:val="0"/>
      <w:divBdr>
        <w:top w:val="none" w:sz="0" w:space="0" w:color="auto"/>
        <w:left w:val="none" w:sz="0" w:space="0" w:color="auto"/>
        <w:bottom w:val="none" w:sz="0" w:space="0" w:color="auto"/>
        <w:right w:val="none" w:sz="0" w:space="0" w:color="auto"/>
      </w:divBdr>
    </w:div>
    <w:div w:id="507600032">
      <w:bodyDiv w:val="1"/>
      <w:marLeft w:val="0"/>
      <w:marRight w:val="0"/>
      <w:marTop w:val="0"/>
      <w:marBottom w:val="0"/>
      <w:divBdr>
        <w:top w:val="none" w:sz="0" w:space="0" w:color="auto"/>
        <w:left w:val="none" w:sz="0" w:space="0" w:color="auto"/>
        <w:bottom w:val="none" w:sz="0" w:space="0" w:color="auto"/>
        <w:right w:val="none" w:sz="0" w:space="0" w:color="auto"/>
      </w:divBdr>
    </w:div>
    <w:div w:id="517811194">
      <w:bodyDiv w:val="1"/>
      <w:marLeft w:val="0"/>
      <w:marRight w:val="0"/>
      <w:marTop w:val="0"/>
      <w:marBottom w:val="0"/>
      <w:divBdr>
        <w:top w:val="none" w:sz="0" w:space="0" w:color="auto"/>
        <w:left w:val="none" w:sz="0" w:space="0" w:color="auto"/>
        <w:bottom w:val="none" w:sz="0" w:space="0" w:color="auto"/>
        <w:right w:val="none" w:sz="0" w:space="0" w:color="auto"/>
      </w:divBdr>
    </w:div>
    <w:div w:id="523641482">
      <w:bodyDiv w:val="1"/>
      <w:marLeft w:val="0"/>
      <w:marRight w:val="0"/>
      <w:marTop w:val="0"/>
      <w:marBottom w:val="0"/>
      <w:divBdr>
        <w:top w:val="none" w:sz="0" w:space="0" w:color="auto"/>
        <w:left w:val="none" w:sz="0" w:space="0" w:color="auto"/>
        <w:bottom w:val="none" w:sz="0" w:space="0" w:color="auto"/>
        <w:right w:val="none" w:sz="0" w:space="0" w:color="auto"/>
      </w:divBdr>
    </w:div>
    <w:div w:id="526909837">
      <w:bodyDiv w:val="1"/>
      <w:marLeft w:val="0"/>
      <w:marRight w:val="0"/>
      <w:marTop w:val="0"/>
      <w:marBottom w:val="0"/>
      <w:divBdr>
        <w:top w:val="none" w:sz="0" w:space="0" w:color="auto"/>
        <w:left w:val="none" w:sz="0" w:space="0" w:color="auto"/>
        <w:bottom w:val="none" w:sz="0" w:space="0" w:color="auto"/>
        <w:right w:val="none" w:sz="0" w:space="0" w:color="auto"/>
      </w:divBdr>
    </w:div>
    <w:div w:id="541746553">
      <w:bodyDiv w:val="1"/>
      <w:marLeft w:val="0"/>
      <w:marRight w:val="0"/>
      <w:marTop w:val="0"/>
      <w:marBottom w:val="0"/>
      <w:divBdr>
        <w:top w:val="none" w:sz="0" w:space="0" w:color="auto"/>
        <w:left w:val="none" w:sz="0" w:space="0" w:color="auto"/>
        <w:bottom w:val="none" w:sz="0" w:space="0" w:color="auto"/>
        <w:right w:val="none" w:sz="0" w:space="0" w:color="auto"/>
      </w:divBdr>
      <w:divsChild>
        <w:div w:id="2130512681">
          <w:marLeft w:val="0"/>
          <w:marRight w:val="0"/>
          <w:marTop w:val="0"/>
          <w:marBottom w:val="0"/>
          <w:divBdr>
            <w:top w:val="none" w:sz="0" w:space="0" w:color="auto"/>
            <w:left w:val="none" w:sz="0" w:space="0" w:color="auto"/>
            <w:bottom w:val="none" w:sz="0" w:space="0" w:color="auto"/>
            <w:right w:val="none" w:sz="0" w:space="0" w:color="auto"/>
          </w:divBdr>
          <w:divsChild>
            <w:div w:id="1312052687">
              <w:marLeft w:val="0"/>
              <w:marRight w:val="0"/>
              <w:marTop w:val="0"/>
              <w:marBottom w:val="0"/>
              <w:divBdr>
                <w:top w:val="none" w:sz="0" w:space="0" w:color="auto"/>
                <w:left w:val="none" w:sz="0" w:space="0" w:color="auto"/>
                <w:bottom w:val="none" w:sz="0" w:space="0" w:color="auto"/>
                <w:right w:val="none" w:sz="0" w:space="0" w:color="auto"/>
              </w:divBdr>
              <w:divsChild>
                <w:div w:id="1526558129">
                  <w:marLeft w:val="0"/>
                  <w:marRight w:val="0"/>
                  <w:marTop w:val="0"/>
                  <w:marBottom w:val="0"/>
                  <w:divBdr>
                    <w:top w:val="none" w:sz="0" w:space="0" w:color="auto"/>
                    <w:left w:val="none" w:sz="0" w:space="0" w:color="auto"/>
                    <w:bottom w:val="none" w:sz="0" w:space="0" w:color="auto"/>
                    <w:right w:val="none" w:sz="0" w:space="0" w:color="auto"/>
                  </w:divBdr>
                  <w:divsChild>
                    <w:div w:id="154844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072421">
      <w:bodyDiv w:val="1"/>
      <w:marLeft w:val="0"/>
      <w:marRight w:val="0"/>
      <w:marTop w:val="0"/>
      <w:marBottom w:val="0"/>
      <w:divBdr>
        <w:top w:val="none" w:sz="0" w:space="0" w:color="auto"/>
        <w:left w:val="none" w:sz="0" w:space="0" w:color="auto"/>
        <w:bottom w:val="none" w:sz="0" w:space="0" w:color="auto"/>
        <w:right w:val="none" w:sz="0" w:space="0" w:color="auto"/>
      </w:divBdr>
    </w:div>
    <w:div w:id="550073446">
      <w:bodyDiv w:val="1"/>
      <w:marLeft w:val="0"/>
      <w:marRight w:val="0"/>
      <w:marTop w:val="0"/>
      <w:marBottom w:val="0"/>
      <w:divBdr>
        <w:top w:val="none" w:sz="0" w:space="0" w:color="auto"/>
        <w:left w:val="none" w:sz="0" w:space="0" w:color="auto"/>
        <w:bottom w:val="none" w:sz="0" w:space="0" w:color="auto"/>
        <w:right w:val="none" w:sz="0" w:space="0" w:color="auto"/>
      </w:divBdr>
    </w:div>
    <w:div w:id="555942438">
      <w:bodyDiv w:val="1"/>
      <w:marLeft w:val="0"/>
      <w:marRight w:val="0"/>
      <w:marTop w:val="0"/>
      <w:marBottom w:val="0"/>
      <w:divBdr>
        <w:top w:val="none" w:sz="0" w:space="0" w:color="auto"/>
        <w:left w:val="none" w:sz="0" w:space="0" w:color="auto"/>
        <w:bottom w:val="none" w:sz="0" w:space="0" w:color="auto"/>
        <w:right w:val="none" w:sz="0" w:space="0" w:color="auto"/>
      </w:divBdr>
    </w:div>
    <w:div w:id="572468195">
      <w:bodyDiv w:val="1"/>
      <w:marLeft w:val="0"/>
      <w:marRight w:val="0"/>
      <w:marTop w:val="0"/>
      <w:marBottom w:val="0"/>
      <w:divBdr>
        <w:top w:val="none" w:sz="0" w:space="0" w:color="auto"/>
        <w:left w:val="none" w:sz="0" w:space="0" w:color="auto"/>
        <w:bottom w:val="none" w:sz="0" w:space="0" w:color="auto"/>
        <w:right w:val="none" w:sz="0" w:space="0" w:color="auto"/>
      </w:divBdr>
    </w:div>
    <w:div w:id="574168641">
      <w:bodyDiv w:val="1"/>
      <w:marLeft w:val="0"/>
      <w:marRight w:val="0"/>
      <w:marTop w:val="0"/>
      <w:marBottom w:val="0"/>
      <w:divBdr>
        <w:top w:val="none" w:sz="0" w:space="0" w:color="auto"/>
        <w:left w:val="none" w:sz="0" w:space="0" w:color="auto"/>
        <w:bottom w:val="none" w:sz="0" w:space="0" w:color="auto"/>
        <w:right w:val="none" w:sz="0" w:space="0" w:color="auto"/>
      </w:divBdr>
    </w:div>
    <w:div w:id="591814540">
      <w:bodyDiv w:val="1"/>
      <w:marLeft w:val="0"/>
      <w:marRight w:val="0"/>
      <w:marTop w:val="0"/>
      <w:marBottom w:val="0"/>
      <w:divBdr>
        <w:top w:val="none" w:sz="0" w:space="0" w:color="auto"/>
        <w:left w:val="none" w:sz="0" w:space="0" w:color="auto"/>
        <w:bottom w:val="none" w:sz="0" w:space="0" w:color="auto"/>
        <w:right w:val="none" w:sz="0" w:space="0" w:color="auto"/>
      </w:divBdr>
    </w:div>
    <w:div w:id="618873533">
      <w:bodyDiv w:val="1"/>
      <w:marLeft w:val="0"/>
      <w:marRight w:val="0"/>
      <w:marTop w:val="0"/>
      <w:marBottom w:val="0"/>
      <w:divBdr>
        <w:top w:val="none" w:sz="0" w:space="0" w:color="auto"/>
        <w:left w:val="none" w:sz="0" w:space="0" w:color="auto"/>
        <w:bottom w:val="none" w:sz="0" w:space="0" w:color="auto"/>
        <w:right w:val="none" w:sz="0" w:space="0" w:color="auto"/>
      </w:divBdr>
    </w:div>
    <w:div w:id="623314480">
      <w:bodyDiv w:val="1"/>
      <w:marLeft w:val="0"/>
      <w:marRight w:val="0"/>
      <w:marTop w:val="0"/>
      <w:marBottom w:val="0"/>
      <w:divBdr>
        <w:top w:val="none" w:sz="0" w:space="0" w:color="auto"/>
        <w:left w:val="none" w:sz="0" w:space="0" w:color="auto"/>
        <w:bottom w:val="none" w:sz="0" w:space="0" w:color="auto"/>
        <w:right w:val="none" w:sz="0" w:space="0" w:color="auto"/>
      </w:divBdr>
    </w:div>
    <w:div w:id="626012050">
      <w:bodyDiv w:val="1"/>
      <w:marLeft w:val="0"/>
      <w:marRight w:val="0"/>
      <w:marTop w:val="0"/>
      <w:marBottom w:val="0"/>
      <w:divBdr>
        <w:top w:val="none" w:sz="0" w:space="0" w:color="auto"/>
        <w:left w:val="none" w:sz="0" w:space="0" w:color="auto"/>
        <w:bottom w:val="none" w:sz="0" w:space="0" w:color="auto"/>
        <w:right w:val="none" w:sz="0" w:space="0" w:color="auto"/>
      </w:divBdr>
    </w:div>
    <w:div w:id="628701811">
      <w:bodyDiv w:val="1"/>
      <w:marLeft w:val="0"/>
      <w:marRight w:val="0"/>
      <w:marTop w:val="0"/>
      <w:marBottom w:val="0"/>
      <w:divBdr>
        <w:top w:val="none" w:sz="0" w:space="0" w:color="auto"/>
        <w:left w:val="none" w:sz="0" w:space="0" w:color="auto"/>
        <w:bottom w:val="none" w:sz="0" w:space="0" w:color="auto"/>
        <w:right w:val="none" w:sz="0" w:space="0" w:color="auto"/>
      </w:divBdr>
    </w:div>
    <w:div w:id="661660289">
      <w:bodyDiv w:val="1"/>
      <w:marLeft w:val="0"/>
      <w:marRight w:val="0"/>
      <w:marTop w:val="0"/>
      <w:marBottom w:val="0"/>
      <w:divBdr>
        <w:top w:val="none" w:sz="0" w:space="0" w:color="auto"/>
        <w:left w:val="none" w:sz="0" w:space="0" w:color="auto"/>
        <w:bottom w:val="none" w:sz="0" w:space="0" w:color="auto"/>
        <w:right w:val="none" w:sz="0" w:space="0" w:color="auto"/>
      </w:divBdr>
    </w:div>
    <w:div w:id="663171556">
      <w:bodyDiv w:val="1"/>
      <w:marLeft w:val="0"/>
      <w:marRight w:val="0"/>
      <w:marTop w:val="0"/>
      <w:marBottom w:val="0"/>
      <w:divBdr>
        <w:top w:val="none" w:sz="0" w:space="0" w:color="auto"/>
        <w:left w:val="none" w:sz="0" w:space="0" w:color="auto"/>
        <w:bottom w:val="none" w:sz="0" w:space="0" w:color="auto"/>
        <w:right w:val="none" w:sz="0" w:space="0" w:color="auto"/>
      </w:divBdr>
    </w:div>
    <w:div w:id="665743739">
      <w:bodyDiv w:val="1"/>
      <w:marLeft w:val="0"/>
      <w:marRight w:val="0"/>
      <w:marTop w:val="0"/>
      <w:marBottom w:val="0"/>
      <w:divBdr>
        <w:top w:val="none" w:sz="0" w:space="0" w:color="auto"/>
        <w:left w:val="none" w:sz="0" w:space="0" w:color="auto"/>
        <w:bottom w:val="none" w:sz="0" w:space="0" w:color="auto"/>
        <w:right w:val="none" w:sz="0" w:space="0" w:color="auto"/>
      </w:divBdr>
    </w:div>
    <w:div w:id="665788391">
      <w:bodyDiv w:val="1"/>
      <w:marLeft w:val="0"/>
      <w:marRight w:val="0"/>
      <w:marTop w:val="0"/>
      <w:marBottom w:val="0"/>
      <w:divBdr>
        <w:top w:val="none" w:sz="0" w:space="0" w:color="auto"/>
        <w:left w:val="none" w:sz="0" w:space="0" w:color="auto"/>
        <w:bottom w:val="none" w:sz="0" w:space="0" w:color="auto"/>
        <w:right w:val="none" w:sz="0" w:space="0" w:color="auto"/>
      </w:divBdr>
    </w:div>
    <w:div w:id="668482729">
      <w:bodyDiv w:val="1"/>
      <w:marLeft w:val="0"/>
      <w:marRight w:val="0"/>
      <w:marTop w:val="0"/>
      <w:marBottom w:val="0"/>
      <w:divBdr>
        <w:top w:val="none" w:sz="0" w:space="0" w:color="auto"/>
        <w:left w:val="none" w:sz="0" w:space="0" w:color="auto"/>
        <w:bottom w:val="none" w:sz="0" w:space="0" w:color="auto"/>
        <w:right w:val="none" w:sz="0" w:space="0" w:color="auto"/>
      </w:divBdr>
    </w:div>
    <w:div w:id="715735421">
      <w:bodyDiv w:val="1"/>
      <w:marLeft w:val="0"/>
      <w:marRight w:val="0"/>
      <w:marTop w:val="0"/>
      <w:marBottom w:val="0"/>
      <w:divBdr>
        <w:top w:val="none" w:sz="0" w:space="0" w:color="auto"/>
        <w:left w:val="none" w:sz="0" w:space="0" w:color="auto"/>
        <w:bottom w:val="none" w:sz="0" w:space="0" w:color="auto"/>
        <w:right w:val="none" w:sz="0" w:space="0" w:color="auto"/>
      </w:divBdr>
    </w:div>
    <w:div w:id="717243833">
      <w:bodyDiv w:val="1"/>
      <w:marLeft w:val="0"/>
      <w:marRight w:val="0"/>
      <w:marTop w:val="0"/>
      <w:marBottom w:val="0"/>
      <w:divBdr>
        <w:top w:val="none" w:sz="0" w:space="0" w:color="auto"/>
        <w:left w:val="none" w:sz="0" w:space="0" w:color="auto"/>
        <w:bottom w:val="none" w:sz="0" w:space="0" w:color="auto"/>
        <w:right w:val="none" w:sz="0" w:space="0" w:color="auto"/>
      </w:divBdr>
    </w:div>
    <w:div w:id="727848187">
      <w:bodyDiv w:val="1"/>
      <w:marLeft w:val="0"/>
      <w:marRight w:val="0"/>
      <w:marTop w:val="0"/>
      <w:marBottom w:val="0"/>
      <w:divBdr>
        <w:top w:val="none" w:sz="0" w:space="0" w:color="auto"/>
        <w:left w:val="none" w:sz="0" w:space="0" w:color="auto"/>
        <w:bottom w:val="none" w:sz="0" w:space="0" w:color="auto"/>
        <w:right w:val="none" w:sz="0" w:space="0" w:color="auto"/>
      </w:divBdr>
    </w:div>
    <w:div w:id="731002573">
      <w:bodyDiv w:val="1"/>
      <w:marLeft w:val="0"/>
      <w:marRight w:val="0"/>
      <w:marTop w:val="0"/>
      <w:marBottom w:val="0"/>
      <w:divBdr>
        <w:top w:val="none" w:sz="0" w:space="0" w:color="auto"/>
        <w:left w:val="none" w:sz="0" w:space="0" w:color="auto"/>
        <w:bottom w:val="none" w:sz="0" w:space="0" w:color="auto"/>
        <w:right w:val="none" w:sz="0" w:space="0" w:color="auto"/>
      </w:divBdr>
    </w:div>
    <w:div w:id="737631912">
      <w:bodyDiv w:val="1"/>
      <w:marLeft w:val="0"/>
      <w:marRight w:val="0"/>
      <w:marTop w:val="0"/>
      <w:marBottom w:val="0"/>
      <w:divBdr>
        <w:top w:val="none" w:sz="0" w:space="0" w:color="auto"/>
        <w:left w:val="none" w:sz="0" w:space="0" w:color="auto"/>
        <w:bottom w:val="none" w:sz="0" w:space="0" w:color="auto"/>
        <w:right w:val="none" w:sz="0" w:space="0" w:color="auto"/>
      </w:divBdr>
    </w:div>
    <w:div w:id="744688625">
      <w:bodyDiv w:val="1"/>
      <w:marLeft w:val="0"/>
      <w:marRight w:val="0"/>
      <w:marTop w:val="0"/>
      <w:marBottom w:val="0"/>
      <w:divBdr>
        <w:top w:val="none" w:sz="0" w:space="0" w:color="auto"/>
        <w:left w:val="none" w:sz="0" w:space="0" w:color="auto"/>
        <w:bottom w:val="none" w:sz="0" w:space="0" w:color="auto"/>
        <w:right w:val="none" w:sz="0" w:space="0" w:color="auto"/>
      </w:divBdr>
    </w:div>
    <w:div w:id="756248785">
      <w:bodyDiv w:val="1"/>
      <w:marLeft w:val="0"/>
      <w:marRight w:val="0"/>
      <w:marTop w:val="0"/>
      <w:marBottom w:val="0"/>
      <w:divBdr>
        <w:top w:val="none" w:sz="0" w:space="0" w:color="auto"/>
        <w:left w:val="none" w:sz="0" w:space="0" w:color="auto"/>
        <w:bottom w:val="none" w:sz="0" w:space="0" w:color="auto"/>
        <w:right w:val="none" w:sz="0" w:space="0" w:color="auto"/>
      </w:divBdr>
    </w:div>
    <w:div w:id="758332919">
      <w:bodyDiv w:val="1"/>
      <w:marLeft w:val="0"/>
      <w:marRight w:val="0"/>
      <w:marTop w:val="0"/>
      <w:marBottom w:val="0"/>
      <w:divBdr>
        <w:top w:val="none" w:sz="0" w:space="0" w:color="auto"/>
        <w:left w:val="none" w:sz="0" w:space="0" w:color="auto"/>
        <w:bottom w:val="none" w:sz="0" w:space="0" w:color="auto"/>
        <w:right w:val="none" w:sz="0" w:space="0" w:color="auto"/>
      </w:divBdr>
    </w:div>
    <w:div w:id="765737133">
      <w:bodyDiv w:val="1"/>
      <w:marLeft w:val="0"/>
      <w:marRight w:val="0"/>
      <w:marTop w:val="0"/>
      <w:marBottom w:val="0"/>
      <w:divBdr>
        <w:top w:val="none" w:sz="0" w:space="0" w:color="auto"/>
        <w:left w:val="none" w:sz="0" w:space="0" w:color="auto"/>
        <w:bottom w:val="none" w:sz="0" w:space="0" w:color="auto"/>
        <w:right w:val="none" w:sz="0" w:space="0" w:color="auto"/>
      </w:divBdr>
    </w:div>
    <w:div w:id="767038819">
      <w:bodyDiv w:val="1"/>
      <w:marLeft w:val="0"/>
      <w:marRight w:val="0"/>
      <w:marTop w:val="0"/>
      <w:marBottom w:val="0"/>
      <w:divBdr>
        <w:top w:val="none" w:sz="0" w:space="0" w:color="auto"/>
        <w:left w:val="none" w:sz="0" w:space="0" w:color="auto"/>
        <w:bottom w:val="none" w:sz="0" w:space="0" w:color="auto"/>
        <w:right w:val="none" w:sz="0" w:space="0" w:color="auto"/>
      </w:divBdr>
    </w:div>
    <w:div w:id="806438760">
      <w:bodyDiv w:val="1"/>
      <w:marLeft w:val="0"/>
      <w:marRight w:val="0"/>
      <w:marTop w:val="0"/>
      <w:marBottom w:val="0"/>
      <w:divBdr>
        <w:top w:val="none" w:sz="0" w:space="0" w:color="auto"/>
        <w:left w:val="none" w:sz="0" w:space="0" w:color="auto"/>
        <w:bottom w:val="none" w:sz="0" w:space="0" w:color="auto"/>
        <w:right w:val="none" w:sz="0" w:space="0" w:color="auto"/>
      </w:divBdr>
    </w:div>
    <w:div w:id="819999722">
      <w:bodyDiv w:val="1"/>
      <w:marLeft w:val="0"/>
      <w:marRight w:val="0"/>
      <w:marTop w:val="0"/>
      <w:marBottom w:val="0"/>
      <w:divBdr>
        <w:top w:val="none" w:sz="0" w:space="0" w:color="auto"/>
        <w:left w:val="none" w:sz="0" w:space="0" w:color="auto"/>
        <w:bottom w:val="none" w:sz="0" w:space="0" w:color="auto"/>
        <w:right w:val="none" w:sz="0" w:space="0" w:color="auto"/>
      </w:divBdr>
    </w:div>
    <w:div w:id="827940914">
      <w:bodyDiv w:val="1"/>
      <w:marLeft w:val="0"/>
      <w:marRight w:val="0"/>
      <w:marTop w:val="0"/>
      <w:marBottom w:val="0"/>
      <w:divBdr>
        <w:top w:val="none" w:sz="0" w:space="0" w:color="auto"/>
        <w:left w:val="none" w:sz="0" w:space="0" w:color="auto"/>
        <w:bottom w:val="none" w:sz="0" w:space="0" w:color="auto"/>
        <w:right w:val="none" w:sz="0" w:space="0" w:color="auto"/>
      </w:divBdr>
    </w:div>
    <w:div w:id="844831525">
      <w:bodyDiv w:val="1"/>
      <w:marLeft w:val="0"/>
      <w:marRight w:val="0"/>
      <w:marTop w:val="0"/>
      <w:marBottom w:val="0"/>
      <w:divBdr>
        <w:top w:val="none" w:sz="0" w:space="0" w:color="auto"/>
        <w:left w:val="none" w:sz="0" w:space="0" w:color="auto"/>
        <w:bottom w:val="none" w:sz="0" w:space="0" w:color="auto"/>
        <w:right w:val="none" w:sz="0" w:space="0" w:color="auto"/>
      </w:divBdr>
    </w:div>
    <w:div w:id="845637427">
      <w:bodyDiv w:val="1"/>
      <w:marLeft w:val="0"/>
      <w:marRight w:val="0"/>
      <w:marTop w:val="0"/>
      <w:marBottom w:val="0"/>
      <w:divBdr>
        <w:top w:val="none" w:sz="0" w:space="0" w:color="auto"/>
        <w:left w:val="none" w:sz="0" w:space="0" w:color="auto"/>
        <w:bottom w:val="none" w:sz="0" w:space="0" w:color="auto"/>
        <w:right w:val="none" w:sz="0" w:space="0" w:color="auto"/>
      </w:divBdr>
    </w:div>
    <w:div w:id="853231783">
      <w:bodyDiv w:val="1"/>
      <w:marLeft w:val="0"/>
      <w:marRight w:val="0"/>
      <w:marTop w:val="0"/>
      <w:marBottom w:val="0"/>
      <w:divBdr>
        <w:top w:val="none" w:sz="0" w:space="0" w:color="auto"/>
        <w:left w:val="none" w:sz="0" w:space="0" w:color="auto"/>
        <w:bottom w:val="none" w:sz="0" w:space="0" w:color="auto"/>
        <w:right w:val="none" w:sz="0" w:space="0" w:color="auto"/>
      </w:divBdr>
    </w:div>
    <w:div w:id="863206632">
      <w:bodyDiv w:val="1"/>
      <w:marLeft w:val="0"/>
      <w:marRight w:val="0"/>
      <w:marTop w:val="0"/>
      <w:marBottom w:val="0"/>
      <w:divBdr>
        <w:top w:val="none" w:sz="0" w:space="0" w:color="auto"/>
        <w:left w:val="none" w:sz="0" w:space="0" w:color="auto"/>
        <w:bottom w:val="none" w:sz="0" w:space="0" w:color="auto"/>
        <w:right w:val="none" w:sz="0" w:space="0" w:color="auto"/>
      </w:divBdr>
      <w:divsChild>
        <w:div w:id="608510268">
          <w:marLeft w:val="0"/>
          <w:marRight w:val="0"/>
          <w:marTop w:val="0"/>
          <w:marBottom w:val="0"/>
          <w:divBdr>
            <w:top w:val="none" w:sz="0" w:space="0" w:color="auto"/>
            <w:left w:val="none" w:sz="0" w:space="0" w:color="auto"/>
            <w:bottom w:val="none" w:sz="0" w:space="0" w:color="auto"/>
            <w:right w:val="none" w:sz="0" w:space="0" w:color="auto"/>
          </w:divBdr>
        </w:div>
        <w:div w:id="1438670082">
          <w:marLeft w:val="0"/>
          <w:marRight w:val="0"/>
          <w:marTop w:val="0"/>
          <w:marBottom w:val="0"/>
          <w:divBdr>
            <w:top w:val="none" w:sz="0" w:space="0" w:color="auto"/>
            <w:left w:val="none" w:sz="0" w:space="0" w:color="auto"/>
            <w:bottom w:val="none" w:sz="0" w:space="0" w:color="auto"/>
            <w:right w:val="none" w:sz="0" w:space="0" w:color="auto"/>
          </w:divBdr>
          <w:divsChild>
            <w:div w:id="148787161">
              <w:marLeft w:val="0"/>
              <w:marRight w:val="0"/>
              <w:marTop w:val="0"/>
              <w:marBottom w:val="0"/>
              <w:divBdr>
                <w:top w:val="none" w:sz="0" w:space="0" w:color="auto"/>
                <w:left w:val="none" w:sz="0" w:space="0" w:color="auto"/>
                <w:bottom w:val="none" w:sz="0" w:space="0" w:color="auto"/>
                <w:right w:val="none" w:sz="0" w:space="0" w:color="auto"/>
              </w:divBdr>
            </w:div>
            <w:div w:id="574246709">
              <w:marLeft w:val="0"/>
              <w:marRight w:val="0"/>
              <w:marTop w:val="0"/>
              <w:marBottom w:val="0"/>
              <w:divBdr>
                <w:top w:val="none" w:sz="0" w:space="0" w:color="auto"/>
                <w:left w:val="none" w:sz="0" w:space="0" w:color="auto"/>
                <w:bottom w:val="none" w:sz="0" w:space="0" w:color="auto"/>
                <w:right w:val="none" w:sz="0" w:space="0" w:color="auto"/>
              </w:divBdr>
            </w:div>
            <w:div w:id="121589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962449">
      <w:bodyDiv w:val="1"/>
      <w:marLeft w:val="0"/>
      <w:marRight w:val="0"/>
      <w:marTop w:val="0"/>
      <w:marBottom w:val="0"/>
      <w:divBdr>
        <w:top w:val="none" w:sz="0" w:space="0" w:color="auto"/>
        <w:left w:val="none" w:sz="0" w:space="0" w:color="auto"/>
        <w:bottom w:val="none" w:sz="0" w:space="0" w:color="auto"/>
        <w:right w:val="none" w:sz="0" w:space="0" w:color="auto"/>
      </w:divBdr>
    </w:div>
    <w:div w:id="876814764">
      <w:bodyDiv w:val="1"/>
      <w:marLeft w:val="0"/>
      <w:marRight w:val="0"/>
      <w:marTop w:val="0"/>
      <w:marBottom w:val="0"/>
      <w:divBdr>
        <w:top w:val="none" w:sz="0" w:space="0" w:color="auto"/>
        <w:left w:val="none" w:sz="0" w:space="0" w:color="auto"/>
        <w:bottom w:val="none" w:sz="0" w:space="0" w:color="auto"/>
        <w:right w:val="none" w:sz="0" w:space="0" w:color="auto"/>
      </w:divBdr>
    </w:div>
    <w:div w:id="880827931">
      <w:bodyDiv w:val="1"/>
      <w:marLeft w:val="0"/>
      <w:marRight w:val="0"/>
      <w:marTop w:val="0"/>
      <w:marBottom w:val="0"/>
      <w:divBdr>
        <w:top w:val="none" w:sz="0" w:space="0" w:color="auto"/>
        <w:left w:val="none" w:sz="0" w:space="0" w:color="auto"/>
        <w:bottom w:val="none" w:sz="0" w:space="0" w:color="auto"/>
        <w:right w:val="none" w:sz="0" w:space="0" w:color="auto"/>
      </w:divBdr>
    </w:div>
    <w:div w:id="886330571">
      <w:bodyDiv w:val="1"/>
      <w:marLeft w:val="0"/>
      <w:marRight w:val="0"/>
      <w:marTop w:val="0"/>
      <w:marBottom w:val="0"/>
      <w:divBdr>
        <w:top w:val="none" w:sz="0" w:space="0" w:color="auto"/>
        <w:left w:val="none" w:sz="0" w:space="0" w:color="auto"/>
        <w:bottom w:val="none" w:sz="0" w:space="0" w:color="auto"/>
        <w:right w:val="none" w:sz="0" w:space="0" w:color="auto"/>
      </w:divBdr>
    </w:div>
    <w:div w:id="887062258">
      <w:bodyDiv w:val="1"/>
      <w:marLeft w:val="0"/>
      <w:marRight w:val="0"/>
      <w:marTop w:val="0"/>
      <w:marBottom w:val="0"/>
      <w:divBdr>
        <w:top w:val="none" w:sz="0" w:space="0" w:color="auto"/>
        <w:left w:val="none" w:sz="0" w:space="0" w:color="auto"/>
        <w:bottom w:val="none" w:sz="0" w:space="0" w:color="auto"/>
        <w:right w:val="none" w:sz="0" w:space="0" w:color="auto"/>
      </w:divBdr>
    </w:div>
    <w:div w:id="900947100">
      <w:bodyDiv w:val="1"/>
      <w:marLeft w:val="0"/>
      <w:marRight w:val="0"/>
      <w:marTop w:val="0"/>
      <w:marBottom w:val="0"/>
      <w:divBdr>
        <w:top w:val="none" w:sz="0" w:space="0" w:color="auto"/>
        <w:left w:val="none" w:sz="0" w:space="0" w:color="auto"/>
        <w:bottom w:val="none" w:sz="0" w:space="0" w:color="auto"/>
        <w:right w:val="none" w:sz="0" w:space="0" w:color="auto"/>
      </w:divBdr>
    </w:div>
    <w:div w:id="903686046">
      <w:bodyDiv w:val="1"/>
      <w:marLeft w:val="0"/>
      <w:marRight w:val="0"/>
      <w:marTop w:val="0"/>
      <w:marBottom w:val="0"/>
      <w:divBdr>
        <w:top w:val="none" w:sz="0" w:space="0" w:color="auto"/>
        <w:left w:val="none" w:sz="0" w:space="0" w:color="auto"/>
        <w:bottom w:val="none" w:sz="0" w:space="0" w:color="auto"/>
        <w:right w:val="none" w:sz="0" w:space="0" w:color="auto"/>
      </w:divBdr>
    </w:div>
    <w:div w:id="912395761">
      <w:bodyDiv w:val="1"/>
      <w:marLeft w:val="0"/>
      <w:marRight w:val="0"/>
      <w:marTop w:val="0"/>
      <w:marBottom w:val="0"/>
      <w:divBdr>
        <w:top w:val="none" w:sz="0" w:space="0" w:color="auto"/>
        <w:left w:val="none" w:sz="0" w:space="0" w:color="auto"/>
        <w:bottom w:val="none" w:sz="0" w:space="0" w:color="auto"/>
        <w:right w:val="none" w:sz="0" w:space="0" w:color="auto"/>
      </w:divBdr>
    </w:div>
    <w:div w:id="962926301">
      <w:bodyDiv w:val="1"/>
      <w:marLeft w:val="0"/>
      <w:marRight w:val="0"/>
      <w:marTop w:val="0"/>
      <w:marBottom w:val="0"/>
      <w:divBdr>
        <w:top w:val="none" w:sz="0" w:space="0" w:color="auto"/>
        <w:left w:val="none" w:sz="0" w:space="0" w:color="auto"/>
        <w:bottom w:val="none" w:sz="0" w:space="0" w:color="auto"/>
        <w:right w:val="none" w:sz="0" w:space="0" w:color="auto"/>
      </w:divBdr>
    </w:div>
    <w:div w:id="965115324">
      <w:bodyDiv w:val="1"/>
      <w:marLeft w:val="0"/>
      <w:marRight w:val="0"/>
      <w:marTop w:val="0"/>
      <w:marBottom w:val="0"/>
      <w:divBdr>
        <w:top w:val="none" w:sz="0" w:space="0" w:color="auto"/>
        <w:left w:val="none" w:sz="0" w:space="0" w:color="auto"/>
        <w:bottom w:val="none" w:sz="0" w:space="0" w:color="auto"/>
        <w:right w:val="none" w:sz="0" w:space="0" w:color="auto"/>
      </w:divBdr>
    </w:div>
    <w:div w:id="967012075">
      <w:bodyDiv w:val="1"/>
      <w:marLeft w:val="0"/>
      <w:marRight w:val="0"/>
      <w:marTop w:val="0"/>
      <w:marBottom w:val="0"/>
      <w:divBdr>
        <w:top w:val="none" w:sz="0" w:space="0" w:color="auto"/>
        <w:left w:val="none" w:sz="0" w:space="0" w:color="auto"/>
        <w:bottom w:val="none" w:sz="0" w:space="0" w:color="auto"/>
        <w:right w:val="none" w:sz="0" w:space="0" w:color="auto"/>
      </w:divBdr>
    </w:div>
    <w:div w:id="973101413">
      <w:bodyDiv w:val="1"/>
      <w:marLeft w:val="0"/>
      <w:marRight w:val="0"/>
      <w:marTop w:val="0"/>
      <w:marBottom w:val="0"/>
      <w:divBdr>
        <w:top w:val="none" w:sz="0" w:space="0" w:color="auto"/>
        <w:left w:val="none" w:sz="0" w:space="0" w:color="auto"/>
        <w:bottom w:val="none" w:sz="0" w:space="0" w:color="auto"/>
        <w:right w:val="none" w:sz="0" w:space="0" w:color="auto"/>
      </w:divBdr>
    </w:div>
    <w:div w:id="994525206">
      <w:bodyDiv w:val="1"/>
      <w:marLeft w:val="0"/>
      <w:marRight w:val="0"/>
      <w:marTop w:val="0"/>
      <w:marBottom w:val="0"/>
      <w:divBdr>
        <w:top w:val="none" w:sz="0" w:space="0" w:color="auto"/>
        <w:left w:val="none" w:sz="0" w:space="0" w:color="auto"/>
        <w:bottom w:val="none" w:sz="0" w:space="0" w:color="auto"/>
        <w:right w:val="none" w:sz="0" w:space="0" w:color="auto"/>
      </w:divBdr>
    </w:div>
    <w:div w:id="1003162028">
      <w:bodyDiv w:val="1"/>
      <w:marLeft w:val="0"/>
      <w:marRight w:val="0"/>
      <w:marTop w:val="0"/>
      <w:marBottom w:val="0"/>
      <w:divBdr>
        <w:top w:val="none" w:sz="0" w:space="0" w:color="auto"/>
        <w:left w:val="none" w:sz="0" w:space="0" w:color="auto"/>
        <w:bottom w:val="none" w:sz="0" w:space="0" w:color="auto"/>
        <w:right w:val="none" w:sz="0" w:space="0" w:color="auto"/>
      </w:divBdr>
    </w:div>
    <w:div w:id="1009677760">
      <w:bodyDiv w:val="1"/>
      <w:marLeft w:val="0"/>
      <w:marRight w:val="0"/>
      <w:marTop w:val="0"/>
      <w:marBottom w:val="0"/>
      <w:divBdr>
        <w:top w:val="none" w:sz="0" w:space="0" w:color="auto"/>
        <w:left w:val="none" w:sz="0" w:space="0" w:color="auto"/>
        <w:bottom w:val="none" w:sz="0" w:space="0" w:color="auto"/>
        <w:right w:val="none" w:sz="0" w:space="0" w:color="auto"/>
      </w:divBdr>
    </w:div>
    <w:div w:id="1012492941">
      <w:bodyDiv w:val="1"/>
      <w:marLeft w:val="0"/>
      <w:marRight w:val="0"/>
      <w:marTop w:val="0"/>
      <w:marBottom w:val="0"/>
      <w:divBdr>
        <w:top w:val="none" w:sz="0" w:space="0" w:color="auto"/>
        <w:left w:val="none" w:sz="0" w:space="0" w:color="auto"/>
        <w:bottom w:val="none" w:sz="0" w:space="0" w:color="auto"/>
        <w:right w:val="none" w:sz="0" w:space="0" w:color="auto"/>
      </w:divBdr>
      <w:divsChild>
        <w:div w:id="167062844">
          <w:marLeft w:val="0"/>
          <w:marRight w:val="0"/>
          <w:marTop w:val="0"/>
          <w:marBottom w:val="0"/>
          <w:divBdr>
            <w:top w:val="none" w:sz="0" w:space="0" w:color="auto"/>
            <w:left w:val="none" w:sz="0" w:space="0" w:color="auto"/>
            <w:bottom w:val="none" w:sz="0" w:space="0" w:color="auto"/>
            <w:right w:val="none" w:sz="0" w:space="0" w:color="auto"/>
          </w:divBdr>
          <w:divsChild>
            <w:div w:id="176694325">
              <w:marLeft w:val="0"/>
              <w:marRight w:val="0"/>
              <w:marTop w:val="0"/>
              <w:marBottom w:val="0"/>
              <w:divBdr>
                <w:top w:val="none" w:sz="0" w:space="0" w:color="auto"/>
                <w:left w:val="none" w:sz="0" w:space="0" w:color="auto"/>
                <w:bottom w:val="none" w:sz="0" w:space="0" w:color="auto"/>
                <w:right w:val="none" w:sz="0" w:space="0" w:color="auto"/>
              </w:divBdr>
              <w:divsChild>
                <w:div w:id="540167651">
                  <w:marLeft w:val="0"/>
                  <w:marRight w:val="0"/>
                  <w:marTop w:val="0"/>
                  <w:marBottom w:val="0"/>
                  <w:divBdr>
                    <w:top w:val="none" w:sz="0" w:space="0" w:color="auto"/>
                    <w:left w:val="none" w:sz="0" w:space="0" w:color="auto"/>
                    <w:bottom w:val="none" w:sz="0" w:space="0" w:color="auto"/>
                    <w:right w:val="none" w:sz="0" w:space="0" w:color="auto"/>
                  </w:divBdr>
                  <w:divsChild>
                    <w:div w:id="1297417884">
                      <w:marLeft w:val="0"/>
                      <w:marRight w:val="0"/>
                      <w:marTop w:val="0"/>
                      <w:marBottom w:val="0"/>
                      <w:divBdr>
                        <w:top w:val="none" w:sz="0" w:space="0" w:color="auto"/>
                        <w:left w:val="none" w:sz="0" w:space="0" w:color="auto"/>
                        <w:bottom w:val="none" w:sz="0" w:space="0" w:color="auto"/>
                        <w:right w:val="none" w:sz="0" w:space="0" w:color="auto"/>
                      </w:divBdr>
                      <w:divsChild>
                        <w:div w:id="60106122">
                          <w:marLeft w:val="0"/>
                          <w:marRight w:val="0"/>
                          <w:marTop w:val="0"/>
                          <w:marBottom w:val="0"/>
                          <w:divBdr>
                            <w:top w:val="none" w:sz="0" w:space="0" w:color="auto"/>
                            <w:left w:val="none" w:sz="0" w:space="0" w:color="auto"/>
                            <w:bottom w:val="none" w:sz="0" w:space="0" w:color="auto"/>
                            <w:right w:val="none" w:sz="0" w:space="0" w:color="auto"/>
                          </w:divBdr>
                        </w:div>
                        <w:div w:id="599071602">
                          <w:marLeft w:val="0"/>
                          <w:marRight w:val="0"/>
                          <w:marTop w:val="0"/>
                          <w:marBottom w:val="0"/>
                          <w:divBdr>
                            <w:top w:val="none" w:sz="0" w:space="0" w:color="auto"/>
                            <w:left w:val="none" w:sz="0" w:space="0" w:color="auto"/>
                            <w:bottom w:val="none" w:sz="0" w:space="0" w:color="auto"/>
                            <w:right w:val="none" w:sz="0" w:space="0" w:color="auto"/>
                          </w:divBdr>
                        </w:div>
                        <w:div w:id="1118912291">
                          <w:marLeft w:val="0"/>
                          <w:marRight w:val="0"/>
                          <w:marTop w:val="0"/>
                          <w:marBottom w:val="0"/>
                          <w:divBdr>
                            <w:top w:val="none" w:sz="0" w:space="0" w:color="auto"/>
                            <w:left w:val="none" w:sz="0" w:space="0" w:color="auto"/>
                            <w:bottom w:val="none" w:sz="0" w:space="0" w:color="auto"/>
                            <w:right w:val="none" w:sz="0" w:space="0" w:color="auto"/>
                          </w:divBdr>
                          <w:divsChild>
                            <w:div w:id="118692297">
                              <w:marLeft w:val="0"/>
                              <w:marRight w:val="0"/>
                              <w:marTop w:val="0"/>
                              <w:marBottom w:val="0"/>
                              <w:divBdr>
                                <w:top w:val="none" w:sz="0" w:space="0" w:color="auto"/>
                                <w:left w:val="none" w:sz="0" w:space="0" w:color="auto"/>
                                <w:bottom w:val="none" w:sz="0" w:space="0" w:color="auto"/>
                                <w:right w:val="none" w:sz="0" w:space="0" w:color="auto"/>
                              </w:divBdr>
                            </w:div>
                            <w:div w:id="1058438630">
                              <w:marLeft w:val="0"/>
                              <w:marRight w:val="0"/>
                              <w:marTop w:val="0"/>
                              <w:marBottom w:val="0"/>
                              <w:divBdr>
                                <w:top w:val="none" w:sz="0" w:space="0" w:color="auto"/>
                                <w:left w:val="none" w:sz="0" w:space="0" w:color="auto"/>
                                <w:bottom w:val="none" w:sz="0" w:space="0" w:color="auto"/>
                                <w:right w:val="none" w:sz="0" w:space="0" w:color="auto"/>
                              </w:divBdr>
                            </w:div>
                            <w:div w:id="2093434111">
                              <w:marLeft w:val="0"/>
                              <w:marRight w:val="0"/>
                              <w:marTop w:val="0"/>
                              <w:marBottom w:val="0"/>
                              <w:divBdr>
                                <w:top w:val="none" w:sz="0" w:space="0" w:color="auto"/>
                                <w:left w:val="none" w:sz="0" w:space="0" w:color="auto"/>
                                <w:bottom w:val="none" w:sz="0" w:space="0" w:color="auto"/>
                                <w:right w:val="none" w:sz="0" w:space="0" w:color="auto"/>
                              </w:divBdr>
                            </w:div>
                          </w:divsChild>
                        </w:div>
                        <w:div w:id="1131904966">
                          <w:marLeft w:val="0"/>
                          <w:marRight w:val="0"/>
                          <w:marTop w:val="0"/>
                          <w:marBottom w:val="0"/>
                          <w:divBdr>
                            <w:top w:val="none" w:sz="0" w:space="0" w:color="auto"/>
                            <w:left w:val="none" w:sz="0" w:space="0" w:color="auto"/>
                            <w:bottom w:val="none" w:sz="0" w:space="0" w:color="auto"/>
                            <w:right w:val="none" w:sz="0" w:space="0" w:color="auto"/>
                          </w:divBdr>
                        </w:div>
                        <w:div w:id="1147165594">
                          <w:marLeft w:val="0"/>
                          <w:marRight w:val="0"/>
                          <w:marTop w:val="0"/>
                          <w:marBottom w:val="0"/>
                          <w:divBdr>
                            <w:top w:val="none" w:sz="0" w:space="0" w:color="auto"/>
                            <w:left w:val="none" w:sz="0" w:space="0" w:color="auto"/>
                            <w:bottom w:val="none" w:sz="0" w:space="0" w:color="auto"/>
                            <w:right w:val="none" w:sz="0" w:space="0" w:color="auto"/>
                          </w:divBdr>
                        </w:div>
                        <w:div w:id="1626813989">
                          <w:marLeft w:val="0"/>
                          <w:marRight w:val="0"/>
                          <w:marTop w:val="0"/>
                          <w:marBottom w:val="0"/>
                          <w:divBdr>
                            <w:top w:val="none" w:sz="0" w:space="0" w:color="auto"/>
                            <w:left w:val="none" w:sz="0" w:space="0" w:color="auto"/>
                            <w:bottom w:val="none" w:sz="0" w:space="0" w:color="auto"/>
                            <w:right w:val="none" w:sz="0" w:space="0" w:color="auto"/>
                          </w:divBdr>
                          <w:divsChild>
                            <w:div w:id="592856061">
                              <w:marLeft w:val="0"/>
                              <w:marRight w:val="0"/>
                              <w:marTop w:val="0"/>
                              <w:marBottom w:val="0"/>
                              <w:divBdr>
                                <w:top w:val="none" w:sz="0" w:space="0" w:color="auto"/>
                                <w:left w:val="none" w:sz="0" w:space="0" w:color="auto"/>
                                <w:bottom w:val="none" w:sz="0" w:space="0" w:color="auto"/>
                                <w:right w:val="none" w:sz="0" w:space="0" w:color="auto"/>
                              </w:divBdr>
                              <w:divsChild>
                                <w:div w:id="1147089755">
                                  <w:marLeft w:val="0"/>
                                  <w:marRight w:val="0"/>
                                  <w:marTop w:val="0"/>
                                  <w:marBottom w:val="0"/>
                                  <w:divBdr>
                                    <w:top w:val="none" w:sz="0" w:space="0" w:color="auto"/>
                                    <w:left w:val="none" w:sz="0" w:space="0" w:color="auto"/>
                                    <w:bottom w:val="none" w:sz="0" w:space="0" w:color="auto"/>
                                    <w:right w:val="none" w:sz="0" w:space="0" w:color="auto"/>
                                  </w:divBdr>
                                </w:div>
                                <w:div w:id="1385639393">
                                  <w:marLeft w:val="0"/>
                                  <w:marRight w:val="0"/>
                                  <w:marTop w:val="0"/>
                                  <w:marBottom w:val="0"/>
                                  <w:divBdr>
                                    <w:top w:val="none" w:sz="0" w:space="0" w:color="auto"/>
                                    <w:left w:val="none" w:sz="0" w:space="0" w:color="auto"/>
                                    <w:bottom w:val="none" w:sz="0" w:space="0" w:color="auto"/>
                                    <w:right w:val="none" w:sz="0" w:space="0" w:color="auto"/>
                                  </w:divBdr>
                                </w:div>
                              </w:divsChild>
                            </w:div>
                            <w:div w:id="910314830">
                              <w:marLeft w:val="0"/>
                              <w:marRight w:val="0"/>
                              <w:marTop w:val="0"/>
                              <w:marBottom w:val="0"/>
                              <w:divBdr>
                                <w:top w:val="none" w:sz="0" w:space="0" w:color="auto"/>
                                <w:left w:val="none" w:sz="0" w:space="0" w:color="auto"/>
                                <w:bottom w:val="none" w:sz="0" w:space="0" w:color="auto"/>
                                <w:right w:val="none" w:sz="0" w:space="0" w:color="auto"/>
                              </w:divBdr>
                              <w:divsChild>
                                <w:div w:id="897085896">
                                  <w:marLeft w:val="0"/>
                                  <w:marRight w:val="0"/>
                                  <w:marTop w:val="0"/>
                                  <w:marBottom w:val="0"/>
                                  <w:divBdr>
                                    <w:top w:val="none" w:sz="0" w:space="0" w:color="auto"/>
                                    <w:left w:val="none" w:sz="0" w:space="0" w:color="auto"/>
                                    <w:bottom w:val="none" w:sz="0" w:space="0" w:color="auto"/>
                                    <w:right w:val="none" w:sz="0" w:space="0" w:color="auto"/>
                                  </w:divBdr>
                                </w:div>
                                <w:div w:id="2074504698">
                                  <w:marLeft w:val="0"/>
                                  <w:marRight w:val="0"/>
                                  <w:marTop w:val="0"/>
                                  <w:marBottom w:val="0"/>
                                  <w:divBdr>
                                    <w:top w:val="none" w:sz="0" w:space="0" w:color="auto"/>
                                    <w:left w:val="none" w:sz="0" w:space="0" w:color="auto"/>
                                    <w:bottom w:val="none" w:sz="0" w:space="0" w:color="auto"/>
                                    <w:right w:val="none" w:sz="0" w:space="0" w:color="auto"/>
                                  </w:divBdr>
                                </w:div>
                              </w:divsChild>
                            </w:div>
                            <w:div w:id="1241210866">
                              <w:marLeft w:val="0"/>
                              <w:marRight w:val="0"/>
                              <w:marTop w:val="0"/>
                              <w:marBottom w:val="0"/>
                              <w:divBdr>
                                <w:top w:val="none" w:sz="0" w:space="0" w:color="auto"/>
                                <w:left w:val="none" w:sz="0" w:space="0" w:color="auto"/>
                                <w:bottom w:val="none" w:sz="0" w:space="0" w:color="auto"/>
                                <w:right w:val="none" w:sz="0" w:space="0" w:color="auto"/>
                              </w:divBdr>
                              <w:divsChild>
                                <w:div w:id="32971004">
                                  <w:marLeft w:val="0"/>
                                  <w:marRight w:val="0"/>
                                  <w:marTop w:val="0"/>
                                  <w:marBottom w:val="0"/>
                                  <w:divBdr>
                                    <w:top w:val="none" w:sz="0" w:space="0" w:color="auto"/>
                                    <w:left w:val="none" w:sz="0" w:space="0" w:color="auto"/>
                                    <w:bottom w:val="none" w:sz="0" w:space="0" w:color="auto"/>
                                    <w:right w:val="none" w:sz="0" w:space="0" w:color="auto"/>
                                  </w:divBdr>
                                </w:div>
                                <w:div w:id="35789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945320">
                          <w:marLeft w:val="0"/>
                          <w:marRight w:val="0"/>
                          <w:marTop w:val="0"/>
                          <w:marBottom w:val="0"/>
                          <w:divBdr>
                            <w:top w:val="none" w:sz="0" w:space="0" w:color="auto"/>
                            <w:left w:val="none" w:sz="0" w:space="0" w:color="auto"/>
                            <w:bottom w:val="none" w:sz="0" w:space="0" w:color="auto"/>
                            <w:right w:val="none" w:sz="0" w:space="0" w:color="auto"/>
                          </w:divBdr>
                        </w:div>
                        <w:div w:id="202640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988332">
          <w:marLeft w:val="0"/>
          <w:marRight w:val="0"/>
          <w:marTop w:val="0"/>
          <w:marBottom w:val="0"/>
          <w:divBdr>
            <w:top w:val="none" w:sz="0" w:space="0" w:color="auto"/>
            <w:left w:val="none" w:sz="0" w:space="0" w:color="auto"/>
            <w:bottom w:val="none" w:sz="0" w:space="0" w:color="auto"/>
            <w:right w:val="none" w:sz="0" w:space="0" w:color="auto"/>
          </w:divBdr>
          <w:divsChild>
            <w:div w:id="1669938366">
              <w:marLeft w:val="0"/>
              <w:marRight w:val="0"/>
              <w:marTop w:val="0"/>
              <w:marBottom w:val="0"/>
              <w:divBdr>
                <w:top w:val="none" w:sz="0" w:space="0" w:color="auto"/>
                <w:left w:val="none" w:sz="0" w:space="0" w:color="auto"/>
                <w:bottom w:val="none" w:sz="0" w:space="0" w:color="auto"/>
                <w:right w:val="none" w:sz="0" w:space="0" w:color="auto"/>
              </w:divBdr>
              <w:divsChild>
                <w:div w:id="12267095">
                  <w:marLeft w:val="0"/>
                  <w:marRight w:val="0"/>
                  <w:marTop w:val="0"/>
                  <w:marBottom w:val="0"/>
                  <w:divBdr>
                    <w:top w:val="none" w:sz="0" w:space="0" w:color="auto"/>
                    <w:left w:val="none" w:sz="0" w:space="0" w:color="auto"/>
                    <w:bottom w:val="none" w:sz="0" w:space="0" w:color="auto"/>
                    <w:right w:val="none" w:sz="0" w:space="0" w:color="auto"/>
                  </w:divBdr>
                  <w:divsChild>
                    <w:div w:id="914900893">
                      <w:marLeft w:val="0"/>
                      <w:marRight w:val="0"/>
                      <w:marTop w:val="0"/>
                      <w:marBottom w:val="0"/>
                      <w:divBdr>
                        <w:top w:val="none" w:sz="0" w:space="0" w:color="auto"/>
                        <w:left w:val="none" w:sz="0" w:space="0" w:color="auto"/>
                        <w:bottom w:val="none" w:sz="0" w:space="0" w:color="auto"/>
                        <w:right w:val="none" w:sz="0" w:space="0" w:color="auto"/>
                      </w:divBdr>
                      <w:divsChild>
                        <w:div w:id="439448843">
                          <w:marLeft w:val="0"/>
                          <w:marRight w:val="0"/>
                          <w:marTop w:val="0"/>
                          <w:marBottom w:val="0"/>
                          <w:divBdr>
                            <w:top w:val="none" w:sz="0" w:space="0" w:color="auto"/>
                            <w:left w:val="none" w:sz="0" w:space="0" w:color="auto"/>
                            <w:bottom w:val="none" w:sz="0" w:space="0" w:color="auto"/>
                            <w:right w:val="none" w:sz="0" w:space="0" w:color="auto"/>
                          </w:divBdr>
                        </w:div>
                        <w:div w:id="733358008">
                          <w:marLeft w:val="0"/>
                          <w:marRight w:val="0"/>
                          <w:marTop w:val="0"/>
                          <w:marBottom w:val="0"/>
                          <w:divBdr>
                            <w:top w:val="none" w:sz="0" w:space="0" w:color="auto"/>
                            <w:left w:val="none" w:sz="0" w:space="0" w:color="auto"/>
                            <w:bottom w:val="none" w:sz="0" w:space="0" w:color="auto"/>
                            <w:right w:val="none" w:sz="0" w:space="0" w:color="auto"/>
                          </w:divBdr>
                        </w:div>
                        <w:div w:id="1145900591">
                          <w:marLeft w:val="0"/>
                          <w:marRight w:val="0"/>
                          <w:marTop w:val="0"/>
                          <w:marBottom w:val="0"/>
                          <w:divBdr>
                            <w:top w:val="none" w:sz="0" w:space="0" w:color="auto"/>
                            <w:left w:val="none" w:sz="0" w:space="0" w:color="auto"/>
                            <w:bottom w:val="none" w:sz="0" w:space="0" w:color="auto"/>
                            <w:right w:val="none" w:sz="0" w:space="0" w:color="auto"/>
                          </w:divBdr>
                        </w:div>
                        <w:div w:id="1178958863">
                          <w:marLeft w:val="0"/>
                          <w:marRight w:val="0"/>
                          <w:marTop w:val="0"/>
                          <w:marBottom w:val="0"/>
                          <w:divBdr>
                            <w:top w:val="none" w:sz="0" w:space="0" w:color="auto"/>
                            <w:left w:val="none" w:sz="0" w:space="0" w:color="auto"/>
                            <w:bottom w:val="none" w:sz="0" w:space="0" w:color="auto"/>
                            <w:right w:val="none" w:sz="0" w:space="0" w:color="auto"/>
                          </w:divBdr>
                          <w:divsChild>
                            <w:div w:id="765806931">
                              <w:marLeft w:val="0"/>
                              <w:marRight w:val="0"/>
                              <w:marTop w:val="0"/>
                              <w:marBottom w:val="0"/>
                              <w:divBdr>
                                <w:top w:val="none" w:sz="0" w:space="0" w:color="auto"/>
                                <w:left w:val="none" w:sz="0" w:space="0" w:color="auto"/>
                                <w:bottom w:val="none" w:sz="0" w:space="0" w:color="auto"/>
                                <w:right w:val="none" w:sz="0" w:space="0" w:color="auto"/>
                              </w:divBdr>
                              <w:divsChild>
                                <w:div w:id="245313297">
                                  <w:marLeft w:val="0"/>
                                  <w:marRight w:val="0"/>
                                  <w:marTop w:val="0"/>
                                  <w:marBottom w:val="0"/>
                                  <w:divBdr>
                                    <w:top w:val="none" w:sz="0" w:space="0" w:color="auto"/>
                                    <w:left w:val="none" w:sz="0" w:space="0" w:color="auto"/>
                                    <w:bottom w:val="none" w:sz="0" w:space="0" w:color="auto"/>
                                    <w:right w:val="none" w:sz="0" w:space="0" w:color="auto"/>
                                  </w:divBdr>
                                </w:div>
                                <w:div w:id="1374891545">
                                  <w:marLeft w:val="0"/>
                                  <w:marRight w:val="0"/>
                                  <w:marTop w:val="0"/>
                                  <w:marBottom w:val="0"/>
                                  <w:divBdr>
                                    <w:top w:val="none" w:sz="0" w:space="0" w:color="auto"/>
                                    <w:left w:val="none" w:sz="0" w:space="0" w:color="auto"/>
                                    <w:bottom w:val="none" w:sz="0" w:space="0" w:color="auto"/>
                                    <w:right w:val="none" w:sz="0" w:space="0" w:color="auto"/>
                                  </w:divBdr>
                                </w:div>
                              </w:divsChild>
                            </w:div>
                            <w:div w:id="865094056">
                              <w:marLeft w:val="0"/>
                              <w:marRight w:val="0"/>
                              <w:marTop w:val="0"/>
                              <w:marBottom w:val="0"/>
                              <w:divBdr>
                                <w:top w:val="none" w:sz="0" w:space="0" w:color="auto"/>
                                <w:left w:val="none" w:sz="0" w:space="0" w:color="auto"/>
                                <w:bottom w:val="none" w:sz="0" w:space="0" w:color="auto"/>
                                <w:right w:val="none" w:sz="0" w:space="0" w:color="auto"/>
                              </w:divBdr>
                              <w:divsChild>
                                <w:div w:id="634801355">
                                  <w:marLeft w:val="0"/>
                                  <w:marRight w:val="0"/>
                                  <w:marTop w:val="0"/>
                                  <w:marBottom w:val="0"/>
                                  <w:divBdr>
                                    <w:top w:val="none" w:sz="0" w:space="0" w:color="auto"/>
                                    <w:left w:val="none" w:sz="0" w:space="0" w:color="auto"/>
                                    <w:bottom w:val="none" w:sz="0" w:space="0" w:color="auto"/>
                                    <w:right w:val="none" w:sz="0" w:space="0" w:color="auto"/>
                                  </w:divBdr>
                                </w:div>
                                <w:div w:id="864517157">
                                  <w:marLeft w:val="0"/>
                                  <w:marRight w:val="0"/>
                                  <w:marTop w:val="0"/>
                                  <w:marBottom w:val="0"/>
                                  <w:divBdr>
                                    <w:top w:val="none" w:sz="0" w:space="0" w:color="auto"/>
                                    <w:left w:val="none" w:sz="0" w:space="0" w:color="auto"/>
                                    <w:bottom w:val="none" w:sz="0" w:space="0" w:color="auto"/>
                                    <w:right w:val="none" w:sz="0" w:space="0" w:color="auto"/>
                                  </w:divBdr>
                                </w:div>
                              </w:divsChild>
                            </w:div>
                            <w:div w:id="1377705578">
                              <w:marLeft w:val="0"/>
                              <w:marRight w:val="0"/>
                              <w:marTop w:val="0"/>
                              <w:marBottom w:val="0"/>
                              <w:divBdr>
                                <w:top w:val="none" w:sz="0" w:space="0" w:color="auto"/>
                                <w:left w:val="none" w:sz="0" w:space="0" w:color="auto"/>
                                <w:bottom w:val="none" w:sz="0" w:space="0" w:color="auto"/>
                                <w:right w:val="none" w:sz="0" w:space="0" w:color="auto"/>
                              </w:divBdr>
                              <w:divsChild>
                                <w:div w:id="1504390884">
                                  <w:marLeft w:val="0"/>
                                  <w:marRight w:val="0"/>
                                  <w:marTop w:val="0"/>
                                  <w:marBottom w:val="0"/>
                                  <w:divBdr>
                                    <w:top w:val="none" w:sz="0" w:space="0" w:color="auto"/>
                                    <w:left w:val="none" w:sz="0" w:space="0" w:color="auto"/>
                                    <w:bottom w:val="none" w:sz="0" w:space="0" w:color="auto"/>
                                    <w:right w:val="none" w:sz="0" w:space="0" w:color="auto"/>
                                  </w:divBdr>
                                </w:div>
                                <w:div w:id="190390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912218">
                          <w:marLeft w:val="0"/>
                          <w:marRight w:val="0"/>
                          <w:marTop w:val="0"/>
                          <w:marBottom w:val="0"/>
                          <w:divBdr>
                            <w:top w:val="none" w:sz="0" w:space="0" w:color="auto"/>
                            <w:left w:val="none" w:sz="0" w:space="0" w:color="auto"/>
                            <w:bottom w:val="none" w:sz="0" w:space="0" w:color="auto"/>
                            <w:right w:val="none" w:sz="0" w:space="0" w:color="auto"/>
                          </w:divBdr>
                        </w:div>
                        <w:div w:id="2116366283">
                          <w:marLeft w:val="0"/>
                          <w:marRight w:val="0"/>
                          <w:marTop w:val="0"/>
                          <w:marBottom w:val="0"/>
                          <w:divBdr>
                            <w:top w:val="none" w:sz="0" w:space="0" w:color="auto"/>
                            <w:left w:val="none" w:sz="0" w:space="0" w:color="auto"/>
                            <w:bottom w:val="none" w:sz="0" w:space="0" w:color="auto"/>
                            <w:right w:val="none" w:sz="0" w:space="0" w:color="auto"/>
                          </w:divBdr>
                        </w:div>
                        <w:div w:id="2117404140">
                          <w:marLeft w:val="0"/>
                          <w:marRight w:val="0"/>
                          <w:marTop w:val="0"/>
                          <w:marBottom w:val="0"/>
                          <w:divBdr>
                            <w:top w:val="none" w:sz="0" w:space="0" w:color="auto"/>
                            <w:left w:val="none" w:sz="0" w:space="0" w:color="auto"/>
                            <w:bottom w:val="none" w:sz="0" w:space="0" w:color="auto"/>
                            <w:right w:val="none" w:sz="0" w:space="0" w:color="auto"/>
                          </w:divBdr>
                        </w:div>
                      </w:divsChild>
                    </w:div>
                    <w:div w:id="1771120431">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575675">
      <w:bodyDiv w:val="1"/>
      <w:marLeft w:val="0"/>
      <w:marRight w:val="0"/>
      <w:marTop w:val="0"/>
      <w:marBottom w:val="0"/>
      <w:divBdr>
        <w:top w:val="none" w:sz="0" w:space="0" w:color="auto"/>
        <w:left w:val="none" w:sz="0" w:space="0" w:color="auto"/>
        <w:bottom w:val="none" w:sz="0" w:space="0" w:color="auto"/>
        <w:right w:val="none" w:sz="0" w:space="0" w:color="auto"/>
      </w:divBdr>
    </w:div>
    <w:div w:id="1016230849">
      <w:bodyDiv w:val="1"/>
      <w:marLeft w:val="0"/>
      <w:marRight w:val="0"/>
      <w:marTop w:val="0"/>
      <w:marBottom w:val="0"/>
      <w:divBdr>
        <w:top w:val="none" w:sz="0" w:space="0" w:color="auto"/>
        <w:left w:val="none" w:sz="0" w:space="0" w:color="auto"/>
        <w:bottom w:val="none" w:sz="0" w:space="0" w:color="auto"/>
        <w:right w:val="none" w:sz="0" w:space="0" w:color="auto"/>
      </w:divBdr>
    </w:div>
    <w:div w:id="1038551433">
      <w:bodyDiv w:val="1"/>
      <w:marLeft w:val="0"/>
      <w:marRight w:val="0"/>
      <w:marTop w:val="0"/>
      <w:marBottom w:val="0"/>
      <w:divBdr>
        <w:top w:val="none" w:sz="0" w:space="0" w:color="auto"/>
        <w:left w:val="none" w:sz="0" w:space="0" w:color="auto"/>
        <w:bottom w:val="none" w:sz="0" w:space="0" w:color="auto"/>
        <w:right w:val="none" w:sz="0" w:space="0" w:color="auto"/>
      </w:divBdr>
    </w:div>
    <w:div w:id="1053887285">
      <w:bodyDiv w:val="1"/>
      <w:marLeft w:val="0"/>
      <w:marRight w:val="0"/>
      <w:marTop w:val="0"/>
      <w:marBottom w:val="0"/>
      <w:divBdr>
        <w:top w:val="none" w:sz="0" w:space="0" w:color="auto"/>
        <w:left w:val="none" w:sz="0" w:space="0" w:color="auto"/>
        <w:bottom w:val="none" w:sz="0" w:space="0" w:color="auto"/>
        <w:right w:val="none" w:sz="0" w:space="0" w:color="auto"/>
      </w:divBdr>
    </w:div>
    <w:div w:id="1170561823">
      <w:bodyDiv w:val="1"/>
      <w:marLeft w:val="0"/>
      <w:marRight w:val="0"/>
      <w:marTop w:val="0"/>
      <w:marBottom w:val="0"/>
      <w:divBdr>
        <w:top w:val="none" w:sz="0" w:space="0" w:color="auto"/>
        <w:left w:val="none" w:sz="0" w:space="0" w:color="auto"/>
        <w:bottom w:val="none" w:sz="0" w:space="0" w:color="auto"/>
        <w:right w:val="none" w:sz="0" w:space="0" w:color="auto"/>
      </w:divBdr>
    </w:div>
    <w:div w:id="1178230784">
      <w:bodyDiv w:val="1"/>
      <w:marLeft w:val="0"/>
      <w:marRight w:val="0"/>
      <w:marTop w:val="0"/>
      <w:marBottom w:val="0"/>
      <w:divBdr>
        <w:top w:val="none" w:sz="0" w:space="0" w:color="auto"/>
        <w:left w:val="none" w:sz="0" w:space="0" w:color="auto"/>
        <w:bottom w:val="none" w:sz="0" w:space="0" w:color="auto"/>
        <w:right w:val="none" w:sz="0" w:space="0" w:color="auto"/>
      </w:divBdr>
    </w:div>
    <w:div w:id="1200625418">
      <w:bodyDiv w:val="1"/>
      <w:marLeft w:val="0"/>
      <w:marRight w:val="0"/>
      <w:marTop w:val="0"/>
      <w:marBottom w:val="0"/>
      <w:divBdr>
        <w:top w:val="none" w:sz="0" w:space="0" w:color="auto"/>
        <w:left w:val="none" w:sz="0" w:space="0" w:color="auto"/>
        <w:bottom w:val="none" w:sz="0" w:space="0" w:color="auto"/>
        <w:right w:val="none" w:sz="0" w:space="0" w:color="auto"/>
      </w:divBdr>
    </w:div>
    <w:div w:id="1204831955">
      <w:bodyDiv w:val="1"/>
      <w:marLeft w:val="0"/>
      <w:marRight w:val="0"/>
      <w:marTop w:val="0"/>
      <w:marBottom w:val="0"/>
      <w:divBdr>
        <w:top w:val="none" w:sz="0" w:space="0" w:color="auto"/>
        <w:left w:val="none" w:sz="0" w:space="0" w:color="auto"/>
        <w:bottom w:val="none" w:sz="0" w:space="0" w:color="auto"/>
        <w:right w:val="none" w:sz="0" w:space="0" w:color="auto"/>
      </w:divBdr>
    </w:div>
    <w:div w:id="1224289611">
      <w:bodyDiv w:val="1"/>
      <w:marLeft w:val="0"/>
      <w:marRight w:val="0"/>
      <w:marTop w:val="0"/>
      <w:marBottom w:val="0"/>
      <w:divBdr>
        <w:top w:val="none" w:sz="0" w:space="0" w:color="auto"/>
        <w:left w:val="none" w:sz="0" w:space="0" w:color="auto"/>
        <w:bottom w:val="none" w:sz="0" w:space="0" w:color="auto"/>
        <w:right w:val="none" w:sz="0" w:space="0" w:color="auto"/>
      </w:divBdr>
    </w:div>
    <w:div w:id="1225139851">
      <w:bodyDiv w:val="1"/>
      <w:marLeft w:val="0"/>
      <w:marRight w:val="0"/>
      <w:marTop w:val="0"/>
      <w:marBottom w:val="0"/>
      <w:divBdr>
        <w:top w:val="none" w:sz="0" w:space="0" w:color="auto"/>
        <w:left w:val="none" w:sz="0" w:space="0" w:color="auto"/>
        <w:bottom w:val="none" w:sz="0" w:space="0" w:color="auto"/>
        <w:right w:val="none" w:sz="0" w:space="0" w:color="auto"/>
      </w:divBdr>
    </w:div>
    <w:div w:id="1226531976">
      <w:bodyDiv w:val="1"/>
      <w:marLeft w:val="0"/>
      <w:marRight w:val="0"/>
      <w:marTop w:val="0"/>
      <w:marBottom w:val="0"/>
      <w:divBdr>
        <w:top w:val="none" w:sz="0" w:space="0" w:color="auto"/>
        <w:left w:val="none" w:sz="0" w:space="0" w:color="auto"/>
        <w:bottom w:val="none" w:sz="0" w:space="0" w:color="auto"/>
        <w:right w:val="none" w:sz="0" w:space="0" w:color="auto"/>
      </w:divBdr>
    </w:div>
    <w:div w:id="1229028369">
      <w:bodyDiv w:val="1"/>
      <w:marLeft w:val="0"/>
      <w:marRight w:val="0"/>
      <w:marTop w:val="0"/>
      <w:marBottom w:val="0"/>
      <w:divBdr>
        <w:top w:val="none" w:sz="0" w:space="0" w:color="auto"/>
        <w:left w:val="none" w:sz="0" w:space="0" w:color="auto"/>
        <w:bottom w:val="none" w:sz="0" w:space="0" w:color="auto"/>
        <w:right w:val="none" w:sz="0" w:space="0" w:color="auto"/>
      </w:divBdr>
    </w:div>
    <w:div w:id="1250190305">
      <w:bodyDiv w:val="1"/>
      <w:marLeft w:val="0"/>
      <w:marRight w:val="0"/>
      <w:marTop w:val="0"/>
      <w:marBottom w:val="0"/>
      <w:divBdr>
        <w:top w:val="none" w:sz="0" w:space="0" w:color="auto"/>
        <w:left w:val="none" w:sz="0" w:space="0" w:color="auto"/>
        <w:bottom w:val="none" w:sz="0" w:space="0" w:color="auto"/>
        <w:right w:val="none" w:sz="0" w:space="0" w:color="auto"/>
      </w:divBdr>
    </w:div>
    <w:div w:id="1262101265">
      <w:bodyDiv w:val="1"/>
      <w:marLeft w:val="0"/>
      <w:marRight w:val="0"/>
      <w:marTop w:val="0"/>
      <w:marBottom w:val="0"/>
      <w:divBdr>
        <w:top w:val="none" w:sz="0" w:space="0" w:color="auto"/>
        <w:left w:val="none" w:sz="0" w:space="0" w:color="auto"/>
        <w:bottom w:val="none" w:sz="0" w:space="0" w:color="auto"/>
        <w:right w:val="none" w:sz="0" w:space="0" w:color="auto"/>
      </w:divBdr>
    </w:div>
    <w:div w:id="1263681189">
      <w:bodyDiv w:val="1"/>
      <w:marLeft w:val="0"/>
      <w:marRight w:val="0"/>
      <w:marTop w:val="0"/>
      <w:marBottom w:val="0"/>
      <w:divBdr>
        <w:top w:val="none" w:sz="0" w:space="0" w:color="auto"/>
        <w:left w:val="none" w:sz="0" w:space="0" w:color="auto"/>
        <w:bottom w:val="none" w:sz="0" w:space="0" w:color="auto"/>
        <w:right w:val="none" w:sz="0" w:space="0" w:color="auto"/>
      </w:divBdr>
    </w:div>
    <w:div w:id="1269655669">
      <w:bodyDiv w:val="1"/>
      <w:marLeft w:val="0"/>
      <w:marRight w:val="0"/>
      <w:marTop w:val="0"/>
      <w:marBottom w:val="0"/>
      <w:divBdr>
        <w:top w:val="none" w:sz="0" w:space="0" w:color="auto"/>
        <w:left w:val="none" w:sz="0" w:space="0" w:color="auto"/>
        <w:bottom w:val="none" w:sz="0" w:space="0" w:color="auto"/>
        <w:right w:val="none" w:sz="0" w:space="0" w:color="auto"/>
      </w:divBdr>
    </w:div>
    <w:div w:id="1310205576">
      <w:bodyDiv w:val="1"/>
      <w:marLeft w:val="0"/>
      <w:marRight w:val="0"/>
      <w:marTop w:val="0"/>
      <w:marBottom w:val="0"/>
      <w:divBdr>
        <w:top w:val="none" w:sz="0" w:space="0" w:color="auto"/>
        <w:left w:val="none" w:sz="0" w:space="0" w:color="auto"/>
        <w:bottom w:val="none" w:sz="0" w:space="0" w:color="auto"/>
        <w:right w:val="none" w:sz="0" w:space="0" w:color="auto"/>
      </w:divBdr>
    </w:div>
    <w:div w:id="1345476459">
      <w:bodyDiv w:val="1"/>
      <w:marLeft w:val="0"/>
      <w:marRight w:val="0"/>
      <w:marTop w:val="0"/>
      <w:marBottom w:val="0"/>
      <w:divBdr>
        <w:top w:val="none" w:sz="0" w:space="0" w:color="auto"/>
        <w:left w:val="none" w:sz="0" w:space="0" w:color="auto"/>
        <w:bottom w:val="none" w:sz="0" w:space="0" w:color="auto"/>
        <w:right w:val="none" w:sz="0" w:space="0" w:color="auto"/>
      </w:divBdr>
    </w:div>
    <w:div w:id="1349989321">
      <w:bodyDiv w:val="1"/>
      <w:marLeft w:val="0"/>
      <w:marRight w:val="0"/>
      <w:marTop w:val="0"/>
      <w:marBottom w:val="0"/>
      <w:divBdr>
        <w:top w:val="none" w:sz="0" w:space="0" w:color="auto"/>
        <w:left w:val="none" w:sz="0" w:space="0" w:color="auto"/>
        <w:bottom w:val="none" w:sz="0" w:space="0" w:color="auto"/>
        <w:right w:val="none" w:sz="0" w:space="0" w:color="auto"/>
      </w:divBdr>
    </w:div>
    <w:div w:id="1393314379">
      <w:bodyDiv w:val="1"/>
      <w:marLeft w:val="0"/>
      <w:marRight w:val="0"/>
      <w:marTop w:val="0"/>
      <w:marBottom w:val="0"/>
      <w:divBdr>
        <w:top w:val="none" w:sz="0" w:space="0" w:color="auto"/>
        <w:left w:val="none" w:sz="0" w:space="0" w:color="auto"/>
        <w:bottom w:val="none" w:sz="0" w:space="0" w:color="auto"/>
        <w:right w:val="none" w:sz="0" w:space="0" w:color="auto"/>
      </w:divBdr>
    </w:div>
    <w:div w:id="1403260077">
      <w:bodyDiv w:val="1"/>
      <w:marLeft w:val="0"/>
      <w:marRight w:val="0"/>
      <w:marTop w:val="0"/>
      <w:marBottom w:val="0"/>
      <w:divBdr>
        <w:top w:val="none" w:sz="0" w:space="0" w:color="auto"/>
        <w:left w:val="none" w:sz="0" w:space="0" w:color="auto"/>
        <w:bottom w:val="none" w:sz="0" w:space="0" w:color="auto"/>
        <w:right w:val="none" w:sz="0" w:space="0" w:color="auto"/>
      </w:divBdr>
    </w:div>
    <w:div w:id="1410425351">
      <w:bodyDiv w:val="1"/>
      <w:marLeft w:val="0"/>
      <w:marRight w:val="0"/>
      <w:marTop w:val="0"/>
      <w:marBottom w:val="0"/>
      <w:divBdr>
        <w:top w:val="none" w:sz="0" w:space="0" w:color="auto"/>
        <w:left w:val="none" w:sz="0" w:space="0" w:color="auto"/>
        <w:bottom w:val="none" w:sz="0" w:space="0" w:color="auto"/>
        <w:right w:val="none" w:sz="0" w:space="0" w:color="auto"/>
      </w:divBdr>
    </w:div>
    <w:div w:id="1421488996">
      <w:bodyDiv w:val="1"/>
      <w:marLeft w:val="0"/>
      <w:marRight w:val="0"/>
      <w:marTop w:val="0"/>
      <w:marBottom w:val="0"/>
      <w:divBdr>
        <w:top w:val="none" w:sz="0" w:space="0" w:color="auto"/>
        <w:left w:val="none" w:sz="0" w:space="0" w:color="auto"/>
        <w:bottom w:val="none" w:sz="0" w:space="0" w:color="auto"/>
        <w:right w:val="none" w:sz="0" w:space="0" w:color="auto"/>
      </w:divBdr>
    </w:div>
    <w:div w:id="1438404305">
      <w:bodyDiv w:val="1"/>
      <w:marLeft w:val="0"/>
      <w:marRight w:val="0"/>
      <w:marTop w:val="0"/>
      <w:marBottom w:val="0"/>
      <w:divBdr>
        <w:top w:val="none" w:sz="0" w:space="0" w:color="auto"/>
        <w:left w:val="none" w:sz="0" w:space="0" w:color="auto"/>
        <w:bottom w:val="none" w:sz="0" w:space="0" w:color="auto"/>
        <w:right w:val="none" w:sz="0" w:space="0" w:color="auto"/>
      </w:divBdr>
      <w:divsChild>
        <w:div w:id="2118789058">
          <w:marLeft w:val="0"/>
          <w:marRight w:val="0"/>
          <w:marTop w:val="0"/>
          <w:marBottom w:val="0"/>
          <w:divBdr>
            <w:top w:val="none" w:sz="0" w:space="0" w:color="auto"/>
            <w:left w:val="none" w:sz="0" w:space="0" w:color="auto"/>
            <w:bottom w:val="none" w:sz="0" w:space="0" w:color="auto"/>
            <w:right w:val="none" w:sz="0" w:space="0" w:color="auto"/>
          </w:divBdr>
          <w:divsChild>
            <w:div w:id="2130970331">
              <w:marLeft w:val="0"/>
              <w:marRight w:val="0"/>
              <w:marTop w:val="0"/>
              <w:marBottom w:val="0"/>
              <w:divBdr>
                <w:top w:val="none" w:sz="0" w:space="0" w:color="auto"/>
                <w:left w:val="none" w:sz="0" w:space="0" w:color="auto"/>
                <w:bottom w:val="none" w:sz="0" w:space="0" w:color="auto"/>
                <w:right w:val="none" w:sz="0" w:space="0" w:color="auto"/>
              </w:divBdr>
              <w:divsChild>
                <w:div w:id="765804185">
                  <w:marLeft w:val="-240"/>
                  <w:marRight w:val="-240"/>
                  <w:marTop w:val="0"/>
                  <w:marBottom w:val="0"/>
                  <w:divBdr>
                    <w:top w:val="none" w:sz="0" w:space="0" w:color="auto"/>
                    <w:left w:val="none" w:sz="0" w:space="0" w:color="auto"/>
                    <w:bottom w:val="none" w:sz="0" w:space="0" w:color="auto"/>
                    <w:right w:val="none" w:sz="0" w:space="0" w:color="auto"/>
                  </w:divBdr>
                  <w:divsChild>
                    <w:div w:id="100401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849593">
      <w:bodyDiv w:val="1"/>
      <w:marLeft w:val="0"/>
      <w:marRight w:val="0"/>
      <w:marTop w:val="0"/>
      <w:marBottom w:val="0"/>
      <w:divBdr>
        <w:top w:val="none" w:sz="0" w:space="0" w:color="auto"/>
        <w:left w:val="none" w:sz="0" w:space="0" w:color="auto"/>
        <w:bottom w:val="none" w:sz="0" w:space="0" w:color="auto"/>
        <w:right w:val="none" w:sz="0" w:space="0" w:color="auto"/>
      </w:divBdr>
    </w:div>
    <w:div w:id="1457717957">
      <w:bodyDiv w:val="1"/>
      <w:marLeft w:val="0"/>
      <w:marRight w:val="0"/>
      <w:marTop w:val="0"/>
      <w:marBottom w:val="0"/>
      <w:divBdr>
        <w:top w:val="none" w:sz="0" w:space="0" w:color="auto"/>
        <w:left w:val="none" w:sz="0" w:space="0" w:color="auto"/>
        <w:bottom w:val="none" w:sz="0" w:space="0" w:color="auto"/>
        <w:right w:val="none" w:sz="0" w:space="0" w:color="auto"/>
      </w:divBdr>
    </w:div>
    <w:div w:id="1466194386">
      <w:bodyDiv w:val="1"/>
      <w:marLeft w:val="0"/>
      <w:marRight w:val="0"/>
      <w:marTop w:val="0"/>
      <w:marBottom w:val="0"/>
      <w:divBdr>
        <w:top w:val="none" w:sz="0" w:space="0" w:color="auto"/>
        <w:left w:val="none" w:sz="0" w:space="0" w:color="auto"/>
        <w:bottom w:val="none" w:sz="0" w:space="0" w:color="auto"/>
        <w:right w:val="none" w:sz="0" w:space="0" w:color="auto"/>
      </w:divBdr>
    </w:div>
    <w:div w:id="1482425471">
      <w:bodyDiv w:val="1"/>
      <w:marLeft w:val="0"/>
      <w:marRight w:val="0"/>
      <w:marTop w:val="0"/>
      <w:marBottom w:val="0"/>
      <w:divBdr>
        <w:top w:val="none" w:sz="0" w:space="0" w:color="auto"/>
        <w:left w:val="none" w:sz="0" w:space="0" w:color="auto"/>
        <w:bottom w:val="none" w:sz="0" w:space="0" w:color="auto"/>
        <w:right w:val="none" w:sz="0" w:space="0" w:color="auto"/>
      </w:divBdr>
    </w:div>
    <w:div w:id="1499538814">
      <w:bodyDiv w:val="1"/>
      <w:marLeft w:val="0"/>
      <w:marRight w:val="0"/>
      <w:marTop w:val="0"/>
      <w:marBottom w:val="0"/>
      <w:divBdr>
        <w:top w:val="none" w:sz="0" w:space="0" w:color="auto"/>
        <w:left w:val="none" w:sz="0" w:space="0" w:color="auto"/>
        <w:bottom w:val="none" w:sz="0" w:space="0" w:color="auto"/>
        <w:right w:val="none" w:sz="0" w:space="0" w:color="auto"/>
      </w:divBdr>
      <w:divsChild>
        <w:div w:id="9534141">
          <w:marLeft w:val="0"/>
          <w:marRight w:val="0"/>
          <w:marTop w:val="0"/>
          <w:marBottom w:val="0"/>
          <w:divBdr>
            <w:top w:val="none" w:sz="0" w:space="0" w:color="auto"/>
            <w:left w:val="none" w:sz="0" w:space="0" w:color="auto"/>
            <w:bottom w:val="none" w:sz="0" w:space="0" w:color="auto"/>
            <w:right w:val="none" w:sz="0" w:space="0" w:color="auto"/>
          </w:divBdr>
          <w:divsChild>
            <w:div w:id="1368140956">
              <w:marLeft w:val="0"/>
              <w:marRight w:val="0"/>
              <w:marTop w:val="0"/>
              <w:marBottom w:val="0"/>
              <w:divBdr>
                <w:top w:val="none" w:sz="0" w:space="0" w:color="auto"/>
                <w:left w:val="none" w:sz="0" w:space="0" w:color="auto"/>
                <w:bottom w:val="none" w:sz="0" w:space="0" w:color="auto"/>
                <w:right w:val="none" w:sz="0" w:space="0" w:color="auto"/>
              </w:divBdr>
              <w:divsChild>
                <w:div w:id="1130978553">
                  <w:marLeft w:val="0"/>
                  <w:marRight w:val="0"/>
                  <w:marTop w:val="0"/>
                  <w:marBottom w:val="0"/>
                  <w:divBdr>
                    <w:top w:val="none" w:sz="0" w:space="0" w:color="auto"/>
                    <w:left w:val="none" w:sz="0" w:space="0" w:color="auto"/>
                    <w:bottom w:val="none" w:sz="0" w:space="0" w:color="auto"/>
                    <w:right w:val="none" w:sz="0" w:space="0" w:color="auto"/>
                  </w:divBdr>
                  <w:divsChild>
                    <w:div w:id="157550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540456">
      <w:bodyDiv w:val="1"/>
      <w:marLeft w:val="0"/>
      <w:marRight w:val="0"/>
      <w:marTop w:val="0"/>
      <w:marBottom w:val="0"/>
      <w:divBdr>
        <w:top w:val="none" w:sz="0" w:space="0" w:color="auto"/>
        <w:left w:val="none" w:sz="0" w:space="0" w:color="auto"/>
        <w:bottom w:val="none" w:sz="0" w:space="0" w:color="auto"/>
        <w:right w:val="none" w:sz="0" w:space="0" w:color="auto"/>
      </w:divBdr>
    </w:div>
    <w:div w:id="1522431893">
      <w:bodyDiv w:val="1"/>
      <w:marLeft w:val="0"/>
      <w:marRight w:val="0"/>
      <w:marTop w:val="0"/>
      <w:marBottom w:val="0"/>
      <w:divBdr>
        <w:top w:val="none" w:sz="0" w:space="0" w:color="auto"/>
        <w:left w:val="none" w:sz="0" w:space="0" w:color="auto"/>
        <w:bottom w:val="none" w:sz="0" w:space="0" w:color="auto"/>
        <w:right w:val="none" w:sz="0" w:space="0" w:color="auto"/>
      </w:divBdr>
    </w:div>
    <w:div w:id="1535800527">
      <w:bodyDiv w:val="1"/>
      <w:marLeft w:val="0"/>
      <w:marRight w:val="0"/>
      <w:marTop w:val="0"/>
      <w:marBottom w:val="0"/>
      <w:divBdr>
        <w:top w:val="none" w:sz="0" w:space="0" w:color="auto"/>
        <w:left w:val="none" w:sz="0" w:space="0" w:color="auto"/>
        <w:bottom w:val="none" w:sz="0" w:space="0" w:color="auto"/>
        <w:right w:val="none" w:sz="0" w:space="0" w:color="auto"/>
      </w:divBdr>
    </w:div>
    <w:div w:id="1541937440">
      <w:bodyDiv w:val="1"/>
      <w:marLeft w:val="0"/>
      <w:marRight w:val="0"/>
      <w:marTop w:val="0"/>
      <w:marBottom w:val="0"/>
      <w:divBdr>
        <w:top w:val="none" w:sz="0" w:space="0" w:color="auto"/>
        <w:left w:val="none" w:sz="0" w:space="0" w:color="auto"/>
        <w:bottom w:val="none" w:sz="0" w:space="0" w:color="auto"/>
        <w:right w:val="none" w:sz="0" w:space="0" w:color="auto"/>
      </w:divBdr>
    </w:div>
    <w:div w:id="1556351844">
      <w:bodyDiv w:val="1"/>
      <w:marLeft w:val="0"/>
      <w:marRight w:val="0"/>
      <w:marTop w:val="0"/>
      <w:marBottom w:val="0"/>
      <w:divBdr>
        <w:top w:val="none" w:sz="0" w:space="0" w:color="auto"/>
        <w:left w:val="none" w:sz="0" w:space="0" w:color="auto"/>
        <w:bottom w:val="none" w:sz="0" w:space="0" w:color="auto"/>
        <w:right w:val="none" w:sz="0" w:space="0" w:color="auto"/>
      </w:divBdr>
    </w:div>
    <w:div w:id="1559442010">
      <w:bodyDiv w:val="1"/>
      <w:marLeft w:val="0"/>
      <w:marRight w:val="0"/>
      <w:marTop w:val="0"/>
      <w:marBottom w:val="0"/>
      <w:divBdr>
        <w:top w:val="none" w:sz="0" w:space="0" w:color="auto"/>
        <w:left w:val="none" w:sz="0" w:space="0" w:color="auto"/>
        <w:bottom w:val="none" w:sz="0" w:space="0" w:color="auto"/>
        <w:right w:val="none" w:sz="0" w:space="0" w:color="auto"/>
      </w:divBdr>
    </w:div>
    <w:div w:id="1569804727">
      <w:bodyDiv w:val="1"/>
      <w:marLeft w:val="0"/>
      <w:marRight w:val="0"/>
      <w:marTop w:val="0"/>
      <w:marBottom w:val="0"/>
      <w:divBdr>
        <w:top w:val="none" w:sz="0" w:space="0" w:color="auto"/>
        <w:left w:val="none" w:sz="0" w:space="0" w:color="auto"/>
        <w:bottom w:val="none" w:sz="0" w:space="0" w:color="auto"/>
        <w:right w:val="none" w:sz="0" w:space="0" w:color="auto"/>
      </w:divBdr>
    </w:div>
    <w:div w:id="1581401236">
      <w:bodyDiv w:val="1"/>
      <w:marLeft w:val="0"/>
      <w:marRight w:val="0"/>
      <w:marTop w:val="0"/>
      <w:marBottom w:val="0"/>
      <w:divBdr>
        <w:top w:val="none" w:sz="0" w:space="0" w:color="auto"/>
        <w:left w:val="none" w:sz="0" w:space="0" w:color="auto"/>
        <w:bottom w:val="none" w:sz="0" w:space="0" w:color="auto"/>
        <w:right w:val="none" w:sz="0" w:space="0" w:color="auto"/>
      </w:divBdr>
    </w:div>
    <w:div w:id="1603219972">
      <w:bodyDiv w:val="1"/>
      <w:marLeft w:val="0"/>
      <w:marRight w:val="0"/>
      <w:marTop w:val="0"/>
      <w:marBottom w:val="0"/>
      <w:divBdr>
        <w:top w:val="none" w:sz="0" w:space="0" w:color="auto"/>
        <w:left w:val="none" w:sz="0" w:space="0" w:color="auto"/>
        <w:bottom w:val="none" w:sz="0" w:space="0" w:color="auto"/>
        <w:right w:val="none" w:sz="0" w:space="0" w:color="auto"/>
      </w:divBdr>
      <w:divsChild>
        <w:div w:id="346030459">
          <w:marLeft w:val="0"/>
          <w:marRight w:val="0"/>
          <w:marTop w:val="0"/>
          <w:marBottom w:val="0"/>
          <w:divBdr>
            <w:top w:val="none" w:sz="0" w:space="0" w:color="auto"/>
            <w:left w:val="none" w:sz="0" w:space="0" w:color="auto"/>
            <w:bottom w:val="none" w:sz="0" w:space="0" w:color="auto"/>
            <w:right w:val="none" w:sz="0" w:space="0" w:color="auto"/>
          </w:divBdr>
          <w:divsChild>
            <w:div w:id="1362317168">
              <w:marLeft w:val="0"/>
              <w:marRight w:val="0"/>
              <w:marTop w:val="0"/>
              <w:marBottom w:val="0"/>
              <w:divBdr>
                <w:top w:val="none" w:sz="0" w:space="0" w:color="auto"/>
                <w:left w:val="none" w:sz="0" w:space="0" w:color="auto"/>
                <w:bottom w:val="none" w:sz="0" w:space="0" w:color="auto"/>
                <w:right w:val="none" w:sz="0" w:space="0" w:color="auto"/>
              </w:divBdr>
              <w:divsChild>
                <w:div w:id="2031754945">
                  <w:marLeft w:val="-240"/>
                  <w:marRight w:val="-240"/>
                  <w:marTop w:val="0"/>
                  <w:marBottom w:val="0"/>
                  <w:divBdr>
                    <w:top w:val="none" w:sz="0" w:space="0" w:color="auto"/>
                    <w:left w:val="none" w:sz="0" w:space="0" w:color="auto"/>
                    <w:bottom w:val="none" w:sz="0" w:space="0" w:color="auto"/>
                    <w:right w:val="none" w:sz="0" w:space="0" w:color="auto"/>
                  </w:divBdr>
                  <w:divsChild>
                    <w:div w:id="164773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459710">
      <w:bodyDiv w:val="1"/>
      <w:marLeft w:val="0"/>
      <w:marRight w:val="0"/>
      <w:marTop w:val="0"/>
      <w:marBottom w:val="0"/>
      <w:divBdr>
        <w:top w:val="none" w:sz="0" w:space="0" w:color="auto"/>
        <w:left w:val="none" w:sz="0" w:space="0" w:color="auto"/>
        <w:bottom w:val="none" w:sz="0" w:space="0" w:color="auto"/>
        <w:right w:val="none" w:sz="0" w:space="0" w:color="auto"/>
      </w:divBdr>
    </w:div>
    <w:div w:id="1633709973">
      <w:bodyDiv w:val="1"/>
      <w:marLeft w:val="0"/>
      <w:marRight w:val="0"/>
      <w:marTop w:val="0"/>
      <w:marBottom w:val="0"/>
      <w:divBdr>
        <w:top w:val="none" w:sz="0" w:space="0" w:color="auto"/>
        <w:left w:val="none" w:sz="0" w:space="0" w:color="auto"/>
        <w:bottom w:val="none" w:sz="0" w:space="0" w:color="auto"/>
        <w:right w:val="none" w:sz="0" w:space="0" w:color="auto"/>
      </w:divBdr>
    </w:div>
    <w:div w:id="1644889301">
      <w:bodyDiv w:val="1"/>
      <w:marLeft w:val="0"/>
      <w:marRight w:val="0"/>
      <w:marTop w:val="0"/>
      <w:marBottom w:val="0"/>
      <w:divBdr>
        <w:top w:val="none" w:sz="0" w:space="0" w:color="auto"/>
        <w:left w:val="none" w:sz="0" w:space="0" w:color="auto"/>
        <w:bottom w:val="none" w:sz="0" w:space="0" w:color="auto"/>
        <w:right w:val="none" w:sz="0" w:space="0" w:color="auto"/>
      </w:divBdr>
    </w:div>
    <w:div w:id="1656764343">
      <w:bodyDiv w:val="1"/>
      <w:marLeft w:val="0"/>
      <w:marRight w:val="0"/>
      <w:marTop w:val="0"/>
      <w:marBottom w:val="0"/>
      <w:divBdr>
        <w:top w:val="none" w:sz="0" w:space="0" w:color="auto"/>
        <w:left w:val="none" w:sz="0" w:space="0" w:color="auto"/>
        <w:bottom w:val="none" w:sz="0" w:space="0" w:color="auto"/>
        <w:right w:val="none" w:sz="0" w:space="0" w:color="auto"/>
      </w:divBdr>
    </w:div>
    <w:div w:id="1657758254">
      <w:bodyDiv w:val="1"/>
      <w:marLeft w:val="0"/>
      <w:marRight w:val="0"/>
      <w:marTop w:val="0"/>
      <w:marBottom w:val="0"/>
      <w:divBdr>
        <w:top w:val="none" w:sz="0" w:space="0" w:color="auto"/>
        <w:left w:val="none" w:sz="0" w:space="0" w:color="auto"/>
        <w:bottom w:val="none" w:sz="0" w:space="0" w:color="auto"/>
        <w:right w:val="none" w:sz="0" w:space="0" w:color="auto"/>
      </w:divBdr>
    </w:div>
    <w:div w:id="1662810257">
      <w:bodyDiv w:val="1"/>
      <w:marLeft w:val="0"/>
      <w:marRight w:val="0"/>
      <w:marTop w:val="0"/>
      <w:marBottom w:val="0"/>
      <w:divBdr>
        <w:top w:val="none" w:sz="0" w:space="0" w:color="auto"/>
        <w:left w:val="none" w:sz="0" w:space="0" w:color="auto"/>
        <w:bottom w:val="none" w:sz="0" w:space="0" w:color="auto"/>
        <w:right w:val="none" w:sz="0" w:space="0" w:color="auto"/>
      </w:divBdr>
    </w:div>
    <w:div w:id="1672831697">
      <w:bodyDiv w:val="1"/>
      <w:marLeft w:val="0"/>
      <w:marRight w:val="0"/>
      <w:marTop w:val="0"/>
      <w:marBottom w:val="0"/>
      <w:divBdr>
        <w:top w:val="none" w:sz="0" w:space="0" w:color="auto"/>
        <w:left w:val="none" w:sz="0" w:space="0" w:color="auto"/>
        <w:bottom w:val="none" w:sz="0" w:space="0" w:color="auto"/>
        <w:right w:val="none" w:sz="0" w:space="0" w:color="auto"/>
      </w:divBdr>
    </w:div>
    <w:div w:id="1676109960">
      <w:bodyDiv w:val="1"/>
      <w:marLeft w:val="0"/>
      <w:marRight w:val="0"/>
      <w:marTop w:val="0"/>
      <w:marBottom w:val="0"/>
      <w:divBdr>
        <w:top w:val="none" w:sz="0" w:space="0" w:color="auto"/>
        <w:left w:val="none" w:sz="0" w:space="0" w:color="auto"/>
        <w:bottom w:val="none" w:sz="0" w:space="0" w:color="auto"/>
        <w:right w:val="none" w:sz="0" w:space="0" w:color="auto"/>
      </w:divBdr>
    </w:div>
    <w:div w:id="1680692525">
      <w:bodyDiv w:val="1"/>
      <w:marLeft w:val="0"/>
      <w:marRight w:val="0"/>
      <w:marTop w:val="0"/>
      <w:marBottom w:val="0"/>
      <w:divBdr>
        <w:top w:val="none" w:sz="0" w:space="0" w:color="auto"/>
        <w:left w:val="none" w:sz="0" w:space="0" w:color="auto"/>
        <w:bottom w:val="none" w:sz="0" w:space="0" w:color="auto"/>
        <w:right w:val="none" w:sz="0" w:space="0" w:color="auto"/>
      </w:divBdr>
    </w:div>
    <w:div w:id="1697150157">
      <w:bodyDiv w:val="1"/>
      <w:marLeft w:val="0"/>
      <w:marRight w:val="0"/>
      <w:marTop w:val="0"/>
      <w:marBottom w:val="0"/>
      <w:divBdr>
        <w:top w:val="none" w:sz="0" w:space="0" w:color="auto"/>
        <w:left w:val="none" w:sz="0" w:space="0" w:color="auto"/>
        <w:bottom w:val="none" w:sz="0" w:space="0" w:color="auto"/>
        <w:right w:val="none" w:sz="0" w:space="0" w:color="auto"/>
      </w:divBdr>
    </w:div>
    <w:div w:id="1714646596">
      <w:bodyDiv w:val="1"/>
      <w:marLeft w:val="0"/>
      <w:marRight w:val="0"/>
      <w:marTop w:val="0"/>
      <w:marBottom w:val="0"/>
      <w:divBdr>
        <w:top w:val="none" w:sz="0" w:space="0" w:color="auto"/>
        <w:left w:val="none" w:sz="0" w:space="0" w:color="auto"/>
        <w:bottom w:val="none" w:sz="0" w:space="0" w:color="auto"/>
        <w:right w:val="none" w:sz="0" w:space="0" w:color="auto"/>
      </w:divBdr>
    </w:div>
    <w:div w:id="1741707323">
      <w:bodyDiv w:val="1"/>
      <w:marLeft w:val="0"/>
      <w:marRight w:val="0"/>
      <w:marTop w:val="0"/>
      <w:marBottom w:val="0"/>
      <w:divBdr>
        <w:top w:val="none" w:sz="0" w:space="0" w:color="auto"/>
        <w:left w:val="none" w:sz="0" w:space="0" w:color="auto"/>
        <w:bottom w:val="none" w:sz="0" w:space="0" w:color="auto"/>
        <w:right w:val="none" w:sz="0" w:space="0" w:color="auto"/>
      </w:divBdr>
    </w:div>
    <w:div w:id="1768497229">
      <w:bodyDiv w:val="1"/>
      <w:marLeft w:val="0"/>
      <w:marRight w:val="0"/>
      <w:marTop w:val="0"/>
      <w:marBottom w:val="0"/>
      <w:divBdr>
        <w:top w:val="none" w:sz="0" w:space="0" w:color="auto"/>
        <w:left w:val="none" w:sz="0" w:space="0" w:color="auto"/>
        <w:bottom w:val="none" w:sz="0" w:space="0" w:color="auto"/>
        <w:right w:val="none" w:sz="0" w:space="0" w:color="auto"/>
      </w:divBdr>
    </w:div>
    <w:div w:id="1793133758">
      <w:bodyDiv w:val="1"/>
      <w:marLeft w:val="0"/>
      <w:marRight w:val="0"/>
      <w:marTop w:val="0"/>
      <w:marBottom w:val="0"/>
      <w:divBdr>
        <w:top w:val="none" w:sz="0" w:space="0" w:color="auto"/>
        <w:left w:val="none" w:sz="0" w:space="0" w:color="auto"/>
        <w:bottom w:val="none" w:sz="0" w:space="0" w:color="auto"/>
        <w:right w:val="none" w:sz="0" w:space="0" w:color="auto"/>
      </w:divBdr>
    </w:div>
    <w:div w:id="1794790574">
      <w:bodyDiv w:val="1"/>
      <w:marLeft w:val="0"/>
      <w:marRight w:val="0"/>
      <w:marTop w:val="0"/>
      <w:marBottom w:val="0"/>
      <w:divBdr>
        <w:top w:val="none" w:sz="0" w:space="0" w:color="auto"/>
        <w:left w:val="none" w:sz="0" w:space="0" w:color="auto"/>
        <w:bottom w:val="none" w:sz="0" w:space="0" w:color="auto"/>
        <w:right w:val="none" w:sz="0" w:space="0" w:color="auto"/>
      </w:divBdr>
    </w:div>
    <w:div w:id="1801456633">
      <w:bodyDiv w:val="1"/>
      <w:marLeft w:val="0"/>
      <w:marRight w:val="0"/>
      <w:marTop w:val="0"/>
      <w:marBottom w:val="0"/>
      <w:divBdr>
        <w:top w:val="none" w:sz="0" w:space="0" w:color="auto"/>
        <w:left w:val="none" w:sz="0" w:space="0" w:color="auto"/>
        <w:bottom w:val="none" w:sz="0" w:space="0" w:color="auto"/>
        <w:right w:val="none" w:sz="0" w:space="0" w:color="auto"/>
      </w:divBdr>
    </w:div>
    <w:div w:id="1803843171">
      <w:bodyDiv w:val="1"/>
      <w:marLeft w:val="0"/>
      <w:marRight w:val="0"/>
      <w:marTop w:val="0"/>
      <w:marBottom w:val="0"/>
      <w:divBdr>
        <w:top w:val="none" w:sz="0" w:space="0" w:color="auto"/>
        <w:left w:val="none" w:sz="0" w:space="0" w:color="auto"/>
        <w:bottom w:val="none" w:sz="0" w:space="0" w:color="auto"/>
        <w:right w:val="none" w:sz="0" w:space="0" w:color="auto"/>
      </w:divBdr>
    </w:div>
    <w:div w:id="1837573180">
      <w:bodyDiv w:val="1"/>
      <w:marLeft w:val="0"/>
      <w:marRight w:val="0"/>
      <w:marTop w:val="0"/>
      <w:marBottom w:val="0"/>
      <w:divBdr>
        <w:top w:val="none" w:sz="0" w:space="0" w:color="auto"/>
        <w:left w:val="none" w:sz="0" w:space="0" w:color="auto"/>
        <w:bottom w:val="none" w:sz="0" w:space="0" w:color="auto"/>
        <w:right w:val="none" w:sz="0" w:space="0" w:color="auto"/>
      </w:divBdr>
    </w:div>
    <w:div w:id="1853450196">
      <w:bodyDiv w:val="1"/>
      <w:marLeft w:val="0"/>
      <w:marRight w:val="0"/>
      <w:marTop w:val="0"/>
      <w:marBottom w:val="0"/>
      <w:divBdr>
        <w:top w:val="none" w:sz="0" w:space="0" w:color="auto"/>
        <w:left w:val="none" w:sz="0" w:space="0" w:color="auto"/>
        <w:bottom w:val="none" w:sz="0" w:space="0" w:color="auto"/>
        <w:right w:val="none" w:sz="0" w:space="0" w:color="auto"/>
      </w:divBdr>
    </w:div>
    <w:div w:id="1859658435">
      <w:bodyDiv w:val="1"/>
      <w:marLeft w:val="0"/>
      <w:marRight w:val="0"/>
      <w:marTop w:val="0"/>
      <w:marBottom w:val="0"/>
      <w:divBdr>
        <w:top w:val="none" w:sz="0" w:space="0" w:color="auto"/>
        <w:left w:val="none" w:sz="0" w:space="0" w:color="auto"/>
        <w:bottom w:val="none" w:sz="0" w:space="0" w:color="auto"/>
        <w:right w:val="none" w:sz="0" w:space="0" w:color="auto"/>
      </w:divBdr>
    </w:div>
    <w:div w:id="1861773331">
      <w:bodyDiv w:val="1"/>
      <w:marLeft w:val="0"/>
      <w:marRight w:val="0"/>
      <w:marTop w:val="0"/>
      <w:marBottom w:val="0"/>
      <w:divBdr>
        <w:top w:val="none" w:sz="0" w:space="0" w:color="auto"/>
        <w:left w:val="none" w:sz="0" w:space="0" w:color="auto"/>
        <w:bottom w:val="none" w:sz="0" w:space="0" w:color="auto"/>
        <w:right w:val="none" w:sz="0" w:space="0" w:color="auto"/>
      </w:divBdr>
    </w:div>
    <w:div w:id="1874926354">
      <w:bodyDiv w:val="1"/>
      <w:marLeft w:val="0"/>
      <w:marRight w:val="0"/>
      <w:marTop w:val="0"/>
      <w:marBottom w:val="0"/>
      <w:divBdr>
        <w:top w:val="none" w:sz="0" w:space="0" w:color="auto"/>
        <w:left w:val="none" w:sz="0" w:space="0" w:color="auto"/>
        <w:bottom w:val="none" w:sz="0" w:space="0" w:color="auto"/>
        <w:right w:val="none" w:sz="0" w:space="0" w:color="auto"/>
      </w:divBdr>
    </w:div>
    <w:div w:id="1913540170">
      <w:bodyDiv w:val="1"/>
      <w:marLeft w:val="0"/>
      <w:marRight w:val="0"/>
      <w:marTop w:val="0"/>
      <w:marBottom w:val="0"/>
      <w:divBdr>
        <w:top w:val="none" w:sz="0" w:space="0" w:color="auto"/>
        <w:left w:val="none" w:sz="0" w:space="0" w:color="auto"/>
        <w:bottom w:val="none" w:sz="0" w:space="0" w:color="auto"/>
        <w:right w:val="none" w:sz="0" w:space="0" w:color="auto"/>
      </w:divBdr>
    </w:div>
    <w:div w:id="1919288915">
      <w:bodyDiv w:val="1"/>
      <w:marLeft w:val="0"/>
      <w:marRight w:val="0"/>
      <w:marTop w:val="0"/>
      <w:marBottom w:val="0"/>
      <w:divBdr>
        <w:top w:val="none" w:sz="0" w:space="0" w:color="auto"/>
        <w:left w:val="none" w:sz="0" w:space="0" w:color="auto"/>
        <w:bottom w:val="none" w:sz="0" w:space="0" w:color="auto"/>
        <w:right w:val="none" w:sz="0" w:space="0" w:color="auto"/>
      </w:divBdr>
    </w:div>
    <w:div w:id="1944461116">
      <w:bodyDiv w:val="1"/>
      <w:marLeft w:val="0"/>
      <w:marRight w:val="0"/>
      <w:marTop w:val="0"/>
      <w:marBottom w:val="0"/>
      <w:divBdr>
        <w:top w:val="none" w:sz="0" w:space="0" w:color="auto"/>
        <w:left w:val="none" w:sz="0" w:space="0" w:color="auto"/>
        <w:bottom w:val="none" w:sz="0" w:space="0" w:color="auto"/>
        <w:right w:val="none" w:sz="0" w:space="0" w:color="auto"/>
      </w:divBdr>
    </w:div>
    <w:div w:id="1958945059">
      <w:bodyDiv w:val="1"/>
      <w:marLeft w:val="0"/>
      <w:marRight w:val="0"/>
      <w:marTop w:val="0"/>
      <w:marBottom w:val="0"/>
      <w:divBdr>
        <w:top w:val="none" w:sz="0" w:space="0" w:color="auto"/>
        <w:left w:val="none" w:sz="0" w:space="0" w:color="auto"/>
        <w:bottom w:val="none" w:sz="0" w:space="0" w:color="auto"/>
        <w:right w:val="none" w:sz="0" w:space="0" w:color="auto"/>
      </w:divBdr>
    </w:div>
    <w:div w:id="1958949889">
      <w:bodyDiv w:val="1"/>
      <w:marLeft w:val="0"/>
      <w:marRight w:val="0"/>
      <w:marTop w:val="0"/>
      <w:marBottom w:val="0"/>
      <w:divBdr>
        <w:top w:val="none" w:sz="0" w:space="0" w:color="auto"/>
        <w:left w:val="none" w:sz="0" w:space="0" w:color="auto"/>
        <w:bottom w:val="none" w:sz="0" w:space="0" w:color="auto"/>
        <w:right w:val="none" w:sz="0" w:space="0" w:color="auto"/>
      </w:divBdr>
    </w:div>
    <w:div w:id="1969043332">
      <w:bodyDiv w:val="1"/>
      <w:marLeft w:val="0"/>
      <w:marRight w:val="0"/>
      <w:marTop w:val="0"/>
      <w:marBottom w:val="0"/>
      <w:divBdr>
        <w:top w:val="none" w:sz="0" w:space="0" w:color="auto"/>
        <w:left w:val="none" w:sz="0" w:space="0" w:color="auto"/>
        <w:bottom w:val="none" w:sz="0" w:space="0" w:color="auto"/>
        <w:right w:val="none" w:sz="0" w:space="0" w:color="auto"/>
      </w:divBdr>
    </w:div>
    <w:div w:id="1970892318">
      <w:bodyDiv w:val="1"/>
      <w:marLeft w:val="0"/>
      <w:marRight w:val="0"/>
      <w:marTop w:val="0"/>
      <w:marBottom w:val="0"/>
      <w:divBdr>
        <w:top w:val="none" w:sz="0" w:space="0" w:color="auto"/>
        <w:left w:val="none" w:sz="0" w:space="0" w:color="auto"/>
        <w:bottom w:val="none" w:sz="0" w:space="0" w:color="auto"/>
        <w:right w:val="none" w:sz="0" w:space="0" w:color="auto"/>
      </w:divBdr>
    </w:div>
    <w:div w:id="1979455154">
      <w:bodyDiv w:val="1"/>
      <w:marLeft w:val="0"/>
      <w:marRight w:val="0"/>
      <w:marTop w:val="0"/>
      <w:marBottom w:val="0"/>
      <w:divBdr>
        <w:top w:val="none" w:sz="0" w:space="0" w:color="auto"/>
        <w:left w:val="none" w:sz="0" w:space="0" w:color="auto"/>
        <w:bottom w:val="none" w:sz="0" w:space="0" w:color="auto"/>
        <w:right w:val="none" w:sz="0" w:space="0" w:color="auto"/>
      </w:divBdr>
    </w:div>
    <w:div w:id="1994026315">
      <w:bodyDiv w:val="1"/>
      <w:marLeft w:val="0"/>
      <w:marRight w:val="0"/>
      <w:marTop w:val="0"/>
      <w:marBottom w:val="0"/>
      <w:divBdr>
        <w:top w:val="none" w:sz="0" w:space="0" w:color="auto"/>
        <w:left w:val="none" w:sz="0" w:space="0" w:color="auto"/>
        <w:bottom w:val="none" w:sz="0" w:space="0" w:color="auto"/>
        <w:right w:val="none" w:sz="0" w:space="0" w:color="auto"/>
      </w:divBdr>
    </w:div>
    <w:div w:id="2013219584">
      <w:bodyDiv w:val="1"/>
      <w:marLeft w:val="0"/>
      <w:marRight w:val="0"/>
      <w:marTop w:val="0"/>
      <w:marBottom w:val="0"/>
      <w:divBdr>
        <w:top w:val="none" w:sz="0" w:space="0" w:color="auto"/>
        <w:left w:val="none" w:sz="0" w:space="0" w:color="auto"/>
        <w:bottom w:val="none" w:sz="0" w:space="0" w:color="auto"/>
        <w:right w:val="none" w:sz="0" w:space="0" w:color="auto"/>
      </w:divBdr>
    </w:div>
    <w:div w:id="2017994649">
      <w:bodyDiv w:val="1"/>
      <w:marLeft w:val="0"/>
      <w:marRight w:val="0"/>
      <w:marTop w:val="0"/>
      <w:marBottom w:val="0"/>
      <w:divBdr>
        <w:top w:val="none" w:sz="0" w:space="0" w:color="auto"/>
        <w:left w:val="none" w:sz="0" w:space="0" w:color="auto"/>
        <w:bottom w:val="none" w:sz="0" w:space="0" w:color="auto"/>
        <w:right w:val="none" w:sz="0" w:space="0" w:color="auto"/>
      </w:divBdr>
    </w:div>
    <w:div w:id="2022924378">
      <w:bodyDiv w:val="1"/>
      <w:marLeft w:val="0"/>
      <w:marRight w:val="0"/>
      <w:marTop w:val="0"/>
      <w:marBottom w:val="0"/>
      <w:divBdr>
        <w:top w:val="none" w:sz="0" w:space="0" w:color="auto"/>
        <w:left w:val="none" w:sz="0" w:space="0" w:color="auto"/>
        <w:bottom w:val="none" w:sz="0" w:space="0" w:color="auto"/>
        <w:right w:val="none" w:sz="0" w:space="0" w:color="auto"/>
      </w:divBdr>
    </w:div>
    <w:div w:id="2027291951">
      <w:bodyDiv w:val="1"/>
      <w:marLeft w:val="0"/>
      <w:marRight w:val="0"/>
      <w:marTop w:val="0"/>
      <w:marBottom w:val="0"/>
      <w:divBdr>
        <w:top w:val="none" w:sz="0" w:space="0" w:color="auto"/>
        <w:left w:val="none" w:sz="0" w:space="0" w:color="auto"/>
        <w:bottom w:val="none" w:sz="0" w:space="0" w:color="auto"/>
        <w:right w:val="none" w:sz="0" w:space="0" w:color="auto"/>
      </w:divBdr>
    </w:div>
    <w:div w:id="2032607236">
      <w:bodyDiv w:val="1"/>
      <w:marLeft w:val="0"/>
      <w:marRight w:val="0"/>
      <w:marTop w:val="0"/>
      <w:marBottom w:val="0"/>
      <w:divBdr>
        <w:top w:val="none" w:sz="0" w:space="0" w:color="auto"/>
        <w:left w:val="none" w:sz="0" w:space="0" w:color="auto"/>
        <w:bottom w:val="none" w:sz="0" w:space="0" w:color="auto"/>
        <w:right w:val="none" w:sz="0" w:space="0" w:color="auto"/>
      </w:divBdr>
    </w:div>
    <w:div w:id="2035576481">
      <w:bodyDiv w:val="1"/>
      <w:marLeft w:val="0"/>
      <w:marRight w:val="0"/>
      <w:marTop w:val="0"/>
      <w:marBottom w:val="0"/>
      <w:divBdr>
        <w:top w:val="none" w:sz="0" w:space="0" w:color="auto"/>
        <w:left w:val="none" w:sz="0" w:space="0" w:color="auto"/>
        <w:bottom w:val="none" w:sz="0" w:space="0" w:color="auto"/>
        <w:right w:val="none" w:sz="0" w:space="0" w:color="auto"/>
      </w:divBdr>
    </w:div>
    <w:div w:id="2104648398">
      <w:bodyDiv w:val="1"/>
      <w:marLeft w:val="0"/>
      <w:marRight w:val="0"/>
      <w:marTop w:val="0"/>
      <w:marBottom w:val="0"/>
      <w:divBdr>
        <w:top w:val="none" w:sz="0" w:space="0" w:color="auto"/>
        <w:left w:val="none" w:sz="0" w:space="0" w:color="auto"/>
        <w:bottom w:val="none" w:sz="0" w:space="0" w:color="auto"/>
        <w:right w:val="none" w:sz="0" w:space="0" w:color="auto"/>
      </w:divBdr>
    </w:div>
    <w:div w:id="2108967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isdoc.com" TargetMode="External"/><Relationship Id="rId18" Type="http://schemas.openxmlformats.org/officeDocument/2006/relationships/header" Target="header1.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beckersasc.com" TargetMode="External"/><Relationship Id="rId17" Type="http://schemas.openxmlformats.org/officeDocument/2006/relationships/hyperlink" Target="mailto:dongrants@hria.org" TargetMode="Externa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s://amsurg.com" TargetMode="External"/><Relationship Id="rId20" Type="http://schemas.openxmlformats.org/officeDocument/2006/relationships/footer" Target="footer1.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eckersasc.com" TargetMode="External"/><Relationship Id="rId24" Type="http://schemas.openxmlformats.org/officeDocument/2006/relationships/header" Target="header4.xml"/><Relationship Id="rId32"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amsurg.com" TargetMode="External"/><Relationship Id="rId23" Type="http://schemas.openxmlformats.org/officeDocument/2006/relationships/footer" Target="footer3.xml"/><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isdoc.com" TargetMode="External"/><Relationship Id="rId22" Type="http://schemas.openxmlformats.org/officeDocument/2006/relationships/header" Target="header3.xml"/><Relationship Id="rId27" Type="http://schemas.openxmlformats.org/officeDocument/2006/relationships/footer" Target="footer5.xml"/><Relationship Id="rId30" Type="http://schemas.openxmlformats.org/officeDocument/2006/relationships/fontTable" Target="fontTable.xml"/></Relationships>
</file>

<file path=word/_rels/endnotes.xml.rels><?xml version="1.0" encoding="UTF-8" standalone="yes"?>
<Relationships xmlns="http://schemas.openxmlformats.org/package/2006/relationships"><Relationship Id="rId26" Type="http://schemas.openxmlformats.org/officeDocument/2006/relationships/hyperlink" Target="https://www.asge.org/home/about-asge/newsroom/media-backgrounders-detail/colorectal-cancer-screening" TargetMode="External"/><Relationship Id="rId21" Type="http://schemas.openxmlformats.org/officeDocument/2006/relationships/hyperlink" Target="https://www.commonwealthfund.org/publications/issue-briefs/2023/jan/us-health-care-global-perspective-2022" TargetMode="External"/><Relationship Id="rId42" Type="http://schemas.openxmlformats.org/officeDocument/2006/relationships/hyperlink" Target="https://www.gastroconsa.com/is-cologuard-as-good-as-colonoscopy/" TargetMode="External"/><Relationship Id="rId47" Type="http://schemas.openxmlformats.org/officeDocument/2006/relationships/hyperlink" Target="https://www.ascfocus.org/ascfocus/content/articles-content/articles/2018/digital-debut/study-examines-patient-outcomes-across-settings" TargetMode="External"/><Relationship Id="rId63" Type="http://schemas.openxmlformats.org/officeDocument/2006/relationships/hyperlink" Target="https://www.cdc.gov/pcd/issues/2020/20_0039.htm" TargetMode="External"/><Relationship Id="rId68" Type="http://schemas.openxmlformats.org/officeDocument/2006/relationships/hyperlink" Target="https://masshpc.gov/publications/datapoints-series/issue-26-trends-ambulatory-surgical-centers-massachusetts" TargetMode="External"/><Relationship Id="rId16" Type="http://schemas.openxmlformats.org/officeDocument/2006/relationships/hyperlink" Target="https://www.mintz.com/sites/default/files/viewpoints/orig/8/2016/08/Proposed-Revision-Presentation-8.23.16.pdf" TargetMode="External"/><Relationship Id="rId11" Type="http://schemas.openxmlformats.org/officeDocument/2006/relationships/hyperlink" Target="https://www.mass.gov/info-details/hpc-datapoints-issue-26" TargetMode="External"/><Relationship Id="rId24" Type="http://schemas.openxmlformats.org/officeDocument/2006/relationships/hyperlink" Target="https://www.asge.org/home/about-asge/newsroom/media-backgrounders-detail/colorectal-cancer-screening" TargetMode="External"/><Relationship Id="rId32" Type="http://schemas.openxmlformats.org/officeDocument/2006/relationships/hyperlink" Target="https://www.cancer.org/cancer/types/colon-rectal-cancer/about/key-statistics.html" TargetMode="External"/><Relationship Id="rId37" Type="http://schemas.openxmlformats.org/officeDocument/2006/relationships/hyperlink" Target="https://www.health.harvard.edu/blog/colon-cancer-screening-decisions-whats-the-best-option-and-when-202206152762" TargetMode="External"/><Relationship Id="rId40" Type="http://schemas.openxmlformats.org/officeDocument/2006/relationships/hyperlink" Target="https://gastro.org/clinical-guidance/follow-up-after-colonoscopy-and-polypectomy-a-consensus-update-by-the-u-s-multi-society-task-force-on-colorectal-cancer/" TargetMode="External"/><Relationship Id="rId45" Type="http://schemas.openxmlformats.org/officeDocument/2006/relationships/hyperlink" Target="https://www.health.harvard.edu/blog/colon-cancer-screening-decisions-whats-the-best-option-and-when-202206152762" TargetMode="External"/><Relationship Id="rId53" Type="http://schemas.openxmlformats.org/officeDocument/2006/relationships/hyperlink" Target="https://www.mass.gov/doc/community-engagement-guidelines-for-community-health-planning-pdf/download" TargetMode="External"/><Relationship Id="rId58" Type="http://schemas.openxmlformats.org/officeDocument/2006/relationships/hyperlink" Target="https://masshpc.gov/publications/datapoints-series/issue-26-trends-ambulatory-surgical-centers-massachusetts" TargetMode="External"/><Relationship Id="rId66" Type="http://schemas.openxmlformats.org/officeDocument/2006/relationships/hyperlink" Target="https://www.medpac.gov/document/march-2022-report-to-the-congress-medicare-payment-policy/)" TargetMode="External"/><Relationship Id="rId74" Type="http://schemas.openxmlformats.org/officeDocument/2006/relationships/hyperlink" Target="https://usafacts.org/articles/how-many-people-skip-medical-treatment-due-to-healthcare-costs/" TargetMode="External"/><Relationship Id="rId5" Type="http://schemas.openxmlformats.org/officeDocument/2006/relationships/hyperlink" Target="http://www.pep.donahue-institute.org/" TargetMode="External"/><Relationship Id="rId61" Type="http://schemas.openxmlformats.org/officeDocument/2006/relationships/hyperlink" Target="https://masshpc.gov/publications/datapoints-series/issue-26-trends-ambulatory-surgical-centers-massachusetts" TargetMode="External"/><Relationship Id="rId19" Type="http://schemas.openxmlformats.org/officeDocument/2006/relationships/hyperlink" Target="https://masshpc.gov/publications/datapoints-series/issue-26-trends-ambulatory-surgical-centers-massachusetts" TargetMode="External"/><Relationship Id="rId14" Type="http://schemas.openxmlformats.org/officeDocument/2006/relationships/hyperlink" Target="https://www.mass.gov/doc/presentation-board-meeting-june-7-2023/download" TargetMode="External"/><Relationship Id="rId22" Type="http://schemas.openxmlformats.org/officeDocument/2006/relationships/hyperlink" Target="https://www.ncbi.nlm.nih.gov/pmc/articles/PMC7280466/" TargetMode="External"/><Relationship Id="rId27" Type="http://schemas.openxmlformats.org/officeDocument/2006/relationships/hyperlink" Target="https://www.asge.org/home/about-asge/newsroom/media-backgrounders-detail/colorectal-cancer-screening" TargetMode="External"/><Relationship Id="rId30" Type="http://schemas.openxmlformats.org/officeDocument/2006/relationships/hyperlink" Target="https://www.cancer.org/cancer/types/colon-rectal-cancer/about/key-statistics.html" TargetMode="External"/><Relationship Id="rId35" Type="http://schemas.openxmlformats.org/officeDocument/2006/relationships/hyperlink" Target="file:///C:/Users/LClarke/Downloads/colorectal-cancer-screening-final-rec-clinician-summary.pdf" TargetMode="External"/><Relationship Id="rId43" Type="http://schemas.openxmlformats.org/officeDocument/2006/relationships/hyperlink" Target="https://www.gastroconsa.com/is-cologuard-as-good-as-colonoscopy/" TargetMode="External"/><Relationship Id="rId48" Type="http://schemas.openxmlformats.org/officeDocument/2006/relationships/hyperlink" Target="https://masshpc.gov/publications/datapoints-series/issue-26-trends-ambulatory-surgical-centers-massachusetts" TargetMode="External"/><Relationship Id="rId56" Type="http://schemas.openxmlformats.org/officeDocument/2006/relationships/hyperlink" Target="https://www.provista.com/blog/blog-listing/huge-cost-savings-and-other-benefits-boost-ambulatory-surgery-center-growth" TargetMode="External"/><Relationship Id="rId64" Type="http://schemas.openxmlformats.org/officeDocument/2006/relationships/hyperlink" Target="https://www.mass.gov/doc/2023-health-care-cost-trends-report/download" TargetMode="External"/><Relationship Id="rId69" Type="http://schemas.openxmlformats.org/officeDocument/2006/relationships/hyperlink" Target="https://masshpc.gov/publications/datapoints-series/issue-26-trends-ambulatory-surgical-centers-massachusetts" TargetMode="External"/><Relationship Id="rId77" Type="http://schemas.openxmlformats.org/officeDocument/2006/relationships/hyperlink" Target="https://www.cdc.gov/pcd/issues/2020/20_0039.htm" TargetMode="External"/><Relationship Id="rId8" Type="http://schemas.openxmlformats.org/officeDocument/2006/relationships/hyperlink" Target="https://www.beckersasc.com/gastroenterology-and-endoscopy/gastroenterology-in-2030-what-the-specialty-will-look-like-in-10-years.html" TargetMode="External"/><Relationship Id="rId51" Type="http://schemas.openxmlformats.org/officeDocument/2006/relationships/hyperlink" Target="https://www.mass.gov/doc/2021-health-care-cost-trends-report/download" TargetMode="External"/><Relationship Id="rId72" Type="http://schemas.openxmlformats.org/officeDocument/2006/relationships/hyperlink" Target="https://www.cdc.gov/pcd/issues/2020/20_0039.htm" TargetMode="External"/><Relationship Id="rId3" Type="http://schemas.openxmlformats.org/officeDocument/2006/relationships/hyperlink" Target="10.1016/j.cgh.2016.10.038" TargetMode="External"/><Relationship Id="rId12" Type="http://schemas.openxmlformats.org/officeDocument/2006/relationships/hyperlink" Target="https://www.mass.gov/info-details/hpc-datapoints-issue-26" TargetMode="External"/><Relationship Id="rId17" Type="http://schemas.openxmlformats.org/officeDocument/2006/relationships/hyperlink" Target="https://www.mintz.com/sites/default/files/viewpoints/orig/8/2017/01/DPH-Final-PHC-Memo-Determination-of-Need-105-CMR-100.000-FINAL-1-11-17.pdf" TargetMode="External"/><Relationship Id="rId25" Type="http://schemas.openxmlformats.org/officeDocument/2006/relationships/hyperlink" Target="https://www.asge.org/home/about-asge/newsroom/media-backgrounders-detail/colorectal-cancer-screening" TargetMode="External"/><Relationship Id="rId33" Type="http://schemas.openxmlformats.org/officeDocument/2006/relationships/hyperlink" Target="https://www.cancer.org/cancer/types/colon-rectal-cancer/about/key-statistics.html" TargetMode="External"/><Relationship Id="rId38" Type="http://schemas.openxmlformats.org/officeDocument/2006/relationships/hyperlink" Target="C://Users/LClarke/Downloads/colorectal-cancer-screening-final-rec-clinician-summary.pdf" TargetMode="External"/><Relationship Id="rId46" Type="http://schemas.openxmlformats.org/officeDocument/2006/relationships/hyperlink" Target="https://www.ascfocus.org/ascfocus/content/articles-content/articles/2018/digital-debut/study-examines-patient-outcomes-across-settings" TargetMode="External"/><Relationship Id="rId59" Type="http://schemas.openxmlformats.org/officeDocument/2006/relationships/hyperlink" Target="https://masshpc.gov/publications/datapoints-series/issue-26-trends-ambulatory-surgical-centers-massachusetts" TargetMode="External"/><Relationship Id="rId67" Type="http://schemas.openxmlformats.org/officeDocument/2006/relationships/hyperlink" Target="https://www.medpac.gov/document/march-2022-report-to-the-congress-medicare-payment-policy/" TargetMode="External"/><Relationship Id="rId20" Type="http://schemas.openxmlformats.org/officeDocument/2006/relationships/hyperlink" Target="https://www.commonwealthfund.org/publications/issue-briefs/2023/jan/us-health-care-global-perspective-2022" TargetMode="External"/><Relationship Id="rId41" Type="http://schemas.openxmlformats.org/officeDocument/2006/relationships/hyperlink" Target="https://gastro.org/clinical-guidance/follow-up-after-colonoscopy-and-polypectomy-a-consensus-update-by-the-u-s-multi-society-task-force-on-colorectal-cancer/" TargetMode="External"/><Relationship Id="rId54" Type="http://schemas.openxmlformats.org/officeDocument/2006/relationships/hyperlink" Target="https://www.mass.gov/files/documents/2018/12/31/jud-lib-105cmr100.pdf" TargetMode="External"/><Relationship Id="rId62" Type="http://schemas.openxmlformats.org/officeDocument/2006/relationships/hyperlink" Target="https://www.cdc.gov/pcd/issues/2020/20_0039.htm" TargetMode="External"/><Relationship Id="rId70" Type="http://schemas.openxmlformats.org/officeDocument/2006/relationships/hyperlink" Target="https://www.provista.com/blog/blog-listing/huge-cost-savings-and-other-benefits-boost-ambulatory-surgery-center-growth" TargetMode="External"/><Relationship Id="rId75" Type="http://schemas.openxmlformats.org/officeDocument/2006/relationships/hyperlink" Target="https://urldefense.com/v3/__https:/usafacts.org/articles/how-many-people-skip-medical-treatment-due-to-healthcare-costs/__;!!CPANwP4y!QuanT_cC-ebCD367t74Mx3juQsU-LslcqUzWEmifEOGn9WVMsWIvO_ovBGT4aH-gJKaH1MUIFTtNT9pw3f7t6zUE$" TargetMode="External"/><Relationship Id="rId1" Type="http://schemas.openxmlformats.org/officeDocument/2006/relationships/hyperlink" Target="10.3322/caac.21440" TargetMode="External"/><Relationship Id="rId6" Type="http://schemas.openxmlformats.org/officeDocument/2006/relationships/hyperlink" Target="http://www.pep.donahue-institute.org/" TargetMode="External"/><Relationship Id="rId15" Type="http://schemas.openxmlformats.org/officeDocument/2006/relationships/hyperlink" Target="https://www.mintz.com/sites/default/files/viewpoints/orig/8/2016/08/Proposed-Revision-Presentation-8.23.16.pdf" TargetMode="External"/><Relationship Id="rId23" Type="http://schemas.openxmlformats.org/officeDocument/2006/relationships/hyperlink" Target="https://www.ncbi.nlm.nih.gov/pmc/articles/PMC7280466/" TargetMode="External"/><Relationship Id="rId28" Type="http://schemas.openxmlformats.org/officeDocument/2006/relationships/hyperlink" Target="https://www.cancer.org/cancer/types/colon-rectal-cancer/about/key-statistics.html" TargetMode="External"/><Relationship Id="rId36" Type="http://schemas.openxmlformats.org/officeDocument/2006/relationships/hyperlink" Target="https://www.health.harvard.edu/blog/colon-cancer-screening-decisions-whats-the-best-option-and-when-202206152762" TargetMode="External"/><Relationship Id="rId49" Type="http://schemas.openxmlformats.org/officeDocument/2006/relationships/hyperlink" Target="https://masshpc.gov/publications/datapoints-series/issue-26-trends-ambulatory-surgical-centers-massachusetts" TargetMode="External"/><Relationship Id="rId57" Type="http://schemas.openxmlformats.org/officeDocument/2006/relationships/hyperlink" Target="https://www.beckersasc.com/gastroenterology-and-endoscopy/asc-vs-hopd-costs-for-5-most-common-gastroenterology-procedures.html" TargetMode="External"/><Relationship Id="rId10" Type="http://schemas.openxmlformats.org/officeDocument/2006/relationships/hyperlink" Target="https://www.ascfocus.org/ascfocus/content/articles-content/articles/2023/digital-debut/sg2-2023-annual-report-forecasts-significant-growth-in-asc-volume" TargetMode="External"/><Relationship Id="rId31" Type="http://schemas.openxmlformats.org/officeDocument/2006/relationships/hyperlink" Target="https://www.cancer.org/cancer/types/colon-rectal-cancer/about/key-statistics.html" TargetMode="External"/><Relationship Id="rId44" Type="http://schemas.openxmlformats.org/officeDocument/2006/relationships/hyperlink" Target="https://www.health.harvard.edu/blog/colon-cancer-screening-decisions-whats-the-best-option-and-when-202206152762" TargetMode="External"/><Relationship Id="rId52" Type="http://schemas.openxmlformats.org/officeDocument/2006/relationships/hyperlink" Target="https://www.mass.gov/doc/community-engagement-guidelines-for-community-health-planning-pdf/download" TargetMode="External"/><Relationship Id="rId60" Type="http://schemas.openxmlformats.org/officeDocument/2006/relationships/hyperlink" Target="https://masshpc.gov/publications/datapoints-series/issue-26-trends-ambulatory-surgical-centers-massachusetts" TargetMode="External"/><Relationship Id="rId65" Type="http://schemas.openxmlformats.org/officeDocument/2006/relationships/hyperlink" Target="https://www.mass.gov/doc/2023-health-care-cost-trends-report/download" TargetMode="External"/><Relationship Id="rId73" Type="http://schemas.openxmlformats.org/officeDocument/2006/relationships/hyperlink" Target="https://www.cdc.gov/pcd/issues/2020/20_0039.htm" TargetMode="External"/><Relationship Id="rId4" Type="http://schemas.openxmlformats.org/officeDocument/2006/relationships/hyperlink" Target="https://doi.org/10.1016/j.cgh.2016.10.038" TargetMode="External"/><Relationship Id="rId9" Type="http://schemas.openxmlformats.org/officeDocument/2006/relationships/hyperlink" Target="https://www.ascfocus.org/ascfocus/content/articles-content/articles/2023/digital-debut/sg2-2023-annual-report-forecasts-significant-growth-in-asc-volume" TargetMode="External"/><Relationship Id="rId13" Type="http://schemas.openxmlformats.org/officeDocument/2006/relationships/hyperlink" Target="https://www.mass.gov/doc/presentation-board-meeting-june-7-2023/download" TargetMode="External"/><Relationship Id="rId18" Type="http://schemas.openxmlformats.org/officeDocument/2006/relationships/hyperlink" Target="https://www.mintz.com/sites/default/files/viewpoints/orig/8/2017/01/DPH-Final-PHC-Memo-Determination-of-Need-105-CMR-100.000-FINAL-1-11-17.pdf" TargetMode="External"/><Relationship Id="rId39" Type="http://schemas.openxmlformats.org/officeDocument/2006/relationships/hyperlink" Target="file:///C:/Users/LClarke/Downloads/colorectal-cancer-screening-final-rec-clinician-summary.pdf" TargetMode="External"/><Relationship Id="rId34" Type="http://schemas.openxmlformats.org/officeDocument/2006/relationships/hyperlink" Target="C://Users/LClarke/Downloads/colorectal-cancer-screening-final-rec-clinician-summary.pdf" TargetMode="External"/><Relationship Id="rId50" Type="http://schemas.openxmlformats.org/officeDocument/2006/relationships/hyperlink" Target="https://www.mass.gov/doc/2021-health-care-cost-trends-report/download" TargetMode="External"/><Relationship Id="rId55" Type="http://schemas.openxmlformats.org/officeDocument/2006/relationships/hyperlink" Target="https://www.mass.gov/files/documents/2018/12/31/jud-lib-105cmr100.pdf" TargetMode="External"/><Relationship Id="rId76" Type="http://schemas.openxmlformats.org/officeDocument/2006/relationships/hyperlink" Target="https://www.cdc.gov/pcd/issues/2020/20_0039.htm" TargetMode="External"/><Relationship Id="rId7" Type="http://schemas.openxmlformats.org/officeDocument/2006/relationships/hyperlink" Target="https://www.beckersasc.com/gastroenterology-and-endoscopy/gastroenterology-in-2030-what-the-specialty-will-look-like-in-10-years.html" TargetMode="External"/><Relationship Id="rId71" Type="http://schemas.openxmlformats.org/officeDocument/2006/relationships/hyperlink" Target="https://www.provista.com/blog/blog-listing/huge-cost-savings-and-other-benefits-boost-ambulatory-surgery-center-growth" TargetMode="External"/><Relationship Id="rId2" Type="http://schemas.openxmlformats.org/officeDocument/2006/relationships/hyperlink" Target="https://doi.org/10.3322/caac.21440" TargetMode="External"/><Relationship Id="rId29" Type="http://schemas.openxmlformats.org/officeDocument/2006/relationships/hyperlink" Target="https://www.cancer.org/cancer/types/colon-rectal-cancer/about/key-statistics.htm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medicare.gov/procedure-price-lookup/" TargetMode="External"/><Relationship Id="rId1" Type="http://schemas.openxmlformats.org/officeDocument/2006/relationships/hyperlink" Target="https://www.medicare.gov/procedure-price-lookup/" TargetMode="External"/></Relationships>
</file>

<file path=word/theme/theme1.xml><?xml version="1.0" encoding="utf-8"?>
<a:theme xmlns:a="http://schemas.openxmlformats.org/drawingml/2006/main" name="Office Theme">
  <a:themeElements>
    <a:clrScheme name="Executive">
      <a:dk1>
        <a:sysClr val="windowText" lastClr="000000"/>
      </a:dk1>
      <a:lt1>
        <a:sysClr val="window" lastClr="FFFFFF"/>
      </a:lt1>
      <a:dk2>
        <a:srgbClr val="2F5897"/>
      </a:dk2>
      <a:lt2>
        <a:srgbClr val="E4E9EF"/>
      </a:lt2>
      <a:accent1>
        <a:srgbClr val="6076B4"/>
      </a:accent1>
      <a:accent2>
        <a:srgbClr val="9C5252"/>
      </a:accent2>
      <a:accent3>
        <a:srgbClr val="E68422"/>
      </a:accent3>
      <a:accent4>
        <a:srgbClr val="846648"/>
      </a:accent4>
      <a:accent5>
        <a:srgbClr val="63891F"/>
      </a:accent5>
      <a:accent6>
        <a:srgbClr val="758085"/>
      </a:accent6>
      <a:hlink>
        <a:srgbClr val="3399FF"/>
      </a:hlink>
      <a:folHlink>
        <a:srgbClr val="B2B2B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5b29da9-7512-4ff8-84cc-0b8e167e62a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89F930D9323CA47A909AE2CF4C9F351" ma:contentTypeVersion="13" ma:contentTypeDescription="Create a new document." ma:contentTypeScope="" ma:versionID="9bd06b54b03f747c89854607b46cd4f8">
  <xsd:schema xmlns:xsd="http://www.w3.org/2001/XMLSchema" xmlns:xs="http://www.w3.org/2001/XMLSchema" xmlns:p="http://schemas.microsoft.com/office/2006/metadata/properties" xmlns:ns3="75b29da9-7512-4ff8-84cc-0b8e167e62a3" xmlns:ns4="32381bbe-c37a-420c-955f-414a93ed7286" targetNamespace="http://schemas.microsoft.com/office/2006/metadata/properties" ma:root="true" ma:fieldsID="1deee0c3f4ff9833a36ef26c197733a9" ns3:_="" ns4:_="">
    <xsd:import namespace="75b29da9-7512-4ff8-84cc-0b8e167e62a3"/>
    <xsd:import namespace="32381bbe-c37a-420c-955f-414a93ed728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29da9-7512-4ff8-84cc-0b8e167e62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381bbe-c37a-420c-955f-414a93ed72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59FEBF-3A36-4FCD-85B9-699C9567CCFE}">
  <ds:schemaRefs>
    <ds:schemaRef ds:uri="http://schemas.microsoft.com/office/2006/metadata/properties"/>
    <ds:schemaRef ds:uri="http://schemas.microsoft.com/office/infopath/2007/PartnerControls"/>
    <ds:schemaRef ds:uri="75b29da9-7512-4ff8-84cc-0b8e167e62a3"/>
  </ds:schemaRefs>
</ds:datastoreItem>
</file>

<file path=customXml/itemProps2.xml><?xml version="1.0" encoding="utf-8"?>
<ds:datastoreItem xmlns:ds="http://schemas.openxmlformats.org/officeDocument/2006/customXml" ds:itemID="{BEB95FDA-5EE7-4A51-8FEB-72A0BBA9A3CD}">
  <ds:schemaRefs>
    <ds:schemaRef ds:uri="http://schemas.openxmlformats.org/officeDocument/2006/bibliography"/>
  </ds:schemaRefs>
</ds:datastoreItem>
</file>

<file path=customXml/itemProps3.xml><?xml version="1.0" encoding="utf-8"?>
<ds:datastoreItem xmlns:ds="http://schemas.openxmlformats.org/officeDocument/2006/customXml" ds:itemID="{42C8C669-543E-4DFE-B647-58F1BBF548AA}">
  <ds:schemaRefs>
    <ds:schemaRef ds:uri="http://schemas.microsoft.com/sharepoint/v3/contenttype/forms"/>
  </ds:schemaRefs>
</ds:datastoreItem>
</file>

<file path=customXml/itemProps4.xml><?xml version="1.0" encoding="utf-8"?>
<ds:datastoreItem xmlns:ds="http://schemas.openxmlformats.org/officeDocument/2006/customXml" ds:itemID="{A549E55B-7533-4414-8E81-C7EA00C369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b29da9-7512-4ff8-84cc-0b8e167e62a3"/>
    <ds:schemaRef ds:uri="32381bbe-c37a-420c-955f-414a93ed7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67</TotalTime>
  <Pages>29</Pages>
  <Words>9394</Words>
  <Characters>53551</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62820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dc:creator>
  <cp:keywords/>
  <cp:lastModifiedBy>Marks, Brett (DPH)</cp:lastModifiedBy>
  <cp:revision>14</cp:revision>
  <cp:lastPrinted>2024-08-24T00:41:00Z</cp:lastPrinted>
  <dcterms:created xsi:type="dcterms:W3CDTF">2025-01-10T14:42:00Z</dcterms:created>
  <dcterms:modified xsi:type="dcterms:W3CDTF">2025-01-10T15:37:00Z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0x010100D89F930D9323CA47A909AE2CF4C9F351</vt:lpwstr>
  </property>
</Properties>
</file>