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DAD8" w14:textId="77777777" w:rsidR="001626F0" w:rsidRDefault="001626F0" w:rsidP="00C62459">
      <w:pPr>
        <w:spacing w:after="0" w:line="240" w:lineRule="auto"/>
        <w:rPr>
          <w:b/>
          <w:bCs/>
          <w:sz w:val="24"/>
          <w:szCs w:val="24"/>
        </w:rPr>
      </w:pPr>
    </w:p>
    <w:p w14:paraId="2E379844" w14:textId="77777777" w:rsidR="001626F0" w:rsidRDefault="001626F0" w:rsidP="00C62459">
      <w:pPr>
        <w:spacing w:after="0" w:line="240" w:lineRule="auto"/>
        <w:rPr>
          <w:b/>
          <w:bCs/>
          <w:sz w:val="24"/>
          <w:szCs w:val="24"/>
        </w:rPr>
      </w:pPr>
    </w:p>
    <w:tbl>
      <w:tblPr>
        <w:tblStyle w:val="TableGrid"/>
        <w:tblpPr w:leftFromText="180" w:rightFromText="180" w:vertAnchor="page" w:horzAnchor="margin" w:tblpXSpec="center" w:tblpY="1531"/>
        <w:tblW w:w="9445" w:type="dxa"/>
        <w:jc w:val="center"/>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Shields PET-CT at &#10;Heywood Healthcare, LLC&#10;Applicant Address  700 Congress Street, Suite 204&#10;Quincy, MA 02169 &#10;Filing Date July 29, 2021&#10;Type of DoN Application Substantial Change in Service – &#10;DoN-Required Equipment&#10;Total Value $2,570,562.00 &#10;Project Number 21021213-HS&#10;Ten Taxpayer Group (TTG) None&#10;Community Health Initiative (CHI)  $128,528.10&#10;Staff Recommendation Approval &#10;Delegated Review Commissioner Approval&#10;Project Summary and Regulatory Review&#10;Shields PET-CT at Heywood Healthcare, LLC (Applicant) submitted a DoN Application for a Substantial Change in Service to establish a licensed clinic to provide magnetic &#10;resonance imaging (MRI) services at Heywood Hospital six days a week and mobile positron emission tomography-computed tomography (PET-CT) imaging services at Athol Hospital one day a week. The Applicant is a newly formed joint venture between Shields Health Care Group, Inc. and Heywood Healthcare, Inc. that replaces an existing contract with an imaging vendor for the same service. The existing contract with the imaging vendor is ending and the Applicant seeks to fulfill the need for MRI and PET-CT services. The capital expenditure for the Proposed Project is $2,570,562.00; the Community Health Initiatives (CHI) contribution is $128,528.10.&#10;&#10;This DoN application falls within the definition of Substantial Change in Service,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10;"/>
      </w:tblPr>
      <w:tblGrid>
        <w:gridCol w:w="3685"/>
        <w:gridCol w:w="5760"/>
      </w:tblGrid>
      <w:tr w:rsidR="001626F0" w:rsidRPr="00E20DEA" w14:paraId="1A8FE388" w14:textId="77777777" w:rsidTr="003A5696">
        <w:trPr>
          <w:trHeight w:val="440"/>
          <w:tblHeader/>
          <w:jc w:val="center"/>
        </w:trPr>
        <w:tc>
          <w:tcPr>
            <w:tcW w:w="9445" w:type="dxa"/>
            <w:gridSpan w:val="2"/>
            <w:shd w:val="clear" w:color="auto" w:fill="E5FFFF"/>
            <w:vAlign w:val="center"/>
          </w:tcPr>
          <w:p w14:paraId="11DE6832" w14:textId="77777777" w:rsidR="001B5DC0" w:rsidRPr="00E20DEA" w:rsidRDefault="001B5DC0" w:rsidP="001B5DC0">
            <w:pPr>
              <w:pStyle w:val="NoSpacing"/>
              <w:ind w:right="540"/>
              <w:contextualSpacing/>
              <w:jc w:val="center"/>
              <w:rPr>
                <w:rFonts w:cstheme="minorHAnsi"/>
                <w:b/>
                <w:sz w:val="24"/>
                <w:szCs w:val="24"/>
              </w:rPr>
            </w:pPr>
            <w:r w:rsidRPr="00E20DEA">
              <w:rPr>
                <w:rFonts w:cstheme="minorHAnsi"/>
                <w:b/>
                <w:sz w:val="24"/>
                <w:szCs w:val="24"/>
              </w:rPr>
              <w:t>STAFF REPORT TO THE PUBLIC HEALTH COUNCIL</w:t>
            </w:r>
          </w:p>
          <w:p w14:paraId="25D94099" w14:textId="1C50052E" w:rsidR="001626F0" w:rsidRPr="00E20DEA" w:rsidRDefault="001B5DC0" w:rsidP="001B5DC0">
            <w:pPr>
              <w:pStyle w:val="Header"/>
              <w:ind w:right="540"/>
              <w:contextualSpacing/>
              <w:jc w:val="center"/>
              <w:rPr>
                <w:rFonts w:cstheme="minorHAnsi"/>
                <w:b/>
                <w:sz w:val="24"/>
                <w:szCs w:val="24"/>
                <w:highlight w:val="yellow"/>
              </w:rPr>
            </w:pPr>
            <w:r w:rsidRPr="00E20DEA">
              <w:rPr>
                <w:rFonts w:cstheme="minorHAnsi"/>
                <w:b/>
              </w:rPr>
              <w:t>FOR A DETERMINATION OF NEED</w:t>
            </w:r>
          </w:p>
        </w:tc>
      </w:tr>
      <w:tr w:rsidR="001626F0" w:rsidRPr="00E20DEA" w14:paraId="6303AF95" w14:textId="77777777" w:rsidTr="00E87941">
        <w:trPr>
          <w:trHeight w:val="413"/>
          <w:jc w:val="center"/>
        </w:trPr>
        <w:tc>
          <w:tcPr>
            <w:tcW w:w="3685" w:type="dxa"/>
            <w:shd w:val="clear" w:color="auto" w:fill="auto"/>
            <w:vAlign w:val="center"/>
          </w:tcPr>
          <w:p w14:paraId="1D18A9DB" w14:textId="77777777" w:rsidR="001626F0" w:rsidRPr="00E20DEA" w:rsidRDefault="001626F0" w:rsidP="008A4468">
            <w:pPr>
              <w:ind w:right="540"/>
              <w:contextualSpacing/>
              <w:rPr>
                <w:rFonts w:cstheme="minorHAnsi"/>
                <w:sz w:val="24"/>
                <w:szCs w:val="24"/>
              </w:rPr>
            </w:pPr>
            <w:r w:rsidRPr="00E20DEA">
              <w:rPr>
                <w:rFonts w:cstheme="minorHAnsi"/>
                <w:sz w:val="24"/>
                <w:szCs w:val="24"/>
              </w:rPr>
              <w:t xml:space="preserve">Applicant Name </w:t>
            </w:r>
          </w:p>
        </w:tc>
        <w:tc>
          <w:tcPr>
            <w:tcW w:w="5760" w:type="dxa"/>
            <w:shd w:val="clear" w:color="auto" w:fill="auto"/>
            <w:vAlign w:val="center"/>
          </w:tcPr>
          <w:p w14:paraId="5638FB0B" w14:textId="34AF0177" w:rsidR="001626F0" w:rsidRPr="00E20DEA" w:rsidRDefault="000F2DC8" w:rsidP="008A4468">
            <w:pPr>
              <w:ind w:right="540"/>
              <w:contextualSpacing/>
              <w:rPr>
                <w:rFonts w:cstheme="minorHAnsi"/>
                <w:bCs/>
                <w:sz w:val="24"/>
                <w:szCs w:val="24"/>
                <w:highlight w:val="yellow"/>
              </w:rPr>
            </w:pPr>
            <w:r w:rsidRPr="000F2DC8">
              <w:rPr>
                <w:rFonts w:cstheme="minorHAnsi"/>
                <w:bCs/>
                <w:sz w:val="24"/>
                <w:szCs w:val="24"/>
              </w:rPr>
              <w:t>Sturdy Health Foundation, Inc.</w:t>
            </w:r>
          </w:p>
        </w:tc>
      </w:tr>
      <w:tr w:rsidR="001626F0" w:rsidRPr="00E20DEA" w14:paraId="6933F7CE" w14:textId="77777777" w:rsidTr="00E87941">
        <w:trPr>
          <w:trHeight w:val="357"/>
          <w:jc w:val="center"/>
        </w:trPr>
        <w:tc>
          <w:tcPr>
            <w:tcW w:w="3685" w:type="dxa"/>
            <w:shd w:val="clear" w:color="auto" w:fill="auto"/>
            <w:vAlign w:val="center"/>
          </w:tcPr>
          <w:p w14:paraId="1F73D820" w14:textId="77777777" w:rsidR="001626F0" w:rsidRPr="00E20DEA" w:rsidRDefault="001626F0" w:rsidP="008A4468">
            <w:pPr>
              <w:ind w:right="540"/>
              <w:contextualSpacing/>
              <w:rPr>
                <w:rFonts w:cstheme="minorHAnsi"/>
                <w:sz w:val="24"/>
                <w:szCs w:val="24"/>
              </w:rPr>
            </w:pPr>
            <w:r w:rsidRPr="00E20DEA">
              <w:rPr>
                <w:rFonts w:cstheme="minorHAnsi"/>
                <w:sz w:val="24"/>
                <w:szCs w:val="24"/>
              </w:rPr>
              <w:t xml:space="preserve">Applicant Address </w:t>
            </w:r>
          </w:p>
        </w:tc>
        <w:tc>
          <w:tcPr>
            <w:tcW w:w="5760" w:type="dxa"/>
            <w:shd w:val="clear" w:color="auto" w:fill="auto"/>
            <w:vAlign w:val="center"/>
          </w:tcPr>
          <w:p w14:paraId="3A36F3CE" w14:textId="4F4103BB" w:rsidR="001626F0" w:rsidRPr="00791CC4" w:rsidRDefault="00791CC4" w:rsidP="008A4468">
            <w:pPr>
              <w:ind w:right="540"/>
              <w:contextualSpacing/>
              <w:rPr>
                <w:rFonts w:cstheme="minorHAnsi"/>
                <w:sz w:val="24"/>
                <w:szCs w:val="24"/>
                <w:lang w:val="fr-FR"/>
              </w:rPr>
            </w:pPr>
            <w:r w:rsidRPr="00791CC4">
              <w:rPr>
                <w:rFonts w:cstheme="minorHAnsi"/>
                <w:sz w:val="24"/>
                <w:szCs w:val="24"/>
              </w:rPr>
              <w:t>211 Park St. Attleboro, MA 02703</w:t>
            </w:r>
          </w:p>
        </w:tc>
      </w:tr>
      <w:tr w:rsidR="001626F0" w:rsidRPr="00E20DEA" w14:paraId="013A7CB1" w14:textId="77777777" w:rsidTr="00E87941">
        <w:trPr>
          <w:trHeight w:val="377"/>
          <w:jc w:val="center"/>
        </w:trPr>
        <w:tc>
          <w:tcPr>
            <w:tcW w:w="3685" w:type="dxa"/>
            <w:shd w:val="clear" w:color="auto" w:fill="auto"/>
            <w:vAlign w:val="center"/>
          </w:tcPr>
          <w:p w14:paraId="09B68F1A" w14:textId="77777777" w:rsidR="001626F0" w:rsidRPr="00E20DEA" w:rsidRDefault="001626F0" w:rsidP="008A4468">
            <w:pPr>
              <w:ind w:right="540"/>
              <w:contextualSpacing/>
              <w:rPr>
                <w:rFonts w:cstheme="minorHAnsi"/>
                <w:sz w:val="24"/>
                <w:szCs w:val="24"/>
              </w:rPr>
            </w:pPr>
            <w:r w:rsidRPr="00E20DEA">
              <w:rPr>
                <w:rFonts w:cstheme="minorHAnsi"/>
                <w:sz w:val="24"/>
                <w:szCs w:val="24"/>
              </w:rPr>
              <w:t>Filing Date</w:t>
            </w:r>
          </w:p>
        </w:tc>
        <w:tc>
          <w:tcPr>
            <w:tcW w:w="5760" w:type="dxa"/>
            <w:shd w:val="clear" w:color="auto" w:fill="auto"/>
            <w:vAlign w:val="center"/>
          </w:tcPr>
          <w:p w14:paraId="3B9C9630" w14:textId="17400930" w:rsidR="00791CC4" w:rsidRPr="00E20DEA" w:rsidRDefault="004D0E8E" w:rsidP="008A4468">
            <w:pPr>
              <w:ind w:right="540"/>
              <w:contextualSpacing/>
              <w:rPr>
                <w:rFonts w:cstheme="minorHAnsi"/>
                <w:sz w:val="24"/>
                <w:szCs w:val="24"/>
                <w:highlight w:val="yellow"/>
              </w:rPr>
            </w:pPr>
            <w:r>
              <w:rPr>
                <w:rFonts w:cstheme="minorHAnsi"/>
                <w:sz w:val="24"/>
                <w:szCs w:val="24"/>
              </w:rPr>
              <w:t>December 23, 2024</w:t>
            </w:r>
          </w:p>
        </w:tc>
      </w:tr>
      <w:tr w:rsidR="001626F0" w:rsidRPr="00E20DEA" w14:paraId="6701CB62" w14:textId="77777777" w:rsidTr="00E87941">
        <w:trPr>
          <w:trHeight w:val="350"/>
          <w:jc w:val="center"/>
        </w:trPr>
        <w:tc>
          <w:tcPr>
            <w:tcW w:w="3685" w:type="dxa"/>
            <w:shd w:val="clear" w:color="auto" w:fill="auto"/>
            <w:vAlign w:val="center"/>
          </w:tcPr>
          <w:p w14:paraId="3BCE5031" w14:textId="77777777" w:rsidR="001626F0" w:rsidRPr="00E20DEA" w:rsidRDefault="001626F0" w:rsidP="008A4468">
            <w:pPr>
              <w:ind w:right="540"/>
              <w:contextualSpacing/>
              <w:rPr>
                <w:rFonts w:cstheme="minorHAnsi"/>
                <w:sz w:val="24"/>
                <w:szCs w:val="24"/>
              </w:rPr>
            </w:pPr>
            <w:r w:rsidRPr="00E20DEA">
              <w:rPr>
                <w:rFonts w:cstheme="minorHAnsi"/>
                <w:sz w:val="24"/>
                <w:szCs w:val="24"/>
              </w:rPr>
              <w:t>Type of DoN Application</w:t>
            </w:r>
          </w:p>
        </w:tc>
        <w:tc>
          <w:tcPr>
            <w:tcW w:w="5760" w:type="dxa"/>
            <w:shd w:val="clear" w:color="auto" w:fill="auto"/>
            <w:vAlign w:val="center"/>
          </w:tcPr>
          <w:p w14:paraId="74E742FD" w14:textId="5CE2C7EF" w:rsidR="001626F0" w:rsidRPr="00E20DEA" w:rsidRDefault="00676117" w:rsidP="008A4468">
            <w:pPr>
              <w:ind w:right="-110"/>
              <w:contextualSpacing/>
              <w:rPr>
                <w:rFonts w:cstheme="minorHAnsi"/>
                <w:sz w:val="24"/>
                <w:szCs w:val="24"/>
                <w:highlight w:val="yellow"/>
              </w:rPr>
            </w:pPr>
            <w:r w:rsidRPr="00791CC4">
              <w:rPr>
                <w:rFonts w:cstheme="minorHAnsi"/>
                <w:sz w:val="24"/>
                <w:szCs w:val="24"/>
              </w:rPr>
              <w:t>Substantial Capital Expenditure</w:t>
            </w:r>
          </w:p>
        </w:tc>
      </w:tr>
      <w:tr w:rsidR="001626F0" w:rsidRPr="00E20DEA" w14:paraId="613B5F25" w14:textId="77777777" w:rsidTr="00E87941">
        <w:trPr>
          <w:trHeight w:val="350"/>
          <w:jc w:val="center"/>
        </w:trPr>
        <w:tc>
          <w:tcPr>
            <w:tcW w:w="3685" w:type="dxa"/>
            <w:shd w:val="clear" w:color="auto" w:fill="auto"/>
            <w:vAlign w:val="center"/>
          </w:tcPr>
          <w:p w14:paraId="4AE468F6" w14:textId="77777777" w:rsidR="001626F0" w:rsidRPr="00E20DEA" w:rsidRDefault="001626F0" w:rsidP="008A4468">
            <w:pPr>
              <w:ind w:right="540"/>
              <w:contextualSpacing/>
              <w:rPr>
                <w:rFonts w:cstheme="minorHAnsi"/>
                <w:sz w:val="24"/>
                <w:szCs w:val="24"/>
              </w:rPr>
            </w:pPr>
            <w:r w:rsidRPr="00E20DEA">
              <w:rPr>
                <w:rFonts w:cstheme="minorHAnsi"/>
                <w:sz w:val="24"/>
                <w:szCs w:val="24"/>
              </w:rPr>
              <w:t>Total Value</w:t>
            </w:r>
          </w:p>
        </w:tc>
        <w:tc>
          <w:tcPr>
            <w:tcW w:w="5760" w:type="dxa"/>
            <w:shd w:val="clear" w:color="auto" w:fill="auto"/>
            <w:vAlign w:val="center"/>
          </w:tcPr>
          <w:p w14:paraId="379B7099" w14:textId="7CE49444" w:rsidR="001626F0" w:rsidRPr="00E20DEA" w:rsidRDefault="006F32E2" w:rsidP="008A4468">
            <w:pPr>
              <w:ind w:right="540"/>
              <w:contextualSpacing/>
              <w:rPr>
                <w:rFonts w:cstheme="minorHAnsi"/>
                <w:sz w:val="24"/>
                <w:szCs w:val="24"/>
                <w:highlight w:val="yellow"/>
              </w:rPr>
            </w:pPr>
            <w:r w:rsidRPr="006F32E2">
              <w:rPr>
                <w:rFonts w:cstheme="minorHAnsi"/>
                <w:sz w:val="24"/>
                <w:szCs w:val="24"/>
              </w:rPr>
              <w:t>$81,441,502.00</w:t>
            </w:r>
          </w:p>
        </w:tc>
      </w:tr>
      <w:tr w:rsidR="001626F0" w:rsidRPr="00E20DEA" w14:paraId="03116F04" w14:textId="77777777" w:rsidTr="00E87941">
        <w:trPr>
          <w:trHeight w:val="350"/>
          <w:jc w:val="center"/>
        </w:trPr>
        <w:tc>
          <w:tcPr>
            <w:tcW w:w="3685" w:type="dxa"/>
            <w:shd w:val="clear" w:color="auto" w:fill="auto"/>
            <w:vAlign w:val="center"/>
          </w:tcPr>
          <w:p w14:paraId="3DBDE5CF" w14:textId="77777777" w:rsidR="001626F0" w:rsidRPr="00E20DEA" w:rsidRDefault="001626F0" w:rsidP="008A4468">
            <w:pPr>
              <w:ind w:right="540"/>
              <w:contextualSpacing/>
              <w:rPr>
                <w:rFonts w:cstheme="minorHAnsi"/>
                <w:sz w:val="24"/>
                <w:szCs w:val="24"/>
              </w:rPr>
            </w:pPr>
            <w:r w:rsidRPr="00E20DEA">
              <w:rPr>
                <w:rFonts w:cstheme="minorHAnsi"/>
                <w:sz w:val="24"/>
                <w:szCs w:val="24"/>
              </w:rPr>
              <w:t>Project Number</w:t>
            </w:r>
          </w:p>
        </w:tc>
        <w:tc>
          <w:tcPr>
            <w:tcW w:w="5760" w:type="dxa"/>
            <w:shd w:val="clear" w:color="auto" w:fill="auto"/>
            <w:vAlign w:val="center"/>
          </w:tcPr>
          <w:p w14:paraId="39260819" w14:textId="568AAFCD" w:rsidR="001626F0" w:rsidRPr="00E20DEA" w:rsidRDefault="00CF5430" w:rsidP="008A4468">
            <w:pPr>
              <w:ind w:right="540"/>
              <w:contextualSpacing/>
              <w:rPr>
                <w:rFonts w:cstheme="minorHAnsi"/>
                <w:sz w:val="24"/>
                <w:szCs w:val="24"/>
                <w:highlight w:val="yellow"/>
              </w:rPr>
            </w:pPr>
            <w:r w:rsidRPr="00CF5430">
              <w:rPr>
                <w:rFonts w:cstheme="minorHAnsi"/>
                <w:sz w:val="24"/>
                <w:szCs w:val="24"/>
              </w:rPr>
              <w:t>SH-24100710-HE</w:t>
            </w:r>
          </w:p>
        </w:tc>
      </w:tr>
      <w:tr w:rsidR="001626F0" w:rsidRPr="00E20DEA" w14:paraId="508256C0" w14:textId="77777777" w:rsidTr="00E87941">
        <w:trPr>
          <w:trHeight w:val="350"/>
          <w:jc w:val="center"/>
        </w:trPr>
        <w:tc>
          <w:tcPr>
            <w:tcW w:w="3685" w:type="dxa"/>
            <w:shd w:val="clear" w:color="auto" w:fill="auto"/>
            <w:vAlign w:val="center"/>
          </w:tcPr>
          <w:p w14:paraId="4EDCAE51" w14:textId="77777777" w:rsidR="001626F0" w:rsidRPr="00822A80" w:rsidRDefault="001626F0" w:rsidP="008A4468">
            <w:pPr>
              <w:ind w:right="-110"/>
              <w:contextualSpacing/>
              <w:rPr>
                <w:rFonts w:cstheme="minorHAnsi"/>
                <w:sz w:val="24"/>
                <w:szCs w:val="24"/>
              </w:rPr>
            </w:pPr>
            <w:r w:rsidRPr="00822A80">
              <w:rPr>
                <w:rFonts w:cstheme="minorHAnsi"/>
                <w:sz w:val="24"/>
                <w:szCs w:val="24"/>
              </w:rPr>
              <w:t>Ten Taxpayer Group</w:t>
            </w:r>
          </w:p>
        </w:tc>
        <w:tc>
          <w:tcPr>
            <w:tcW w:w="5760" w:type="dxa"/>
            <w:shd w:val="clear" w:color="auto" w:fill="auto"/>
            <w:vAlign w:val="center"/>
          </w:tcPr>
          <w:p w14:paraId="0318264F" w14:textId="38F838F0" w:rsidR="001626F0" w:rsidRPr="00822A80" w:rsidRDefault="00822A80" w:rsidP="008A4468">
            <w:pPr>
              <w:ind w:right="540"/>
              <w:contextualSpacing/>
              <w:rPr>
                <w:rFonts w:cstheme="minorHAnsi"/>
                <w:sz w:val="24"/>
                <w:szCs w:val="24"/>
              </w:rPr>
            </w:pPr>
            <w:r w:rsidRPr="00822A80">
              <w:rPr>
                <w:rFonts w:cstheme="minorHAnsi"/>
                <w:sz w:val="24"/>
                <w:szCs w:val="24"/>
              </w:rPr>
              <w:t>None</w:t>
            </w:r>
          </w:p>
        </w:tc>
      </w:tr>
      <w:tr w:rsidR="001626F0" w:rsidRPr="00E20DEA" w14:paraId="4B7BA0EC" w14:textId="77777777" w:rsidTr="00E87941">
        <w:trPr>
          <w:trHeight w:val="350"/>
          <w:jc w:val="center"/>
        </w:trPr>
        <w:tc>
          <w:tcPr>
            <w:tcW w:w="3685" w:type="dxa"/>
            <w:shd w:val="clear" w:color="auto" w:fill="auto"/>
            <w:vAlign w:val="center"/>
          </w:tcPr>
          <w:p w14:paraId="3346EA7B" w14:textId="77777777" w:rsidR="001626F0" w:rsidRPr="00E20DEA" w:rsidRDefault="001626F0" w:rsidP="008A4468">
            <w:pPr>
              <w:ind w:right="540"/>
              <w:contextualSpacing/>
              <w:rPr>
                <w:rFonts w:cstheme="minorHAnsi"/>
                <w:sz w:val="24"/>
                <w:szCs w:val="24"/>
              </w:rPr>
            </w:pPr>
            <w:r w:rsidRPr="00E20DEA">
              <w:rPr>
                <w:rFonts w:cstheme="minorHAnsi"/>
                <w:sz w:val="24"/>
                <w:szCs w:val="24"/>
              </w:rPr>
              <w:t xml:space="preserve">Community Health Initiative </w:t>
            </w:r>
          </w:p>
        </w:tc>
        <w:tc>
          <w:tcPr>
            <w:tcW w:w="5760" w:type="dxa"/>
            <w:shd w:val="clear" w:color="auto" w:fill="auto"/>
            <w:vAlign w:val="center"/>
          </w:tcPr>
          <w:p w14:paraId="429E3C49" w14:textId="6F3A8778" w:rsidR="001626F0" w:rsidRPr="00E20DEA" w:rsidRDefault="00FD4875" w:rsidP="008A4468">
            <w:pPr>
              <w:ind w:right="540"/>
              <w:contextualSpacing/>
              <w:rPr>
                <w:rFonts w:cstheme="minorHAnsi"/>
                <w:sz w:val="24"/>
                <w:szCs w:val="24"/>
                <w:highlight w:val="yellow"/>
              </w:rPr>
            </w:pPr>
            <w:r w:rsidRPr="00FD4875">
              <w:rPr>
                <w:rFonts w:cstheme="minorHAnsi"/>
                <w:sz w:val="24"/>
                <w:szCs w:val="24"/>
              </w:rPr>
              <w:t>$4,072,075.10</w:t>
            </w:r>
          </w:p>
        </w:tc>
      </w:tr>
      <w:tr w:rsidR="001626F0" w:rsidRPr="00E20DEA" w14:paraId="6BEB37FC" w14:textId="77777777" w:rsidTr="00E87941">
        <w:trPr>
          <w:trHeight w:val="350"/>
          <w:jc w:val="center"/>
        </w:trPr>
        <w:tc>
          <w:tcPr>
            <w:tcW w:w="3685" w:type="dxa"/>
            <w:shd w:val="clear" w:color="auto" w:fill="auto"/>
            <w:vAlign w:val="center"/>
          </w:tcPr>
          <w:p w14:paraId="60D966DB" w14:textId="77777777" w:rsidR="001626F0" w:rsidRPr="00E20DEA" w:rsidRDefault="001626F0" w:rsidP="008A4468">
            <w:pPr>
              <w:ind w:right="540"/>
              <w:contextualSpacing/>
              <w:rPr>
                <w:rFonts w:cstheme="minorHAnsi"/>
                <w:sz w:val="24"/>
                <w:szCs w:val="24"/>
              </w:rPr>
            </w:pPr>
            <w:r w:rsidRPr="00E20DEA">
              <w:rPr>
                <w:rFonts w:cstheme="minorHAnsi"/>
                <w:sz w:val="24"/>
                <w:szCs w:val="24"/>
              </w:rPr>
              <w:t>Staff Recommendation</w:t>
            </w:r>
          </w:p>
        </w:tc>
        <w:tc>
          <w:tcPr>
            <w:tcW w:w="5760" w:type="dxa"/>
            <w:shd w:val="clear" w:color="auto" w:fill="auto"/>
            <w:vAlign w:val="center"/>
          </w:tcPr>
          <w:p w14:paraId="0F4BD9B2" w14:textId="77777777" w:rsidR="001626F0" w:rsidRPr="00E20DEA" w:rsidRDefault="001626F0" w:rsidP="008A4468">
            <w:pPr>
              <w:ind w:right="540"/>
              <w:contextualSpacing/>
              <w:rPr>
                <w:rFonts w:cstheme="minorHAnsi"/>
                <w:sz w:val="24"/>
                <w:szCs w:val="24"/>
                <w:highlight w:val="yellow"/>
              </w:rPr>
            </w:pPr>
            <w:r w:rsidRPr="00FD4875">
              <w:rPr>
                <w:rFonts w:cstheme="minorHAnsi"/>
                <w:sz w:val="24"/>
                <w:szCs w:val="24"/>
              </w:rPr>
              <w:t xml:space="preserve">Approval </w:t>
            </w:r>
          </w:p>
        </w:tc>
      </w:tr>
      <w:tr w:rsidR="001626F0" w:rsidRPr="00E20DEA" w14:paraId="2D494D03" w14:textId="77777777" w:rsidTr="00E87941">
        <w:trPr>
          <w:trHeight w:val="350"/>
          <w:jc w:val="center"/>
        </w:trPr>
        <w:tc>
          <w:tcPr>
            <w:tcW w:w="3685" w:type="dxa"/>
            <w:shd w:val="clear" w:color="auto" w:fill="auto"/>
            <w:vAlign w:val="center"/>
          </w:tcPr>
          <w:p w14:paraId="39CFB2D6" w14:textId="5BB07504" w:rsidR="001626F0" w:rsidRPr="004D0E8E" w:rsidRDefault="009E7FFA" w:rsidP="008A4468">
            <w:pPr>
              <w:ind w:right="540"/>
              <w:contextualSpacing/>
              <w:rPr>
                <w:rFonts w:cstheme="minorHAnsi"/>
                <w:sz w:val="24"/>
                <w:szCs w:val="24"/>
              </w:rPr>
            </w:pPr>
            <w:r w:rsidRPr="004D0E8E">
              <w:rPr>
                <w:rFonts w:cstheme="minorHAnsi"/>
                <w:sz w:val="24"/>
                <w:szCs w:val="24"/>
              </w:rPr>
              <w:t>Public Health Council</w:t>
            </w:r>
          </w:p>
        </w:tc>
        <w:tc>
          <w:tcPr>
            <w:tcW w:w="5760" w:type="dxa"/>
            <w:shd w:val="clear" w:color="auto" w:fill="auto"/>
            <w:vAlign w:val="center"/>
          </w:tcPr>
          <w:p w14:paraId="700C91FB" w14:textId="245D6434" w:rsidR="001626F0" w:rsidRPr="004D0E8E" w:rsidRDefault="004D0E8E" w:rsidP="008A4468">
            <w:pPr>
              <w:ind w:right="540"/>
              <w:contextualSpacing/>
              <w:rPr>
                <w:rFonts w:cstheme="minorHAnsi"/>
                <w:sz w:val="24"/>
                <w:szCs w:val="24"/>
              </w:rPr>
            </w:pPr>
            <w:r w:rsidRPr="004D0E8E">
              <w:rPr>
                <w:rFonts w:cstheme="minorHAnsi"/>
                <w:sz w:val="24"/>
                <w:szCs w:val="24"/>
              </w:rPr>
              <w:t>April 9, 2025</w:t>
            </w:r>
          </w:p>
        </w:tc>
      </w:tr>
      <w:tr w:rsidR="001626F0" w:rsidRPr="00E20DEA" w14:paraId="09748D86" w14:textId="77777777" w:rsidTr="008A4468">
        <w:trPr>
          <w:trHeight w:val="2436"/>
          <w:jc w:val="center"/>
        </w:trPr>
        <w:tc>
          <w:tcPr>
            <w:tcW w:w="9445" w:type="dxa"/>
            <w:gridSpan w:val="2"/>
            <w:shd w:val="clear" w:color="auto" w:fill="auto"/>
            <w:vAlign w:val="center"/>
          </w:tcPr>
          <w:p w14:paraId="701C2542" w14:textId="77777777" w:rsidR="001626F0" w:rsidRPr="00E20DEA" w:rsidRDefault="001626F0" w:rsidP="008A4468">
            <w:pPr>
              <w:pStyle w:val="NoSpacing"/>
              <w:ind w:right="540"/>
              <w:contextualSpacing/>
              <w:jc w:val="center"/>
              <w:rPr>
                <w:rFonts w:cstheme="minorHAnsi"/>
                <w:sz w:val="24"/>
                <w:szCs w:val="24"/>
                <w:highlight w:val="yellow"/>
                <w:u w:val="single"/>
              </w:rPr>
            </w:pPr>
          </w:p>
          <w:p w14:paraId="02CE4586" w14:textId="77777777" w:rsidR="001626F0" w:rsidRPr="00E20DEA" w:rsidRDefault="001626F0" w:rsidP="008A4468">
            <w:pPr>
              <w:pStyle w:val="NoSpacing"/>
              <w:ind w:right="540"/>
              <w:contextualSpacing/>
              <w:jc w:val="center"/>
              <w:rPr>
                <w:rFonts w:cstheme="minorHAnsi"/>
                <w:sz w:val="24"/>
                <w:szCs w:val="24"/>
                <w:u w:val="single"/>
              </w:rPr>
            </w:pPr>
            <w:r w:rsidRPr="00E20DEA">
              <w:rPr>
                <w:rFonts w:cstheme="minorHAnsi"/>
                <w:sz w:val="24"/>
                <w:szCs w:val="24"/>
                <w:u w:val="single"/>
              </w:rPr>
              <w:t>Project Summary and Regulatory Review</w:t>
            </w:r>
          </w:p>
          <w:p w14:paraId="3E4DD290" w14:textId="77777777" w:rsidR="001626F0" w:rsidRPr="00E20DEA" w:rsidRDefault="001626F0" w:rsidP="008A4468">
            <w:pPr>
              <w:pStyle w:val="NoSpacing"/>
              <w:ind w:right="540"/>
              <w:contextualSpacing/>
              <w:jc w:val="center"/>
              <w:rPr>
                <w:rFonts w:cstheme="minorHAnsi"/>
                <w:sz w:val="24"/>
                <w:szCs w:val="24"/>
                <w:highlight w:val="yellow"/>
              </w:rPr>
            </w:pPr>
          </w:p>
          <w:p w14:paraId="4A93B096" w14:textId="4C251B72" w:rsidR="001626F0" w:rsidRPr="00E20DEA" w:rsidRDefault="00FD4875" w:rsidP="00DA034F">
            <w:pPr>
              <w:pStyle w:val="NoSpacing"/>
              <w:contextualSpacing/>
              <w:rPr>
                <w:rFonts w:cstheme="minorHAnsi"/>
                <w:sz w:val="24"/>
                <w:szCs w:val="24"/>
                <w:highlight w:val="yellow"/>
              </w:rPr>
            </w:pPr>
            <w:r w:rsidRPr="000F2DC8">
              <w:rPr>
                <w:rFonts w:cstheme="minorHAnsi"/>
                <w:bCs/>
                <w:sz w:val="24"/>
                <w:szCs w:val="24"/>
              </w:rPr>
              <w:t xml:space="preserve">Sturdy Health Foundation, </w:t>
            </w:r>
            <w:r w:rsidRPr="00FD4875">
              <w:rPr>
                <w:rFonts w:cstheme="minorHAnsi"/>
                <w:bCs/>
                <w:sz w:val="24"/>
                <w:szCs w:val="24"/>
              </w:rPr>
              <w:t>Inc.</w:t>
            </w:r>
            <w:r w:rsidR="006D2659">
              <w:rPr>
                <w:rFonts w:cstheme="minorHAnsi"/>
                <w:bCs/>
                <w:sz w:val="24"/>
                <w:szCs w:val="24"/>
              </w:rPr>
              <w:t xml:space="preserve"> </w:t>
            </w:r>
            <w:r w:rsidR="00855AE7" w:rsidRPr="00FD4875">
              <w:rPr>
                <w:rFonts w:cstheme="minorHAnsi"/>
                <w:sz w:val="24"/>
                <w:szCs w:val="24"/>
              </w:rPr>
              <w:t>is filing a Notice of Determination of Need</w:t>
            </w:r>
            <w:r w:rsidR="006D2659">
              <w:rPr>
                <w:rFonts w:cstheme="minorHAnsi"/>
                <w:sz w:val="24"/>
                <w:szCs w:val="24"/>
              </w:rPr>
              <w:t xml:space="preserve"> (DoN)</w:t>
            </w:r>
            <w:r w:rsidR="00855AE7" w:rsidRPr="00FD4875">
              <w:rPr>
                <w:rFonts w:cstheme="minorHAnsi"/>
                <w:sz w:val="24"/>
                <w:szCs w:val="24"/>
              </w:rPr>
              <w:t xml:space="preserve"> with the Department of Public Health</w:t>
            </w:r>
            <w:r w:rsidR="006D2659">
              <w:rPr>
                <w:rFonts w:cstheme="minorHAnsi"/>
                <w:sz w:val="24"/>
                <w:szCs w:val="24"/>
              </w:rPr>
              <w:t xml:space="preserve"> (DPH)</w:t>
            </w:r>
            <w:r w:rsidR="00DA034F" w:rsidRPr="00FD4875">
              <w:rPr>
                <w:rFonts w:ascii="ArialMT" w:hAnsi="ArialMT" w:cs="ArialMT"/>
                <w:sz w:val="20"/>
                <w:szCs w:val="20"/>
              </w:rPr>
              <w:t xml:space="preserve"> </w:t>
            </w:r>
            <w:r w:rsidR="00DA034F" w:rsidRPr="00FD4875">
              <w:rPr>
                <w:rFonts w:cstheme="minorHAnsi"/>
                <w:sz w:val="24"/>
                <w:szCs w:val="24"/>
              </w:rPr>
              <w:t xml:space="preserve">for the renovation and expansion of the </w:t>
            </w:r>
            <w:r w:rsidR="00DA034F" w:rsidRPr="00965A0F">
              <w:rPr>
                <w:rFonts w:cstheme="minorHAnsi"/>
                <w:sz w:val="24"/>
                <w:szCs w:val="24"/>
              </w:rPr>
              <w:t>Emergency</w:t>
            </w:r>
            <w:r w:rsidR="00E83931" w:rsidRPr="00965A0F">
              <w:rPr>
                <w:rFonts w:cstheme="minorHAnsi"/>
                <w:sz w:val="24"/>
                <w:szCs w:val="24"/>
              </w:rPr>
              <w:t xml:space="preserve"> </w:t>
            </w:r>
            <w:r w:rsidR="00DA034F" w:rsidRPr="00965A0F">
              <w:rPr>
                <w:rFonts w:cstheme="minorHAnsi"/>
                <w:sz w:val="24"/>
                <w:szCs w:val="24"/>
              </w:rPr>
              <w:t xml:space="preserve">Department at </w:t>
            </w:r>
            <w:r w:rsidR="005367D4" w:rsidRPr="00965A0F">
              <w:rPr>
                <w:rFonts w:cstheme="minorHAnsi"/>
                <w:sz w:val="24"/>
                <w:szCs w:val="24"/>
              </w:rPr>
              <w:t xml:space="preserve">Sturdy Memorial Hospital, </w:t>
            </w:r>
            <w:r w:rsidR="00DA034F" w:rsidRPr="00965A0F">
              <w:rPr>
                <w:rFonts w:cstheme="minorHAnsi"/>
                <w:sz w:val="24"/>
                <w:szCs w:val="24"/>
              </w:rPr>
              <w:t>located at</w:t>
            </w:r>
            <w:r w:rsidR="000405FA" w:rsidRPr="00965A0F">
              <w:rPr>
                <w:rFonts w:cstheme="minorHAnsi"/>
                <w:sz w:val="24"/>
                <w:szCs w:val="24"/>
              </w:rPr>
              <w:t xml:space="preserve"> </w:t>
            </w:r>
            <w:r w:rsidR="005367D4" w:rsidRPr="00965A0F">
              <w:rPr>
                <w:rFonts w:cstheme="minorHAnsi"/>
                <w:sz w:val="24"/>
                <w:szCs w:val="24"/>
              </w:rPr>
              <w:t>211 Park St. Attleboro, MA 02703</w:t>
            </w:r>
            <w:r w:rsidR="00965A0F" w:rsidRPr="00965A0F">
              <w:rPr>
                <w:rFonts w:cstheme="minorHAnsi"/>
                <w:sz w:val="24"/>
                <w:szCs w:val="24"/>
              </w:rPr>
              <w:t xml:space="preserve">. </w:t>
            </w:r>
            <w:r w:rsidR="001626F0" w:rsidRPr="00965A0F">
              <w:rPr>
                <w:rFonts w:cstheme="minorHAnsi"/>
                <w:sz w:val="24"/>
                <w:szCs w:val="24"/>
              </w:rPr>
              <w:t>The capital expenditure for the Proposed Project is</w:t>
            </w:r>
            <w:r w:rsidR="007F0E64" w:rsidRPr="00965A0F">
              <w:rPr>
                <w:rFonts w:cstheme="minorHAnsi"/>
                <w:sz w:val="24"/>
                <w:szCs w:val="24"/>
              </w:rPr>
              <w:t xml:space="preserve"> </w:t>
            </w:r>
            <w:r w:rsidR="00965A0F" w:rsidRPr="00965A0F">
              <w:rPr>
                <w:rFonts w:cstheme="minorHAnsi"/>
                <w:sz w:val="24"/>
                <w:szCs w:val="24"/>
              </w:rPr>
              <w:t>$81,441,502.00</w:t>
            </w:r>
            <w:r w:rsidR="001626F0" w:rsidRPr="00965A0F">
              <w:rPr>
                <w:rFonts w:cstheme="minorHAnsi"/>
                <w:sz w:val="24"/>
                <w:szCs w:val="24"/>
              </w:rPr>
              <w:t>; the Community Health Initiatives (CHI) contribution is</w:t>
            </w:r>
            <w:r w:rsidR="00EF554F" w:rsidRPr="00965A0F">
              <w:rPr>
                <w:rFonts w:cstheme="minorHAnsi"/>
                <w:sz w:val="24"/>
                <w:szCs w:val="24"/>
              </w:rPr>
              <w:t xml:space="preserve"> </w:t>
            </w:r>
            <w:r w:rsidR="00E812C6" w:rsidRPr="00965A0F">
              <w:rPr>
                <w:rFonts w:cstheme="minorHAnsi"/>
                <w:sz w:val="24"/>
                <w:szCs w:val="24"/>
              </w:rPr>
              <w:t>$</w:t>
            </w:r>
            <w:r w:rsidR="00965A0F" w:rsidRPr="00965A0F">
              <w:rPr>
                <w:rFonts w:cstheme="minorHAnsi"/>
                <w:sz w:val="24"/>
                <w:szCs w:val="24"/>
              </w:rPr>
              <w:t>4,072,075.10</w:t>
            </w:r>
            <w:r w:rsidR="008B1871" w:rsidRPr="00965A0F">
              <w:rPr>
                <w:rFonts w:cstheme="minorHAnsi"/>
                <w:sz w:val="24"/>
                <w:szCs w:val="24"/>
              </w:rPr>
              <w:t>.</w:t>
            </w:r>
          </w:p>
          <w:p w14:paraId="1EEA45E8" w14:textId="77777777" w:rsidR="001626F0" w:rsidRPr="00965A0F" w:rsidRDefault="001626F0" w:rsidP="008A4468">
            <w:pPr>
              <w:pStyle w:val="NoSpacing"/>
              <w:contextualSpacing/>
              <w:rPr>
                <w:rFonts w:cstheme="minorHAnsi"/>
                <w:sz w:val="24"/>
                <w:szCs w:val="24"/>
              </w:rPr>
            </w:pPr>
          </w:p>
          <w:p w14:paraId="1C889FD6" w14:textId="4896FD69" w:rsidR="001626F0" w:rsidRPr="00965A0F" w:rsidRDefault="001626F0" w:rsidP="008A4468">
            <w:pPr>
              <w:pStyle w:val="NoSpacing"/>
              <w:contextualSpacing/>
              <w:rPr>
                <w:rFonts w:cstheme="minorHAnsi"/>
                <w:sz w:val="24"/>
                <w:szCs w:val="24"/>
              </w:rPr>
            </w:pPr>
            <w:r w:rsidRPr="00965A0F">
              <w:rPr>
                <w:rFonts w:cstheme="minorHAnsi"/>
                <w:sz w:val="24"/>
                <w:szCs w:val="24"/>
              </w:rPr>
              <w:t>This DoN application falls within the definition of Substantial</w:t>
            </w:r>
            <w:r w:rsidR="007F0E64" w:rsidRPr="00965A0F">
              <w:rPr>
                <w:rFonts w:cstheme="minorHAnsi"/>
                <w:sz w:val="24"/>
                <w:szCs w:val="24"/>
              </w:rPr>
              <w:t xml:space="preserve"> Capital Expenditure</w:t>
            </w:r>
            <w:r w:rsidRPr="00965A0F">
              <w:rPr>
                <w:rFonts w:cstheme="minorHAnsi"/>
                <w:sz w:val="24"/>
                <w:szCs w:val="24"/>
              </w:rPr>
              <w:t>, which</w:t>
            </w:r>
            <w:r w:rsidR="007F0E64" w:rsidRPr="00965A0F">
              <w:rPr>
                <w:rFonts w:cstheme="minorHAnsi"/>
                <w:sz w:val="24"/>
                <w:szCs w:val="24"/>
              </w:rPr>
              <w:t xml:space="preserve"> is</w:t>
            </w:r>
            <w:r w:rsidRPr="00965A0F">
              <w:rPr>
                <w:rFonts w:cstheme="minorHAnsi"/>
                <w:sz w:val="24"/>
                <w:szCs w:val="24"/>
              </w:rPr>
              <w:t xml:space="preserve"> reviewed under the DoN regulation 105 CMR 100.000. The Department must determine that </w:t>
            </w:r>
            <w:r w:rsidR="007921EF" w:rsidRPr="00965A0F">
              <w:rPr>
                <w:rFonts w:cstheme="minorHAnsi"/>
                <w:sz w:val="24"/>
                <w:szCs w:val="24"/>
              </w:rPr>
              <w:t>the need</w:t>
            </w:r>
            <w:r w:rsidRPr="00965A0F">
              <w:rPr>
                <w:rFonts w:cstheme="minorHAnsi"/>
                <w:sz w:val="24"/>
                <w:szCs w:val="24"/>
              </w:rPr>
              <w:t xml:space="preserve">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r w:rsidR="00A20DF6" w:rsidRPr="00965A0F">
              <w:rPr>
                <w:rFonts w:cstheme="minorHAnsi"/>
                <w:sz w:val="24"/>
                <w:szCs w:val="24"/>
              </w:rPr>
              <w:t xml:space="preserve"> </w:t>
            </w:r>
          </w:p>
          <w:p w14:paraId="4068A451" w14:textId="77777777" w:rsidR="001626F0" w:rsidRPr="00E20DEA" w:rsidRDefault="001626F0" w:rsidP="008A4468">
            <w:pPr>
              <w:pStyle w:val="NoSpacing"/>
              <w:contextualSpacing/>
              <w:rPr>
                <w:rFonts w:cstheme="minorHAnsi"/>
                <w:sz w:val="24"/>
                <w:szCs w:val="24"/>
                <w:highlight w:val="yellow"/>
              </w:rPr>
            </w:pPr>
          </w:p>
        </w:tc>
      </w:tr>
    </w:tbl>
    <w:p w14:paraId="7D2F9134" w14:textId="59B274CC" w:rsidR="001626F0" w:rsidRPr="00E20DEA" w:rsidRDefault="001626F0" w:rsidP="00C62459">
      <w:pPr>
        <w:spacing w:after="0" w:line="240" w:lineRule="auto"/>
        <w:rPr>
          <w:b/>
          <w:bCs/>
          <w:sz w:val="24"/>
          <w:szCs w:val="24"/>
          <w:highlight w:val="yellow"/>
        </w:rPr>
        <w:sectPr w:rsidR="001626F0" w:rsidRPr="00E20DEA">
          <w:footerReference w:type="default" r:id="rId8"/>
          <w:pgSz w:w="12240" w:h="15840"/>
          <w:pgMar w:top="1440" w:right="1440" w:bottom="1440" w:left="1440" w:header="720" w:footer="720" w:gutter="0"/>
          <w:cols w:space="720"/>
          <w:docGrid w:linePitch="360"/>
        </w:sectPr>
      </w:pPr>
    </w:p>
    <w:sdt>
      <w:sdtPr>
        <w:rPr>
          <w:rFonts w:eastAsiaTheme="minorEastAsia" w:cstheme="minorBidi"/>
          <w:b w:val="0"/>
          <w:color w:val="auto"/>
          <w:sz w:val="22"/>
          <w:szCs w:val="22"/>
          <w:highlight w:val="yellow"/>
          <w:shd w:val="clear" w:color="auto" w:fill="E6E6E6"/>
        </w:rPr>
        <w:id w:val="1753002011"/>
        <w:docPartObj>
          <w:docPartGallery w:val="Table of Contents"/>
          <w:docPartUnique/>
        </w:docPartObj>
      </w:sdtPr>
      <w:sdtEndPr>
        <w:rPr>
          <w:noProof/>
          <w:sz w:val="24"/>
          <w:szCs w:val="24"/>
        </w:rPr>
      </w:sdtEndPr>
      <w:sdtContent>
        <w:p w14:paraId="022950C1" w14:textId="45A3B408" w:rsidR="0098316A" w:rsidRPr="004D0E8E" w:rsidRDefault="0098316A">
          <w:pPr>
            <w:pStyle w:val="TOCHeading"/>
          </w:pPr>
          <w:r w:rsidRPr="004D0E8E">
            <w:t>Contents</w:t>
          </w:r>
        </w:p>
        <w:p w14:paraId="2EA3C821" w14:textId="7047DBC0" w:rsidR="003D6A2E" w:rsidRDefault="0098316A">
          <w:pPr>
            <w:pStyle w:val="TOC1"/>
            <w:tabs>
              <w:tab w:val="right" w:leader="dot" w:pos="9710"/>
            </w:tabs>
            <w:rPr>
              <w:rFonts w:eastAsiaTheme="minorEastAsia"/>
              <w:noProof/>
              <w:kern w:val="2"/>
              <w:sz w:val="24"/>
              <w:szCs w:val="24"/>
              <w14:ligatures w14:val="standardContextual"/>
            </w:rPr>
          </w:pPr>
          <w:r w:rsidRPr="00E20DEA">
            <w:rPr>
              <w:color w:val="2B579A"/>
              <w:sz w:val="24"/>
              <w:szCs w:val="24"/>
              <w:highlight w:val="yellow"/>
              <w:shd w:val="clear" w:color="auto" w:fill="E6E6E6"/>
            </w:rPr>
            <w:fldChar w:fldCharType="begin"/>
          </w:r>
          <w:r w:rsidRPr="00E20DEA">
            <w:rPr>
              <w:sz w:val="24"/>
              <w:szCs w:val="24"/>
              <w:highlight w:val="yellow"/>
            </w:rPr>
            <w:instrText xml:space="preserve"> TOC \o "1-3" \h \z \u </w:instrText>
          </w:r>
          <w:r w:rsidRPr="00E20DEA">
            <w:rPr>
              <w:color w:val="2B579A"/>
              <w:sz w:val="24"/>
              <w:szCs w:val="24"/>
              <w:highlight w:val="yellow"/>
              <w:shd w:val="clear" w:color="auto" w:fill="E6E6E6"/>
            </w:rPr>
            <w:fldChar w:fldCharType="separate"/>
          </w:r>
          <w:hyperlink w:anchor="_Toc192247626" w:history="1">
            <w:r w:rsidR="003D6A2E" w:rsidRPr="00BC00DE">
              <w:rPr>
                <w:rStyle w:val="Hyperlink"/>
                <w:rFonts w:cstheme="minorHAnsi"/>
                <w:noProof/>
              </w:rPr>
              <w:t>Applicant Background and Application Overview</w:t>
            </w:r>
            <w:r w:rsidR="003D6A2E">
              <w:rPr>
                <w:noProof/>
                <w:webHidden/>
              </w:rPr>
              <w:tab/>
            </w:r>
            <w:r w:rsidR="003D6A2E">
              <w:rPr>
                <w:noProof/>
                <w:webHidden/>
              </w:rPr>
              <w:fldChar w:fldCharType="begin"/>
            </w:r>
            <w:r w:rsidR="003D6A2E">
              <w:rPr>
                <w:noProof/>
                <w:webHidden/>
              </w:rPr>
              <w:instrText xml:space="preserve"> PAGEREF _Toc192247626 \h </w:instrText>
            </w:r>
            <w:r w:rsidR="003D6A2E">
              <w:rPr>
                <w:noProof/>
                <w:webHidden/>
              </w:rPr>
            </w:r>
            <w:r w:rsidR="003D6A2E">
              <w:rPr>
                <w:noProof/>
                <w:webHidden/>
              </w:rPr>
              <w:fldChar w:fldCharType="separate"/>
            </w:r>
            <w:r w:rsidR="003D6A2E">
              <w:rPr>
                <w:noProof/>
                <w:webHidden/>
              </w:rPr>
              <w:t>3</w:t>
            </w:r>
            <w:r w:rsidR="003D6A2E">
              <w:rPr>
                <w:noProof/>
                <w:webHidden/>
              </w:rPr>
              <w:fldChar w:fldCharType="end"/>
            </w:r>
          </w:hyperlink>
        </w:p>
        <w:p w14:paraId="5C4169EF" w14:textId="285D8C89" w:rsidR="003D6A2E" w:rsidRDefault="003D6A2E">
          <w:pPr>
            <w:pStyle w:val="TOC1"/>
            <w:tabs>
              <w:tab w:val="right" w:leader="dot" w:pos="9710"/>
            </w:tabs>
            <w:rPr>
              <w:rFonts w:eastAsiaTheme="minorEastAsia"/>
              <w:noProof/>
              <w:kern w:val="2"/>
              <w:sz w:val="24"/>
              <w:szCs w:val="24"/>
              <w14:ligatures w14:val="standardContextual"/>
            </w:rPr>
          </w:pPr>
          <w:hyperlink w:anchor="_Toc192247627" w:history="1">
            <w:r w:rsidRPr="00BC00DE">
              <w:rPr>
                <w:rStyle w:val="Hyperlink"/>
                <w:rFonts w:cstheme="minorHAnsi"/>
                <w:noProof/>
              </w:rPr>
              <w:t>Factor 1</w:t>
            </w:r>
            <w:r>
              <w:rPr>
                <w:noProof/>
                <w:webHidden/>
              </w:rPr>
              <w:tab/>
            </w:r>
            <w:r>
              <w:rPr>
                <w:noProof/>
                <w:webHidden/>
              </w:rPr>
              <w:fldChar w:fldCharType="begin"/>
            </w:r>
            <w:r>
              <w:rPr>
                <w:noProof/>
                <w:webHidden/>
              </w:rPr>
              <w:instrText xml:space="preserve"> PAGEREF _Toc192247627 \h </w:instrText>
            </w:r>
            <w:r>
              <w:rPr>
                <w:noProof/>
                <w:webHidden/>
              </w:rPr>
            </w:r>
            <w:r>
              <w:rPr>
                <w:noProof/>
                <w:webHidden/>
              </w:rPr>
              <w:fldChar w:fldCharType="separate"/>
            </w:r>
            <w:r>
              <w:rPr>
                <w:noProof/>
                <w:webHidden/>
              </w:rPr>
              <w:t>4</w:t>
            </w:r>
            <w:r>
              <w:rPr>
                <w:noProof/>
                <w:webHidden/>
              </w:rPr>
              <w:fldChar w:fldCharType="end"/>
            </w:r>
          </w:hyperlink>
        </w:p>
        <w:p w14:paraId="5489EEC2" w14:textId="5FC53467" w:rsidR="003D6A2E" w:rsidRDefault="003D6A2E">
          <w:pPr>
            <w:pStyle w:val="TOC1"/>
            <w:tabs>
              <w:tab w:val="right" w:leader="dot" w:pos="9710"/>
            </w:tabs>
            <w:rPr>
              <w:rFonts w:eastAsiaTheme="minorEastAsia"/>
              <w:noProof/>
              <w:kern w:val="2"/>
              <w:sz w:val="24"/>
              <w:szCs w:val="24"/>
              <w14:ligatures w14:val="standardContextual"/>
            </w:rPr>
          </w:pPr>
          <w:hyperlink w:anchor="_Toc192247628" w:history="1">
            <w:r w:rsidRPr="00BC00DE">
              <w:rPr>
                <w:rStyle w:val="Hyperlink"/>
                <w:noProof/>
              </w:rPr>
              <w:t>Patient Panel</w:t>
            </w:r>
            <w:r>
              <w:rPr>
                <w:noProof/>
                <w:webHidden/>
              </w:rPr>
              <w:tab/>
            </w:r>
            <w:r>
              <w:rPr>
                <w:noProof/>
                <w:webHidden/>
              </w:rPr>
              <w:fldChar w:fldCharType="begin"/>
            </w:r>
            <w:r>
              <w:rPr>
                <w:noProof/>
                <w:webHidden/>
              </w:rPr>
              <w:instrText xml:space="preserve"> PAGEREF _Toc192247628 \h </w:instrText>
            </w:r>
            <w:r>
              <w:rPr>
                <w:noProof/>
                <w:webHidden/>
              </w:rPr>
            </w:r>
            <w:r>
              <w:rPr>
                <w:noProof/>
                <w:webHidden/>
              </w:rPr>
              <w:fldChar w:fldCharType="separate"/>
            </w:r>
            <w:r>
              <w:rPr>
                <w:noProof/>
                <w:webHidden/>
              </w:rPr>
              <w:t>4</w:t>
            </w:r>
            <w:r>
              <w:rPr>
                <w:noProof/>
                <w:webHidden/>
              </w:rPr>
              <w:fldChar w:fldCharType="end"/>
            </w:r>
          </w:hyperlink>
        </w:p>
        <w:p w14:paraId="4A9968C2" w14:textId="03B826F7" w:rsidR="003D6A2E" w:rsidRDefault="003D6A2E">
          <w:pPr>
            <w:pStyle w:val="TOC1"/>
            <w:tabs>
              <w:tab w:val="right" w:leader="dot" w:pos="9710"/>
            </w:tabs>
            <w:rPr>
              <w:rFonts w:eastAsiaTheme="minorEastAsia"/>
              <w:noProof/>
              <w:kern w:val="2"/>
              <w:sz w:val="24"/>
              <w:szCs w:val="24"/>
              <w14:ligatures w14:val="standardContextual"/>
            </w:rPr>
          </w:pPr>
          <w:hyperlink w:anchor="_Toc192247629" w:history="1">
            <w:r w:rsidRPr="00BC00DE">
              <w:rPr>
                <w:rStyle w:val="Hyperlink"/>
                <w:noProof/>
              </w:rPr>
              <w:t>Factor 1: a) Patient Panel Need</w:t>
            </w:r>
            <w:r>
              <w:rPr>
                <w:noProof/>
                <w:webHidden/>
              </w:rPr>
              <w:tab/>
            </w:r>
            <w:r>
              <w:rPr>
                <w:noProof/>
                <w:webHidden/>
              </w:rPr>
              <w:fldChar w:fldCharType="begin"/>
            </w:r>
            <w:r>
              <w:rPr>
                <w:noProof/>
                <w:webHidden/>
              </w:rPr>
              <w:instrText xml:space="preserve"> PAGEREF _Toc192247629 \h </w:instrText>
            </w:r>
            <w:r>
              <w:rPr>
                <w:noProof/>
                <w:webHidden/>
              </w:rPr>
            </w:r>
            <w:r>
              <w:rPr>
                <w:noProof/>
                <w:webHidden/>
              </w:rPr>
              <w:fldChar w:fldCharType="separate"/>
            </w:r>
            <w:r>
              <w:rPr>
                <w:noProof/>
                <w:webHidden/>
              </w:rPr>
              <w:t>6</w:t>
            </w:r>
            <w:r>
              <w:rPr>
                <w:noProof/>
                <w:webHidden/>
              </w:rPr>
              <w:fldChar w:fldCharType="end"/>
            </w:r>
          </w:hyperlink>
        </w:p>
        <w:p w14:paraId="7A54C3F9" w14:textId="73B2DBC4" w:rsidR="003D6A2E" w:rsidRDefault="003D6A2E">
          <w:pPr>
            <w:pStyle w:val="TOC1"/>
            <w:tabs>
              <w:tab w:val="right" w:leader="dot" w:pos="9710"/>
            </w:tabs>
            <w:rPr>
              <w:rFonts w:eastAsiaTheme="minorEastAsia"/>
              <w:noProof/>
              <w:kern w:val="2"/>
              <w:sz w:val="24"/>
              <w:szCs w:val="24"/>
              <w14:ligatures w14:val="standardContextual"/>
            </w:rPr>
          </w:pPr>
          <w:hyperlink w:anchor="_Toc192247630" w:history="1">
            <w:r w:rsidRPr="00BC00DE">
              <w:rPr>
                <w:rStyle w:val="Hyperlink"/>
                <w:noProof/>
              </w:rPr>
              <w:t>Factor 1: b) Public Health Value through Improved Health Outcomes and Quality Of Life; Assurances Of Health Equity</w:t>
            </w:r>
            <w:r>
              <w:rPr>
                <w:noProof/>
                <w:webHidden/>
              </w:rPr>
              <w:tab/>
            </w:r>
            <w:r>
              <w:rPr>
                <w:noProof/>
                <w:webHidden/>
              </w:rPr>
              <w:fldChar w:fldCharType="begin"/>
            </w:r>
            <w:r>
              <w:rPr>
                <w:noProof/>
                <w:webHidden/>
              </w:rPr>
              <w:instrText xml:space="preserve"> PAGEREF _Toc192247630 \h </w:instrText>
            </w:r>
            <w:r>
              <w:rPr>
                <w:noProof/>
                <w:webHidden/>
              </w:rPr>
            </w:r>
            <w:r>
              <w:rPr>
                <w:noProof/>
                <w:webHidden/>
              </w:rPr>
              <w:fldChar w:fldCharType="separate"/>
            </w:r>
            <w:r>
              <w:rPr>
                <w:noProof/>
                <w:webHidden/>
              </w:rPr>
              <w:t>11</w:t>
            </w:r>
            <w:r>
              <w:rPr>
                <w:noProof/>
                <w:webHidden/>
              </w:rPr>
              <w:fldChar w:fldCharType="end"/>
            </w:r>
          </w:hyperlink>
        </w:p>
        <w:p w14:paraId="20EF1E12" w14:textId="45D91B9E" w:rsidR="003D6A2E" w:rsidRDefault="003D6A2E">
          <w:pPr>
            <w:pStyle w:val="TOC1"/>
            <w:tabs>
              <w:tab w:val="right" w:leader="dot" w:pos="9710"/>
            </w:tabs>
            <w:rPr>
              <w:rFonts w:eastAsiaTheme="minorEastAsia"/>
              <w:noProof/>
              <w:kern w:val="2"/>
              <w:sz w:val="24"/>
              <w:szCs w:val="24"/>
              <w14:ligatures w14:val="standardContextual"/>
            </w:rPr>
          </w:pPr>
          <w:hyperlink w:anchor="_Toc192247631" w:history="1">
            <w:r w:rsidRPr="00BC00DE">
              <w:rPr>
                <w:rStyle w:val="Hyperlink"/>
                <w:noProof/>
              </w:rPr>
              <w:t>Factor 1: c) Efficiency, Continuity of Care, Coordination of Care</w:t>
            </w:r>
            <w:r>
              <w:rPr>
                <w:noProof/>
                <w:webHidden/>
              </w:rPr>
              <w:tab/>
            </w:r>
            <w:r>
              <w:rPr>
                <w:noProof/>
                <w:webHidden/>
              </w:rPr>
              <w:fldChar w:fldCharType="begin"/>
            </w:r>
            <w:r>
              <w:rPr>
                <w:noProof/>
                <w:webHidden/>
              </w:rPr>
              <w:instrText xml:space="preserve"> PAGEREF _Toc192247631 \h </w:instrText>
            </w:r>
            <w:r>
              <w:rPr>
                <w:noProof/>
                <w:webHidden/>
              </w:rPr>
            </w:r>
            <w:r>
              <w:rPr>
                <w:noProof/>
                <w:webHidden/>
              </w:rPr>
              <w:fldChar w:fldCharType="separate"/>
            </w:r>
            <w:r>
              <w:rPr>
                <w:noProof/>
                <w:webHidden/>
              </w:rPr>
              <w:t>14</w:t>
            </w:r>
            <w:r>
              <w:rPr>
                <w:noProof/>
                <w:webHidden/>
              </w:rPr>
              <w:fldChar w:fldCharType="end"/>
            </w:r>
          </w:hyperlink>
        </w:p>
        <w:p w14:paraId="106160B3" w14:textId="132A0390" w:rsidR="003D6A2E" w:rsidRDefault="003D6A2E">
          <w:pPr>
            <w:pStyle w:val="TOC1"/>
            <w:tabs>
              <w:tab w:val="right" w:leader="dot" w:pos="9710"/>
            </w:tabs>
            <w:rPr>
              <w:rFonts w:eastAsiaTheme="minorEastAsia"/>
              <w:noProof/>
              <w:kern w:val="2"/>
              <w:sz w:val="24"/>
              <w:szCs w:val="24"/>
              <w14:ligatures w14:val="standardContextual"/>
            </w:rPr>
          </w:pPr>
          <w:hyperlink w:anchor="_Toc192247632" w:history="1">
            <w:r w:rsidRPr="00BC00DE">
              <w:rPr>
                <w:rStyle w:val="Hyperlink"/>
                <w:noProof/>
              </w:rPr>
              <w:t>Factor 1: d) Consultation</w:t>
            </w:r>
            <w:r>
              <w:rPr>
                <w:noProof/>
                <w:webHidden/>
              </w:rPr>
              <w:tab/>
            </w:r>
            <w:r>
              <w:rPr>
                <w:noProof/>
                <w:webHidden/>
              </w:rPr>
              <w:fldChar w:fldCharType="begin"/>
            </w:r>
            <w:r>
              <w:rPr>
                <w:noProof/>
                <w:webHidden/>
              </w:rPr>
              <w:instrText xml:space="preserve"> PAGEREF _Toc192247632 \h </w:instrText>
            </w:r>
            <w:r>
              <w:rPr>
                <w:noProof/>
                <w:webHidden/>
              </w:rPr>
            </w:r>
            <w:r>
              <w:rPr>
                <w:noProof/>
                <w:webHidden/>
              </w:rPr>
              <w:fldChar w:fldCharType="separate"/>
            </w:r>
            <w:r>
              <w:rPr>
                <w:noProof/>
                <w:webHidden/>
              </w:rPr>
              <w:t>14</w:t>
            </w:r>
            <w:r>
              <w:rPr>
                <w:noProof/>
                <w:webHidden/>
              </w:rPr>
              <w:fldChar w:fldCharType="end"/>
            </w:r>
          </w:hyperlink>
        </w:p>
        <w:p w14:paraId="02C7636F" w14:textId="70270556" w:rsidR="003D6A2E" w:rsidRDefault="003D6A2E">
          <w:pPr>
            <w:pStyle w:val="TOC1"/>
            <w:tabs>
              <w:tab w:val="right" w:leader="dot" w:pos="9710"/>
            </w:tabs>
            <w:rPr>
              <w:rFonts w:eastAsiaTheme="minorEastAsia"/>
              <w:noProof/>
              <w:kern w:val="2"/>
              <w:sz w:val="24"/>
              <w:szCs w:val="24"/>
              <w14:ligatures w14:val="standardContextual"/>
            </w:rPr>
          </w:pPr>
          <w:hyperlink w:anchor="_Toc192247633" w:history="1">
            <w:r w:rsidRPr="00BC00DE">
              <w:rPr>
                <w:rStyle w:val="Hyperlink"/>
                <w:noProof/>
              </w:rPr>
              <w:t>Factor 1: e) Evidence of Sound Community Engagement</w:t>
            </w:r>
            <w:r>
              <w:rPr>
                <w:noProof/>
                <w:webHidden/>
              </w:rPr>
              <w:tab/>
            </w:r>
            <w:r>
              <w:rPr>
                <w:noProof/>
                <w:webHidden/>
              </w:rPr>
              <w:fldChar w:fldCharType="begin"/>
            </w:r>
            <w:r>
              <w:rPr>
                <w:noProof/>
                <w:webHidden/>
              </w:rPr>
              <w:instrText xml:space="preserve"> PAGEREF _Toc192247633 \h </w:instrText>
            </w:r>
            <w:r>
              <w:rPr>
                <w:noProof/>
                <w:webHidden/>
              </w:rPr>
            </w:r>
            <w:r>
              <w:rPr>
                <w:noProof/>
                <w:webHidden/>
              </w:rPr>
              <w:fldChar w:fldCharType="separate"/>
            </w:r>
            <w:r>
              <w:rPr>
                <w:noProof/>
                <w:webHidden/>
              </w:rPr>
              <w:t>14</w:t>
            </w:r>
            <w:r>
              <w:rPr>
                <w:noProof/>
                <w:webHidden/>
              </w:rPr>
              <w:fldChar w:fldCharType="end"/>
            </w:r>
          </w:hyperlink>
        </w:p>
        <w:p w14:paraId="363E59D7" w14:textId="3300F080" w:rsidR="003D6A2E" w:rsidRDefault="003D6A2E">
          <w:pPr>
            <w:pStyle w:val="TOC1"/>
            <w:tabs>
              <w:tab w:val="right" w:leader="dot" w:pos="9710"/>
            </w:tabs>
            <w:rPr>
              <w:rFonts w:eastAsiaTheme="minorEastAsia"/>
              <w:noProof/>
              <w:kern w:val="2"/>
              <w:sz w:val="24"/>
              <w:szCs w:val="24"/>
              <w14:ligatures w14:val="standardContextual"/>
            </w:rPr>
          </w:pPr>
          <w:hyperlink w:anchor="_Toc192247634" w:history="1">
            <w:r w:rsidRPr="00BC00DE">
              <w:rPr>
                <w:rStyle w:val="Hyperlink"/>
                <w:noProof/>
              </w:rPr>
              <w:t>Factor 1: f) Competition On Price, Total Medical Expenses (TME), Costs And Other Measures Of Health Care Spending</w:t>
            </w:r>
            <w:r>
              <w:rPr>
                <w:noProof/>
                <w:webHidden/>
              </w:rPr>
              <w:tab/>
            </w:r>
            <w:r>
              <w:rPr>
                <w:noProof/>
                <w:webHidden/>
              </w:rPr>
              <w:fldChar w:fldCharType="begin"/>
            </w:r>
            <w:r>
              <w:rPr>
                <w:noProof/>
                <w:webHidden/>
              </w:rPr>
              <w:instrText xml:space="preserve"> PAGEREF _Toc192247634 \h </w:instrText>
            </w:r>
            <w:r>
              <w:rPr>
                <w:noProof/>
                <w:webHidden/>
              </w:rPr>
            </w:r>
            <w:r>
              <w:rPr>
                <w:noProof/>
                <w:webHidden/>
              </w:rPr>
              <w:fldChar w:fldCharType="separate"/>
            </w:r>
            <w:r>
              <w:rPr>
                <w:noProof/>
                <w:webHidden/>
              </w:rPr>
              <w:t>15</w:t>
            </w:r>
            <w:r>
              <w:rPr>
                <w:noProof/>
                <w:webHidden/>
              </w:rPr>
              <w:fldChar w:fldCharType="end"/>
            </w:r>
          </w:hyperlink>
        </w:p>
        <w:p w14:paraId="11094FA6" w14:textId="1B9A4C65" w:rsidR="003D6A2E" w:rsidRDefault="003D6A2E">
          <w:pPr>
            <w:pStyle w:val="TOC2"/>
            <w:rPr>
              <w:rFonts w:eastAsiaTheme="minorEastAsia" w:cstheme="minorBidi"/>
              <w:i w:val="0"/>
              <w:iCs w:val="0"/>
              <w:kern w:val="2"/>
              <w:sz w:val="24"/>
              <w:szCs w:val="24"/>
              <w14:ligatures w14:val="standardContextual"/>
            </w:rPr>
          </w:pPr>
          <w:hyperlink w:anchor="_Toc192247635" w:history="1">
            <w:r w:rsidRPr="00BC00DE">
              <w:rPr>
                <w:rStyle w:val="Hyperlink"/>
              </w:rPr>
              <w:t>Summary, FACTOR 1</w:t>
            </w:r>
            <w:r>
              <w:rPr>
                <w:webHidden/>
              </w:rPr>
              <w:tab/>
            </w:r>
            <w:r>
              <w:rPr>
                <w:webHidden/>
              </w:rPr>
              <w:fldChar w:fldCharType="begin"/>
            </w:r>
            <w:r>
              <w:rPr>
                <w:webHidden/>
              </w:rPr>
              <w:instrText xml:space="preserve"> PAGEREF _Toc192247635 \h </w:instrText>
            </w:r>
            <w:r>
              <w:rPr>
                <w:webHidden/>
              </w:rPr>
            </w:r>
            <w:r>
              <w:rPr>
                <w:webHidden/>
              </w:rPr>
              <w:fldChar w:fldCharType="separate"/>
            </w:r>
            <w:r>
              <w:rPr>
                <w:webHidden/>
              </w:rPr>
              <w:t>16</w:t>
            </w:r>
            <w:r>
              <w:rPr>
                <w:webHidden/>
              </w:rPr>
              <w:fldChar w:fldCharType="end"/>
            </w:r>
          </w:hyperlink>
        </w:p>
        <w:p w14:paraId="2D4142D0" w14:textId="3B06CFD6" w:rsidR="003D6A2E" w:rsidRDefault="003D6A2E">
          <w:pPr>
            <w:pStyle w:val="TOC1"/>
            <w:tabs>
              <w:tab w:val="right" w:leader="dot" w:pos="9710"/>
            </w:tabs>
            <w:rPr>
              <w:rFonts w:eastAsiaTheme="minorEastAsia"/>
              <w:noProof/>
              <w:kern w:val="2"/>
              <w:sz w:val="24"/>
              <w:szCs w:val="24"/>
              <w14:ligatures w14:val="standardContextual"/>
            </w:rPr>
          </w:pPr>
          <w:hyperlink w:anchor="_Toc192247636" w:history="1">
            <w:r w:rsidRPr="00BC00DE">
              <w:rPr>
                <w:rStyle w:val="Hyperlink"/>
                <w:noProof/>
              </w:rPr>
              <w:t>Factor 2: Cost Containment, Improved Public Health Outcomes and Delivery System Transformation</w:t>
            </w:r>
            <w:r>
              <w:rPr>
                <w:noProof/>
                <w:webHidden/>
              </w:rPr>
              <w:tab/>
            </w:r>
            <w:r>
              <w:rPr>
                <w:noProof/>
                <w:webHidden/>
              </w:rPr>
              <w:fldChar w:fldCharType="begin"/>
            </w:r>
            <w:r>
              <w:rPr>
                <w:noProof/>
                <w:webHidden/>
              </w:rPr>
              <w:instrText xml:space="preserve"> PAGEREF _Toc192247636 \h </w:instrText>
            </w:r>
            <w:r>
              <w:rPr>
                <w:noProof/>
                <w:webHidden/>
              </w:rPr>
            </w:r>
            <w:r>
              <w:rPr>
                <w:noProof/>
                <w:webHidden/>
              </w:rPr>
              <w:fldChar w:fldCharType="separate"/>
            </w:r>
            <w:r>
              <w:rPr>
                <w:noProof/>
                <w:webHidden/>
              </w:rPr>
              <w:t>16</w:t>
            </w:r>
            <w:r>
              <w:rPr>
                <w:noProof/>
                <w:webHidden/>
              </w:rPr>
              <w:fldChar w:fldCharType="end"/>
            </w:r>
          </w:hyperlink>
        </w:p>
        <w:p w14:paraId="3BACDF2F" w14:textId="6E1BF17E" w:rsidR="003D6A2E" w:rsidRDefault="003D6A2E">
          <w:pPr>
            <w:pStyle w:val="TOC1"/>
            <w:tabs>
              <w:tab w:val="right" w:leader="dot" w:pos="9710"/>
            </w:tabs>
            <w:rPr>
              <w:rFonts w:eastAsiaTheme="minorEastAsia"/>
              <w:noProof/>
              <w:kern w:val="2"/>
              <w:sz w:val="24"/>
              <w:szCs w:val="24"/>
              <w14:ligatures w14:val="standardContextual"/>
            </w:rPr>
          </w:pPr>
          <w:hyperlink w:anchor="_Toc192247637" w:history="1">
            <w:r w:rsidRPr="00BC00DE">
              <w:rPr>
                <w:rStyle w:val="Hyperlink"/>
                <w:rFonts w:cstheme="minorHAnsi"/>
                <w:bCs/>
                <w:noProof/>
              </w:rPr>
              <w:t>Summary, FACTOR 2</w:t>
            </w:r>
            <w:r>
              <w:rPr>
                <w:noProof/>
                <w:webHidden/>
              </w:rPr>
              <w:tab/>
            </w:r>
            <w:r>
              <w:rPr>
                <w:noProof/>
                <w:webHidden/>
              </w:rPr>
              <w:fldChar w:fldCharType="begin"/>
            </w:r>
            <w:r>
              <w:rPr>
                <w:noProof/>
                <w:webHidden/>
              </w:rPr>
              <w:instrText xml:space="preserve"> PAGEREF _Toc192247637 \h </w:instrText>
            </w:r>
            <w:r>
              <w:rPr>
                <w:noProof/>
                <w:webHidden/>
              </w:rPr>
            </w:r>
            <w:r>
              <w:rPr>
                <w:noProof/>
                <w:webHidden/>
              </w:rPr>
              <w:fldChar w:fldCharType="separate"/>
            </w:r>
            <w:r>
              <w:rPr>
                <w:noProof/>
                <w:webHidden/>
              </w:rPr>
              <w:t>18</w:t>
            </w:r>
            <w:r>
              <w:rPr>
                <w:noProof/>
                <w:webHidden/>
              </w:rPr>
              <w:fldChar w:fldCharType="end"/>
            </w:r>
          </w:hyperlink>
        </w:p>
        <w:p w14:paraId="71FADBB2" w14:textId="1FF34AF8" w:rsidR="003D6A2E" w:rsidRDefault="003D6A2E">
          <w:pPr>
            <w:pStyle w:val="TOC1"/>
            <w:tabs>
              <w:tab w:val="right" w:leader="dot" w:pos="9710"/>
            </w:tabs>
            <w:rPr>
              <w:rFonts w:eastAsiaTheme="minorEastAsia"/>
              <w:noProof/>
              <w:kern w:val="2"/>
              <w:sz w:val="24"/>
              <w:szCs w:val="24"/>
              <w14:ligatures w14:val="standardContextual"/>
            </w:rPr>
          </w:pPr>
          <w:hyperlink w:anchor="_Toc192247638" w:history="1">
            <w:r w:rsidRPr="00BC00DE">
              <w:rPr>
                <w:rStyle w:val="Hyperlink"/>
                <w:noProof/>
              </w:rPr>
              <w:t>Factor 3: Relevant Licensure/Oversight Compliance</w:t>
            </w:r>
            <w:r>
              <w:rPr>
                <w:noProof/>
                <w:webHidden/>
              </w:rPr>
              <w:tab/>
            </w:r>
            <w:r>
              <w:rPr>
                <w:noProof/>
                <w:webHidden/>
              </w:rPr>
              <w:fldChar w:fldCharType="begin"/>
            </w:r>
            <w:r>
              <w:rPr>
                <w:noProof/>
                <w:webHidden/>
              </w:rPr>
              <w:instrText xml:space="preserve"> PAGEREF _Toc192247638 \h </w:instrText>
            </w:r>
            <w:r>
              <w:rPr>
                <w:noProof/>
                <w:webHidden/>
              </w:rPr>
            </w:r>
            <w:r>
              <w:rPr>
                <w:noProof/>
                <w:webHidden/>
              </w:rPr>
              <w:fldChar w:fldCharType="separate"/>
            </w:r>
            <w:r>
              <w:rPr>
                <w:noProof/>
                <w:webHidden/>
              </w:rPr>
              <w:t>18</w:t>
            </w:r>
            <w:r>
              <w:rPr>
                <w:noProof/>
                <w:webHidden/>
              </w:rPr>
              <w:fldChar w:fldCharType="end"/>
            </w:r>
          </w:hyperlink>
        </w:p>
        <w:p w14:paraId="3FCB42C3" w14:textId="4468452A" w:rsidR="003D6A2E" w:rsidRDefault="003D6A2E">
          <w:pPr>
            <w:pStyle w:val="TOC1"/>
            <w:tabs>
              <w:tab w:val="right" w:leader="dot" w:pos="9710"/>
            </w:tabs>
            <w:rPr>
              <w:rFonts w:eastAsiaTheme="minorEastAsia"/>
              <w:noProof/>
              <w:kern w:val="2"/>
              <w:sz w:val="24"/>
              <w:szCs w:val="24"/>
              <w14:ligatures w14:val="standardContextual"/>
            </w:rPr>
          </w:pPr>
          <w:hyperlink w:anchor="_Toc192247639" w:history="1">
            <w:r w:rsidRPr="00BC00DE">
              <w:rPr>
                <w:rStyle w:val="Hyperlink"/>
                <w:noProof/>
              </w:rPr>
              <w:t>Factor 4: Financial Feasibility</w:t>
            </w:r>
            <w:r>
              <w:rPr>
                <w:noProof/>
                <w:webHidden/>
              </w:rPr>
              <w:tab/>
            </w:r>
            <w:r>
              <w:rPr>
                <w:noProof/>
                <w:webHidden/>
              </w:rPr>
              <w:fldChar w:fldCharType="begin"/>
            </w:r>
            <w:r>
              <w:rPr>
                <w:noProof/>
                <w:webHidden/>
              </w:rPr>
              <w:instrText xml:space="preserve"> PAGEREF _Toc192247639 \h </w:instrText>
            </w:r>
            <w:r>
              <w:rPr>
                <w:noProof/>
                <w:webHidden/>
              </w:rPr>
            </w:r>
            <w:r>
              <w:rPr>
                <w:noProof/>
                <w:webHidden/>
              </w:rPr>
              <w:fldChar w:fldCharType="separate"/>
            </w:r>
            <w:r>
              <w:rPr>
                <w:noProof/>
                <w:webHidden/>
              </w:rPr>
              <w:t>18</w:t>
            </w:r>
            <w:r>
              <w:rPr>
                <w:noProof/>
                <w:webHidden/>
              </w:rPr>
              <w:fldChar w:fldCharType="end"/>
            </w:r>
          </w:hyperlink>
        </w:p>
        <w:p w14:paraId="73CCF97F" w14:textId="5EF5F5CE" w:rsidR="003D6A2E" w:rsidRDefault="003D6A2E">
          <w:pPr>
            <w:pStyle w:val="TOC1"/>
            <w:tabs>
              <w:tab w:val="right" w:leader="dot" w:pos="9710"/>
            </w:tabs>
            <w:rPr>
              <w:rFonts w:eastAsiaTheme="minorEastAsia"/>
              <w:noProof/>
              <w:kern w:val="2"/>
              <w:sz w:val="24"/>
              <w:szCs w:val="24"/>
              <w14:ligatures w14:val="standardContextual"/>
            </w:rPr>
          </w:pPr>
          <w:hyperlink w:anchor="_Toc192247640" w:history="1">
            <w:r w:rsidRPr="00BC00DE">
              <w:rPr>
                <w:rStyle w:val="Hyperlink"/>
                <w:noProof/>
              </w:rPr>
              <w:t>Factor 5: Assessment of the Proposed Project’s Relative Merit</w:t>
            </w:r>
            <w:r>
              <w:rPr>
                <w:noProof/>
                <w:webHidden/>
              </w:rPr>
              <w:tab/>
            </w:r>
            <w:r>
              <w:rPr>
                <w:noProof/>
                <w:webHidden/>
              </w:rPr>
              <w:fldChar w:fldCharType="begin"/>
            </w:r>
            <w:r>
              <w:rPr>
                <w:noProof/>
                <w:webHidden/>
              </w:rPr>
              <w:instrText xml:space="preserve"> PAGEREF _Toc192247640 \h </w:instrText>
            </w:r>
            <w:r>
              <w:rPr>
                <w:noProof/>
                <w:webHidden/>
              </w:rPr>
            </w:r>
            <w:r>
              <w:rPr>
                <w:noProof/>
                <w:webHidden/>
              </w:rPr>
              <w:fldChar w:fldCharType="separate"/>
            </w:r>
            <w:r>
              <w:rPr>
                <w:noProof/>
                <w:webHidden/>
              </w:rPr>
              <w:t>20</w:t>
            </w:r>
            <w:r>
              <w:rPr>
                <w:noProof/>
                <w:webHidden/>
              </w:rPr>
              <w:fldChar w:fldCharType="end"/>
            </w:r>
          </w:hyperlink>
        </w:p>
        <w:p w14:paraId="198C61FE" w14:textId="6C3CC68C" w:rsidR="003D6A2E" w:rsidRDefault="003D6A2E">
          <w:pPr>
            <w:pStyle w:val="TOC1"/>
            <w:tabs>
              <w:tab w:val="right" w:leader="dot" w:pos="9710"/>
            </w:tabs>
            <w:rPr>
              <w:rFonts w:eastAsiaTheme="minorEastAsia"/>
              <w:noProof/>
              <w:kern w:val="2"/>
              <w:sz w:val="24"/>
              <w:szCs w:val="24"/>
              <w14:ligatures w14:val="standardContextual"/>
            </w:rPr>
          </w:pPr>
          <w:hyperlink w:anchor="_Toc192247641" w:history="1">
            <w:r w:rsidRPr="00BC00DE">
              <w:rPr>
                <w:rStyle w:val="Hyperlink"/>
                <w:noProof/>
              </w:rPr>
              <w:t>Factor 6: Fulfillment of DPH Community-based Health Initiatives</w:t>
            </w:r>
            <w:r>
              <w:rPr>
                <w:noProof/>
                <w:webHidden/>
              </w:rPr>
              <w:tab/>
            </w:r>
            <w:r>
              <w:rPr>
                <w:noProof/>
                <w:webHidden/>
              </w:rPr>
              <w:fldChar w:fldCharType="begin"/>
            </w:r>
            <w:r>
              <w:rPr>
                <w:noProof/>
                <w:webHidden/>
              </w:rPr>
              <w:instrText xml:space="preserve"> PAGEREF _Toc192247641 \h </w:instrText>
            </w:r>
            <w:r>
              <w:rPr>
                <w:noProof/>
                <w:webHidden/>
              </w:rPr>
            </w:r>
            <w:r>
              <w:rPr>
                <w:noProof/>
                <w:webHidden/>
              </w:rPr>
              <w:fldChar w:fldCharType="separate"/>
            </w:r>
            <w:r>
              <w:rPr>
                <w:noProof/>
                <w:webHidden/>
              </w:rPr>
              <w:t>21</w:t>
            </w:r>
            <w:r>
              <w:rPr>
                <w:noProof/>
                <w:webHidden/>
              </w:rPr>
              <w:fldChar w:fldCharType="end"/>
            </w:r>
          </w:hyperlink>
        </w:p>
        <w:p w14:paraId="399813A2" w14:textId="3853946D" w:rsidR="003D6A2E" w:rsidRDefault="003D6A2E">
          <w:pPr>
            <w:pStyle w:val="TOC1"/>
            <w:tabs>
              <w:tab w:val="right" w:leader="dot" w:pos="9710"/>
            </w:tabs>
            <w:rPr>
              <w:rFonts w:eastAsiaTheme="minorEastAsia"/>
              <w:noProof/>
              <w:kern w:val="2"/>
              <w:sz w:val="24"/>
              <w:szCs w:val="24"/>
              <w14:ligatures w14:val="standardContextual"/>
            </w:rPr>
          </w:pPr>
          <w:hyperlink w:anchor="_Toc192247642" w:history="1">
            <w:r w:rsidRPr="00BC00DE">
              <w:rPr>
                <w:rStyle w:val="Hyperlink"/>
                <w:noProof/>
              </w:rPr>
              <w:t>Overall Findings and Recommendations</w:t>
            </w:r>
            <w:r>
              <w:rPr>
                <w:noProof/>
                <w:webHidden/>
              </w:rPr>
              <w:tab/>
            </w:r>
            <w:r>
              <w:rPr>
                <w:noProof/>
                <w:webHidden/>
              </w:rPr>
              <w:fldChar w:fldCharType="begin"/>
            </w:r>
            <w:r>
              <w:rPr>
                <w:noProof/>
                <w:webHidden/>
              </w:rPr>
              <w:instrText xml:space="preserve"> PAGEREF _Toc192247642 \h </w:instrText>
            </w:r>
            <w:r>
              <w:rPr>
                <w:noProof/>
                <w:webHidden/>
              </w:rPr>
            </w:r>
            <w:r>
              <w:rPr>
                <w:noProof/>
                <w:webHidden/>
              </w:rPr>
              <w:fldChar w:fldCharType="separate"/>
            </w:r>
            <w:r>
              <w:rPr>
                <w:noProof/>
                <w:webHidden/>
              </w:rPr>
              <w:t>23</w:t>
            </w:r>
            <w:r>
              <w:rPr>
                <w:noProof/>
                <w:webHidden/>
              </w:rPr>
              <w:fldChar w:fldCharType="end"/>
            </w:r>
          </w:hyperlink>
        </w:p>
        <w:p w14:paraId="1A35F6D6" w14:textId="6C699D8E" w:rsidR="003D6A2E" w:rsidRDefault="003D6A2E">
          <w:pPr>
            <w:pStyle w:val="TOC1"/>
            <w:tabs>
              <w:tab w:val="right" w:leader="dot" w:pos="9710"/>
            </w:tabs>
            <w:rPr>
              <w:rFonts w:eastAsiaTheme="minorEastAsia"/>
              <w:noProof/>
              <w:kern w:val="2"/>
              <w:sz w:val="24"/>
              <w:szCs w:val="24"/>
              <w14:ligatures w14:val="standardContextual"/>
            </w:rPr>
          </w:pPr>
          <w:hyperlink w:anchor="_Toc192247643" w:history="1">
            <w:r w:rsidRPr="00BC00DE">
              <w:rPr>
                <w:rStyle w:val="Hyperlink"/>
                <w:noProof/>
              </w:rPr>
              <w:t>Conditions to the DoN</w:t>
            </w:r>
            <w:r>
              <w:rPr>
                <w:noProof/>
                <w:webHidden/>
              </w:rPr>
              <w:tab/>
            </w:r>
            <w:r>
              <w:rPr>
                <w:noProof/>
                <w:webHidden/>
              </w:rPr>
              <w:fldChar w:fldCharType="begin"/>
            </w:r>
            <w:r>
              <w:rPr>
                <w:noProof/>
                <w:webHidden/>
              </w:rPr>
              <w:instrText xml:space="preserve"> PAGEREF _Toc192247643 \h </w:instrText>
            </w:r>
            <w:r>
              <w:rPr>
                <w:noProof/>
                <w:webHidden/>
              </w:rPr>
            </w:r>
            <w:r>
              <w:rPr>
                <w:noProof/>
                <w:webHidden/>
              </w:rPr>
              <w:fldChar w:fldCharType="separate"/>
            </w:r>
            <w:r>
              <w:rPr>
                <w:noProof/>
                <w:webHidden/>
              </w:rPr>
              <w:t>23</w:t>
            </w:r>
            <w:r>
              <w:rPr>
                <w:noProof/>
                <w:webHidden/>
              </w:rPr>
              <w:fldChar w:fldCharType="end"/>
            </w:r>
          </w:hyperlink>
        </w:p>
        <w:p w14:paraId="234B2013" w14:textId="3D3FAC9D" w:rsidR="003D6A2E" w:rsidRDefault="003D6A2E">
          <w:pPr>
            <w:pStyle w:val="TOC1"/>
            <w:tabs>
              <w:tab w:val="right" w:leader="dot" w:pos="9710"/>
            </w:tabs>
            <w:rPr>
              <w:rFonts w:eastAsiaTheme="minorEastAsia"/>
              <w:noProof/>
              <w:kern w:val="2"/>
              <w:sz w:val="24"/>
              <w:szCs w:val="24"/>
              <w14:ligatures w14:val="standardContextual"/>
            </w:rPr>
          </w:pPr>
          <w:hyperlink w:anchor="_Toc192247644" w:history="1">
            <w:r w:rsidRPr="00BC00DE">
              <w:rPr>
                <w:rStyle w:val="Hyperlink"/>
                <w:noProof/>
              </w:rPr>
              <w:t>Appendix I</w:t>
            </w:r>
            <w:r>
              <w:rPr>
                <w:noProof/>
                <w:webHidden/>
              </w:rPr>
              <w:tab/>
            </w:r>
            <w:r>
              <w:rPr>
                <w:noProof/>
                <w:webHidden/>
              </w:rPr>
              <w:fldChar w:fldCharType="begin"/>
            </w:r>
            <w:r>
              <w:rPr>
                <w:noProof/>
                <w:webHidden/>
              </w:rPr>
              <w:instrText xml:space="preserve"> PAGEREF _Toc192247644 \h </w:instrText>
            </w:r>
            <w:r>
              <w:rPr>
                <w:noProof/>
                <w:webHidden/>
              </w:rPr>
            </w:r>
            <w:r>
              <w:rPr>
                <w:noProof/>
                <w:webHidden/>
              </w:rPr>
              <w:fldChar w:fldCharType="separate"/>
            </w:r>
            <w:r>
              <w:rPr>
                <w:noProof/>
                <w:webHidden/>
              </w:rPr>
              <w:t>24</w:t>
            </w:r>
            <w:r>
              <w:rPr>
                <w:noProof/>
                <w:webHidden/>
              </w:rPr>
              <w:fldChar w:fldCharType="end"/>
            </w:r>
          </w:hyperlink>
        </w:p>
        <w:p w14:paraId="141A3273" w14:textId="6A36CF68" w:rsidR="003D6A2E" w:rsidRDefault="003D6A2E">
          <w:pPr>
            <w:pStyle w:val="TOC1"/>
            <w:tabs>
              <w:tab w:val="right" w:leader="dot" w:pos="9710"/>
            </w:tabs>
            <w:rPr>
              <w:rFonts w:eastAsiaTheme="minorEastAsia"/>
              <w:noProof/>
              <w:kern w:val="2"/>
              <w:sz w:val="24"/>
              <w:szCs w:val="24"/>
              <w14:ligatures w14:val="standardContextual"/>
            </w:rPr>
          </w:pPr>
          <w:hyperlink w:anchor="_Toc192247645" w:history="1">
            <w:r w:rsidRPr="00BC00DE">
              <w:rPr>
                <w:rStyle w:val="Hyperlink"/>
                <w:rFonts w:cstheme="minorHAnsi"/>
                <w:iCs/>
                <w:noProof/>
              </w:rPr>
              <w:t>REFERENCES</w:t>
            </w:r>
            <w:r>
              <w:rPr>
                <w:noProof/>
                <w:webHidden/>
              </w:rPr>
              <w:tab/>
            </w:r>
            <w:r>
              <w:rPr>
                <w:noProof/>
                <w:webHidden/>
              </w:rPr>
              <w:fldChar w:fldCharType="begin"/>
            </w:r>
            <w:r>
              <w:rPr>
                <w:noProof/>
                <w:webHidden/>
              </w:rPr>
              <w:instrText xml:space="preserve"> PAGEREF _Toc192247645 \h </w:instrText>
            </w:r>
            <w:r>
              <w:rPr>
                <w:noProof/>
                <w:webHidden/>
              </w:rPr>
            </w:r>
            <w:r>
              <w:rPr>
                <w:noProof/>
                <w:webHidden/>
              </w:rPr>
              <w:fldChar w:fldCharType="separate"/>
            </w:r>
            <w:r>
              <w:rPr>
                <w:noProof/>
                <w:webHidden/>
              </w:rPr>
              <w:t>25</w:t>
            </w:r>
            <w:r>
              <w:rPr>
                <w:noProof/>
                <w:webHidden/>
              </w:rPr>
              <w:fldChar w:fldCharType="end"/>
            </w:r>
          </w:hyperlink>
        </w:p>
        <w:p w14:paraId="060B9E96" w14:textId="4C0E2C6F" w:rsidR="0098316A" w:rsidRPr="00E20DEA" w:rsidRDefault="0098316A">
          <w:pPr>
            <w:rPr>
              <w:sz w:val="24"/>
              <w:szCs w:val="24"/>
              <w:highlight w:val="yellow"/>
            </w:rPr>
          </w:pPr>
          <w:r w:rsidRPr="00E20DEA">
            <w:rPr>
              <w:b/>
              <w:bCs/>
              <w:noProof/>
              <w:color w:val="2B579A"/>
              <w:sz w:val="24"/>
              <w:szCs w:val="24"/>
              <w:highlight w:val="yellow"/>
              <w:shd w:val="clear" w:color="auto" w:fill="E6E6E6"/>
            </w:rPr>
            <w:fldChar w:fldCharType="end"/>
          </w:r>
        </w:p>
      </w:sdtContent>
    </w:sdt>
    <w:p w14:paraId="12C7C6A3" w14:textId="77777777" w:rsidR="00897353" w:rsidRPr="00E20DEA" w:rsidRDefault="00897353" w:rsidP="0093651C">
      <w:pPr>
        <w:pStyle w:val="Heading1"/>
        <w:rPr>
          <w:highlight w:val="yellow"/>
        </w:rPr>
      </w:pPr>
    </w:p>
    <w:p w14:paraId="6FEB13CA" w14:textId="77777777" w:rsidR="00897353" w:rsidRPr="00E20DEA" w:rsidRDefault="00897353">
      <w:pPr>
        <w:rPr>
          <w:b/>
          <w:bCs/>
          <w:highlight w:val="yellow"/>
        </w:rPr>
      </w:pPr>
    </w:p>
    <w:p w14:paraId="780EAF0C" w14:textId="20A6C8EE" w:rsidR="00897353" w:rsidRPr="00E20DEA" w:rsidRDefault="00897353" w:rsidP="00897353">
      <w:pPr>
        <w:spacing w:after="0" w:line="240" w:lineRule="auto"/>
        <w:contextualSpacing/>
        <w:jc w:val="center"/>
        <w:rPr>
          <w:rFonts w:ascii="Garamond" w:eastAsia="Calibri" w:hAnsi="Garamond" w:cs="Times New Roman"/>
          <w:highlight w:val="yellow"/>
        </w:rPr>
      </w:pPr>
    </w:p>
    <w:p w14:paraId="78017998" w14:textId="77777777" w:rsidR="00897353" w:rsidRPr="00E20DEA" w:rsidRDefault="00897353" w:rsidP="00897353">
      <w:pPr>
        <w:spacing w:after="0" w:line="240" w:lineRule="auto"/>
        <w:contextualSpacing/>
        <w:rPr>
          <w:rFonts w:ascii="Garamond" w:eastAsia="Calibri" w:hAnsi="Garamond" w:cs="Times New Roman"/>
          <w:highlight w:val="yellow"/>
        </w:rPr>
        <w:sectPr w:rsidR="00897353" w:rsidRPr="00E20DEA" w:rsidSect="0098316A">
          <w:endnotePr>
            <w:numFmt w:val="lowerLetter"/>
          </w:endnotePr>
          <w:pgSz w:w="12240" w:h="15840"/>
          <w:pgMar w:top="1440" w:right="1440" w:bottom="1440" w:left="1080" w:header="720" w:footer="720" w:gutter="0"/>
          <w:cols w:space="720"/>
          <w:docGrid w:linePitch="360"/>
        </w:sectPr>
      </w:pPr>
    </w:p>
    <w:p w14:paraId="0C41E10A" w14:textId="478C72C6" w:rsidR="00C375A0" w:rsidRPr="005B7251" w:rsidRDefault="00926528" w:rsidP="00A662DF">
      <w:pPr>
        <w:pStyle w:val="Heading1"/>
        <w:spacing w:before="0" w:line="240" w:lineRule="auto"/>
        <w:rPr>
          <w:rFonts w:cstheme="minorHAnsi"/>
        </w:rPr>
      </w:pPr>
      <w:bookmarkStart w:id="0" w:name="_Toc144207765"/>
      <w:bookmarkStart w:id="1" w:name="_Toc192247626"/>
      <w:r w:rsidRPr="005B7251">
        <w:rPr>
          <w:rFonts w:cstheme="minorHAnsi"/>
        </w:rPr>
        <w:lastRenderedPageBreak/>
        <w:t>Applicant Background and Application Overview</w:t>
      </w:r>
      <w:bookmarkEnd w:id="0"/>
      <w:bookmarkEnd w:id="1"/>
    </w:p>
    <w:p w14:paraId="546E13CC" w14:textId="77777777" w:rsidR="000A68A9" w:rsidRPr="000A68A9" w:rsidRDefault="000A68A9" w:rsidP="00A662DF">
      <w:pPr>
        <w:pStyle w:val="BodyText"/>
        <w:spacing w:before="0"/>
        <w:ind w:right="130"/>
        <w:rPr>
          <w:rFonts w:asciiTheme="minorHAnsi" w:hAnsiTheme="minorHAnsi" w:cstheme="minorHAnsi"/>
          <w:b/>
          <w:bCs/>
          <w:sz w:val="24"/>
          <w:szCs w:val="24"/>
        </w:rPr>
      </w:pPr>
      <w:r w:rsidRPr="000A68A9">
        <w:rPr>
          <w:rFonts w:asciiTheme="minorHAnsi" w:hAnsiTheme="minorHAnsi" w:cstheme="minorHAnsi"/>
          <w:b/>
          <w:bCs/>
          <w:sz w:val="24"/>
          <w:szCs w:val="24"/>
        </w:rPr>
        <w:t>Sturdy Health Foundation, Inc.</w:t>
      </w:r>
    </w:p>
    <w:p w14:paraId="697413B1" w14:textId="29F06413" w:rsidR="00691480" w:rsidRPr="00A87D82" w:rsidRDefault="003F157C" w:rsidP="00A662DF">
      <w:pPr>
        <w:pStyle w:val="HBblj"/>
        <w:spacing w:after="0"/>
        <w:jc w:val="left"/>
        <w:rPr>
          <w:rFonts w:cs="Arial"/>
        </w:rPr>
      </w:pPr>
      <w:r w:rsidRPr="003F157C">
        <w:rPr>
          <w:rFonts w:cstheme="minorHAnsi"/>
          <w:sz w:val="24"/>
          <w:szCs w:val="24"/>
        </w:rPr>
        <w:t>Sturdy Health</w:t>
      </w:r>
      <w:r w:rsidR="003915CB">
        <w:rPr>
          <w:rFonts w:cstheme="minorHAnsi"/>
          <w:sz w:val="24"/>
          <w:szCs w:val="24"/>
        </w:rPr>
        <w:t xml:space="preserve"> Foundation, Inc.</w:t>
      </w:r>
      <w:r w:rsidRPr="003F157C">
        <w:rPr>
          <w:rFonts w:cstheme="minorHAnsi"/>
          <w:sz w:val="24"/>
          <w:szCs w:val="24"/>
        </w:rPr>
        <w:t xml:space="preserve"> is an independent, not-for-profit, community-driven, fully integrated health system that offers hospital-based acute, emergency, and urgent care, in addition to primary and specialty care at 26 medical office locations across Southeastern </w:t>
      </w:r>
      <w:r w:rsidRPr="00691480">
        <w:rPr>
          <w:rFonts w:cstheme="minorHAnsi"/>
          <w:sz w:val="24"/>
          <w:szCs w:val="24"/>
        </w:rPr>
        <w:t>Massachusetts including Attleboro, North Attleboro, Mansfield, Norton, Plainville, Rehoboth, and Seekonk.</w:t>
      </w:r>
      <w:r w:rsidR="00691480" w:rsidRPr="00691480">
        <w:rPr>
          <w:rFonts w:cstheme="minorHAnsi"/>
          <w:sz w:val="24"/>
          <w:szCs w:val="24"/>
        </w:rPr>
        <w:t xml:space="preserve"> The health system is comprised of Sturdy Memorial Hospital</w:t>
      </w:r>
      <w:r w:rsidR="001369F4">
        <w:rPr>
          <w:rFonts w:cstheme="minorHAnsi"/>
          <w:sz w:val="24"/>
          <w:szCs w:val="24"/>
        </w:rPr>
        <w:t xml:space="preserve"> (the Hospital)</w:t>
      </w:r>
      <w:r w:rsidR="00691480" w:rsidRPr="00691480">
        <w:rPr>
          <w:rFonts w:cstheme="minorHAnsi"/>
          <w:sz w:val="24"/>
          <w:szCs w:val="24"/>
        </w:rPr>
        <w:t>, a community hospital, and Study Health Medical Group, the medical offices affiliated with the Hospital.</w:t>
      </w:r>
    </w:p>
    <w:p w14:paraId="2DAB68D3" w14:textId="77777777" w:rsidR="003F157C" w:rsidRPr="003F157C" w:rsidRDefault="003F157C" w:rsidP="00A662DF">
      <w:pPr>
        <w:pStyle w:val="BodyText"/>
        <w:spacing w:before="0"/>
        <w:ind w:left="0"/>
        <w:rPr>
          <w:rFonts w:asciiTheme="minorHAnsi" w:hAnsiTheme="minorHAnsi" w:cstheme="minorHAnsi"/>
          <w:sz w:val="24"/>
          <w:szCs w:val="24"/>
        </w:rPr>
      </w:pPr>
    </w:p>
    <w:p w14:paraId="434FEC3F" w14:textId="50A6F2EF" w:rsidR="00CA398E" w:rsidRPr="00A2476D" w:rsidRDefault="00C52AD8" w:rsidP="00A662DF">
      <w:pPr>
        <w:pStyle w:val="BodyText"/>
        <w:spacing w:before="0"/>
        <w:ind w:right="133"/>
        <w:rPr>
          <w:rFonts w:asciiTheme="minorHAnsi" w:hAnsiTheme="minorHAnsi" w:cstheme="minorHAnsi"/>
          <w:b/>
          <w:bCs/>
          <w:sz w:val="24"/>
          <w:szCs w:val="24"/>
        </w:rPr>
      </w:pPr>
      <w:r w:rsidRPr="00A2476D">
        <w:rPr>
          <w:rFonts w:asciiTheme="minorHAnsi" w:hAnsiTheme="minorHAnsi" w:cstheme="minorHAnsi"/>
          <w:b/>
          <w:bCs/>
          <w:sz w:val="24"/>
          <w:szCs w:val="24"/>
        </w:rPr>
        <w:t>Sturdy Memorial Hospital</w:t>
      </w:r>
    </w:p>
    <w:p w14:paraId="6C26FF88" w14:textId="565C8796" w:rsidR="00CA398E" w:rsidRPr="002C0ABB" w:rsidRDefault="006E18EC" w:rsidP="00A662DF">
      <w:pPr>
        <w:pStyle w:val="HBblj"/>
        <w:spacing w:after="0"/>
        <w:jc w:val="left"/>
        <w:rPr>
          <w:rFonts w:cstheme="minorHAnsi"/>
          <w:sz w:val="24"/>
          <w:szCs w:val="24"/>
        </w:rPr>
      </w:pPr>
      <w:r>
        <w:rPr>
          <w:rFonts w:cstheme="minorHAnsi"/>
          <w:sz w:val="24"/>
          <w:szCs w:val="24"/>
        </w:rPr>
        <w:t xml:space="preserve">The </w:t>
      </w:r>
      <w:r w:rsidR="00CA398E" w:rsidRPr="00CE6FFA">
        <w:rPr>
          <w:rFonts w:cstheme="minorHAnsi"/>
          <w:sz w:val="24"/>
          <w:szCs w:val="24"/>
        </w:rPr>
        <w:t xml:space="preserve">Hospital </w:t>
      </w:r>
      <w:r w:rsidR="00A2476D" w:rsidRPr="00CE6FFA">
        <w:rPr>
          <w:rFonts w:cstheme="minorHAnsi"/>
          <w:sz w:val="24"/>
          <w:szCs w:val="24"/>
        </w:rPr>
        <w:t>is a 128-bed community hospital in Attleboro, Massachusetts that offers the community emergency care, labor and delivery services, surgical services, cancer care and a variety of clinical services on an outpatient basis.</w:t>
      </w:r>
      <w:r w:rsidR="001E6423" w:rsidRPr="00CE6FFA">
        <w:rPr>
          <w:rFonts w:cstheme="minorHAnsi"/>
          <w:sz w:val="24"/>
          <w:szCs w:val="24"/>
        </w:rPr>
        <w:t xml:space="preserve"> The Hospital serves a population base of over 160,000 in suburban communities of Boston and Providence.</w:t>
      </w:r>
      <w:r w:rsidR="00CE6FFA">
        <w:rPr>
          <w:rFonts w:cstheme="minorHAnsi"/>
          <w:sz w:val="24"/>
          <w:szCs w:val="24"/>
        </w:rPr>
        <w:t xml:space="preserve"> </w:t>
      </w:r>
    </w:p>
    <w:p w14:paraId="42287A01" w14:textId="77777777" w:rsidR="004C25F6" w:rsidRPr="00E20DEA" w:rsidRDefault="004C25F6" w:rsidP="00A662DF">
      <w:pPr>
        <w:spacing w:after="0" w:line="240" w:lineRule="auto"/>
        <w:rPr>
          <w:highlight w:val="yellow"/>
        </w:rPr>
      </w:pPr>
    </w:p>
    <w:p w14:paraId="3A682F02" w14:textId="5CAC82E9" w:rsidR="00FE0737" w:rsidRPr="00285941" w:rsidRDefault="0024289A" w:rsidP="0024289A">
      <w:pPr>
        <w:spacing w:after="0" w:line="240" w:lineRule="auto"/>
        <w:rPr>
          <w:b/>
          <w:bCs/>
          <w:sz w:val="24"/>
          <w:szCs w:val="24"/>
        </w:rPr>
      </w:pPr>
      <w:r w:rsidRPr="00285941">
        <w:rPr>
          <w:b/>
          <w:bCs/>
          <w:sz w:val="24"/>
          <w:szCs w:val="24"/>
        </w:rPr>
        <w:t>Proposed Project</w:t>
      </w:r>
    </w:p>
    <w:p w14:paraId="6EE5953C" w14:textId="2D8F291E" w:rsidR="00CF4AC6" w:rsidRDefault="002B3C57" w:rsidP="00A662DF">
      <w:pPr>
        <w:pStyle w:val="HBblj"/>
        <w:spacing w:after="0"/>
        <w:jc w:val="left"/>
        <w:rPr>
          <w:rFonts w:cs="Arial"/>
          <w:sz w:val="24"/>
          <w:szCs w:val="24"/>
        </w:rPr>
      </w:pPr>
      <w:r w:rsidRPr="003C2CE5">
        <w:rPr>
          <w:sz w:val="24"/>
          <w:szCs w:val="24"/>
        </w:rPr>
        <w:t>The Proposed Project</w:t>
      </w:r>
      <w:r w:rsidR="003C2CE5" w:rsidRPr="003C2CE5">
        <w:rPr>
          <w:sz w:val="24"/>
          <w:szCs w:val="24"/>
        </w:rPr>
        <w:t xml:space="preserve"> </w:t>
      </w:r>
      <w:r w:rsidR="003C2CE5" w:rsidRPr="003C2CE5">
        <w:rPr>
          <w:rFonts w:cs="Arial"/>
          <w:sz w:val="24"/>
          <w:szCs w:val="24"/>
        </w:rPr>
        <w:t>will expand the E</w:t>
      </w:r>
      <w:r w:rsidR="004B2D30">
        <w:rPr>
          <w:rFonts w:cs="Arial"/>
          <w:sz w:val="24"/>
          <w:szCs w:val="24"/>
        </w:rPr>
        <w:t>mergency Department (ED)</w:t>
      </w:r>
      <w:r w:rsidR="003C2CE5" w:rsidRPr="003C2CE5">
        <w:rPr>
          <w:rFonts w:cs="Arial"/>
          <w:sz w:val="24"/>
          <w:szCs w:val="24"/>
        </w:rPr>
        <w:t xml:space="preserve"> footprint </w:t>
      </w:r>
      <w:r w:rsidR="004B2D30">
        <w:rPr>
          <w:rFonts w:cs="Arial"/>
          <w:sz w:val="24"/>
          <w:szCs w:val="24"/>
        </w:rPr>
        <w:t xml:space="preserve">at the Hospital </w:t>
      </w:r>
      <w:r w:rsidR="003C2CE5" w:rsidRPr="003C2CE5">
        <w:rPr>
          <w:rFonts w:cs="Arial"/>
          <w:sz w:val="24"/>
          <w:szCs w:val="24"/>
        </w:rPr>
        <w:t xml:space="preserve">through new construction </w:t>
      </w:r>
      <w:r w:rsidR="00716F0F">
        <w:rPr>
          <w:rFonts w:cs="Arial"/>
          <w:sz w:val="24"/>
          <w:szCs w:val="24"/>
        </w:rPr>
        <w:t xml:space="preserve">of </w:t>
      </w:r>
      <w:r w:rsidR="008F249A">
        <w:rPr>
          <w:rFonts w:cs="Arial"/>
          <w:sz w:val="24"/>
          <w:szCs w:val="24"/>
        </w:rPr>
        <w:t xml:space="preserve">a 60,552 Gross Square Feet (GSF) </w:t>
      </w:r>
      <w:r w:rsidR="00A2602E">
        <w:rPr>
          <w:rFonts w:cs="Arial"/>
          <w:sz w:val="24"/>
          <w:szCs w:val="24"/>
        </w:rPr>
        <w:t>space that will</w:t>
      </w:r>
      <w:r w:rsidR="003C2CE5" w:rsidRPr="003C2CE5">
        <w:rPr>
          <w:rFonts w:cs="Arial"/>
          <w:sz w:val="24"/>
          <w:szCs w:val="24"/>
        </w:rPr>
        <w:t xml:space="preserve"> include</w:t>
      </w:r>
      <w:r w:rsidR="00CF4AC6">
        <w:rPr>
          <w:rFonts w:cs="Arial"/>
          <w:sz w:val="24"/>
          <w:szCs w:val="24"/>
        </w:rPr>
        <w:t>:</w:t>
      </w:r>
    </w:p>
    <w:p w14:paraId="5F5C252E" w14:textId="71269F4A" w:rsidR="00B60ED6" w:rsidRDefault="003C2CE5" w:rsidP="00A662DF">
      <w:pPr>
        <w:pStyle w:val="HBblj"/>
        <w:numPr>
          <w:ilvl w:val="0"/>
          <w:numId w:val="20"/>
        </w:numPr>
        <w:spacing w:after="0"/>
        <w:jc w:val="left"/>
        <w:rPr>
          <w:rFonts w:cs="Arial"/>
          <w:sz w:val="24"/>
          <w:szCs w:val="24"/>
        </w:rPr>
      </w:pPr>
      <w:r w:rsidRPr="003C2CE5">
        <w:rPr>
          <w:rFonts w:cs="Arial"/>
          <w:sz w:val="24"/>
          <w:szCs w:val="24"/>
        </w:rPr>
        <w:t>50 private treatment rooms</w:t>
      </w:r>
      <w:r w:rsidR="00B60ED6">
        <w:rPr>
          <w:rFonts w:cs="Arial"/>
          <w:sz w:val="24"/>
          <w:szCs w:val="24"/>
        </w:rPr>
        <w:t>,</w:t>
      </w:r>
      <w:r w:rsidR="00D10A6C">
        <w:rPr>
          <w:rFonts w:cs="Arial"/>
          <w:sz w:val="24"/>
          <w:szCs w:val="24"/>
        </w:rPr>
        <w:t xml:space="preserve"> </w:t>
      </w:r>
      <w:r w:rsidR="00B60ED6">
        <w:rPr>
          <w:rFonts w:cs="Arial"/>
          <w:sz w:val="24"/>
          <w:szCs w:val="24"/>
        </w:rPr>
        <w:t>usable for both adult and pediatric needs</w:t>
      </w:r>
      <w:r w:rsidR="004E18F3" w:rsidRPr="004E18F3">
        <w:rPr>
          <w:rFonts w:cs="Arial"/>
          <w:sz w:val="24"/>
          <w:szCs w:val="24"/>
        </w:rPr>
        <w:t>, that include 36 general ED rooms, 12 behavioral health rooms, and two trauma rooms.</w:t>
      </w:r>
    </w:p>
    <w:p w14:paraId="6FE4AD0F" w14:textId="5920A07F" w:rsidR="00CF4AC6" w:rsidRDefault="00B60ED6" w:rsidP="00A662DF">
      <w:pPr>
        <w:pStyle w:val="HBblj"/>
        <w:numPr>
          <w:ilvl w:val="0"/>
          <w:numId w:val="20"/>
        </w:numPr>
        <w:spacing w:after="0"/>
        <w:jc w:val="left"/>
        <w:rPr>
          <w:rFonts w:cs="Arial"/>
          <w:sz w:val="24"/>
          <w:szCs w:val="24"/>
        </w:rPr>
      </w:pPr>
      <w:r>
        <w:rPr>
          <w:rFonts w:cs="Arial"/>
          <w:sz w:val="24"/>
          <w:szCs w:val="24"/>
        </w:rPr>
        <w:t>T</w:t>
      </w:r>
      <w:r w:rsidR="00046A3F" w:rsidRPr="003C2CE5">
        <w:rPr>
          <w:rFonts w:cs="Arial"/>
          <w:sz w:val="24"/>
          <w:szCs w:val="24"/>
        </w:rPr>
        <w:t>wo airborne infection isolation rooms with dedicated bathrooms and anterooms.</w:t>
      </w:r>
    </w:p>
    <w:p w14:paraId="70AB3A50" w14:textId="25DC8B9E" w:rsidR="00CF4AC6" w:rsidRDefault="00B60ED6" w:rsidP="00A662DF">
      <w:pPr>
        <w:pStyle w:val="HBblj"/>
        <w:numPr>
          <w:ilvl w:val="0"/>
          <w:numId w:val="20"/>
        </w:numPr>
        <w:spacing w:after="0"/>
        <w:jc w:val="left"/>
        <w:rPr>
          <w:rFonts w:cs="Arial"/>
          <w:sz w:val="24"/>
          <w:szCs w:val="24"/>
        </w:rPr>
      </w:pPr>
      <w:r>
        <w:rPr>
          <w:rFonts w:cs="Arial"/>
          <w:sz w:val="24"/>
          <w:szCs w:val="24"/>
        </w:rPr>
        <w:t>F</w:t>
      </w:r>
      <w:r w:rsidR="003C2CE5" w:rsidRPr="003C2CE5">
        <w:rPr>
          <w:rFonts w:cs="Arial"/>
          <w:sz w:val="24"/>
          <w:szCs w:val="24"/>
        </w:rPr>
        <w:t xml:space="preserve">our triage bays </w:t>
      </w:r>
    </w:p>
    <w:p w14:paraId="246348F2" w14:textId="298B4DBE" w:rsidR="00CF4AC6" w:rsidRPr="000B17E6" w:rsidRDefault="00B60ED6" w:rsidP="00A662DF">
      <w:pPr>
        <w:pStyle w:val="HBblj"/>
        <w:numPr>
          <w:ilvl w:val="0"/>
          <w:numId w:val="20"/>
        </w:numPr>
        <w:spacing w:after="0"/>
        <w:jc w:val="left"/>
        <w:rPr>
          <w:rFonts w:cs="Arial"/>
          <w:sz w:val="24"/>
          <w:szCs w:val="24"/>
        </w:rPr>
      </w:pPr>
      <w:r>
        <w:rPr>
          <w:rFonts w:cs="Arial"/>
          <w:sz w:val="24"/>
          <w:szCs w:val="24"/>
        </w:rPr>
        <w:t>D</w:t>
      </w:r>
      <w:r w:rsidR="003C2CE5" w:rsidRPr="003C2CE5">
        <w:rPr>
          <w:rFonts w:cs="Arial"/>
          <w:sz w:val="24"/>
          <w:szCs w:val="24"/>
        </w:rPr>
        <w:t>edicated administrative space for clinical and ancillary staff</w:t>
      </w:r>
      <w:r w:rsidR="003C2CE5" w:rsidRPr="000B17E6">
        <w:rPr>
          <w:rFonts w:cs="Arial"/>
          <w:sz w:val="24"/>
          <w:szCs w:val="24"/>
        </w:rPr>
        <w:t xml:space="preserve"> </w:t>
      </w:r>
    </w:p>
    <w:p w14:paraId="258BE70C" w14:textId="451B7053" w:rsidR="00046A3F" w:rsidRDefault="00B60ED6" w:rsidP="00A662DF">
      <w:pPr>
        <w:pStyle w:val="HBblj"/>
        <w:numPr>
          <w:ilvl w:val="0"/>
          <w:numId w:val="20"/>
        </w:numPr>
        <w:spacing w:after="0"/>
        <w:jc w:val="left"/>
        <w:rPr>
          <w:rFonts w:cs="Arial"/>
          <w:sz w:val="24"/>
          <w:szCs w:val="24"/>
        </w:rPr>
      </w:pPr>
      <w:r>
        <w:rPr>
          <w:rFonts w:cs="Arial"/>
          <w:sz w:val="24"/>
          <w:szCs w:val="24"/>
        </w:rPr>
        <w:t xml:space="preserve">A </w:t>
      </w:r>
      <w:r w:rsidR="003C2CE5" w:rsidRPr="003C2CE5">
        <w:rPr>
          <w:rFonts w:cs="Arial"/>
          <w:sz w:val="24"/>
          <w:szCs w:val="24"/>
        </w:rPr>
        <w:t>registration area dedicated to ED patients as well as space for radiology and imaging to be located within the ED</w:t>
      </w:r>
    </w:p>
    <w:p w14:paraId="41026FD4" w14:textId="17033544" w:rsidR="000123C5" w:rsidRDefault="00B60ED6" w:rsidP="00A662DF">
      <w:pPr>
        <w:pStyle w:val="HBblj"/>
        <w:numPr>
          <w:ilvl w:val="0"/>
          <w:numId w:val="20"/>
        </w:numPr>
        <w:spacing w:after="0"/>
        <w:jc w:val="left"/>
        <w:rPr>
          <w:rFonts w:cs="Arial"/>
          <w:sz w:val="24"/>
          <w:szCs w:val="24"/>
        </w:rPr>
      </w:pPr>
      <w:r>
        <w:rPr>
          <w:rFonts w:cs="Arial"/>
          <w:sz w:val="24"/>
          <w:szCs w:val="24"/>
        </w:rPr>
        <w:t>Relocation of one CT unit from the imaging department to the new ED (</w:t>
      </w:r>
      <w:r w:rsidR="000123C5" w:rsidRPr="000123C5">
        <w:rPr>
          <w:rFonts w:cs="Arial"/>
          <w:sz w:val="24"/>
          <w:szCs w:val="24"/>
        </w:rPr>
        <w:t xml:space="preserve">1:1 replacement </w:t>
      </w:r>
      <w:r>
        <w:rPr>
          <w:rFonts w:cs="Arial"/>
          <w:sz w:val="24"/>
          <w:szCs w:val="24"/>
        </w:rPr>
        <w:t>unit)</w:t>
      </w:r>
      <w:r w:rsidR="000123C5" w:rsidRPr="000123C5">
        <w:rPr>
          <w:rFonts w:cs="Arial"/>
          <w:sz w:val="24"/>
          <w:szCs w:val="24"/>
        </w:rPr>
        <w:t xml:space="preserve"> </w:t>
      </w:r>
    </w:p>
    <w:p w14:paraId="7FF49DBD" w14:textId="2299ED48" w:rsidR="00485B04" w:rsidRPr="00485B04" w:rsidRDefault="00485B04" w:rsidP="00A662DF">
      <w:pPr>
        <w:pStyle w:val="HBblj"/>
        <w:numPr>
          <w:ilvl w:val="0"/>
          <w:numId w:val="20"/>
        </w:numPr>
        <w:spacing w:after="0"/>
        <w:jc w:val="left"/>
        <w:rPr>
          <w:rFonts w:cs="Arial"/>
          <w:sz w:val="24"/>
          <w:szCs w:val="24"/>
        </w:rPr>
      </w:pPr>
      <w:r>
        <w:rPr>
          <w:rFonts w:cs="Arial"/>
          <w:sz w:val="24"/>
          <w:szCs w:val="24"/>
        </w:rPr>
        <w:t>W</w:t>
      </w:r>
      <w:r w:rsidR="003C2CE5" w:rsidRPr="003C2CE5">
        <w:rPr>
          <w:rFonts w:cs="Arial"/>
          <w:sz w:val="24"/>
          <w:szCs w:val="24"/>
        </w:rPr>
        <w:t xml:space="preserve">ider hallways to improve patient transfers and dedicated storage space for stretchers, code carts, and linen </w:t>
      </w:r>
      <w:r w:rsidR="003C2CE5" w:rsidRPr="00854622">
        <w:rPr>
          <w:rFonts w:cs="Arial"/>
          <w:sz w:val="24"/>
          <w:szCs w:val="24"/>
        </w:rPr>
        <w:t>carts to keep the hallways clear.</w:t>
      </w:r>
      <w:r w:rsidR="00822A80" w:rsidRPr="00854622">
        <w:rPr>
          <w:rFonts w:cs="Arial"/>
          <w:sz w:val="24"/>
          <w:szCs w:val="24"/>
        </w:rPr>
        <w:t xml:space="preserve"> </w:t>
      </w:r>
    </w:p>
    <w:p w14:paraId="67DF9C50" w14:textId="29962420" w:rsidR="009D423D" w:rsidRPr="00822A80" w:rsidRDefault="009F44A3" w:rsidP="00A662DF">
      <w:pPr>
        <w:pStyle w:val="HBblj"/>
        <w:numPr>
          <w:ilvl w:val="0"/>
          <w:numId w:val="20"/>
        </w:numPr>
        <w:spacing w:after="0"/>
        <w:jc w:val="left"/>
        <w:rPr>
          <w:rFonts w:cs="Arial"/>
          <w:sz w:val="24"/>
          <w:szCs w:val="24"/>
        </w:rPr>
      </w:pPr>
      <w:r w:rsidRPr="00854622">
        <w:rPr>
          <w:sz w:val="24"/>
          <w:szCs w:val="24"/>
        </w:rPr>
        <w:t xml:space="preserve">Table </w:t>
      </w:r>
      <w:r w:rsidR="00822A80" w:rsidRPr="00854622">
        <w:rPr>
          <w:sz w:val="24"/>
          <w:szCs w:val="24"/>
        </w:rPr>
        <w:t>1</w:t>
      </w:r>
      <w:r w:rsidRPr="00854622">
        <w:rPr>
          <w:sz w:val="24"/>
          <w:szCs w:val="24"/>
        </w:rPr>
        <w:t xml:space="preserve"> provides an overview of the </w:t>
      </w:r>
      <w:r w:rsidR="0045475F" w:rsidRPr="00854622">
        <w:rPr>
          <w:sz w:val="24"/>
          <w:szCs w:val="24"/>
        </w:rPr>
        <w:t>Proposed Project changes.</w:t>
      </w:r>
    </w:p>
    <w:p w14:paraId="2FB8DB6C" w14:textId="77777777" w:rsidR="009D423D" w:rsidRPr="00822A80" w:rsidRDefault="009D423D" w:rsidP="00A0068E">
      <w:pPr>
        <w:spacing w:after="0" w:line="240" w:lineRule="auto"/>
        <w:rPr>
          <w:sz w:val="24"/>
          <w:szCs w:val="24"/>
        </w:rPr>
      </w:pPr>
    </w:p>
    <w:p w14:paraId="644A77F2" w14:textId="07ED80B0" w:rsidR="009D423D" w:rsidRPr="00822A80" w:rsidRDefault="009D423D" w:rsidP="009D423D">
      <w:pPr>
        <w:pStyle w:val="Caption"/>
        <w:spacing w:after="0"/>
        <w:contextualSpacing/>
        <w:jc w:val="center"/>
        <w:rPr>
          <w:rFonts w:cstheme="minorHAnsi"/>
          <w:color w:val="2F5496" w:themeColor="accent1" w:themeShade="BF"/>
          <w:sz w:val="24"/>
          <w:szCs w:val="24"/>
        </w:rPr>
      </w:pPr>
      <w:r w:rsidRPr="00822A80">
        <w:rPr>
          <w:rFonts w:cstheme="minorHAnsi"/>
          <w:color w:val="2F5496" w:themeColor="accent1" w:themeShade="BF"/>
          <w:sz w:val="24"/>
          <w:szCs w:val="24"/>
          <w:u w:val="single"/>
        </w:rPr>
        <w:t xml:space="preserve">Table </w:t>
      </w:r>
      <w:r w:rsidR="00822A80" w:rsidRPr="00822A80">
        <w:rPr>
          <w:rFonts w:cstheme="minorHAnsi"/>
          <w:color w:val="2F5496" w:themeColor="accent1" w:themeShade="BF"/>
          <w:sz w:val="24"/>
          <w:szCs w:val="24"/>
          <w:u w:val="single"/>
        </w:rPr>
        <w:t>1</w:t>
      </w:r>
      <w:r w:rsidRPr="00822A80">
        <w:rPr>
          <w:rFonts w:cstheme="minorHAnsi"/>
          <w:color w:val="2F5496" w:themeColor="accent1" w:themeShade="BF"/>
          <w:sz w:val="24"/>
          <w:szCs w:val="24"/>
          <w:u w:val="single"/>
        </w:rPr>
        <w:t>:</w:t>
      </w:r>
      <w:r w:rsidRPr="00822A80">
        <w:rPr>
          <w:rFonts w:cstheme="minorHAnsi"/>
          <w:color w:val="2F5496" w:themeColor="accent1" w:themeShade="BF"/>
          <w:sz w:val="24"/>
          <w:szCs w:val="24"/>
        </w:rPr>
        <w:t xml:space="preserve"> </w:t>
      </w:r>
      <w:r w:rsidR="00822A80" w:rsidRPr="00822A80">
        <w:rPr>
          <w:rFonts w:cstheme="minorHAnsi"/>
          <w:color w:val="2F5496" w:themeColor="accent1" w:themeShade="BF"/>
          <w:sz w:val="24"/>
          <w:szCs w:val="24"/>
        </w:rPr>
        <w:t>Sturdy Memorial Hospital’s</w:t>
      </w:r>
      <w:r w:rsidRPr="00822A80">
        <w:rPr>
          <w:rFonts w:cstheme="minorHAnsi"/>
          <w:color w:val="2F5496" w:themeColor="accent1" w:themeShade="BF"/>
          <w:sz w:val="24"/>
          <w:szCs w:val="24"/>
        </w:rPr>
        <w:t xml:space="preserve"> ED Bed</w:t>
      </w:r>
      <w:r w:rsidR="00822A80" w:rsidRPr="00822A80">
        <w:rPr>
          <w:rFonts w:cstheme="minorHAnsi"/>
          <w:color w:val="2F5496" w:themeColor="accent1" w:themeShade="BF"/>
          <w:sz w:val="24"/>
          <w:szCs w:val="24"/>
        </w:rPr>
        <w:t xml:space="preserve"> Composition</w:t>
      </w:r>
    </w:p>
    <w:tbl>
      <w:tblPr>
        <w:tblW w:w="0" w:type="auto"/>
        <w:tblInd w:w="720" w:type="dxa"/>
        <w:tblCellMar>
          <w:left w:w="0" w:type="dxa"/>
          <w:right w:w="0" w:type="dxa"/>
        </w:tblCellMar>
        <w:tblLook w:val="04A0" w:firstRow="1" w:lastRow="0" w:firstColumn="1" w:lastColumn="0" w:noHBand="0" w:noVBand="1"/>
      </w:tblPr>
      <w:tblGrid>
        <w:gridCol w:w="3594"/>
        <w:gridCol w:w="1679"/>
        <w:gridCol w:w="1703"/>
        <w:gridCol w:w="1644"/>
      </w:tblGrid>
      <w:tr w:rsidR="009D423D" w:rsidRPr="00822A80" w14:paraId="3E9C1A27" w14:textId="77777777" w:rsidTr="00F43709">
        <w:trPr>
          <w:cantSplit/>
          <w:tblHeader/>
        </w:trPr>
        <w:tc>
          <w:tcPr>
            <w:tcW w:w="3594" w:type="dxa"/>
            <w:tcBorders>
              <w:top w:val="single" w:sz="8" w:space="0" w:color="auto"/>
              <w:left w:val="single" w:sz="8" w:space="0" w:color="auto"/>
              <w:bottom w:val="single" w:sz="8" w:space="0" w:color="auto"/>
              <w:right w:val="single" w:sz="8" w:space="0" w:color="auto"/>
            </w:tcBorders>
            <w:shd w:val="clear" w:color="auto" w:fill="C1E4F5"/>
            <w:tcMar>
              <w:top w:w="0" w:type="dxa"/>
              <w:left w:w="108" w:type="dxa"/>
              <w:bottom w:w="0" w:type="dxa"/>
              <w:right w:w="108" w:type="dxa"/>
            </w:tcMar>
          </w:tcPr>
          <w:p w14:paraId="17E858E8" w14:textId="77777777" w:rsidR="009D423D" w:rsidRPr="00822A80" w:rsidRDefault="009D423D">
            <w:pPr>
              <w:spacing w:after="0" w:line="240" w:lineRule="auto"/>
            </w:pPr>
          </w:p>
        </w:tc>
        <w:tc>
          <w:tcPr>
            <w:tcW w:w="1679" w:type="dxa"/>
            <w:tcBorders>
              <w:top w:val="single" w:sz="8" w:space="0" w:color="auto"/>
              <w:left w:val="nil"/>
              <w:bottom w:val="single" w:sz="8" w:space="0" w:color="auto"/>
              <w:right w:val="single" w:sz="8" w:space="0" w:color="auto"/>
            </w:tcBorders>
            <w:shd w:val="clear" w:color="auto" w:fill="C1E4F5"/>
            <w:tcMar>
              <w:top w:w="0" w:type="dxa"/>
              <w:left w:w="108" w:type="dxa"/>
              <w:bottom w:w="0" w:type="dxa"/>
              <w:right w:w="108" w:type="dxa"/>
            </w:tcMar>
            <w:hideMark/>
          </w:tcPr>
          <w:p w14:paraId="47A77587" w14:textId="77777777" w:rsidR="009D423D" w:rsidRPr="00822A80" w:rsidRDefault="009D423D">
            <w:pPr>
              <w:spacing w:after="0" w:line="240" w:lineRule="auto"/>
              <w:jc w:val="center"/>
              <w:rPr>
                <w:b/>
                <w:bCs/>
              </w:rPr>
            </w:pPr>
            <w:r w:rsidRPr="00822A80">
              <w:rPr>
                <w:b/>
                <w:bCs/>
                <w:color w:val="000000"/>
              </w:rPr>
              <w:t>Current</w:t>
            </w:r>
          </w:p>
        </w:tc>
        <w:tc>
          <w:tcPr>
            <w:tcW w:w="1703" w:type="dxa"/>
            <w:tcBorders>
              <w:top w:val="single" w:sz="8" w:space="0" w:color="auto"/>
              <w:left w:val="nil"/>
              <w:bottom w:val="single" w:sz="8" w:space="0" w:color="auto"/>
              <w:right w:val="single" w:sz="8" w:space="0" w:color="auto"/>
            </w:tcBorders>
            <w:shd w:val="clear" w:color="auto" w:fill="C1E4F5"/>
            <w:tcMar>
              <w:top w:w="0" w:type="dxa"/>
              <w:left w:w="108" w:type="dxa"/>
              <w:bottom w:w="0" w:type="dxa"/>
              <w:right w:w="108" w:type="dxa"/>
            </w:tcMar>
            <w:hideMark/>
          </w:tcPr>
          <w:p w14:paraId="7E548D30" w14:textId="77777777" w:rsidR="009D423D" w:rsidRPr="00822A80" w:rsidRDefault="009D423D">
            <w:pPr>
              <w:spacing w:after="0" w:line="240" w:lineRule="auto"/>
              <w:jc w:val="center"/>
              <w:rPr>
                <w:b/>
                <w:bCs/>
              </w:rPr>
            </w:pPr>
            <w:r w:rsidRPr="00822A80">
              <w:rPr>
                <w:b/>
                <w:bCs/>
                <w:color w:val="000000"/>
              </w:rPr>
              <w:t>Proposed Project</w:t>
            </w:r>
          </w:p>
        </w:tc>
        <w:tc>
          <w:tcPr>
            <w:tcW w:w="1644" w:type="dxa"/>
            <w:tcBorders>
              <w:top w:val="single" w:sz="8" w:space="0" w:color="auto"/>
              <w:left w:val="nil"/>
              <w:bottom w:val="single" w:sz="8" w:space="0" w:color="auto"/>
              <w:right w:val="single" w:sz="8" w:space="0" w:color="auto"/>
            </w:tcBorders>
            <w:shd w:val="clear" w:color="auto" w:fill="C1E4F5"/>
            <w:tcMar>
              <w:top w:w="0" w:type="dxa"/>
              <w:left w:w="108" w:type="dxa"/>
              <w:bottom w:w="0" w:type="dxa"/>
              <w:right w:w="108" w:type="dxa"/>
            </w:tcMar>
            <w:hideMark/>
          </w:tcPr>
          <w:p w14:paraId="0CB95FC7" w14:textId="77777777" w:rsidR="009D423D" w:rsidRPr="00822A80" w:rsidRDefault="009D423D">
            <w:pPr>
              <w:spacing w:after="0" w:line="240" w:lineRule="auto"/>
              <w:jc w:val="center"/>
              <w:rPr>
                <w:b/>
                <w:bCs/>
              </w:rPr>
            </w:pPr>
            <w:r w:rsidRPr="00822A80">
              <w:rPr>
                <w:b/>
                <w:bCs/>
                <w:color w:val="000000"/>
              </w:rPr>
              <w:t>Net New</w:t>
            </w:r>
          </w:p>
        </w:tc>
      </w:tr>
      <w:tr w:rsidR="00822A80" w:rsidRPr="00822A80" w14:paraId="01D361AF" w14:textId="77777777" w:rsidTr="00F43709">
        <w:trPr>
          <w:cantSplit/>
        </w:trPr>
        <w:tc>
          <w:tcPr>
            <w:tcW w:w="3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4213D" w14:textId="07BF030B" w:rsidR="00822A80" w:rsidRPr="00822A80" w:rsidRDefault="00822A80" w:rsidP="00822A80">
            <w:pPr>
              <w:spacing w:after="0" w:line="240" w:lineRule="auto"/>
              <w:rPr>
                <w:b/>
                <w:bCs/>
              </w:rPr>
            </w:pPr>
            <w:r w:rsidRPr="00822A80">
              <w:rPr>
                <w:rFonts w:ascii="Aptos" w:hAnsi="Aptos"/>
                <w:b/>
                <w:bCs/>
                <w:color w:val="000000" w:themeColor="text1"/>
                <w:sz w:val="20"/>
                <w:szCs w:val="20"/>
              </w:rPr>
              <w:t>Trauma</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049BD730" w14:textId="6A67C4D9" w:rsidR="00822A80" w:rsidRPr="00822A80" w:rsidRDefault="00822A80" w:rsidP="00822A80">
            <w:pPr>
              <w:spacing w:after="0" w:line="240" w:lineRule="auto"/>
              <w:jc w:val="center"/>
            </w:pPr>
            <w:r w:rsidRPr="00822A80">
              <w:rPr>
                <w:rFonts w:ascii="Aptos" w:hAnsi="Aptos"/>
                <w:b/>
                <w:bCs/>
                <w:color w:val="000000" w:themeColor="text1"/>
                <w:sz w:val="20"/>
                <w:szCs w:val="20"/>
              </w:rPr>
              <w:t>1</w:t>
            </w:r>
          </w:p>
        </w:tc>
        <w:tc>
          <w:tcPr>
            <w:tcW w:w="1703" w:type="dxa"/>
            <w:tcBorders>
              <w:top w:val="nil"/>
              <w:left w:val="nil"/>
              <w:bottom w:val="single" w:sz="8" w:space="0" w:color="auto"/>
              <w:right w:val="single" w:sz="8" w:space="0" w:color="auto"/>
            </w:tcBorders>
            <w:tcMar>
              <w:top w:w="0" w:type="dxa"/>
              <w:left w:w="108" w:type="dxa"/>
              <w:bottom w:w="0" w:type="dxa"/>
              <w:right w:w="108" w:type="dxa"/>
            </w:tcMar>
            <w:hideMark/>
          </w:tcPr>
          <w:p w14:paraId="699AFE7D" w14:textId="1C2F8639" w:rsidR="00822A80" w:rsidRPr="00822A80" w:rsidRDefault="00822A80" w:rsidP="00822A80">
            <w:pPr>
              <w:spacing w:after="0" w:line="240" w:lineRule="auto"/>
              <w:jc w:val="center"/>
            </w:pPr>
            <w:r w:rsidRPr="00822A80">
              <w:rPr>
                <w:rFonts w:ascii="Aptos" w:hAnsi="Aptos"/>
                <w:b/>
                <w:bCs/>
                <w:color w:val="000000" w:themeColor="text1"/>
                <w:sz w:val="20"/>
                <w:szCs w:val="20"/>
              </w:rPr>
              <w:t>2</w:t>
            </w: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7A21E822" w14:textId="4EC124C2" w:rsidR="00822A80" w:rsidRPr="00822A80" w:rsidRDefault="00822A80" w:rsidP="00822A80">
            <w:pPr>
              <w:spacing w:after="0" w:line="240" w:lineRule="auto"/>
              <w:jc w:val="center"/>
            </w:pPr>
            <w:r w:rsidRPr="00822A80">
              <w:rPr>
                <w:rFonts w:ascii="Aptos" w:hAnsi="Aptos"/>
                <w:b/>
                <w:bCs/>
                <w:color w:val="000000" w:themeColor="text1"/>
                <w:sz w:val="20"/>
                <w:szCs w:val="20"/>
              </w:rPr>
              <w:t>1</w:t>
            </w:r>
          </w:p>
        </w:tc>
      </w:tr>
      <w:tr w:rsidR="00822A80" w:rsidRPr="00822A80" w14:paraId="0129373D" w14:textId="77777777" w:rsidTr="00F43709">
        <w:trPr>
          <w:cantSplit/>
        </w:trPr>
        <w:tc>
          <w:tcPr>
            <w:tcW w:w="3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71778" w14:textId="7A758207" w:rsidR="00822A80" w:rsidRPr="00822A80" w:rsidRDefault="00822A80" w:rsidP="00822A80">
            <w:pPr>
              <w:spacing w:after="0" w:line="240" w:lineRule="auto"/>
              <w:rPr>
                <w:b/>
                <w:bCs/>
              </w:rPr>
            </w:pPr>
            <w:r w:rsidRPr="00822A80">
              <w:rPr>
                <w:rFonts w:ascii="Aptos" w:hAnsi="Aptos"/>
                <w:b/>
                <w:bCs/>
                <w:color w:val="000000" w:themeColor="text1"/>
                <w:sz w:val="20"/>
                <w:szCs w:val="20"/>
              </w:rPr>
              <w:t>Triage</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192C2679" w14:textId="68BC30FA" w:rsidR="00822A80" w:rsidRPr="00822A80" w:rsidRDefault="00822A80" w:rsidP="00822A80">
            <w:pPr>
              <w:spacing w:after="0" w:line="240" w:lineRule="auto"/>
              <w:jc w:val="center"/>
            </w:pPr>
            <w:r w:rsidRPr="00822A80">
              <w:rPr>
                <w:rFonts w:ascii="Aptos" w:hAnsi="Aptos"/>
                <w:b/>
                <w:bCs/>
                <w:color w:val="000000" w:themeColor="text1"/>
                <w:sz w:val="20"/>
                <w:szCs w:val="20"/>
              </w:rPr>
              <w:t>2</w:t>
            </w:r>
          </w:p>
        </w:tc>
        <w:tc>
          <w:tcPr>
            <w:tcW w:w="1703" w:type="dxa"/>
            <w:tcBorders>
              <w:top w:val="nil"/>
              <w:left w:val="nil"/>
              <w:bottom w:val="single" w:sz="8" w:space="0" w:color="auto"/>
              <w:right w:val="single" w:sz="8" w:space="0" w:color="auto"/>
            </w:tcBorders>
            <w:tcMar>
              <w:top w:w="0" w:type="dxa"/>
              <w:left w:w="108" w:type="dxa"/>
              <w:bottom w:w="0" w:type="dxa"/>
              <w:right w:w="108" w:type="dxa"/>
            </w:tcMar>
            <w:hideMark/>
          </w:tcPr>
          <w:p w14:paraId="4DCCAC33" w14:textId="7536033D" w:rsidR="00822A80" w:rsidRPr="00822A80" w:rsidRDefault="00822A80" w:rsidP="00822A80">
            <w:pPr>
              <w:spacing w:after="0" w:line="240" w:lineRule="auto"/>
              <w:jc w:val="center"/>
            </w:pPr>
            <w:r w:rsidRPr="00822A80">
              <w:rPr>
                <w:rFonts w:ascii="Aptos" w:hAnsi="Aptos"/>
                <w:b/>
                <w:bCs/>
                <w:color w:val="000000" w:themeColor="text1"/>
                <w:sz w:val="20"/>
                <w:szCs w:val="20"/>
              </w:rPr>
              <w:t>4</w:t>
            </w: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3FF6FBDE" w14:textId="5C267E42" w:rsidR="00822A80" w:rsidRPr="00822A80" w:rsidRDefault="00822A80" w:rsidP="00822A80">
            <w:pPr>
              <w:spacing w:after="0" w:line="240" w:lineRule="auto"/>
              <w:jc w:val="center"/>
            </w:pPr>
            <w:r w:rsidRPr="00822A80">
              <w:rPr>
                <w:rFonts w:ascii="Aptos" w:hAnsi="Aptos"/>
                <w:b/>
                <w:bCs/>
                <w:color w:val="000000" w:themeColor="text1"/>
                <w:sz w:val="20"/>
                <w:szCs w:val="20"/>
              </w:rPr>
              <w:t>2</w:t>
            </w:r>
          </w:p>
        </w:tc>
      </w:tr>
      <w:tr w:rsidR="00822A80" w:rsidRPr="00822A80" w14:paraId="4E0B5CBB" w14:textId="77777777" w:rsidTr="00F43709">
        <w:trPr>
          <w:cantSplit/>
        </w:trPr>
        <w:tc>
          <w:tcPr>
            <w:tcW w:w="3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8CC7E" w14:textId="1B4B48A0" w:rsidR="00822A80" w:rsidRPr="00822A80" w:rsidRDefault="00822A80" w:rsidP="00822A80">
            <w:pPr>
              <w:spacing w:after="0" w:line="240" w:lineRule="auto"/>
              <w:rPr>
                <w:b/>
                <w:bCs/>
              </w:rPr>
            </w:pPr>
            <w:r w:rsidRPr="00822A80">
              <w:rPr>
                <w:rFonts w:ascii="Aptos" w:hAnsi="Aptos"/>
                <w:b/>
                <w:bCs/>
                <w:color w:val="000000" w:themeColor="text1"/>
                <w:sz w:val="20"/>
                <w:szCs w:val="20"/>
              </w:rPr>
              <w:t>Behavioral Health</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0F09D37F" w14:textId="23BBA2DE" w:rsidR="00822A80" w:rsidRPr="00822A80" w:rsidRDefault="00822A80" w:rsidP="00822A80">
            <w:pPr>
              <w:spacing w:after="0" w:line="240" w:lineRule="auto"/>
              <w:jc w:val="center"/>
            </w:pPr>
            <w:r w:rsidRPr="00822A80">
              <w:rPr>
                <w:rFonts w:ascii="Aptos" w:hAnsi="Aptos"/>
                <w:b/>
                <w:bCs/>
                <w:color w:val="000000" w:themeColor="text1"/>
                <w:sz w:val="20"/>
                <w:szCs w:val="20"/>
              </w:rPr>
              <w:t>5</w:t>
            </w:r>
          </w:p>
        </w:tc>
        <w:tc>
          <w:tcPr>
            <w:tcW w:w="1703" w:type="dxa"/>
            <w:tcBorders>
              <w:top w:val="nil"/>
              <w:left w:val="nil"/>
              <w:bottom w:val="single" w:sz="8" w:space="0" w:color="auto"/>
              <w:right w:val="single" w:sz="8" w:space="0" w:color="auto"/>
            </w:tcBorders>
            <w:tcMar>
              <w:top w:w="0" w:type="dxa"/>
              <w:left w:w="108" w:type="dxa"/>
              <w:bottom w:w="0" w:type="dxa"/>
              <w:right w:w="108" w:type="dxa"/>
            </w:tcMar>
            <w:hideMark/>
          </w:tcPr>
          <w:p w14:paraId="07036653" w14:textId="4585CD7D" w:rsidR="00822A80" w:rsidRPr="00822A80" w:rsidRDefault="00822A80" w:rsidP="00822A80">
            <w:pPr>
              <w:spacing w:after="0" w:line="240" w:lineRule="auto"/>
              <w:jc w:val="center"/>
            </w:pPr>
            <w:r w:rsidRPr="00822A80">
              <w:rPr>
                <w:rFonts w:ascii="Aptos" w:hAnsi="Aptos"/>
                <w:b/>
                <w:bCs/>
                <w:color w:val="000000" w:themeColor="text1"/>
                <w:sz w:val="20"/>
                <w:szCs w:val="20"/>
              </w:rPr>
              <w:t>12</w:t>
            </w: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28793C4F" w14:textId="76EC40BB" w:rsidR="00822A80" w:rsidRPr="00822A80" w:rsidRDefault="00822A80" w:rsidP="00822A80">
            <w:pPr>
              <w:spacing w:after="0" w:line="240" w:lineRule="auto"/>
              <w:jc w:val="center"/>
            </w:pPr>
            <w:r w:rsidRPr="00822A80">
              <w:rPr>
                <w:rFonts w:ascii="Aptos" w:hAnsi="Aptos"/>
                <w:b/>
                <w:bCs/>
                <w:color w:val="000000" w:themeColor="text1"/>
                <w:sz w:val="20"/>
                <w:szCs w:val="20"/>
              </w:rPr>
              <w:t>7</w:t>
            </w:r>
          </w:p>
        </w:tc>
      </w:tr>
      <w:tr w:rsidR="00822A80" w:rsidRPr="00822A80" w14:paraId="6E077EE0" w14:textId="77777777" w:rsidTr="00F43709">
        <w:trPr>
          <w:cantSplit/>
        </w:trPr>
        <w:tc>
          <w:tcPr>
            <w:tcW w:w="3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152B5" w14:textId="17B02017" w:rsidR="00822A80" w:rsidRPr="00822A80" w:rsidRDefault="00822A80" w:rsidP="00822A80">
            <w:pPr>
              <w:spacing w:after="0" w:line="240" w:lineRule="auto"/>
              <w:rPr>
                <w:b/>
                <w:bCs/>
              </w:rPr>
            </w:pPr>
            <w:r w:rsidRPr="00822A80">
              <w:rPr>
                <w:rFonts w:ascii="Aptos" w:hAnsi="Aptos"/>
                <w:b/>
                <w:bCs/>
                <w:color w:val="000000" w:themeColor="text1"/>
                <w:sz w:val="20"/>
                <w:szCs w:val="20"/>
              </w:rPr>
              <w:t>Flex Space/ Vertical Treatment</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58FEA09A" w14:textId="5703E774" w:rsidR="00822A80" w:rsidRPr="00822A80" w:rsidRDefault="00822A80" w:rsidP="00822A80">
            <w:pPr>
              <w:spacing w:after="0" w:line="240" w:lineRule="auto"/>
              <w:jc w:val="center"/>
            </w:pPr>
            <w:r w:rsidRPr="00822A80">
              <w:rPr>
                <w:rFonts w:ascii="Aptos" w:hAnsi="Aptos"/>
                <w:b/>
                <w:bCs/>
                <w:color w:val="000000" w:themeColor="text1"/>
                <w:sz w:val="20"/>
                <w:szCs w:val="20"/>
              </w:rPr>
              <w:t>5</w:t>
            </w:r>
          </w:p>
        </w:tc>
        <w:tc>
          <w:tcPr>
            <w:tcW w:w="1703" w:type="dxa"/>
            <w:tcBorders>
              <w:top w:val="nil"/>
              <w:left w:val="nil"/>
              <w:bottom w:val="single" w:sz="8" w:space="0" w:color="auto"/>
              <w:right w:val="single" w:sz="8" w:space="0" w:color="auto"/>
            </w:tcBorders>
            <w:tcMar>
              <w:top w:w="0" w:type="dxa"/>
              <w:left w:w="108" w:type="dxa"/>
              <w:bottom w:w="0" w:type="dxa"/>
              <w:right w:w="108" w:type="dxa"/>
            </w:tcMar>
            <w:hideMark/>
          </w:tcPr>
          <w:p w14:paraId="3B640C49" w14:textId="01797B1B" w:rsidR="00822A80" w:rsidRPr="00822A80" w:rsidRDefault="00822A80" w:rsidP="00822A80">
            <w:pPr>
              <w:spacing w:after="0" w:line="240" w:lineRule="auto"/>
              <w:jc w:val="center"/>
            </w:pPr>
            <w:r w:rsidRPr="00822A80">
              <w:rPr>
                <w:rFonts w:ascii="Aptos" w:hAnsi="Aptos"/>
                <w:b/>
                <w:bCs/>
                <w:color w:val="000000" w:themeColor="text1"/>
                <w:sz w:val="20"/>
                <w:szCs w:val="20"/>
              </w:rPr>
              <w:t>0</w:t>
            </w: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08382C48" w14:textId="096FDB6E" w:rsidR="00822A80" w:rsidRPr="00822A80" w:rsidRDefault="00822A80" w:rsidP="00822A80">
            <w:pPr>
              <w:spacing w:after="0" w:line="240" w:lineRule="auto"/>
              <w:jc w:val="center"/>
            </w:pPr>
            <w:r w:rsidRPr="00822A80">
              <w:rPr>
                <w:rFonts w:ascii="Aptos" w:hAnsi="Aptos"/>
                <w:b/>
                <w:bCs/>
                <w:color w:val="000000" w:themeColor="text1"/>
                <w:sz w:val="20"/>
                <w:szCs w:val="20"/>
              </w:rPr>
              <w:t>-5</w:t>
            </w:r>
          </w:p>
        </w:tc>
      </w:tr>
      <w:tr w:rsidR="00822A80" w:rsidRPr="00822A80" w14:paraId="51ACD36E" w14:textId="77777777" w:rsidTr="00F43709">
        <w:trPr>
          <w:cantSplit/>
        </w:trPr>
        <w:tc>
          <w:tcPr>
            <w:tcW w:w="3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B4479" w14:textId="2C0CD21B" w:rsidR="00822A80" w:rsidRPr="00822A80" w:rsidRDefault="00822A80" w:rsidP="00822A80">
            <w:pPr>
              <w:spacing w:after="0" w:line="240" w:lineRule="auto"/>
              <w:rPr>
                <w:b/>
                <w:bCs/>
              </w:rPr>
            </w:pPr>
            <w:r w:rsidRPr="00822A80">
              <w:rPr>
                <w:rFonts w:ascii="Aptos" w:hAnsi="Aptos"/>
                <w:b/>
                <w:bCs/>
                <w:color w:val="000000" w:themeColor="text1"/>
                <w:sz w:val="20"/>
                <w:szCs w:val="20"/>
              </w:rPr>
              <w:t>Private Rooms</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4F9E9B6A" w14:textId="2D07390D" w:rsidR="00822A80" w:rsidRPr="00822A80" w:rsidRDefault="00822A80" w:rsidP="00822A80">
            <w:pPr>
              <w:spacing w:after="0" w:line="240" w:lineRule="auto"/>
              <w:jc w:val="center"/>
            </w:pPr>
            <w:r w:rsidRPr="00822A80">
              <w:rPr>
                <w:rFonts w:ascii="Aptos" w:hAnsi="Aptos"/>
                <w:b/>
                <w:bCs/>
                <w:color w:val="000000" w:themeColor="text1"/>
                <w:sz w:val="20"/>
                <w:szCs w:val="20"/>
              </w:rPr>
              <w:t>16</w:t>
            </w:r>
          </w:p>
        </w:tc>
        <w:tc>
          <w:tcPr>
            <w:tcW w:w="1703" w:type="dxa"/>
            <w:tcBorders>
              <w:top w:val="nil"/>
              <w:left w:val="nil"/>
              <w:bottom w:val="single" w:sz="8" w:space="0" w:color="auto"/>
              <w:right w:val="single" w:sz="8" w:space="0" w:color="auto"/>
            </w:tcBorders>
            <w:tcMar>
              <w:top w:w="0" w:type="dxa"/>
              <w:left w:w="108" w:type="dxa"/>
              <w:bottom w:w="0" w:type="dxa"/>
              <w:right w:w="108" w:type="dxa"/>
            </w:tcMar>
            <w:hideMark/>
          </w:tcPr>
          <w:p w14:paraId="12BD19F6" w14:textId="57CF1275" w:rsidR="00822A80" w:rsidRPr="00822A80" w:rsidRDefault="00822A80" w:rsidP="00822A80">
            <w:pPr>
              <w:spacing w:after="0" w:line="240" w:lineRule="auto"/>
              <w:jc w:val="center"/>
            </w:pPr>
            <w:r w:rsidRPr="00822A80">
              <w:rPr>
                <w:rFonts w:ascii="Aptos" w:hAnsi="Aptos"/>
                <w:b/>
                <w:bCs/>
                <w:color w:val="000000" w:themeColor="text1"/>
                <w:sz w:val="20"/>
                <w:szCs w:val="20"/>
              </w:rPr>
              <w:t>36</w:t>
            </w: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7B99ADC8" w14:textId="3936BA9A" w:rsidR="00822A80" w:rsidRPr="00822A80" w:rsidRDefault="00822A80" w:rsidP="00822A80">
            <w:pPr>
              <w:spacing w:after="0" w:line="240" w:lineRule="auto"/>
              <w:jc w:val="center"/>
            </w:pPr>
            <w:r w:rsidRPr="00822A80">
              <w:rPr>
                <w:rFonts w:ascii="Aptos" w:hAnsi="Aptos"/>
                <w:b/>
                <w:bCs/>
                <w:color w:val="000000" w:themeColor="text1"/>
                <w:sz w:val="20"/>
                <w:szCs w:val="20"/>
              </w:rPr>
              <w:t>20</w:t>
            </w:r>
          </w:p>
        </w:tc>
      </w:tr>
      <w:tr w:rsidR="00822A80" w:rsidRPr="00822A80" w14:paraId="30F2FE5E" w14:textId="77777777" w:rsidTr="00F43709">
        <w:trPr>
          <w:cantSplit/>
        </w:trPr>
        <w:tc>
          <w:tcPr>
            <w:tcW w:w="3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813E0" w14:textId="6709042C" w:rsidR="00822A80" w:rsidRPr="00822A80" w:rsidRDefault="00822A80" w:rsidP="00822A80">
            <w:pPr>
              <w:spacing w:after="0" w:line="240" w:lineRule="auto"/>
              <w:rPr>
                <w:b/>
                <w:bCs/>
              </w:rPr>
            </w:pPr>
            <w:r w:rsidRPr="00822A80">
              <w:rPr>
                <w:rFonts w:ascii="Aptos" w:hAnsi="Aptos"/>
                <w:b/>
                <w:bCs/>
                <w:color w:val="000000" w:themeColor="text1"/>
                <w:sz w:val="20"/>
                <w:szCs w:val="20"/>
              </w:rPr>
              <w:t>Hallway Stretchers</w:t>
            </w:r>
            <w:r w:rsidRPr="00822A80">
              <w:rPr>
                <w:rStyle w:val="FootnoteReference"/>
                <w:rFonts w:ascii="Aptos" w:hAnsi="Aptos"/>
                <w:b/>
                <w:bCs/>
                <w:color w:val="000000" w:themeColor="text1"/>
                <w:sz w:val="20"/>
                <w:szCs w:val="20"/>
              </w:rPr>
              <w:footnoteReference w:id="2"/>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785F6E4F" w14:textId="629C7513" w:rsidR="00822A80" w:rsidRPr="00822A80" w:rsidRDefault="00822A80" w:rsidP="00822A80">
            <w:pPr>
              <w:spacing w:after="0" w:line="240" w:lineRule="auto"/>
              <w:jc w:val="center"/>
            </w:pPr>
            <w:r w:rsidRPr="00822A80">
              <w:rPr>
                <w:rFonts w:ascii="Aptos" w:hAnsi="Aptos"/>
                <w:b/>
                <w:bCs/>
                <w:color w:val="000000" w:themeColor="text1"/>
                <w:sz w:val="20"/>
                <w:szCs w:val="20"/>
              </w:rPr>
              <w:t>10</w:t>
            </w:r>
          </w:p>
        </w:tc>
        <w:tc>
          <w:tcPr>
            <w:tcW w:w="1703" w:type="dxa"/>
            <w:tcBorders>
              <w:top w:val="nil"/>
              <w:left w:val="nil"/>
              <w:bottom w:val="single" w:sz="8" w:space="0" w:color="auto"/>
              <w:right w:val="single" w:sz="8" w:space="0" w:color="auto"/>
            </w:tcBorders>
            <w:tcMar>
              <w:top w:w="0" w:type="dxa"/>
              <w:left w:w="108" w:type="dxa"/>
              <w:bottom w:w="0" w:type="dxa"/>
              <w:right w:w="108" w:type="dxa"/>
            </w:tcMar>
            <w:hideMark/>
          </w:tcPr>
          <w:p w14:paraId="0017C94F" w14:textId="7F92E568" w:rsidR="00822A80" w:rsidRPr="00822A80" w:rsidRDefault="00822A80" w:rsidP="00822A80">
            <w:pPr>
              <w:spacing w:after="0" w:line="240" w:lineRule="auto"/>
              <w:jc w:val="center"/>
            </w:pPr>
            <w:r w:rsidRPr="00822A80">
              <w:rPr>
                <w:rFonts w:ascii="Aptos" w:hAnsi="Aptos"/>
                <w:b/>
                <w:bCs/>
                <w:color w:val="000000" w:themeColor="text1"/>
                <w:sz w:val="20"/>
                <w:szCs w:val="20"/>
              </w:rPr>
              <w:t>12</w:t>
            </w: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2B9291E0" w14:textId="29DA7193" w:rsidR="00822A80" w:rsidRPr="00822A80" w:rsidRDefault="00822A80" w:rsidP="013B43F3">
            <w:pPr>
              <w:spacing w:after="0" w:line="240" w:lineRule="auto"/>
              <w:jc w:val="center"/>
              <w:rPr>
                <w:rFonts w:ascii="Aptos" w:hAnsi="Aptos"/>
                <w:b/>
                <w:bCs/>
                <w:color w:val="000000" w:themeColor="text1"/>
                <w:sz w:val="20"/>
                <w:szCs w:val="20"/>
              </w:rPr>
            </w:pPr>
            <w:r w:rsidRPr="0C8BC4C9">
              <w:rPr>
                <w:rFonts w:ascii="Aptos" w:hAnsi="Aptos"/>
                <w:b/>
                <w:bCs/>
                <w:color w:val="000000" w:themeColor="text1"/>
                <w:sz w:val="20"/>
                <w:szCs w:val="20"/>
              </w:rPr>
              <w:t>2</w:t>
            </w:r>
          </w:p>
        </w:tc>
      </w:tr>
      <w:tr w:rsidR="00822A80" w:rsidRPr="00822A80" w14:paraId="21A98A24" w14:textId="77777777" w:rsidTr="00F43709">
        <w:trPr>
          <w:cantSplit/>
        </w:trPr>
        <w:tc>
          <w:tcPr>
            <w:tcW w:w="3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521E7" w14:textId="14963805" w:rsidR="00822A80" w:rsidRPr="00822A80" w:rsidRDefault="00822A80" w:rsidP="00822A80">
            <w:pPr>
              <w:spacing w:after="0" w:line="240" w:lineRule="auto"/>
              <w:rPr>
                <w:b/>
                <w:bCs/>
              </w:rPr>
            </w:pPr>
            <w:r w:rsidRPr="00822A80">
              <w:rPr>
                <w:rFonts w:ascii="Aptos" w:hAnsi="Aptos"/>
                <w:b/>
                <w:bCs/>
                <w:color w:val="000000" w:themeColor="text1"/>
                <w:sz w:val="20"/>
                <w:szCs w:val="20"/>
              </w:rPr>
              <w:lastRenderedPageBreak/>
              <w:t>Curtained Bays</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46C29F3E" w14:textId="465139B0" w:rsidR="00822A80" w:rsidRPr="00822A80" w:rsidRDefault="00822A80" w:rsidP="00822A80">
            <w:pPr>
              <w:spacing w:after="0" w:line="240" w:lineRule="auto"/>
              <w:jc w:val="center"/>
            </w:pPr>
            <w:r w:rsidRPr="00822A80">
              <w:rPr>
                <w:rFonts w:ascii="Aptos" w:hAnsi="Aptos"/>
                <w:b/>
                <w:bCs/>
                <w:color w:val="000000" w:themeColor="text1"/>
                <w:sz w:val="20"/>
                <w:szCs w:val="20"/>
              </w:rPr>
              <w:t>9</w:t>
            </w:r>
          </w:p>
        </w:tc>
        <w:tc>
          <w:tcPr>
            <w:tcW w:w="1703" w:type="dxa"/>
            <w:tcBorders>
              <w:top w:val="nil"/>
              <w:left w:val="nil"/>
              <w:bottom w:val="single" w:sz="8" w:space="0" w:color="auto"/>
              <w:right w:val="single" w:sz="8" w:space="0" w:color="auto"/>
            </w:tcBorders>
            <w:tcMar>
              <w:top w:w="0" w:type="dxa"/>
              <w:left w:w="108" w:type="dxa"/>
              <w:bottom w:w="0" w:type="dxa"/>
              <w:right w:w="108" w:type="dxa"/>
            </w:tcMar>
            <w:hideMark/>
          </w:tcPr>
          <w:p w14:paraId="3363DEF9" w14:textId="7D5F499C" w:rsidR="00822A80" w:rsidRPr="00822A80" w:rsidRDefault="00822A80" w:rsidP="00822A80">
            <w:pPr>
              <w:spacing w:after="0" w:line="240" w:lineRule="auto"/>
              <w:jc w:val="center"/>
            </w:pPr>
            <w:r w:rsidRPr="00822A80">
              <w:rPr>
                <w:rFonts w:ascii="Aptos" w:hAnsi="Aptos"/>
                <w:b/>
                <w:bCs/>
                <w:color w:val="000000" w:themeColor="text1"/>
                <w:sz w:val="20"/>
                <w:szCs w:val="20"/>
              </w:rPr>
              <w:t>0</w:t>
            </w: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196DBAF2" w14:textId="1D4674F4" w:rsidR="00822A80" w:rsidRPr="00822A80" w:rsidRDefault="00822A80" w:rsidP="00822A80">
            <w:pPr>
              <w:spacing w:after="0" w:line="240" w:lineRule="auto"/>
              <w:jc w:val="center"/>
            </w:pPr>
            <w:r w:rsidRPr="00822A80">
              <w:rPr>
                <w:rFonts w:ascii="Aptos" w:hAnsi="Aptos"/>
                <w:b/>
                <w:bCs/>
                <w:color w:val="000000" w:themeColor="text1"/>
                <w:sz w:val="20"/>
                <w:szCs w:val="20"/>
              </w:rPr>
              <w:t>-9</w:t>
            </w:r>
          </w:p>
        </w:tc>
      </w:tr>
      <w:tr w:rsidR="00822A80" w:rsidRPr="00E20DEA" w14:paraId="7829AF6A" w14:textId="77777777" w:rsidTr="00F43709">
        <w:trPr>
          <w:cantSplit/>
        </w:trPr>
        <w:tc>
          <w:tcPr>
            <w:tcW w:w="3594" w:type="dxa"/>
            <w:tcBorders>
              <w:top w:val="nil"/>
              <w:left w:val="single" w:sz="8" w:space="0" w:color="auto"/>
              <w:bottom w:val="single" w:sz="8" w:space="0" w:color="auto"/>
              <w:right w:val="single" w:sz="8" w:space="0" w:color="auto"/>
            </w:tcBorders>
            <w:shd w:val="clear" w:color="auto" w:fill="C1E4F5"/>
            <w:tcMar>
              <w:top w:w="0" w:type="dxa"/>
              <w:left w:w="108" w:type="dxa"/>
              <w:bottom w:w="0" w:type="dxa"/>
              <w:right w:w="108" w:type="dxa"/>
            </w:tcMar>
            <w:hideMark/>
          </w:tcPr>
          <w:p w14:paraId="4995ADF3" w14:textId="77777777" w:rsidR="00822A80" w:rsidRPr="00822A80" w:rsidRDefault="00822A80" w:rsidP="00822A80">
            <w:pPr>
              <w:spacing w:after="0" w:line="240" w:lineRule="auto"/>
              <w:rPr>
                <w:b/>
                <w:bCs/>
              </w:rPr>
            </w:pPr>
            <w:r w:rsidRPr="00822A80">
              <w:rPr>
                <w:b/>
                <w:bCs/>
                <w:color w:val="000000"/>
              </w:rPr>
              <w:t>Total</w:t>
            </w:r>
          </w:p>
        </w:tc>
        <w:tc>
          <w:tcPr>
            <w:tcW w:w="1679" w:type="dxa"/>
            <w:tcBorders>
              <w:top w:val="nil"/>
              <w:left w:val="nil"/>
              <w:bottom w:val="single" w:sz="8" w:space="0" w:color="auto"/>
              <w:right w:val="single" w:sz="8" w:space="0" w:color="auto"/>
            </w:tcBorders>
            <w:shd w:val="clear" w:color="auto" w:fill="C1E4F5"/>
            <w:tcMar>
              <w:top w:w="0" w:type="dxa"/>
              <w:left w:w="108" w:type="dxa"/>
              <w:bottom w:w="0" w:type="dxa"/>
              <w:right w:w="108" w:type="dxa"/>
            </w:tcMar>
            <w:hideMark/>
          </w:tcPr>
          <w:p w14:paraId="0E3F1DF2" w14:textId="3E133611" w:rsidR="00822A80" w:rsidRPr="00822A80" w:rsidRDefault="00822A80" w:rsidP="00822A80">
            <w:pPr>
              <w:spacing w:after="0" w:line="240" w:lineRule="auto"/>
              <w:jc w:val="center"/>
              <w:rPr>
                <w:b/>
                <w:bCs/>
              </w:rPr>
            </w:pPr>
            <w:r w:rsidRPr="00822A80">
              <w:rPr>
                <w:rFonts w:ascii="Aptos" w:hAnsi="Aptos"/>
                <w:b/>
                <w:bCs/>
                <w:color w:val="000000" w:themeColor="text1"/>
                <w:sz w:val="20"/>
                <w:szCs w:val="20"/>
              </w:rPr>
              <w:t>48</w:t>
            </w:r>
          </w:p>
        </w:tc>
        <w:tc>
          <w:tcPr>
            <w:tcW w:w="1703" w:type="dxa"/>
            <w:tcBorders>
              <w:top w:val="nil"/>
              <w:left w:val="nil"/>
              <w:bottom w:val="single" w:sz="8" w:space="0" w:color="auto"/>
              <w:right w:val="single" w:sz="8" w:space="0" w:color="auto"/>
            </w:tcBorders>
            <w:shd w:val="clear" w:color="auto" w:fill="C1E4F5"/>
            <w:tcMar>
              <w:top w:w="0" w:type="dxa"/>
              <w:left w:w="108" w:type="dxa"/>
              <w:bottom w:w="0" w:type="dxa"/>
              <w:right w:w="108" w:type="dxa"/>
            </w:tcMar>
            <w:hideMark/>
          </w:tcPr>
          <w:p w14:paraId="266C7826" w14:textId="6E5843A6" w:rsidR="00822A80" w:rsidRPr="00822A80" w:rsidRDefault="00822A80" w:rsidP="00822A80">
            <w:pPr>
              <w:spacing w:after="0" w:line="240" w:lineRule="auto"/>
              <w:jc w:val="center"/>
              <w:rPr>
                <w:b/>
                <w:bCs/>
              </w:rPr>
            </w:pPr>
            <w:r w:rsidRPr="00822A80">
              <w:rPr>
                <w:rFonts w:ascii="Aptos" w:hAnsi="Aptos"/>
                <w:b/>
                <w:bCs/>
                <w:color w:val="000000" w:themeColor="text1"/>
                <w:sz w:val="20"/>
                <w:szCs w:val="20"/>
              </w:rPr>
              <w:t>66</w:t>
            </w:r>
          </w:p>
        </w:tc>
        <w:tc>
          <w:tcPr>
            <w:tcW w:w="1644" w:type="dxa"/>
            <w:tcBorders>
              <w:top w:val="nil"/>
              <w:left w:val="nil"/>
              <w:bottom w:val="single" w:sz="8" w:space="0" w:color="auto"/>
              <w:right w:val="single" w:sz="8" w:space="0" w:color="auto"/>
            </w:tcBorders>
            <w:shd w:val="clear" w:color="auto" w:fill="C1E4F5"/>
            <w:tcMar>
              <w:top w:w="0" w:type="dxa"/>
              <w:left w:w="108" w:type="dxa"/>
              <w:bottom w:w="0" w:type="dxa"/>
              <w:right w:w="108" w:type="dxa"/>
            </w:tcMar>
            <w:hideMark/>
          </w:tcPr>
          <w:p w14:paraId="2A4A1C3A" w14:textId="5F738FA8" w:rsidR="00822A80" w:rsidRPr="00822A80" w:rsidRDefault="00822A80" w:rsidP="00822A80">
            <w:pPr>
              <w:spacing w:after="0" w:line="240" w:lineRule="auto"/>
              <w:jc w:val="center"/>
              <w:rPr>
                <w:b/>
                <w:bCs/>
              </w:rPr>
            </w:pPr>
            <w:r w:rsidRPr="00822A80">
              <w:rPr>
                <w:rFonts w:ascii="Aptos" w:hAnsi="Aptos"/>
                <w:b/>
                <w:bCs/>
                <w:color w:val="000000" w:themeColor="text1"/>
                <w:sz w:val="20"/>
                <w:szCs w:val="20"/>
              </w:rPr>
              <w:t>18</w:t>
            </w:r>
          </w:p>
        </w:tc>
      </w:tr>
    </w:tbl>
    <w:p w14:paraId="18B11A81" w14:textId="77777777" w:rsidR="009D423D" w:rsidRPr="00E20DEA" w:rsidRDefault="009D423D" w:rsidP="00A0068E">
      <w:pPr>
        <w:spacing w:after="0" w:line="240" w:lineRule="auto"/>
        <w:rPr>
          <w:sz w:val="24"/>
          <w:szCs w:val="24"/>
          <w:highlight w:val="yellow"/>
        </w:rPr>
      </w:pPr>
    </w:p>
    <w:p w14:paraId="73514358" w14:textId="5CD89E96" w:rsidR="00A0068E" w:rsidRPr="008D178F" w:rsidRDefault="000532F0" w:rsidP="00A0068E">
      <w:pPr>
        <w:spacing w:after="0" w:line="240" w:lineRule="auto"/>
        <w:rPr>
          <w:sz w:val="24"/>
          <w:szCs w:val="24"/>
        </w:rPr>
      </w:pPr>
      <w:r w:rsidRPr="008D178F">
        <w:rPr>
          <w:sz w:val="24"/>
          <w:szCs w:val="24"/>
        </w:rPr>
        <w:t>The</w:t>
      </w:r>
      <w:r w:rsidR="0035233D" w:rsidRPr="008D178F">
        <w:rPr>
          <w:sz w:val="24"/>
          <w:szCs w:val="24"/>
        </w:rPr>
        <w:t xml:space="preserve"> Applicant expects no significant changes to its Payer Mix </w:t>
      </w:r>
      <w:r w:rsidR="009C2CCF" w:rsidRPr="008D178F">
        <w:rPr>
          <w:sz w:val="24"/>
          <w:szCs w:val="24"/>
        </w:rPr>
        <w:t>as a result of the Proposed Project</w:t>
      </w:r>
      <w:r w:rsidR="005F6939" w:rsidRPr="008D178F">
        <w:rPr>
          <w:sz w:val="24"/>
          <w:szCs w:val="24"/>
        </w:rPr>
        <w:t>.</w:t>
      </w:r>
      <w:r w:rsidR="007E37D1" w:rsidRPr="008D178F">
        <w:rPr>
          <w:sz w:val="24"/>
          <w:szCs w:val="24"/>
        </w:rPr>
        <w:t xml:space="preserve"> </w:t>
      </w:r>
      <w:r w:rsidR="003227B8" w:rsidRPr="008D178F">
        <w:rPr>
          <w:sz w:val="24"/>
          <w:szCs w:val="24"/>
        </w:rPr>
        <w:t xml:space="preserve">The Applicant </w:t>
      </w:r>
      <w:r w:rsidR="006A01C2" w:rsidRPr="008D178F">
        <w:rPr>
          <w:sz w:val="24"/>
          <w:szCs w:val="24"/>
        </w:rPr>
        <w:t xml:space="preserve">provides data, detailed in the next section, </w:t>
      </w:r>
      <w:r w:rsidR="00FB213E" w:rsidRPr="008D178F">
        <w:rPr>
          <w:sz w:val="24"/>
          <w:szCs w:val="24"/>
        </w:rPr>
        <w:t>to support their assertion</w:t>
      </w:r>
      <w:r w:rsidR="003227B8" w:rsidRPr="008D178F">
        <w:rPr>
          <w:sz w:val="24"/>
          <w:szCs w:val="24"/>
        </w:rPr>
        <w:t xml:space="preserve"> that</w:t>
      </w:r>
      <w:r w:rsidR="006A1E06" w:rsidRPr="008D178F">
        <w:rPr>
          <w:rFonts w:ascii="Times New Roman" w:hAnsi="Times New Roman" w:cs="Times New Roman"/>
          <w:sz w:val="24"/>
          <w:szCs w:val="24"/>
        </w:rPr>
        <w:t xml:space="preserve"> t</w:t>
      </w:r>
      <w:r w:rsidR="006A1E06" w:rsidRPr="008D178F">
        <w:rPr>
          <w:sz w:val="24"/>
          <w:szCs w:val="24"/>
        </w:rPr>
        <w:t xml:space="preserve">he Hospital </w:t>
      </w:r>
      <w:r w:rsidR="002D6269" w:rsidRPr="008D178F">
        <w:rPr>
          <w:sz w:val="24"/>
          <w:szCs w:val="24"/>
        </w:rPr>
        <w:t xml:space="preserve">ED </w:t>
      </w:r>
      <w:r w:rsidR="006A1E06" w:rsidRPr="008D178F">
        <w:rPr>
          <w:sz w:val="24"/>
          <w:szCs w:val="24"/>
        </w:rPr>
        <w:t xml:space="preserve">has been operating </w:t>
      </w:r>
      <w:r w:rsidR="002E0315" w:rsidRPr="008D178F">
        <w:rPr>
          <w:sz w:val="24"/>
          <w:szCs w:val="24"/>
        </w:rPr>
        <w:t xml:space="preserve">over </w:t>
      </w:r>
      <w:r w:rsidR="006A1E06" w:rsidRPr="008D178F">
        <w:rPr>
          <w:sz w:val="24"/>
          <w:szCs w:val="24"/>
        </w:rPr>
        <w:t>capacity</w:t>
      </w:r>
      <w:r w:rsidR="00785DF3" w:rsidRPr="008D178F">
        <w:rPr>
          <w:sz w:val="24"/>
          <w:szCs w:val="24"/>
        </w:rPr>
        <w:t>,</w:t>
      </w:r>
      <w:r w:rsidR="006A1E06" w:rsidRPr="008D178F">
        <w:rPr>
          <w:sz w:val="24"/>
          <w:szCs w:val="24"/>
        </w:rPr>
        <w:t xml:space="preserve"> and the service area </w:t>
      </w:r>
      <w:r w:rsidR="00785DF3" w:rsidRPr="008D178F">
        <w:rPr>
          <w:sz w:val="24"/>
          <w:szCs w:val="24"/>
        </w:rPr>
        <w:t>would benefit from</w:t>
      </w:r>
      <w:r w:rsidR="006A1E06" w:rsidRPr="008D178F">
        <w:rPr>
          <w:sz w:val="24"/>
          <w:szCs w:val="24"/>
        </w:rPr>
        <w:t xml:space="preserve"> access to </w:t>
      </w:r>
      <w:r w:rsidR="00D40631" w:rsidRPr="008D178F">
        <w:rPr>
          <w:sz w:val="24"/>
          <w:szCs w:val="24"/>
        </w:rPr>
        <w:t>an expanded ED.</w:t>
      </w:r>
      <w:r w:rsidR="003227B8" w:rsidRPr="008D178F">
        <w:rPr>
          <w:sz w:val="24"/>
          <w:szCs w:val="24"/>
        </w:rPr>
        <w:t xml:space="preserve"> </w:t>
      </w:r>
    </w:p>
    <w:p w14:paraId="101FEAA0" w14:textId="1835FCE1" w:rsidR="00A0068E" w:rsidRPr="00E20DEA" w:rsidRDefault="00A0068E" w:rsidP="00F6790E">
      <w:pPr>
        <w:spacing w:after="0" w:line="240" w:lineRule="auto"/>
        <w:rPr>
          <w:sz w:val="24"/>
          <w:szCs w:val="24"/>
          <w:highlight w:val="yellow"/>
        </w:rPr>
      </w:pPr>
    </w:p>
    <w:p w14:paraId="43D7C166" w14:textId="77777777" w:rsidR="006672D1" w:rsidRPr="008D178F" w:rsidRDefault="006672D1" w:rsidP="00A662DF">
      <w:pPr>
        <w:pStyle w:val="Heading1"/>
        <w:spacing w:before="0" w:line="240" w:lineRule="auto"/>
        <w:rPr>
          <w:rFonts w:cstheme="minorHAnsi"/>
        </w:rPr>
      </w:pPr>
      <w:bookmarkStart w:id="2" w:name="_Toc144207766"/>
      <w:bookmarkStart w:id="3" w:name="_Toc192247627"/>
      <w:r w:rsidRPr="008D178F">
        <w:rPr>
          <w:rFonts w:cstheme="minorHAnsi"/>
        </w:rPr>
        <w:t>Factor 1</w:t>
      </w:r>
      <w:bookmarkEnd w:id="2"/>
      <w:bookmarkEnd w:id="3"/>
      <w:r w:rsidRPr="008D178F">
        <w:rPr>
          <w:rFonts w:cstheme="minorHAnsi"/>
        </w:rPr>
        <w:t xml:space="preserve"> </w:t>
      </w:r>
    </w:p>
    <w:p w14:paraId="4723352E" w14:textId="0F0A9DBE" w:rsidR="006672D1" w:rsidRPr="008D178F" w:rsidRDefault="006672D1" w:rsidP="006672D1">
      <w:pPr>
        <w:pStyle w:val="NoSpacing"/>
        <w:contextualSpacing/>
        <w:rPr>
          <w:sz w:val="24"/>
          <w:szCs w:val="24"/>
        </w:rPr>
      </w:pPr>
      <w:r w:rsidRPr="008D178F">
        <w:rPr>
          <w:sz w:val="24"/>
          <w:szCs w:val="24"/>
        </w:rPr>
        <w:t xml:space="preserve">In this section, we assess if the Applicant has sufficiently addressed Patient Panel need, public health value, competitiveness and cost containment, as well as community engagement for the expansion of the </w:t>
      </w:r>
      <w:r w:rsidR="00A34184" w:rsidRPr="008D178F">
        <w:rPr>
          <w:sz w:val="24"/>
          <w:szCs w:val="24"/>
        </w:rPr>
        <w:t>ED</w:t>
      </w:r>
      <w:r w:rsidRPr="008D178F">
        <w:rPr>
          <w:sz w:val="24"/>
          <w:szCs w:val="24"/>
        </w:rPr>
        <w:t>.</w:t>
      </w:r>
    </w:p>
    <w:p w14:paraId="6A330F1D" w14:textId="77777777" w:rsidR="006672D1" w:rsidRPr="00E20DEA" w:rsidRDefault="006672D1" w:rsidP="00F6790E">
      <w:pPr>
        <w:spacing w:after="0" w:line="240" w:lineRule="auto"/>
        <w:rPr>
          <w:sz w:val="24"/>
          <w:szCs w:val="24"/>
          <w:highlight w:val="yellow"/>
        </w:rPr>
      </w:pPr>
    </w:p>
    <w:p w14:paraId="72606428" w14:textId="4CB0052C" w:rsidR="00513147" w:rsidRPr="008D178F" w:rsidRDefault="00D57998" w:rsidP="00A662DF">
      <w:pPr>
        <w:pStyle w:val="Heading1"/>
        <w:spacing w:before="0" w:line="240" w:lineRule="auto"/>
      </w:pPr>
      <w:bookmarkStart w:id="4" w:name="_Toc192247628"/>
      <w:r w:rsidRPr="008D178F">
        <w:t>Patient Panel</w:t>
      </w:r>
      <w:r w:rsidR="0017637D" w:rsidRPr="008D178F">
        <w:rPr>
          <w:rStyle w:val="FootnoteReference"/>
        </w:rPr>
        <w:footnoteReference w:id="3"/>
      </w:r>
      <w:bookmarkEnd w:id="4"/>
      <w:r w:rsidRPr="008D178F">
        <w:rPr>
          <w:vertAlign w:val="superscript"/>
        </w:rPr>
        <w:t xml:space="preserve"> </w:t>
      </w:r>
    </w:p>
    <w:p w14:paraId="2A6E4153" w14:textId="7C239592" w:rsidR="00E76908" w:rsidRPr="00E20DEA" w:rsidRDefault="00290E5C" w:rsidP="00290E5C">
      <w:pPr>
        <w:spacing w:after="0" w:line="240" w:lineRule="auto"/>
        <w:rPr>
          <w:sz w:val="24"/>
          <w:szCs w:val="24"/>
          <w:highlight w:val="yellow"/>
        </w:rPr>
      </w:pPr>
      <w:r w:rsidRPr="00822A80">
        <w:rPr>
          <w:sz w:val="24"/>
          <w:szCs w:val="24"/>
        </w:rPr>
        <w:t xml:space="preserve">Table </w:t>
      </w:r>
      <w:r w:rsidR="00822A80" w:rsidRPr="00822A80">
        <w:rPr>
          <w:sz w:val="24"/>
          <w:szCs w:val="24"/>
        </w:rPr>
        <w:t>2</w:t>
      </w:r>
      <w:r w:rsidR="00E76908" w:rsidRPr="00822A80">
        <w:rPr>
          <w:sz w:val="24"/>
          <w:szCs w:val="24"/>
        </w:rPr>
        <w:t xml:space="preserve"> </w:t>
      </w:r>
      <w:r w:rsidRPr="00854622">
        <w:rPr>
          <w:sz w:val="24"/>
          <w:szCs w:val="24"/>
        </w:rPr>
        <w:t xml:space="preserve">below shows the </w:t>
      </w:r>
      <w:r w:rsidR="009F0522" w:rsidRPr="00854622">
        <w:rPr>
          <w:sz w:val="24"/>
          <w:szCs w:val="24"/>
        </w:rPr>
        <w:t>Patient Panel</w:t>
      </w:r>
      <w:r w:rsidR="003D12BC" w:rsidRPr="00854622">
        <w:rPr>
          <w:sz w:val="24"/>
          <w:szCs w:val="24"/>
        </w:rPr>
        <w:t xml:space="preserve"> and patient populations</w:t>
      </w:r>
      <w:r w:rsidR="009F0522" w:rsidRPr="00854622">
        <w:rPr>
          <w:sz w:val="24"/>
          <w:szCs w:val="24"/>
        </w:rPr>
        <w:t xml:space="preserve"> </w:t>
      </w:r>
      <w:r w:rsidR="003C7B13" w:rsidRPr="00854622">
        <w:rPr>
          <w:sz w:val="24"/>
          <w:szCs w:val="24"/>
        </w:rPr>
        <w:t>from Fiscal</w:t>
      </w:r>
      <w:r w:rsidR="001C101D" w:rsidRPr="00854622">
        <w:rPr>
          <w:sz w:val="24"/>
          <w:szCs w:val="24"/>
        </w:rPr>
        <w:t xml:space="preserve"> </w:t>
      </w:r>
      <w:r w:rsidR="00096857" w:rsidRPr="00854622">
        <w:rPr>
          <w:sz w:val="24"/>
          <w:szCs w:val="24"/>
        </w:rPr>
        <w:t>Year</w:t>
      </w:r>
      <w:r w:rsidR="00CA4721" w:rsidRPr="00854622">
        <w:rPr>
          <w:sz w:val="24"/>
          <w:szCs w:val="24"/>
        </w:rPr>
        <w:t xml:space="preserve"> </w:t>
      </w:r>
      <w:r w:rsidR="00096857" w:rsidRPr="00854622">
        <w:rPr>
          <w:sz w:val="24"/>
          <w:szCs w:val="24"/>
        </w:rPr>
        <w:t>(</w:t>
      </w:r>
      <w:r w:rsidR="003C7B13" w:rsidRPr="00854622">
        <w:rPr>
          <w:sz w:val="24"/>
          <w:szCs w:val="24"/>
        </w:rPr>
        <w:t>F</w:t>
      </w:r>
      <w:r w:rsidR="00E76908" w:rsidRPr="00854622">
        <w:rPr>
          <w:sz w:val="24"/>
          <w:szCs w:val="24"/>
        </w:rPr>
        <w:t>Y</w:t>
      </w:r>
      <w:r w:rsidR="00096857" w:rsidRPr="00854622">
        <w:rPr>
          <w:sz w:val="24"/>
          <w:szCs w:val="24"/>
        </w:rPr>
        <w:t>)</w:t>
      </w:r>
      <w:r w:rsidR="00E76908" w:rsidRPr="00854622">
        <w:rPr>
          <w:sz w:val="24"/>
          <w:szCs w:val="24"/>
        </w:rPr>
        <w:t>20</w:t>
      </w:r>
      <w:r w:rsidR="00B06E7A" w:rsidRPr="00854622">
        <w:rPr>
          <w:sz w:val="24"/>
          <w:szCs w:val="24"/>
        </w:rPr>
        <w:t>21</w:t>
      </w:r>
      <w:r w:rsidR="00E76908" w:rsidRPr="00854622">
        <w:rPr>
          <w:sz w:val="24"/>
          <w:szCs w:val="24"/>
        </w:rPr>
        <w:t xml:space="preserve"> through</w:t>
      </w:r>
      <w:r w:rsidR="00520C0E" w:rsidRPr="00854622">
        <w:rPr>
          <w:sz w:val="24"/>
          <w:szCs w:val="24"/>
        </w:rPr>
        <w:t xml:space="preserve"> </w:t>
      </w:r>
      <w:r w:rsidR="00AE7CFE" w:rsidRPr="00854622">
        <w:rPr>
          <w:sz w:val="24"/>
          <w:szCs w:val="24"/>
        </w:rPr>
        <w:t>F</w:t>
      </w:r>
      <w:r w:rsidR="0099746C" w:rsidRPr="00854622">
        <w:rPr>
          <w:sz w:val="24"/>
          <w:szCs w:val="24"/>
        </w:rPr>
        <w:t>Y202</w:t>
      </w:r>
      <w:r w:rsidR="00854622" w:rsidRPr="00854622">
        <w:rPr>
          <w:sz w:val="24"/>
          <w:szCs w:val="24"/>
        </w:rPr>
        <w:t>4</w:t>
      </w:r>
      <w:r w:rsidR="00D05AA1">
        <w:rPr>
          <w:sz w:val="24"/>
          <w:szCs w:val="24"/>
        </w:rPr>
        <w:t>. The</w:t>
      </w:r>
      <w:r w:rsidR="005523EA">
        <w:rPr>
          <w:sz w:val="24"/>
          <w:szCs w:val="24"/>
        </w:rPr>
        <w:t xml:space="preserve"> overall</w:t>
      </w:r>
      <w:r w:rsidR="007770E6">
        <w:rPr>
          <w:sz w:val="24"/>
          <w:szCs w:val="24"/>
        </w:rPr>
        <w:t xml:space="preserve"> </w:t>
      </w:r>
      <w:r w:rsidR="00D1108C">
        <w:rPr>
          <w:sz w:val="24"/>
          <w:szCs w:val="24"/>
        </w:rPr>
        <w:t xml:space="preserve">number of </w:t>
      </w:r>
      <w:r w:rsidR="005F5567">
        <w:rPr>
          <w:sz w:val="24"/>
          <w:szCs w:val="24"/>
        </w:rPr>
        <w:t>unique</w:t>
      </w:r>
      <w:r w:rsidR="00D1108C">
        <w:rPr>
          <w:sz w:val="24"/>
          <w:szCs w:val="24"/>
        </w:rPr>
        <w:t xml:space="preserve"> patients </w:t>
      </w:r>
      <w:r w:rsidR="005523EA">
        <w:rPr>
          <w:sz w:val="24"/>
          <w:szCs w:val="24"/>
        </w:rPr>
        <w:t xml:space="preserve">visiting </w:t>
      </w:r>
      <w:r w:rsidR="00D1108C">
        <w:rPr>
          <w:sz w:val="24"/>
          <w:szCs w:val="24"/>
        </w:rPr>
        <w:t>the Hospital grew by 7.5% d</w:t>
      </w:r>
      <w:r w:rsidR="007C0E02" w:rsidRPr="00854622">
        <w:rPr>
          <w:sz w:val="24"/>
          <w:szCs w:val="24"/>
        </w:rPr>
        <w:t>uring that timeframe</w:t>
      </w:r>
      <w:r w:rsidR="005523EA">
        <w:rPr>
          <w:sz w:val="24"/>
          <w:szCs w:val="24"/>
        </w:rPr>
        <w:t>,</w:t>
      </w:r>
      <w:r w:rsidR="00D05AA1">
        <w:rPr>
          <w:sz w:val="24"/>
          <w:szCs w:val="24"/>
        </w:rPr>
        <w:t xml:space="preserve"> while</w:t>
      </w:r>
      <w:r w:rsidR="007C0E02" w:rsidRPr="00854622">
        <w:rPr>
          <w:sz w:val="24"/>
          <w:szCs w:val="24"/>
        </w:rPr>
        <w:t xml:space="preserve"> t</w:t>
      </w:r>
      <w:r w:rsidR="00E76908" w:rsidRPr="00854622">
        <w:rPr>
          <w:sz w:val="24"/>
          <w:szCs w:val="24"/>
        </w:rPr>
        <w:t xml:space="preserve">he number of </w:t>
      </w:r>
      <w:r w:rsidR="00EB2928">
        <w:rPr>
          <w:sz w:val="24"/>
          <w:szCs w:val="24"/>
        </w:rPr>
        <w:t xml:space="preserve">unique </w:t>
      </w:r>
      <w:r w:rsidR="00E76908" w:rsidRPr="00854622">
        <w:rPr>
          <w:sz w:val="24"/>
          <w:szCs w:val="24"/>
        </w:rPr>
        <w:t xml:space="preserve">patients </w:t>
      </w:r>
      <w:r w:rsidR="00C04D8D" w:rsidRPr="00854622">
        <w:rPr>
          <w:sz w:val="24"/>
          <w:szCs w:val="24"/>
        </w:rPr>
        <w:t>visiting the ED</w:t>
      </w:r>
      <w:r w:rsidR="00E76908" w:rsidRPr="00854622">
        <w:rPr>
          <w:sz w:val="24"/>
          <w:szCs w:val="24"/>
        </w:rPr>
        <w:t xml:space="preserve"> increased </w:t>
      </w:r>
      <w:r w:rsidR="00B62E48" w:rsidRPr="00854622">
        <w:rPr>
          <w:sz w:val="24"/>
          <w:szCs w:val="24"/>
        </w:rPr>
        <w:t xml:space="preserve">by </w:t>
      </w:r>
      <w:r w:rsidR="00854622" w:rsidRPr="00854622">
        <w:rPr>
          <w:sz w:val="24"/>
          <w:szCs w:val="24"/>
        </w:rPr>
        <w:t>17</w:t>
      </w:r>
      <w:r w:rsidR="00ED699E" w:rsidRPr="00854622">
        <w:rPr>
          <w:sz w:val="24"/>
          <w:szCs w:val="24"/>
        </w:rPr>
        <w:t>%</w:t>
      </w:r>
      <w:r w:rsidR="005523EA">
        <w:rPr>
          <w:sz w:val="24"/>
          <w:szCs w:val="24"/>
        </w:rPr>
        <w:t xml:space="preserve"> during the same timeframe</w:t>
      </w:r>
      <w:r w:rsidR="004A43F8" w:rsidRPr="00854622">
        <w:rPr>
          <w:sz w:val="24"/>
          <w:szCs w:val="24"/>
        </w:rPr>
        <w:t>.</w:t>
      </w:r>
      <w:r w:rsidR="00746531" w:rsidRPr="00854622">
        <w:rPr>
          <w:sz w:val="24"/>
          <w:szCs w:val="24"/>
        </w:rPr>
        <w:t xml:space="preserve"> </w:t>
      </w:r>
    </w:p>
    <w:p w14:paraId="0674B51F" w14:textId="77777777" w:rsidR="00E76908" w:rsidRPr="00E20DEA" w:rsidRDefault="00E76908" w:rsidP="00290E5C">
      <w:pPr>
        <w:spacing w:after="0" w:line="240" w:lineRule="auto"/>
        <w:rPr>
          <w:sz w:val="24"/>
          <w:szCs w:val="24"/>
          <w:highlight w:val="yellow"/>
        </w:rPr>
      </w:pPr>
    </w:p>
    <w:p w14:paraId="2DA7F862" w14:textId="34B516F3" w:rsidR="00E76908" w:rsidRPr="00E20DEA" w:rsidRDefault="00E76908" w:rsidP="00006E50">
      <w:pPr>
        <w:pStyle w:val="Caption"/>
        <w:spacing w:after="0"/>
        <w:contextualSpacing/>
        <w:jc w:val="center"/>
        <w:rPr>
          <w:rFonts w:cstheme="minorHAnsi"/>
          <w:color w:val="2F5496" w:themeColor="accent1" w:themeShade="BF"/>
          <w:sz w:val="24"/>
          <w:szCs w:val="24"/>
          <w:highlight w:val="yellow"/>
        </w:rPr>
      </w:pPr>
      <w:r w:rsidRPr="00822A80">
        <w:rPr>
          <w:rFonts w:cstheme="minorHAnsi"/>
          <w:color w:val="2F5496" w:themeColor="accent1" w:themeShade="BF"/>
          <w:sz w:val="24"/>
          <w:szCs w:val="24"/>
          <w:u w:val="single"/>
        </w:rPr>
        <w:t xml:space="preserve">Table </w:t>
      </w:r>
      <w:r w:rsidR="00822A80" w:rsidRPr="00822A80">
        <w:rPr>
          <w:rFonts w:cstheme="minorHAnsi"/>
          <w:color w:val="2F5496" w:themeColor="accent1" w:themeShade="BF"/>
          <w:sz w:val="24"/>
          <w:szCs w:val="24"/>
          <w:u w:val="single"/>
        </w:rPr>
        <w:t>2</w:t>
      </w:r>
      <w:r w:rsidRPr="00822A80">
        <w:rPr>
          <w:rFonts w:cstheme="minorHAnsi"/>
          <w:color w:val="2F5496" w:themeColor="accent1" w:themeShade="BF"/>
          <w:sz w:val="24"/>
          <w:szCs w:val="24"/>
          <w:u w:val="single"/>
        </w:rPr>
        <w:t>:</w:t>
      </w:r>
      <w:r w:rsidRPr="00822A80">
        <w:rPr>
          <w:rFonts w:cstheme="minorHAnsi"/>
          <w:color w:val="2F5496" w:themeColor="accent1" w:themeShade="BF"/>
          <w:sz w:val="24"/>
          <w:szCs w:val="24"/>
        </w:rPr>
        <w:t xml:space="preserve"> </w:t>
      </w:r>
      <w:r w:rsidR="007455B7" w:rsidRPr="002817A9">
        <w:rPr>
          <w:rFonts w:cstheme="minorHAnsi"/>
          <w:color w:val="2F5496" w:themeColor="accent1" w:themeShade="BF"/>
          <w:sz w:val="24"/>
          <w:szCs w:val="24"/>
        </w:rPr>
        <w:t xml:space="preserve">Overview of </w:t>
      </w:r>
      <w:r w:rsidR="002817A9" w:rsidRPr="002817A9">
        <w:rPr>
          <w:rFonts w:cstheme="minorHAnsi"/>
          <w:color w:val="2F5496" w:themeColor="accent1" w:themeShade="BF"/>
          <w:sz w:val="24"/>
          <w:szCs w:val="24"/>
        </w:rPr>
        <w:t xml:space="preserve">Sturdy Memorial Hospital </w:t>
      </w:r>
      <w:r w:rsidRPr="002817A9">
        <w:rPr>
          <w:rFonts w:cstheme="minorHAnsi"/>
          <w:color w:val="2F5496" w:themeColor="accent1" w:themeShade="BF"/>
          <w:sz w:val="24"/>
          <w:szCs w:val="24"/>
        </w:rPr>
        <w:t xml:space="preserve">Patient </w:t>
      </w:r>
      <w:r w:rsidR="00D24A16" w:rsidRPr="002817A9">
        <w:rPr>
          <w:rFonts w:cstheme="minorHAnsi"/>
          <w:color w:val="2F5496" w:themeColor="accent1" w:themeShade="BF"/>
          <w:sz w:val="24"/>
          <w:szCs w:val="24"/>
        </w:rPr>
        <w:t>Volume</w:t>
      </w:r>
    </w:p>
    <w:tbl>
      <w:tblPr>
        <w:tblStyle w:val="TableGrid"/>
        <w:tblW w:w="0" w:type="auto"/>
        <w:jc w:val="center"/>
        <w:tblLook w:val="04A0" w:firstRow="1" w:lastRow="0" w:firstColumn="1" w:lastColumn="0" w:noHBand="0" w:noVBand="1"/>
      </w:tblPr>
      <w:tblGrid>
        <w:gridCol w:w="4555"/>
        <w:gridCol w:w="1112"/>
        <w:gridCol w:w="1215"/>
        <w:gridCol w:w="1234"/>
        <w:gridCol w:w="1234"/>
      </w:tblGrid>
      <w:tr w:rsidR="00854622" w:rsidRPr="00E20DEA" w14:paraId="7E606C2E" w14:textId="77777777" w:rsidTr="00F43709">
        <w:trPr>
          <w:cantSplit/>
          <w:tblHeader/>
          <w:jc w:val="center"/>
        </w:trPr>
        <w:tc>
          <w:tcPr>
            <w:tcW w:w="4555" w:type="dxa"/>
          </w:tcPr>
          <w:p w14:paraId="237AEDD1" w14:textId="4B83480E" w:rsidR="00854622" w:rsidRPr="009E15B5" w:rsidRDefault="00854622" w:rsidP="001317C8">
            <w:pPr>
              <w:jc w:val="center"/>
              <w:rPr>
                <w:b/>
                <w:bCs/>
              </w:rPr>
            </w:pPr>
            <w:r w:rsidRPr="009E15B5">
              <w:rPr>
                <w:b/>
                <w:bCs/>
              </w:rPr>
              <w:t>System/ Hospital</w:t>
            </w:r>
          </w:p>
        </w:tc>
        <w:tc>
          <w:tcPr>
            <w:tcW w:w="1112" w:type="dxa"/>
          </w:tcPr>
          <w:p w14:paraId="1537FE72" w14:textId="07C052BE" w:rsidR="00854622" w:rsidRPr="006A7C13" w:rsidRDefault="00854622" w:rsidP="001317C8">
            <w:pPr>
              <w:jc w:val="center"/>
              <w:rPr>
                <w:b/>
                <w:bCs/>
              </w:rPr>
            </w:pPr>
            <w:r>
              <w:rPr>
                <w:b/>
                <w:bCs/>
              </w:rPr>
              <w:t>FY2021</w:t>
            </w:r>
          </w:p>
        </w:tc>
        <w:tc>
          <w:tcPr>
            <w:tcW w:w="1215" w:type="dxa"/>
          </w:tcPr>
          <w:p w14:paraId="1C5D62F4" w14:textId="06AC25EF" w:rsidR="00854622" w:rsidRPr="006A7C13" w:rsidRDefault="00854622" w:rsidP="001317C8">
            <w:pPr>
              <w:jc w:val="center"/>
              <w:rPr>
                <w:b/>
                <w:bCs/>
              </w:rPr>
            </w:pPr>
            <w:r w:rsidRPr="006A7C13">
              <w:rPr>
                <w:b/>
                <w:bCs/>
              </w:rPr>
              <w:t>FY2022</w:t>
            </w:r>
          </w:p>
        </w:tc>
        <w:tc>
          <w:tcPr>
            <w:tcW w:w="1234" w:type="dxa"/>
          </w:tcPr>
          <w:p w14:paraId="45A9E682" w14:textId="60AB59C3" w:rsidR="00854622" w:rsidRPr="006A7C13" w:rsidRDefault="00854622" w:rsidP="001317C8">
            <w:pPr>
              <w:jc w:val="center"/>
              <w:rPr>
                <w:b/>
                <w:bCs/>
              </w:rPr>
            </w:pPr>
            <w:r w:rsidRPr="006A7C13">
              <w:rPr>
                <w:b/>
                <w:bCs/>
              </w:rPr>
              <w:t>FY2023</w:t>
            </w:r>
          </w:p>
        </w:tc>
        <w:tc>
          <w:tcPr>
            <w:tcW w:w="1234" w:type="dxa"/>
          </w:tcPr>
          <w:p w14:paraId="21FCE817" w14:textId="0958CD5B" w:rsidR="00854622" w:rsidRPr="006A7C13" w:rsidRDefault="00854622" w:rsidP="001317C8">
            <w:pPr>
              <w:jc w:val="center"/>
              <w:rPr>
                <w:b/>
                <w:bCs/>
              </w:rPr>
            </w:pPr>
            <w:r w:rsidRPr="006A7C13">
              <w:rPr>
                <w:b/>
                <w:bCs/>
              </w:rPr>
              <w:t>FY2024</w:t>
            </w:r>
          </w:p>
        </w:tc>
      </w:tr>
      <w:tr w:rsidR="00854622" w:rsidRPr="00E20DEA" w14:paraId="1E3CB85A" w14:textId="77777777" w:rsidTr="00F43709">
        <w:trPr>
          <w:cantSplit/>
          <w:jc w:val="center"/>
        </w:trPr>
        <w:tc>
          <w:tcPr>
            <w:tcW w:w="4555" w:type="dxa"/>
          </w:tcPr>
          <w:p w14:paraId="509CFBAC" w14:textId="79166F56" w:rsidR="00854622" w:rsidRPr="009E15B5" w:rsidRDefault="00854622" w:rsidP="00854622">
            <w:pPr>
              <w:rPr>
                <w:rFonts w:ascii="Calibri" w:hAnsi="Calibri" w:cs="Calibri"/>
                <w:sz w:val="24"/>
                <w:szCs w:val="24"/>
              </w:rPr>
            </w:pPr>
            <w:r w:rsidRPr="009E15B5">
              <w:rPr>
                <w:rFonts w:ascii="Calibri" w:hAnsi="Calibri" w:cs="Calibri"/>
                <w:sz w:val="24"/>
                <w:szCs w:val="24"/>
              </w:rPr>
              <w:t>Sturdy Health Overall Patient Panel</w:t>
            </w:r>
          </w:p>
        </w:tc>
        <w:tc>
          <w:tcPr>
            <w:tcW w:w="1112" w:type="dxa"/>
          </w:tcPr>
          <w:p w14:paraId="61DF75FD" w14:textId="56A8556E" w:rsidR="00854622" w:rsidRPr="00854622" w:rsidRDefault="00854622" w:rsidP="00854622">
            <w:pPr>
              <w:jc w:val="center"/>
              <w:rPr>
                <w:rFonts w:ascii="Calibri" w:hAnsi="Calibri" w:cs="Calibri"/>
                <w:color w:val="000000"/>
                <w:sz w:val="24"/>
                <w:szCs w:val="24"/>
              </w:rPr>
            </w:pPr>
            <w:r w:rsidRPr="00854622">
              <w:rPr>
                <w:rFonts w:ascii="Calibri" w:hAnsi="Calibri" w:cs="Calibri"/>
                <w:color w:val="000000"/>
                <w:sz w:val="24"/>
                <w:szCs w:val="24"/>
              </w:rPr>
              <w:t>95,176</w:t>
            </w:r>
          </w:p>
        </w:tc>
        <w:tc>
          <w:tcPr>
            <w:tcW w:w="1215" w:type="dxa"/>
          </w:tcPr>
          <w:p w14:paraId="0E0AF599" w14:textId="20290CDE" w:rsidR="00854622" w:rsidRPr="00EE7F8B" w:rsidRDefault="00854622" w:rsidP="00854622">
            <w:pPr>
              <w:jc w:val="center"/>
              <w:rPr>
                <w:rFonts w:ascii="Calibri" w:hAnsi="Calibri" w:cs="Calibri"/>
                <w:sz w:val="24"/>
                <w:szCs w:val="24"/>
                <w:highlight w:val="yellow"/>
              </w:rPr>
            </w:pPr>
            <w:r w:rsidRPr="00EE7F8B">
              <w:rPr>
                <w:rFonts w:cs="Arial"/>
                <w:color w:val="000000"/>
                <w:sz w:val="24"/>
                <w:szCs w:val="24"/>
              </w:rPr>
              <w:t>98,950</w:t>
            </w:r>
          </w:p>
        </w:tc>
        <w:tc>
          <w:tcPr>
            <w:tcW w:w="1234" w:type="dxa"/>
          </w:tcPr>
          <w:p w14:paraId="557CB623" w14:textId="5B292670" w:rsidR="00854622" w:rsidRPr="00EE7F8B" w:rsidRDefault="00854622" w:rsidP="00854622">
            <w:pPr>
              <w:jc w:val="center"/>
              <w:rPr>
                <w:rFonts w:ascii="Calibri" w:hAnsi="Calibri" w:cs="Calibri"/>
                <w:sz w:val="24"/>
                <w:szCs w:val="24"/>
                <w:highlight w:val="yellow"/>
              </w:rPr>
            </w:pPr>
            <w:r w:rsidRPr="00EE7F8B">
              <w:rPr>
                <w:rFonts w:cs="Arial"/>
                <w:color w:val="000000"/>
                <w:sz w:val="24"/>
                <w:szCs w:val="24"/>
              </w:rPr>
              <w:t>100,721</w:t>
            </w:r>
          </w:p>
        </w:tc>
        <w:tc>
          <w:tcPr>
            <w:tcW w:w="1234" w:type="dxa"/>
          </w:tcPr>
          <w:p w14:paraId="2C644877" w14:textId="750EBA27" w:rsidR="00854622" w:rsidRPr="00EE7F8B" w:rsidRDefault="00854622" w:rsidP="00854622">
            <w:pPr>
              <w:jc w:val="center"/>
              <w:rPr>
                <w:rFonts w:ascii="Calibri" w:hAnsi="Calibri" w:cs="Calibri"/>
                <w:sz w:val="24"/>
                <w:szCs w:val="24"/>
                <w:highlight w:val="yellow"/>
              </w:rPr>
            </w:pPr>
            <w:r w:rsidRPr="00EE7F8B">
              <w:rPr>
                <w:rFonts w:cs="Arial"/>
                <w:color w:val="000000"/>
                <w:sz w:val="24"/>
                <w:szCs w:val="24"/>
              </w:rPr>
              <w:t>101,473</w:t>
            </w:r>
          </w:p>
        </w:tc>
      </w:tr>
      <w:tr w:rsidR="00854622" w:rsidRPr="00E20DEA" w14:paraId="12265E46" w14:textId="77777777" w:rsidTr="00F43709">
        <w:trPr>
          <w:cantSplit/>
          <w:jc w:val="center"/>
        </w:trPr>
        <w:tc>
          <w:tcPr>
            <w:tcW w:w="4555" w:type="dxa"/>
          </w:tcPr>
          <w:p w14:paraId="3A6E0010" w14:textId="1AAC9E69" w:rsidR="00854622" w:rsidRPr="00E20DEA" w:rsidRDefault="00854622" w:rsidP="00854622">
            <w:pPr>
              <w:rPr>
                <w:rFonts w:ascii="Calibri" w:hAnsi="Calibri" w:cs="Calibri"/>
                <w:sz w:val="24"/>
                <w:szCs w:val="24"/>
                <w:highlight w:val="yellow"/>
              </w:rPr>
            </w:pPr>
            <w:r w:rsidRPr="0012158F">
              <w:rPr>
                <w:rFonts w:ascii="Calibri" w:hAnsi="Calibri" w:cs="Calibri"/>
                <w:sz w:val="24"/>
                <w:szCs w:val="24"/>
              </w:rPr>
              <w:t xml:space="preserve">Sturdy Memorial Hospital </w:t>
            </w:r>
          </w:p>
        </w:tc>
        <w:tc>
          <w:tcPr>
            <w:tcW w:w="1112" w:type="dxa"/>
          </w:tcPr>
          <w:p w14:paraId="277C3095" w14:textId="12E2354E" w:rsidR="00854622" w:rsidRPr="00553AB8" w:rsidRDefault="00854622" w:rsidP="00854622">
            <w:pPr>
              <w:jc w:val="center"/>
              <w:rPr>
                <w:rFonts w:ascii="Calibri" w:hAnsi="Calibri" w:cs="Calibri"/>
                <w:color w:val="000000"/>
                <w:sz w:val="24"/>
                <w:szCs w:val="24"/>
              </w:rPr>
            </w:pPr>
            <w:r w:rsidRPr="00854622">
              <w:rPr>
                <w:rFonts w:ascii="Calibri" w:hAnsi="Calibri" w:cs="Calibri"/>
                <w:color w:val="000000"/>
                <w:sz w:val="24"/>
                <w:szCs w:val="24"/>
              </w:rPr>
              <w:t>75,952</w:t>
            </w:r>
          </w:p>
        </w:tc>
        <w:tc>
          <w:tcPr>
            <w:tcW w:w="1215" w:type="dxa"/>
          </w:tcPr>
          <w:p w14:paraId="47626DF5" w14:textId="54BE66D7" w:rsidR="00854622" w:rsidRPr="00553AB8" w:rsidRDefault="00854622" w:rsidP="00854622">
            <w:pPr>
              <w:jc w:val="center"/>
              <w:rPr>
                <w:rFonts w:ascii="Calibri" w:hAnsi="Calibri" w:cs="Calibri"/>
                <w:color w:val="000000"/>
                <w:sz w:val="24"/>
                <w:szCs w:val="24"/>
              </w:rPr>
            </w:pPr>
            <w:r w:rsidRPr="00553AB8">
              <w:rPr>
                <w:rFonts w:ascii="Calibri" w:hAnsi="Calibri" w:cs="Calibri"/>
                <w:color w:val="000000"/>
                <w:sz w:val="24"/>
                <w:szCs w:val="24"/>
              </w:rPr>
              <w:t>80,700</w:t>
            </w:r>
          </w:p>
        </w:tc>
        <w:tc>
          <w:tcPr>
            <w:tcW w:w="1234" w:type="dxa"/>
          </w:tcPr>
          <w:p w14:paraId="26213443" w14:textId="0F6C20B6" w:rsidR="00854622" w:rsidRPr="00553AB8" w:rsidRDefault="00854622" w:rsidP="00854622">
            <w:pPr>
              <w:jc w:val="center"/>
              <w:rPr>
                <w:rFonts w:ascii="Calibri" w:hAnsi="Calibri" w:cs="Calibri"/>
                <w:color w:val="000000"/>
                <w:sz w:val="24"/>
                <w:szCs w:val="24"/>
              </w:rPr>
            </w:pPr>
            <w:r w:rsidRPr="00553AB8">
              <w:rPr>
                <w:rFonts w:ascii="Calibri" w:hAnsi="Calibri" w:cs="Calibri"/>
                <w:color w:val="000000"/>
                <w:sz w:val="24"/>
                <w:szCs w:val="24"/>
              </w:rPr>
              <w:t>81,046</w:t>
            </w:r>
          </w:p>
        </w:tc>
        <w:tc>
          <w:tcPr>
            <w:tcW w:w="1234" w:type="dxa"/>
          </w:tcPr>
          <w:p w14:paraId="62DEA32A" w14:textId="192353CC" w:rsidR="00854622" w:rsidRPr="00553AB8" w:rsidRDefault="00854622" w:rsidP="00854622">
            <w:pPr>
              <w:jc w:val="center"/>
              <w:rPr>
                <w:rFonts w:ascii="Calibri" w:hAnsi="Calibri" w:cs="Calibri"/>
                <w:color w:val="000000"/>
                <w:sz w:val="24"/>
                <w:szCs w:val="24"/>
              </w:rPr>
            </w:pPr>
            <w:r w:rsidRPr="00553AB8">
              <w:rPr>
                <w:rFonts w:ascii="Calibri" w:hAnsi="Calibri" w:cs="Calibri"/>
                <w:color w:val="000000"/>
                <w:sz w:val="24"/>
                <w:szCs w:val="24"/>
              </w:rPr>
              <w:t>81,639</w:t>
            </w:r>
          </w:p>
        </w:tc>
      </w:tr>
      <w:tr w:rsidR="00854622" w:rsidRPr="00E20DEA" w14:paraId="1B008178" w14:textId="77777777" w:rsidTr="00F43709">
        <w:trPr>
          <w:cantSplit/>
          <w:jc w:val="center"/>
        </w:trPr>
        <w:tc>
          <w:tcPr>
            <w:tcW w:w="4555" w:type="dxa"/>
          </w:tcPr>
          <w:p w14:paraId="6FC5EF4B" w14:textId="6F61C291" w:rsidR="00854622" w:rsidRPr="0012158F" w:rsidRDefault="00854622" w:rsidP="00854622">
            <w:pPr>
              <w:rPr>
                <w:rFonts w:ascii="Calibri" w:hAnsi="Calibri" w:cs="Calibri"/>
                <w:sz w:val="24"/>
                <w:szCs w:val="24"/>
              </w:rPr>
            </w:pPr>
            <w:r w:rsidRPr="0012158F">
              <w:rPr>
                <w:rFonts w:ascii="Calibri" w:hAnsi="Calibri" w:cs="Calibri"/>
                <w:sz w:val="24"/>
                <w:szCs w:val="24"/>
              </w:rPr>
              <w:t>Sturdy Memorial Hospital Emergency Department</w:t>
            </w:r>
          </w:p>
        </w:tc>
        <w:tc>
          <w:tcPr>
            <w:tcW w:w="1112" w:type="dxa"/>
          </w:tcPr>
          <w:p w14:paraId="2A7D1F9C" w14:textId="0B23AABC" w:rsidR="00854622" w:rsidRPr="004B242F" w:rsidRDefault="00854622" w:rsidP="00854622">
            <w:pPr>
              <w:jc w:val="center"/>
              <w:rPr>
                <w:rFonts w:ascii="Calibri" w:hAnsi="Calibri" w:cs="Calibri"/>
                <w:color w:val="000000"/>
                <w:sz w:val="24"/>
                <w:szCs w:val="24"/>
              </w:rPr>
            </w:pPr>
            <w:r w:rsidRPr="00854622">
              <w:rPr>
                <w:rFonts w:ascii="Calibri" w:hAnsi="Calibri" w:cs="Calibri"/>
                <w:color w:val="000000"/>
                <w:sz w:val="24"/>
                <w:szCs w:val="24"/>
              </w:rPr>
              <w:t>29,109</w:t>
            </w:r>
          </w:p>
        </w:tc>
        <w:tc>
          <w:tcPr>
            <w:tcW w:w="1215" w:type="dxa"/>
          </w:tcPr>
          <w:p w14:paraId="1775AB7F" w14:textId="62607BE0" w:rsidR="00854622" w:rsidRPr="004B242F" w:rsidRDefault="00854622" w:rsidP="00854622">
            <w:pPr>
              <w:jc w:val="center"/>
              <w:rPr>
                <w:rFonts w:ascii="Calibri" w:hAnsi="Calibri" w:cs="Calibri"/>
                <w:color w:val="000000"/>
                <w:sz w:val="24"/>
                <w:szCs w:val="24"/>
              </w:rPr>
            </w:pPr>
            <w:r w:rsidRPr="004B242F">
              <w:rPr>
                <w:rFonts w:ascii="Calibri" w:hAnsi="Calibri" w:cs="Calibri"/>
                <w:color w:val="000000"/>
                <w:sz w:val="24"/>
                <w:szCs w:val="24"/>
              </w:rPr>
              <w:t>31,855</w:t>
            </w:r>
          </w:p>
        </w:tc>
        <w:tc>
          <w:tcPr>
            <w:tcW w:w="1234" w:type="dxa"/>
          </w:tcPr>
          <w:p w14:paraId="1840F1B1" w14:textId="75206D96" w:rsidR="00854622" w:rsidRPr="004B242F" w:rsidRDefault="00854622" w:rsidP="00854622">
            <w:pPr>
              <w:jc w:val="center"/>
              <w:rPr>
                <w:rFonts w:ascii="Calibri" w:hAnsi="Calibri" w:cs="Calibri"/>
                <w:color w:val="000000"/>
                <w:sz w:val="24"/>
                <w:szCs w:val="24"/>
              </w:rPr>
            </w:pPr>
            <w:r w:rsidRPr="004B242F">
              <w:rPr>
                <w:rFonts w:ascii="Calibri" w:hAnsi="Calibri" w:cs="Calibri"/>
                <w:color w:val="000000"/>
                <w:sz w:val="24"/>
                <w:szCs w:val="24"/>
              </w:rPr>
              <w:t>33,342</w:t>
            </w:r>
          </w:p>
        </w:tc>
        <w:tc>
          <w:tcPr>
            <w:tcW w:w="1234" w:type="dxa"/>
          </w:tcPr>
          <w:p w14:paraId="0E84E2E1" w14:textId="502A8F66" w:rsidR="00854622" w:rsidRPr="004B242F" w:rsidRDefault="00854622" w:rsidP="00854622">
            <w:pPr>
              <w:jc w:val="center"/>
              <w:rPr>
                <w:rFonts w:ascii="Calibri" w:hAnsi="Calibri" w:cs="Calibri"/>
                <w:sz w:val="24"/>
                <w:szCs w:val="24"/>
              </w:rPr>
            </w:pPr>
            <w:r w:rsidRPr="004B242F">
              <w:rPr>
                <w:rFonts w:ascii="Calibri" w:hAnsi="Calibri" w:cs="Calibri"/>
                <w:sz w:val="24"/>
                <w:szCs w:val="24"/>
              </w:rPr>
              <w:t>34,097</w:t>
            </w:r>
          </w:p>
        </w:tc>
      </w:tr>
    </w:tbl>
    <w:p w14:paraId="1A98193B" w14:textId="55509F74" w:rsidR="007C0E02" w:rsidRPr="00B45756" w:rsidRDefault="00CB14A5" w:rsidP="007C0E02">
      <w:pPr>
        <w:spacing w:after="0" w:line="240" w:lineRule="auto"/>
        <w:rPr>
          <w:sz w:val="24"/>
          <w:szCs w:val="24"/>
        </w:rPr>
      </w:pPr>
      <w:r w:rsidRPr="608FEA00">
        <w:rPr>
          <w:color w:val="191919"/>
          <w:sz w:val="24"/>
          <w:szCs w:val="24"/>
        </w:rPr>
        <w:t>Stu</w:t>
      </w:r>
      <w:r w:rsidR="303C5D9F" w:rsidRPr="608FEA00">
        <w:rPr>
          <w:color w:val="191919"/>
          <w:sz w:val="24"/>
          <w:szCs w:val="24"/>
        </w:rPr>
        <w:t>r</w:t>
      </w:r>
      <w:r w:rsidRPr="608FEA00">
        <w:rPr>
          <w:color w:val="191919"/>
          <w:sz w:val="24"/>
          <w:szCs w:val="24"/>
        </w:rPr>
        <w:t>dy</w:t>
      </w:r>
      <w:r>
        <w:rPr>
          <w:color w:val="191919"/>
          <w:sz w:val="24"/>
          <w:szCs w:val="24"/>
        </w:rPr>
        <w:t xml:space="preserve"> Health’s Patient Panel </w:t>
      </w:r>
      <w:r w:rsidR="003138F0">
        <w:rPr>
          <w:color w:val="191919"/>
          <w:sz w:val="24"/>
          <w:szCs w:val="24"/>
        </w:rPr>
        <w:t>indicates the</w:t>
      </w:r>
      <w:r w:rsidR="00756477" w:rsidRPr="00B45756">
        <w:rPr>
          <w:color w:val="191919"/>
          <w:sz w:val="24"/>
          <w:szCs w:val="24"/>
        </w:rPr>
        <w:t xml:space="preserve"> top </w:t>
      </w:r>
      <w:r w:rsidR="00967C1F" w:rsidRPr="00B45756">
        <w:rPr>
          <w:color w:val="191919"/>
          <w:sz w:val="24"/>
          <w:szCs w:val="24"/>
        </w:rPr>
        <w:t xml:space="preserve">10 </w:t>
      </w:r>
      <w:r w:rsidR="004E7C62">
        <w:rPr>
          <w:color w:val="191919"/>
          <w:sz w:val="24"/>
          <w:szCs w:val="24"/>
        </w:rPr>
        <w:t xml:space="preserve">towns of </w:t>
      </w:r>
      <w:r w:rsidR="00756477" w:rsidRPr="00B45756">
        <w:rPr>
          <w:color w:val="191919"/>
          <w:sz w:val="24"/>
          <w:szCs w:val="24"/>
        </w:rPr>
        <w:t xml:space="preserve">patient </w:t>
      </w:r>
      <w:r w:rsidR="007921EF" w:rsidRPr="00B45756">
        <w:rPr>
          <w:color w:val="191919"/>
          <w:sz w:val="24"/>
          <w:szCs w:val="24"/>
        </w:rPr>
        <w:t xml:space="preserve">origin </w:t>
      </w:r>
      <w:r w:rsidR="007921EF">
        <w:rPr>
          <w:color w:val="191919"/>
          <w:sz w:val="24"/>
          <w:szCs w:val="24"/>
        </w:rPr>
        <w:t>are</w:t>
      </w:r>
      <w:r w:rsidR="003138F0">
        <w:rPr>
          <w:color w:val="191919"/>
          <w:sz w:val="24"/>
          <w:szCs w:val="24"/>
        </w:rPr>
        <w:t>:</w:t>
      </w:r>
      <w:r w:rsidR="00756477" w:rsidRPr="00B45756">
        <w:rPr>
          <w:color w:val="191919"/>
          <w:sz w:val="24"/>
          <w:szCs w:val="24"/>
        </w:rPr>
        <w:t xml:space="preserve"> </w:t>
      </w:r>
      <w:r w:rsidR="00967C1F" w:rsidRPr="00B45756">
        <w:rPr>
          <w:color w:val="191919"/>
          <w:sz w:val="24"/>
          <w:szCs w:val="24"/>
        </w:rPr>
        <w:t>Attleboro</w:t>
      </w:r>
      <w:r w:rsidR="00756477" w:rsidRPr="00B45756">
        <w:rPr>
          <w:color w:val="191919"/>
          <w:sz w:val="24"/>
          <w:szCs w:val="24"/>
        </w:rPr>
        <w:t xml:space="preserve">, </w:t>
      </w:r>
      <w:r w:rsidR="00967C1F" w:rsidRPr="00B45756">
        <w:rPr>
          <w:color w:val="191919"/>
          <w:sz w:val="24"/>
          <w:szCs w:val="24"/>
        </w:rPr>
        <w:t>North Attleboro</w:t>
      </w:r>
      <w:r w:rsidR="00756477" w:rsidRPr="00B45756">
        <w:rPr>
          <w:color w:val="191919"/>
          <w:sz w:val="24"/>
          <w:szCs w:val="24"/>
        </w:rPr>
        <w:t xml:space="preserve">, </w:t>
      </w:r>
      <w:r w:rsidR="00836648" w:rsidRPr="00B45756">
        <w:rPr>
          <w:color w:val="191919"/>
          <w:sz w:val="24"/>
          <w:szCs w:val="24"/>
        </w:rPr>
        <w:t>Norton</w:t>
      </w:r>
      <w:r w:rsidR="00756477" w:rsidRPr="00B45756">
        <w:rPr>
          <w:color w:val="191919"/>
          <w:sz w:val="24"/>
          <w:szCs w:val="24"/>
        </w:rPr>
        <w:t xml:space="preserve">, </w:t>
      </w:r>
      <w:r w:rsidR="00836648" w:rsidRPr="00B45756">
        <w:rPr>
          <w:color w:val="191919"/>
          <w:sz w:val="24"/>
          <w:szCs w:val="24"/>
        </w:rPr>
        <w:t>Mansfield, Plainville</w:t>
      </w:r>
      <w:r w:rsidR="00756477" w:rsidRPr="00B45756">
        <w:rPr>
          <w:color w:val="191919"/>
          <w:sz w:val="24"/>
          <w:szCs w:val="24"/>
        </w:rPr>
        <w:t xml:space="preserve">, </w:t>
      </w:r>
      <w:r w:rsidR="00836648" w:rsidRPr="00B45756">
        <w:rPr>
          <w:color w:val="191919"/>
          <w:sz w:val="24"/>
          <w:szCs w:val="24"/>
        </w:rPr>
        <w:t>Foxboro</w:t>
      </w:r>
      <w:r w:rsidR="00756477" w:rsidRPr="00B45756">
        <w:rPr>
          <w:color w:val="191919"/>
          <w:sz w:val="24"/>
          <w:szCs w:val="24"/>
        </w:rPr>
        <w:t xml:space="preserve">, </w:t>
      </w:r>
      <w:r w:rsidR="0056670C" w:rsidRPr="00B45756">
        <w:rPr>
          <w:color w:val="191919"/>
          <w:sz w:val="24"/>
          <w:szCs w:val="24"/>
        </w:rPr>
        <w:t>Rehoboth</w:t>
      </w:r>
      <w:r w:rsidR="00756477" w:rsidRPr="00B45756">
        <w:rPr>
          <w:color w:val="191919"/>
          <w:sz w:val="24"/>
          <w:szCs w:val="24"/>
        </w:rPr>
        <w:t xml:space="preserve">, </w:t>
      </w:r>
      <w:r w:rsidR="0056670C" w:rsidRPr="00B45756">
        <w:rPr>
          <w:color w:val="191919"/>
          <w:sz w:val="24"/>
          <w:szCs w:val="24"/>
        </w:rPr>
        <w:t>Seekonk</w:t>
      </w:r>
      <w:r w:rsidR="00756477" w:rsidRPr="00B45756">
        <w:rPr>
          <w:color w:val="191919"/>
          <w:sz w:val="24"/>
          <w:szCs w:val="24"/>
        </w:rPr>
        <w:t xml:space="preserve">, </w:t>
      </w:r>
      <w:r w:rsidR="00362C92" w:rsidRPr="00B45756">
        <w:rPr>
          <w:color w:val="191919"/>
          <w:sz w:val="24"/>
          <w:szCs w:val="24"/>
        </w:rPr>
        <w:t>Wrentham</w:t>
      </w:r>
      <w:r w:rsidR="00756477" w:rsidRPr="00B45756">
        <w:rPr>
          <w:color w:val="191919"/>
          <w:sz w:val="24"/>
          <w:szCs w:val="24"/>
        </w:rPr>
        <w:t>,</w:t>
      </w:r>
      <w:r w:rsidR="006C045F" w:rsidRPr="00B45756">
        <w:rPr>
          <w:color w:val="191919"/>
          <w:sz w:val="24"/>
          <w:szCs w:val="24"/>
        </w:rPr>
        <w:t xml:space="preserve"> and Pawtucket (Rhode Island). </w:t>
      </w:r>
      <w:r w:rsidR="0069522E" w:rsidRPr="00B45756">
        <w:rPr>
          <w:color w:val="191919"/>
          <w:sz w:val="24"/>
          <w:szCs w:val="24"/>
        </w:rPr>
        <w:t>Th</w:t>
      </w:r>
      <w:r w:rsidR="00F577C5" w:rsidRPr="00B45756">
        <w:rPr>
          <w:color w:val="191919"/>
          <w:sz w:val="24"/>
          <w:szCs w:val="24"/>
        </w:rPr>
        <w:t xml:space="preserve">ese </w:t>
      </w:r>
      <w:r w:rsidR="003138F0">
        <w:rPr>
          <w:color w:val="191919"/>
          <w:sz w:val="24"/>
          <w:szCs w:val="24"/>
        </w:rPr>
        <w:t xml:space="preserve">towns </w:t>
      </w:r>
      <w:r w:rsidR="00F577C5" w:rsidRPr="00B45756">
        <w:rPr>
          <w:color w:val="191919"/>
          <w:sz w:val="24"/>
          <w:szCs w:val="24"/>
        </w:rPr>
        <w:t>coincide with the top 10 zip codes served by b</w:t>
      </w:r>
      <w:r w:rsidR="00EA0C09" w:rsidRPr="00B45756">
        <w:rPr>
          <w:color w:val="191919"/>
          <w:sz w:val="24"/>
          <w:szCs w:val="24"/>
        </w:rPr>
        <w:t xml:space="preserve">oth the Hospital and </w:t>
      </w:r>
      <w:r w:rsidR="003138F0">
        <w:rPr>
          <w:color w:val="191919"/>
          <w:sz w:val="24"/>
          <w:szCs w:val="24"/>
        </w:rPr>
        <w:t xml:space="preserve">the </w:t>
      </w:r>
      <w:r w:rsidR="00EA0C09" w:rsidRPr="00B45756">
        <w:rPr>
          <w:color w:val="191919"/>
          <w:sz w:val="24"/>
          <w:szCs w:val="24"/>
        </w:rPr>
        <w:t>ED</w:t>
      </w:r>
      <w:r w:rsidR="003138F0">
        <w:rPr>
          <w:color w:val="191919"/>
          <w:sz w:val="24"/>
          <w:szCs w:val="24"/>
        </w:rPr>
        <w:t>.</w:t>
      </w:r>
      <w:r w:rsidR="00F577C5" w:rsidRPr="00B45756">
        <w:rPr>
          <w:color w:val="191919"/>
          <w:sz w:val="24"/>
          <w:szCs w:val="24"/>
        </w:rPr>
        <w:t xml:space="preserve"> </w:t>
      </w:r>
      <w:r w:rsidR="007C0E02" w:rsidRPr="00B45756">
        <w:rPr>
          <w:sz w:val="24"/>
          <w:szCs w:val="24"/>
        </w:rPr>
        <w:t xml:space="preserve">Table </w:t>
      </w:r>
      <w:r w:rsidR="00854622" w:rsidRPr="00B45756">
        <w:rPr>
          <w:sz w:val="24"/>
          <w:szCs w:val="24"/>
        </w:rPr>
        <w:t>3</w:t>
      </w:r>
      <w:r w:rsidR="007C0E02" w:rsidRPr="00B45756">
        <w:rPr>
          <w:sz w:val="24"/>
          <w:szCs w:val="24"/>
        </w:rPr>
        <w:t xml:space="preserve"> shows the demographic characteristics of</w:t>
      </w:r>
      <w:r w:rsidR="00874FC5" w:rsidRPr="00B45756">
        <w:rPr>
          <w:sz w:val="24"/>
          <w:szCs w:val="24"/>
        </w:rPr>
        <w:t xml:space="preserve"> </w:t>
      </w:r>
      <w:r w:rsidR="00814C19" w:rsidRPr="00B45756">
        <w:rPr>
          <w:sz w:val="24"/>
          <w:szCs w:val="24"/>
        </w:rPr>
        <w:t xml:space="preserve">the </w:t>
      </w:r>
      <w:r w:rsidR="000A3BF2" w:rsidRPr="00B45756">
        <w:rPr>
          <w:sz w:val="24"/>
          <w:szCs w:val="24"/>
        </w:rPr>
        <w:t xml:space="preserve">Sturdy Health </w:t>
      </w:r>
      <w:r w:rsidR="00814C19" w:rsidRPr="00B45756">
        <w:rPr>
          <w:sz w:val="24"/>
          <w:szCs w:val="24"/>
        </w:rPr>
        <w:t>Patient Panel</w:t>
      </w:r>
      <w:r w:rsidR="00B62E48" w:rsidRPr="00B45756">
        <w:rPr>
          <w:sz w:val="24"/>
          <w:szCs w:val="24"/>
        </w:rPr>
        <w:t xml:space="preserve">, </w:t>
      </w:r>
      <w:r w:rsidR="000A3BF2" w:rsidRPr="00B45756">
        <w:rPr>
          <w:sz w:val="24"/>
          <w:szCs w:val="24"/>
        </w:rPr>
        <w:t>Sturdy Memorial Hospital</w:t>
      </w:r>
      <w:r w:rsidR="004C13E8" w:rsidRPr="00B45756">
        <w:rPr>
          <w:sz w:val="24"/>
          <w:szCs w:val="24"/>
        </w:rPr>
        <w:t xml:space="preserve"> patient populations</w:t>
      </w:r>
      <w:r w:rsidR="00B62E48" w:rsidRPr="00B45756">
        <w:rPr>
          <w:sz w:val="24"/>
          <w:szCs w:val="24"/>
        </w:rPr>
        <w:t xml:space="preserve">, and the </w:t>
      </w:r>
      <w:r w:rsidR="000A3BF2" w:rsidRPr="00B45756">
        <w:rPr>
          <w:sz w:val="24"/>
          <w:szCs w:val="24"/>
        </w:rPr>
        <w:t>Sturdy</w:t>
      </w:r>
      <w:r w:rsidR="00B62E48" w:rsidRPr="00B45756">
        <w:rPr>
          <w:sz w:val="24"/>
          <w:szCs w:val="24"/>
        </w:rPr>
        <w:t xml:space="preserve"> Emergency Department </w:t>
      </w:r>
      <w:r w:rsidR="00B73CC6" w:rsidRPr="00B45756">
        <w:rPr>
          <w:sz w:val="24"/>
          <w:szCs w:val="24"/>
        </w:rPr>
        <w:t>population</w:t>
      </w:r>
      <w:r w:rsidR="007C0E02" w:rsidRPr="00B45756">
        <w:rPr>
          <w:sz w:val="24"/>
          <w:szCs w:val="24"/>
        </w:rPr>
        <w:t>. Staff notes the following observations:</w:t>
      </w:r>
    </w:p>
    <w:p w14:paraId="10059146" w14:textId="77777777" w:rsidR="00DE39E0" w:rsidRPr="00B45756" w:rsidRDefault="00DE39E0" w:rsidP="007C0E02">
      <w:pPr>
        <w:spacing w:after="0" w:line="240" w:lineRule="auto"/>
        <w:rPr>
          <w:sz w:val="24"/>
          <w:szCs w:val="24"/>
        </w:rPr>
      </w:pPr>
    </w:p>
    <w:p w14:paraId="580CAC32" w14:textId="69610935" w:rsidR="007C0E02" w:rsidRPr="00B45756" w:rsidRDefault="006F4BC1" w:rsidP="006D54D3">
      <w:pPr>
        <w:pStyle w:val="ListParagraph"/>
        <w:numPr>
          <w:ilvl w:val="0"/>
          <w:numId w:val="1"/>
        </w:numPr>
        <w:spacing w:after="0" w:line="240" w:lineRule="auto"/>
        <w:rPr>
          <w:rFonts w:ascii="Times New Roman" w:hAnsi="Times New Roman" w:cs="Times New Roman"/>
          <w:sz w:val="24"/>
          <w:szCs w:val="24"/>
        </w:rPr>
      </w:pPr>
      <w:r w:rsidRPr="00B45756">
        <w:rPr>
          <w:b/>
          <w:bCs/>
          <w:sz w:val="24"/>
          <w:szCs w:val="24"/>
        </w:rPr>
        <w:t>Age-</w:t>
      </w:r>
      <w:r w:rsidRPr="00B45756">
        <w:rPr>
          <w:rFonts w:ascii="Times New Roman" w:hAnsi="Times New Roman" w:cs="Times New Roman"/>
          <w:sz w:val="24"/>
          <w:szCs w:val="24"/>
        </w:rPr>
        <w:t xml:space="preserve"> </w:t>
      </w:r>
      <w:r w:rsidR="00F04AA0" w:rsidRPr="00B45756">
        <w:rPr>
          <w:rFonts w:cstheme="minorHAnsi"/>
          <w:sz w:val="24"/>
          <w:szCs w:val="24"/>
        </w:rPr>
        <w:t xml:space="preserve">Patients aged </w:t>
      </w:r>
      <w:r w:rsidR="00397E16" w:rsidRPr="00B45756">
        <w:rPr>
          <w:rFonts w:cstheme="minorHAnsi"/>
          <w:sz w:val="24"/>
          <w:szCs w:val="24"/>
        </w:rPr>
        <w:t xml:space="preserve">18-45 </w:t>
      </w:r>
      <w:r w:rsidR="00F04AA0" w:rsidRPr="00B45756">
        <w:rPr>
          <w:rFonts w:cstheme="minorHAnsi"/>
          <w:sz w:val="24"/>
          <w:szCs w:val="24"/>
        </w:rPr>
        <w:t>were the largest patient cohort</w:t>
      </w:r>
      <w:r w:rsidR="007E07F7" w:rsidRPr="00B45756">
        <w:rPr>
          <w:rFonts w:cstheme="minorHAnsi"/>
          <w:sz w:val="24"/>
          <w:szCs w:val="24"/>
        </w:rPr>
        <w:t xml:space="preserve"> across all three</w:t>
      </w:r>
      <w:r w:rsidR="009C6CEF">
        <w:rPr>
          <w:rFonts w:cstheme="minorHAnsi"/>
          <w:sz w:val="24"/>
          <w:szCs w:val="24"/>
        </w:rPr>
        <w:t xml:space="preserve"> Sturdy</w:t>
      </w:r>
      <w:r w:rsidR="007E07F7" w:rsidRPr="00B45756">
        <w:rPr>
          <w:rFonts w:cstheme="minorHAnsi"/>
          <w:sz w:val="24"/>
          <w:szCs w:val="24"/>
        </w:rPr>
        <w:t xml:space="preserve"> </w:t>
      </w:r>
      <w:r w:rsidR="007921EF">
        <w:rPr>
          <w:rFonts w:cstheme="minorHAnsi"/>
          <w:sz w:val="24"/>
          <w:szCs w:val="24"/>
        </w:rPr>
        <w:t>Patient Panel</w:t>
      </w:r>
      <w:r w:rsidR="009C6CEF">
        <w:rPr>
          <w:rFonts w:cstheme="minorHAnsi"/>
          <w:sz w:val="24"/>
          <w:szCs w:val="24"/>
        </w:rPr>
        <w:t xml:space="preserve"> and Hospital Patient P</w:t>
      </w:r>
      <w:r w:rsidR="007E07F7" w:rsidRPr="00B45756">
        <w:rPr>
          <w:rFonts w:cstheme="minorHAnsi"/>
          <w:sz w:val="24"/>
          <w:szCs w:val="24"/>
        </w:rPr>
        <w:t xml:space="preserve">opulations </w:t>
      </w:r>
      <w:r w:rsidR="009C6CEF">
        <w:rPr>
          <w:rFonts w:cstheme="minorHAnsi"/>
          <w:sz w:val="24"/>
          <w:szCs w:val="24"/>
        </w:rPr>
        <w:t xml:space="preserve">in Table 3 </w:t>
      </w:r>
      <w:r w:rsidR="007E07F7" w:rsidRPr="00B45756">
        <w:rPr>
          <w:rFonts w:cstheme="minorHAnsi"/>
          <w:sz w:val="24"/>
          <w:szCs w:val="24"/>
        </w:rPr>
        <w:t>at greater than</w:t>
      </w:r>
      <w:r w:rsidR="00F04AA0" w:rsidRPr="00B45756">
        <w:rPr>
          <w:rFonts w:cstheme="minorHAnsi"/>
          <w:sz w:val="24"/>
          <w:szCs w:val="24"/>
        </w:rPr>
        <w:t xml:space="preserve"> 3</w:t>
      </w:r>
      <w:r w:rsidR="007E07F7" w:rsidRPr="00B45756">
        <w:rPr>
          <w:rFonts w:cstheme="minorHAnsi"/>
          <w:sz w:val="24"/>
          <w:szCs w:val="24"/>
        </w:rPr>
        <w:t>0</w:t>
      </w:r>
      <w:r w:rsidR="00F04AA0" w:rsidRPr="00B45756">
        <w:rPr>
          <w:rFonts w:cstheme="minorHAnsi"/>
          <w:sz w:val="24"/>
          <w:szCs w:val="24"/>
        </w:rPr>
        <w:t>% of unique patients.</w:t>
      </w:r>
    </w:p>
    <w:p w14:paraId="7936EA1B" w14:textId="0F2D5915" w:rsidR="007C0E02" w:rsidRPr="00B45756" w:rsidRDefault="007C0E02" w:rsidP="0090582C">
      <w:pPr>
        <w:pStyle w:val="ListParagraph"/>
        <w:numPr>
          <w:ilvl w:val="0"/>
          <w:numId w:val="1"/>
        </w:numPr>
        <w:spacing w:after="0" w:line="240" w:lineRule="auto"/>
        <w:rPr>
          <w:sz w:val="24"/>
          <w:szCs w:val="24"/>
        </w:rPr>
      </w:pPr>
      <w:r w:rsidRPr="00B45756">
        <w:rPr>
          <w:b/>
          <w:bCs/>
          <w:sz w:val="24"/>
          <w:szCs w:val="24"/>
        </w:rPr>
        <w:t>Race/Ethnicity-</w:t>
      </w:r>
      <w:r w:rsidRPr="00B45756">
        <w:rPr>
          <w:sz w:val="24"/>
          <w:szCs w:val="24"/>
        </w:rPr>
        <w:t xml:space="preserve"> </w:t>
      </w:r>
      <w:r w:rsidR="002A3FE0" w:rsidRPr="00B45756">
        <w:rPr>
          <w:sz w:val="24"/>
          <w:szCs w:val="24"/>
        </w:rPr>
        <w:t>T</w:t>
      </w:r>
      <w:r w:rsidR="00BD0D98" w:rsidRPr="00B45756">
        <w:rPr>
          <w:rFonts w:cstheme="minorHAnsi"/>
          <w:sz w:val="24"/>
          <w:szCs w:val="24"/>
        </w:rPr>
        <w:t xml:space="preserve">he </w:t>
      </w:r>
      <w:r w:rsidR="00A17DAB" w:rsidRPr="00B45756">
        <w:rPr>
          <w:rFonts w:cstheme="minorHAnsi"/>
          <w:sz w:val="24"/>
          <w:szCs w:val="24"/>
        </w:rPr>
        <w:t xml:space="preserve">vast </w:t>
      </w:r>
      <w:r w:rsidR="00BD0D98" w:rsidRPr="00B45756">
        <w:rPr>
          <w:rFonts w:cstheme="minorHAnsi"/>
          <w:sz w:val="24"/>
          <w:szCs w:val="24"/>
        </w:rPr>
        <w:t xml:space="preserve">majority </w:t>
      </w:r>
      <w:r w:rsidR="00A17DAB" w:rsidRPr="00B45756">
        <w:rPr>
          <w:rFonts w:cstheme="minorHAnsi"/>
          <w:sz w:val="24"/>
          <w:szCs w:val="24"/>
        </w:rPr>
        <w:t xml:space="preserve">(over </w:t>
      </w:r>
      <w:r w:rsidR="00397E16" w:rsidRPr="00B45756">
        <w:rPr>
          <w:rFonts w:cstheme="minorHAnsi"/>
          <w:sz w:val="24"/>
          <w:szCs w:val="24"/>
        </w:rPr>
        <w:t>80</w:t>
      </w:r>
      <w:r w:rsidR="00A17DAB" w:rsidRPr="00B45756">
        <w:rPr>
          <w:rFonts w:cstheme="minorHAnsi"/>
          <w:sz w:val="24"/>
          <w:szCs w:val="24"/>
        </w:rPr>
        <w:t xml:space="preserve">%) </w:t>
      </w:r>
      <w:r w:rsidR="002A3FE0" w:rsidRPr="00B45756">
        <w:rPr>
          <w:rFonts w:cstheme="minorHAnsi"/>
          <w:sz w:val="24"/>
          <w:szCs w:val="24"/>
        </w:rPr>
        <w:t xml:space="preserve">of the </w:t>
      </w:r>
      <w:r w:rsidR="00A17DAB" w:rsidRPr="00B45756">
        <w:rPr>
          <w:rFonts w:cstheme="minorHAnsi"/>
          <w:sz w:val="24"/>
          <w:szCs w:val="24"/>
        </w:rPr>
        <w:t xml:space="preserve">patients across all three populations </w:t>
      </w:r>
      <w:r w:rsidR="009C6CEF">
        <w:rPr>
          <w:rFonts w:cstheme="minorHAnsi"/>
          <w:sz w:val="24"/>
          <w:szCs w:val="24"/>
        </w:rPr>
        <w:t xml:space="preserve">in Table 3 </w:t>
      </w:r>
      <w:r w:rsidR="002A3FE0" w:rsidRPr="00B45756">
        <w:rPr>
          <w:rFonts w:cstheme="minorHAnsi"/>
          <w:sz w:val="24"/>
          <w:szCs w:val="24"/>
        </w:rPr>
        <w:t>identif</w:t>
      </w:r>
      <w:r w:rsidR="00A17DAB" w:rsidRPr="00B45756">
        <w:rPr>
          <w:rFonts w:cstheme="minorHAnsi"/>
          <w:sz w:val="24"/>
          <w:szCs w:val="24"/>
        </w:rPr>
        <w:t>y</w:t>
      </w:r>
      <w:r w:rsidR="002A3FE0" w:rsidRPr="00B45756">
        <w:rPr>
          <w:rFonts w:cstheme="minorHAnsi"/>
          <w:sz w:val="24"/>
          <w:szCs w:val="24"/>
        </w:rPr>
        <w:t xml:space="preserve"> as </w:t>
      </w:r>
      <w:r w:rsidR="00BD0D98" w:rsidRPr="00B45756">
        <w:rPr>
          <w:rFonts w:cstheme="minorHAnsi"/>
          <w:sz w:val="24"/>
          <w:szCs w:val="24"/>
        </w:rPr>
        <w:t>white</w:t>
      </w:r>
      <w:r w:rsidR="00FD1F41" w:rsidRPr="00B45756">
        <w:rPr>
          <w:rFonts w:cstheme="minorHAnsi"/>
          <w:sz w:val="24"/>
          <w:szCs w:val="24"/>
        </w:rPr>
        <w:t>, and Not Hispanic</w:t>
      </w:r>
      <w:r w:rsidR="00BD14FA" w:rsidRPr="00B45756">
        <w:rPr>
          <w:rFonts w:cstheme="minorHAnsi"/>
          <w:sz w:val="24"/>
          <w:szCs w:val="24"/>
        </w:rPr>
        <w:t>/</w:t>
      </w:r>
      <w:r w:rsidR="00FD1F41" w:rsidRPr="00B45756">
        <w:rPr>
          <w:rFonts w:cstheme="minorHAnsi"/>
          <w:sz w:val="24"/>
          <w:szCs w:val="24"/>
        </w:rPr>
        <w:t>Latino</w:t>
      </w:r>
      <w:r w:rsidR="00BD0D98" w:rsidRPr="00B45756">
        <w:rPr>
          <w:rFonts w:cstheme="minorHAnsi"/>
          <w:sz w:val="24"/>
          <w:szCs w:val="24"/>
        </w:rPr>
        <w:t>.</w:t>
      </w:r>
      <w:r w:rsidR="0047202F" w:rsidRPr="00B45756">
        <w:rPr>
          <w:rFonts w:cstheme="minorHAnsi"/>
          <w:sz w:val="24"/>
          <w:szCs w:val="24"/>
        </w:rPr>
        <w:t xml:space="preserve"> </w:t>
      </w:r>
      <w:r w:rsidR="0047202F" w:rsidRPr="00B45756">
        <w:rPr>
          <w:rFonts w:cstheme="minorHAnsi"/>
          <w:color w:val="191919"/>
          <w:sz w:val="24"/>
          <w:szCs w:val="24"/>
        </w:rPr>
        <w:t xml:space="preserve">This is consistent with the </w:t>
      </w:r>
      <w:r w:rsidR="0047202F" w:rsidRPr="00B45756">
        <w:rPr>
          <w:rFonts w:cstheme="minorHAnsi"/>
          <w:color w:val="191919"/>
          <w:sz w:val="24"/>
          <w:szCs w:val="24"/>
        </w:rPr>
        <w:lastRenderedPageBreak/>
        <w:t xml:space="preserve">demographics of </w:t>
      </w:r>
      <w:r w:rsidR="005B32E3" w:rsidRPr="00B45756">
        <w:rPr>
          <w:rFonts w:cstheme="minorHAnsi"/>
          <w:color w:val="191919"/>
          <w:sz w:val="24"/>
          <w:szCs w:val="24"/>
        </w:rPr>
        <w:t xml:space="preserve">Bristol </w:t>
      </w:r>
      <w:r w:rsidR="0047202F" w:rsidRPr="00B45756">
        <w:rPr>
          <w:rFonts w:cstheme="minorHAnsi"/>
          <w:color w:val="191919"/>
          <w:sz w:val="24"/>
          <w:szCs w:val="24"/>
        </w:rPr>
        <w:t>County, as reported by the 2022 US Census.</w:t>
      </w:r>
      <w:r w:rsidR="0047202F" w:rsidRPr="00B45756">
        <w:rPr>
          <w:rStyle w:val="EndnoteReference"/>
          <w:rFonts w:cstheme="minorHAnsi"/>
          <w:color w:val="191919"/>
          <w:sz w:val="24"/>
          <w:szCs w:val="24"/>
        </w:rPr>
        <w:endnoteReference w:id="2"/>
      </w:r>
      <w:r w:rsidR="00397E16" w:rsidRPr="00B45756">
        <w:rPr>
          <w:rFonts w:cstheme="minorHAnsi"/>
          <w:color w:val="191919"/>
          <w:sz w:val="24"/>
          <w:szCs w:val="24"/>
        </w:rPr>
        <w:t xml:space="preserve"> </w:t>
      </w:r>
      <w:r w:rsidR="00A50AF5" w:rsidRPr="00B45756">
        <w:rPr>
          <w:rFonts w:cstheme="minorHAnsi"/>
          <w:color w:val="191919"/>
          <w:sz w:val="24"/>
          <w:szCs w:val="24"/>
        </w:rPr>
        <w:t>T</w:t>
      </w:r>
      <w:r w:rsidR="00397E16" w:rsidRPr="00B45756">
        <w:rPr>
          <w:rFonts w:cstheme="minorHAnsi"/>
          <w:color w:val="191919"/>
          <w:sz w:val="24"/>
          <w:szCs w:val="24"/>
        </w:rPr>
        <w:t xml:space="preserve">he </w:t>
      </w:r>
      <w:r w:rsidR="009215D5" w:rsidRPr="00B45756">
        <w:rPr>
          <w:rFonts w:cstheme="minorHAnsi"/>
          <w:color w:val="191919"/>
          <w:sz w:val="24"/>
          <w:szCs w:val="24"/>
        </w:rPr>
        <w:t xml:space="preserve">Hospital ED served a larger percentage of Black/African American patients </w:t>
      </w:r>
      <w:r w:rsidR="00A50AF5" w:rsidRPr="00B45756">
        <w:rPr>
          <w:rFonts w:cstheme="minorHAnsi"/>
          <w:color w:val="191919"/>
          <w:sz w:val="24"/>
          <w:szCs w:val="24"/>
        </w:rPr>
        <w:t xml:space="preserve">(10%) </w:t>
      </w:r>
      <w:r w:rsidR="009215D5" w:rsidRPr="00B45756">
        <w:rPr>
          <w:rFonts w:cstheme="minorHAnsi"/>
          <w:color w:val="191919"/>
          <w:sz w:val="24"/>
          <w:szCs w:val="24"/>
        </w:rPr>
        <w:t xml:space="preserve">than the </w:t>
      </w:r>
      <w:r w:rsidR="00AA707F" w:rsidRPr="00B45756">
        <w:rPr>
          <w:rFonts w:cstheme="minorHAnsi"/>
          <w:color w:val="191919"/>
          <w:sz w:val="24"/>
          <w:szCs w:val="24"/>
        </w:rPr>
        <w:t>s</w:t>
      </w:r>
      <w:r w:rsidR="00A06234" w:rsidRPr="00B45756">
        <w:rPr>
          <w:rFonts w:cstheme="minorHAnsi"/>
          <w:color w:val="191919"/>
          <w:sz w:val="24"/>
          <w:szCs w:val="24"/>
        </w:rPr>
        <w:t>ystem</w:t>
      </w:r>
      <w:r w:rsidR="00C36E60">
        <w:rPr>
          <w:rFonts w:cstheme="minorHAnsi"/>
          <w:color w:val="191919"/>
          <w:sz w:val="24"/>
          <w:szCs w:val="24"/>
        </w:rPr>
        <w:t>-</w:t>
      </w:r>
      <w:r w:rsidR="00A06234" w:rsidRPr="00B45756">
        <w:rPr>
          <w:rFonts w:cstheme="minorHAnsi"/>
          <w:color w:val="191919"/>
          <w:sz w:val="24"/>
          <w:szCs w:val="24"/>
        </w:rPr>
        <w:t>wide</w:t>
      </w:r>
      <w:r w:rsidR="009215D5" w:rsidRPr="00B45756">
        <w:rPr>
          <w:rFonts w:cstheme="minorHAnsi"/>
          <w:color w:val="191919"/>
          <w:sz w:val="24"/>
          <w:szCs w:val="24"/>
        </w:rPr>
        <w:t xml:space="preserve"> Patient Panel or the Hos</w:t>
      </w:r>
      <w:r w:rsidR="0090582C" w:rsidRPr="00B45756">
        <w:rPr>
          <w:rFonts w:cstheme="minorHAnsi"/>
          <w:color w:val="191919"/>
          <w:sz w:val="24"/>
          <w:szCs w:val="24"/>
        </w:rPr>
        <w:t>pital</w:t>
      </w:r>
      <w:r w:rsidR="00A06234" w:rsidRPr="00B45756">
        <w:rPr>
          <w:rFonts w:cstheme="minorHAnsi"/>
          <w:color w:val="191919"/>
          <w:sz w:val="24"/>
          <w:szCs w:val="24"/>
        </w:rPr>
        <w:t xml:space="preserve"> patient population</w:t>
      </w:r>
      <w:r w:rsidR="00A50AF5" w:rsidRPr="00B45756">
        <w:rPr>
          <w:rFonts w:cstheme="minorHAnsi"/>
          <w:color w:val="191919"/>
          <w:sz w:val="24"/>
          <w:szCs w:val="24"/>
        </w:rPr>
        <w:t xml:space="preserve"> (both ~6%)</w:t>
      </w:r>
      <w:r w:rsidR="0090582C" w:rsidRPr="00B45756">
        <w:rPr>
          <w:rFonts w:cstheme="minorHAnsi"/>
          <w:color w:val="191919"/>
          <w:sz w:val="24"/>
          <w:szCs w:val="24"/>
        </w:rPr>
        <w:t>.</w:t>
      </w:r>
    </w:p>
    <w:p w14:paraId="2020A7A0" w14:textId="4AAB388E" w:rsidR="008C4EFA" w:rsidRPr="00B45756" w:rsidRDefault="008C4EFA" w:rsidP="008C4EFA">
      <w:pPr>
        <w:pStyle w:val="ListParagraph"/>
        <w:numPr>
          <w:ilvl w:val="0"/>
          <w:numId w:val="1"/>
        </w:numPr>
        <w:spacing w:after="0" w:line="240" w:lineRule="auto"/>
        <w:rPr>
          <w:sz w:val="24"/>
          <w:szCs w:val="24"/>
        </w:rPr>
      </w:pPr>
      <w:r w:rsidRPr="00B45756">
        <w:rPr>
          <w:b/>
          <w:bCs/>
          <w:sz w:val="24"/>
          <w:szCs w:val="24"/>
        </w:rPr>
        <w:t xml:space="preserve">Payer Mix- </w:t>
      </w:r>
      <w:r w:rsidR="009D40FF" w:rsidRPr="00B45756">
        <w:rPr>
          <w:rFonts w:cstheme="minorHAnsi"/>
          <w:sz w:val="24"/>
          <w:szCs w:val="24"/>
        </w:rPr>
        <w:t xml:space="preserve">The </w:t>
      </w:r>
      <w:r w:rsidR="00A50AF5" w:rsidRPr="00B45756">
        <w:rPr>
          <w:rFonts w:cstheme="minorHAnsi"/>
          <w:sz w:val="24"/>
          <w:szCs w:val="24"/>
        </w:rPr>
        <w:t>Hospital ED</w:t>
      </w:r>
      <w:r w:rsidR="009D40FF" w:rsidRPr="00B45756">
        <w:rPr>
          <w:rFonts w:cstheme="minorHAnsi"/>
          <w:sz w:val="24"/>
          <w:szCs w:val="24"/>
        </w:rPr>
        <w:t xml:space="preserve"> serve</w:t>
      </w:r>
      <w:r w:rsidR="00A50AF5" w:rsidRPr="00B45756">
        <w:rPr>
          <w:rFonts w:cstheme="minorHAnsi"/>
          <w:sz w:val="24"/>
          <w:szCs w:val="24"/>
        </w:rPr>
        <w:t>d</w:t>
      </w:r>
      <w:r w:rsidR="009D40FF" w:rsidRPr="00B45756">
        <w:rPr>
          <w:rFonts w:cstheme="minorHAnsi"/>
          <w:sz w:val="24"/>
          <w:szCs w:val="24"/>
        </w:rPr>
        <w:t xml:space="preserve"> a larger percentage of Medicaid/Medicare patients </w:t>
      </w:r>
      <w:r w:rsidR="004A5D40" w:rsidRPr="00B45756">
        <w:rPr>
          <w:rFonts w:cstheme="minorHAnsi"/>
          <w:sz w:val="24"/>
          <w:szCs w:val="24"/>
        </w:rPr>
        <w:t>(</w:t>
      </w:r>
      <w:r w:rsidR="00AA707F" w:rsidRPr="00B45756">
        <w:rPr>
          <w:rFonts w:cstheme="minorHAnsi"/>
          <w:sz w:val="24"/>
          <w:szCs w:val="24"/>
        </w:rPr>
        <w:t>24.6</w:t>
      </w:r>
      <w:r w:rsidR="004A5D40" w:rsidRPr="00B45756">
        <w:rPr>
          <w:rFonts w:cstheme="minorHAnsi"/>
          <w:sz w:val="24"/>
          <w:szCs w:val="24"/>
        </w:rPr>
        <w:t xml:space="preserve">%) than the </w:t>
      </w:r>
      <w:r w:rsidR="00AA707F" w:rsidRPr="00B45756">
        <w:rPr>
          <w:rFonts w:cstheme="minorHAnsi"/>
          <w:sz w:val="24"/>
          <w:szCs w:val="24"/>
        </w:rPr>
        <w:t>system wide</w:t>
      </w:r>
      <w:r w:rsidR="004A5D40" w:rsidRPr="00B45756">
        <w:rPr>
          <w:rFonts w:cstheme="minorHAnsi"/>
          <w:sz w:val="24"/>
          <w:szCs w:val="24"/>
        </w:rPr>
        <w:t xml:space="preserve"> Patient Panel and </w:t>
      </w:r>
      <w:r w:rsidR="00AA707F" w:rsidRPr="00B45756">
        <w:rPr>
          <w:rFonts w:cstheme="minorHAnsi"/>
          <w:sz w:val="24"/>
          <w:szCs w:val="24"/>
        </w:rPr>
        <w:t>Hospital Patient</w:t>
      </w:r>
      <w:r w:rsidR="004A5D40" w:rsidRPr="00B45756">
        <w:rPr>
          <w:rFonts w:cstheme="minorHAnsi"/>
          <w:sz w:val="24"/>
          <w:szCs w:val="24"/>
        </w:rPr>
        <w:t xml:space="preserve"> Population</w:t>
      </w:r>
      <w:r w:rsidR="00D312CB" w:rsidRPr="00B45756">
        <w:rPr>
          <w:rFonts w:cstheme="minorHAnsi"/>
          <w:sz w:val="24"/>
          <w:szCs w:val="24"/>
        </w:rPr>
        <w:t xml:space="preserve"> (</w:t>
      </w:r>
      <w:r w:rsidR="00B45756" w:rsidRPr="00B45756">
        <w:rPr>
          <w:rFonts w:cstheme="minorHAnsi"/>
          <w:sz w:val="24"/>
          <w:szCs w:val="24"/>
        </w:rPr>
        <w:t>both ~</w:t>
      </w:r>
      <w:r w:rsidR="00971D91" w:rsidRPr="00B45756">
        <w:rPr>
          <w:rFonts w:cstheme="minorHAnsi"/>
          <w:sz w:val="24"/>
          <w:szCs w:val="24"/>
        </w:rPr>
        <w:t>17</w:t>
      </w:r>
      <w:r w:rsidR="00D312CB" w:rsidRPr="00B45756">
        <w:rPr>
          <w:rFonts w:cstheme="minorHAnsi"/>
          <w:sz w:val="24"/>
          <w:szCs w:val="24"/>
        </w:rPr>
        <w:t>%)</w:t>
      </w:r>
      <w:r w:rsidR="004A5D40" w:rsidRPr="00B45756">
        <w:rPr>
          <w:rFonts w:cstheme="minorHAnsi"/>
          <w:sz w:val="24"/>
          <w:szCs w:val="24"/>
        </w:rPr>
        <w:t>.</w:t>
      </w:r>
    </w:p>
    <w:p w14:paraId="1ED3390F" w14:textId="77777777" w:rsidR="004A5F26" w:rsidRPr="00E20DEA" w:rsidRDefault="004A5F26" w:rsidP="003E5301">
      <w:pPr>
        <w:spacing w:after="0" w:line="240" w:lineRule="auto"/>
        <w:jc w:val="center"/>
        <w:rPr>
          <w:b/>
          <w:bCs/>
          <w:sz w:val="24"/>
          <w:szCs w:val="24"/>
          <w:highlight w:val="yellow"/>
        </w:rPr>
      </w:pPr>
    </w:p>
    <w:p w14:paraId="2A81CCF9" w14:textId="0EFD3D14" w:rsidR="0025244D" w:rsidRPr="00A15076" w:rsidRDefault="0025244D" w:rsidP="0025244D">
      <w:pPr>
        <w:pStyle w:val="Caption"/>
        <w:spacing w:after="0"/>
        <w:contextualSpacing/>
        <w:jc w:val="center"/>
        <w:rPr>
          <w:rFonts w:cstheme="minorHAnsi"/>
          <w:color w:val="2F5496" w:themeColor="accent1" w:themeShade="BF"/>
          <w:sz w:val="24"/>
          <w:szCs w:val="24"/>
        </w:rPr>
      </w:pPr>
      <w:r w:rsidRPr="00854622">
        <w:rPr>
          <w:rFonts w:cstheme="minorHAnsi"/>
          <w:color w:val="2F5496" w:themeColor="accent1" w:themeShade="BF"/>
          <w:sz w:val="24"/>
          <w:szCs w:val="24"/>
          <w:u w:val="single"/>
        </w:rPr>
        <w:t xml:space="preserve">Table </w:t>
      </w:r>
      <w:r w:rsidR="00854622" w:rsidRPr="00854622">
        <w:rPr>
          <w:rFonts w:cstheme="minorHAnsi"/>
          <w:color w:val="2F5496" w:themeColor="accent1" w:themeShade="BF"/>
          <w:sz w:val="24"/>
          <w:szCs w:val="24"/>
          <w:u w:val="single"/>
        </w:rPr>
        <w:t>3</w:t>
      </w:r>
      <w:r w:rsidRPr="00854622">
        <w:rPr>
          <w:rFonts w:cstheme="minorHAnsi"/>
          <w:color w:val="2F5496" w:themeColor="accent1" w:themeShade="BF"/>
          <w:sz w:val="24"/>
          <w:szCs w:val="24"/>
        </w:rPr>
        <w:t xml:space="preserve">: </w:t>
      </w:r>
      <w:r w:rsidR="009023A4" w:rsidRPr="00854622">
        <w:rPr>
          <w:rFonts w:cstheme="minorHAnsi"/>
          <w:color w:val="2F5496" w:themeColor="accent1" w:themeShade="BF"/>
          <w:sz w:val="24"/>
          <w:szCs w:val="24"/>
        </w:rPr>
        <w:t>Sturdy</w:t>
      </w:r>
      <w:r w:rsidR="009023A4" w:rsidRPr="00A15076">
        <w:rPr>
          <w:rFonts w:cstheme="minorHAnsi"/>
          <w:color w:val="2F5496" w:themeColor="accent1" w:themeShade="BF"/>
          <w:sz w:val="24"/>
          <w:szCs w:val="24"/>
        </w:rPr>
        <w:t xml:space="preserve"> </w:t>
      </w:r>
      <w:r w:rsidRPr="00A15076">
        <w:rPr>
          <w:rFonts w:cstheme="minorHAnsi"/>
          <w:color w:val="2F5496" w:themeColor="accent1" w:themeShade="BF"/>
          <w:sz w:val="24"/>
          <w:szCs w:val="24"/>
        </w:rPr>
        <w:t xml:space="preserve">Patient Panel </w:t>
      </w:r>
      <w:r w:rsidR="00A911E9" w:rsidRPr="00A15076">
        <w:rPr>
          <w:rFonts w:cstheme="minorHAnsi"/>
          <w:color w:val="2F5496" w:themeColor="accent1" w:themeShade="BF"/>
          <w:sz w:val="24"/>
          <w:szCs w:val="24"/>
        </w:rPr>
        <w:t xml:space="preserve">and </w:t>
      </w:r>
      <w:r w:rsidR="009023A4" w:rsidRPr="00A15076">
        <w:rPr>
          <w:rFonts w:cstheme="minorHAnsi"/>
          <w:color w:val="2F5496" w:themeColor="accent1" w:themeShade="BF"/>
          <w:sz w:val="24"/>
          <w:szCs w:val="24"/>
        </w:rPr>
        <w:t>Hospital</w:t>
      </w:r>
      <w:r w:rsidR="00A911E9" w:rsidRPr="00A15076">
        <w:rPr>
          <w:rFonts w:cstheme="minorHAnsi"/>
          <w:color w:val="2F5496" w:themeColor="accent1" w:themeShade="BF"/>
          <w:sz w:val="24"/>
          <w:szCs w:val="24"/>
        </w:rPr>
        <w:t xml:space="preserve"> Patient Population</w:t>
      </w:r>
      <w:r w:rsidR="00A15076" w:rsidRPr="00A15076">
        <w:rPr>
          <w:rFonts w:cstheme="minorHAnsi"/>
          <w:color w:val="2F5496" w:themeColor="accent1" w:themeShade="BF"/>
          <w:sz w:val="24"/>
          <w:szCs w:val="24"/>
        </w:rPr>
        <w:t>s</w:t>
      </w:r>
      <w:r w:rsidR="00A911E9" w:rsidRPr="00A15076">
        <w:rPr>
          <w:rFonts w:cstheme="minorHAnsi"/>
          <w:color w:val="2F5496" w:themeColor="accent1" w:themeShade="BF"/>
          <w:sz w:val="24"/>
          <w:szCs w:val="24"/>
        </w:rPr>
        <w:t xml:space="preserve"> </w:t>
      </w:r>
      <w:r w:rsidRPr="00A15076">
        <w:rPr>
          <w:rFonts w:cstheme="minorHAnsi"/>
          <w:color w:val="2F5496" w:themeColor="accent1" w:themeShade="BF"/>
          <w:sz w:val="24"/>
          <w:szCs w:val="24"/>
        </w:rPr>
        <w:t>Demographic Profile</w:t>
      </w:r>
      <w:r w:rsidR="00A911E9" w:rsidRPr="00A15076">
        <w:rPr>
          <w:rFonts w:cstheme="minorHAnsi"/>
          <w:color w:val="2F5496" w:themeColor="accent1" w:themeShade="BF"/>
          <w:sz w:val="24"/>
          <w:szCs w:val="24"/>
        </w:rPr>
        <w:t>, FY202</w:t>
      </w:r>
      <w:r w:rsidR="00D016C2" w:rsidRPr="00A15076">
        <w:rPr>
          <w:rFonts w:cstheme="minorHAnsi"/>
          <w:color w:val="2F5496" w:themeColor="accent1" w:themeShade="BF"/>
          <w:sz w:val="24"/>
          <w:szCs w:val="24"/>
        </w:rPr>
        <w:t>4</w:t>
      </w:r>
    </w:p>
    <w:tbl>
      <w:tblPr>
        <w:tblStyle w:val="TableGrid"/>
        <w:tblW w:w="0" w:type="auto"/>
        <w:jc w:val="center"/>
        <w:tblLook w:val="04A0" w:firstRow="1" w:lastRow="0" w:firstColumn="1" w:lastColumn="0" w:noHBand="0" w:noVBand="1"/>
      </w:tblPr>
      <w:tblGrid>
        <w:gridCol w:w="4135"/>
        <w:gridCol w:w="1710"/>
        <w:gridCol w:w="1865"/>
        <w:gridCol w:w="1640"/>
      </w:tblGrid>
      <w:tr w:rsidR="00A911E9" w:rsidRPr="00E20DEA" w14:paraId="032E63E4" w14:textId="647183BE" w:rsidTr="00A15076">
        <w:trPr>
          <w:cantSplit/>
          <w:trHeight w:val="144"/>
          <w:tblHeader/>
          <w:jc w:val="center"/>
        </w:trPr>
        <w:tc>
          <w:tcPr>
            <w:tcW w:w="4135" w:type="dxa"/>
            <w:tcBorders>
              <w:bottom w:val="single" w:sz="4" w:space="0" w:color="auto"/>
            </w:tcBorders>
            <w:shd w:val="clear" w:color="auto" w:fill="D9E2F3" w:themeFill="accent1" w:themeFillTint="33"/>
          </w:tcPr>
          <w:p w14:paraId="782065BF" w14:textId="77777777" w:rsidR="00A911E9" w:rsidRPr="00A15076" w:rsidRDefault="00A911E9">
            <w:pPr>
              <w:rPr>
                <w:rFonts w:cstheme="minorHAnsi"/>
              </w:rPr>
            </w:pPr>
          </w:p>
        </w:tc>
        <w:tc>
          <w:tcPr>
            <w:tcW w:w="1710" w:type="dxa"/>
            <w:tcBorders>
              <w:bottom w:val="single" w:sz="4" w:space="0" w:color="auto"/>
            </w:tcBorders>
            <w:shd w:val="clear" w:color="auto" w:fill="D9E2F3" w:themeFill="accent1" w:themeFillTint="33"/>
          </w:tcPr>
          <w:p w14:paraId="0DEC3F0F" w14:textId="1BF059FD" w:rsidR="00A911E9" w:rsidRPr="00A15076" w:rsidRDefault="00A15076">
            <w:pPr>
              <w:jc w:val="center"/>
              <w:rPr>
                <w:rFonts w:eastAsia="Calibri" w:cstheme="minorHAnsi"/>
                <w:b/>
              </w:rPr>
            </w:pPr>
            <w:r w:rsidRPr="00A15076">
              <w:rPr>
                <w:rFonts w:eastAsia="Calibri" w:cstheme="minorHAnsi"/>
                <w:b/>
              </w:rPr>
              <w:t>Sturdy Health</w:t>
            </w:r>
            <w:r w:rsidR="00A911E9" w:rsidRPr="00A15076">
              <w:rPr>
                <w:rFonts w:eastAsia="Calibri" w:cstheme="minorHAnsi"/>
                <w:b/>
              </w:rPr>
              <w:t xml:space="preserve"> Overall Patient Panel</w:t>
            </w:r>
          </w:p>
        </w:tc>
        <w:tc>
          <w:tcPr>
            <w:tcW w:w="1865" w:type="dxa"/>
            <w:tcBorders>
              <w:bottom w:val="single" w:sz="4" w:space="0" w:color="auto"/>
            </w:tcBorders>
            <w:shd w:val="clear" w:color="auto" w:fill="D9E2F3" w:themeFill="accent1" w:themeFillTint="33"/>
          </w:tcPr>
          <w:p w14:paraId="7CD90768" w14:textId="6F9D29FC" w:rsidR="00A911E9" w:rsidRPr="00A15076" w:rsidRDefault="00A15076">
            <w:pPr>
              <w:jc w:val="center"/>
              <w:rPr>
                <w:rFonts w:eastAsia="Calibri" w:cstheme="minorHAnsi"/>
                <w:b/>
              </w:rPr>
            </w:pPr>
            <w:r w:rsidRPr="00A15076">
              <w:rPr>
                <w:rFonts w:eastAsia="Calibri" w:cstheme="minorHAnsi"/>
                <w:b/>
              </w:rPr>
              <w:t>Sturdy Memorial Hosp</w:t>
            </w:r>
            <w:r w:rsidR="002377B2">
              <w:rPr>
                <w:rFonts w:eastAsia="Calibri" w:cstheme="minorHAnsi"/>
                <w:b/>
              </w:rPr>
              <w:t>it</w:t>
            </w:r>
            <w:r w:rsidRPr="00A15076">
              <w:rPr>
                <w:rFonts w:eastAsia="Calibri" w:cstheme="minorHAnsi"/>
                <w:b/>
              </w:rPr>
              <w:t>al</w:t>
            </w:r>
            <w:r w:rsidR="00A911E9" w:rsidRPr="00A15076">
              <w:rPr>
                <w:rFonts w:eastAsia="Calibri" w:cstheme="minorHAnsi"/>
                <w:b/>
              </w:rPr>
              <w:t xml:space="preserve"> Patient Population</w:t>
            </w:r>
          </w:p>
        </w:tc>
        <w:tc>
          <w:tcPr>
            <w:tcW w:w="1640" w:type="dxa"/>
            <w:tcBorders>
              <w:bottom w:val="single" w:sz="4" w:space="0" w:color="auto"/>
            </w:tcBorders>
            <w:shd w:val="clear" w:color="auto" w:fill="D9E2F3" w:themeFill="accent1" w:themeFillTint="33"/>
          </w:tcPr>
          <w:p w14:paraId="71D8086E" w14:textId="1404CB43" w:rsidR="00A911E9" w:rsidRPr="00A15076" w:rsidRDefault="00A15076">
            <w:pPr>
              <w:jc w:val="center"/>
              <w:rPr>
                <w:rFonts w:eastAsia="Calibri" w:cstheme="minorHAnsi"/>
                <w:b/>
              </w:rPr>
            </w:pPr>
            <w:r w:rsidRPr="00A15076">
              <w:rPr>
                <w:rFonts w:eastAsia="Calibri" w:cstheme="minorHAnsi"/>
                <w:b/>
              </w:rPr>
              <w:t>Hospital</w:t>
            </w:r>
            <w:r w:rsidR="00D82CD0" w:rsidRPr="00A15076">
              <w:rPr>
                <w:rFonts w:eastAsia="Calibri" w:cstheme="minorHAnsi"/>
                <w:b/>
              </w:rPr>
              <w:t xml:space="preserve"> ED</w:t>
            </w:r>
            <w:r w:rsidR="00A911E9" w:rsidRPr="00A15076">
              <w:rPr>
                <w:rFonts w:eastAsia="Calibri" w:cstheme="minorHAnsi"/>
                <w:b/>
              </w:rPr>
              <w:t xml:space="preserve"> Patient Population</w:t>
            </w:r>
          </w:p>
        </w:tc>
      </w:tr>
      <w:tr w:rsidR="00A911E9" w:rsidRPr="00E20DEA" w14:paraId="06B5AE0E" w14:textId="1CE60764" w:rsidTr="00A15076">
        <w:trPr>
          <w:cantSplit/>
          <w:trHeight w:val="144"/>
          <w:jc w:val="center"/>
        </w:trPr>
        <w:tc>
          <w:tcPr>
            <w:tcW w:w="4135" w:type="dxa"/>
            <w:tcBorders>
              <w:bottom w:val="single" w:sz="4" w:space="0" w:color="auto"/>
            </w:tcBorders>
          </w:tcPr>
          <w:p w14:paraId="25BAE0FF" w14:textId="77777777" w:rsidR="00A911E9" w:rsidRPr="00A15076" w:rsidRDefault="00A911E9">
            <w:pPr>
              <w:rPr>
                <w:rFonts w:cstheme="minorHAnsi"/>
              </w:rPr>
            </w:pPr>
            <w:r w:rsidRPr="00A15076">
              <w:rPr>
                <w:rFonts w:eastAsia="Calibri" w:cstheme="minorHAnsi"/>
                <w:b/>
              </w:rPr>
              <w:t>Total Unique Patients</w:t>
            </w:r>
          </w:p>
        </w:tc>
        <w:tc>
          <w:tcPr>
            <w:tcW w:w="1710" w:type="dxa"/>
            <w:tcBorders>
              <w:bottom w:val="single" w:sz="4" w:space="0" w:color="auto"/>
            </w:tcBorders>
          </w:tcPr>
          <w:p w14:paraId="0D564ED7" w14:textId="5B65460F" w:rsidR="00A911E9" w:rsidRPr="00A15076" w:rsidRDefault="00A15076">
            <w:pPr>
              <w:ind w:left="720" w:hanging="557"/>
              <w:contextualSpacing/>
              <w:jc w:val="right"/>
              <w:rPr>
                <w:rFonts w:eastAsia="Calibri" w:cstheme="minorHAnsi"/>
                <w:bCs/>
              </w:rPr>
            </w:pPr>
            <w:r w:rsidRPr="00A15076">
              <w:rPr>
                <w:rFonts w:ascii="Calibri" w:hAnsi="Calibri" w:cs="Calibri"/>
                <w:color w:val="000000"/>
                <w:sz w:val="24"/>
                <w:szCs w:val="24"/>
              </w:rPr>
              <w:t>101,473</w:t>
            </w:r>
          </w:p>
        </w:tc>
        <w:tc>
          <w:tcPr>
            <w:tcW w:w="1865" w:type="dxa"/>
            <w:tcBorders>
              <w:bottom w:val="single" w:sz="4" w:space="0" w:color="auto"/>
            </w:tcBorders>
          </w:tcPr>
          <w:p w14:paraId="14DB84D7" w14:textId="24B5ECE0" w:rsidR="00A911E9" w:rsidRPr="00E20DEA" w:rsidRDefault="00A15076">
            <w:pPr>
              <w:ind w:left="720" w:hanging="557"/>
              <w:contextualSpacing/>
              <w:jc w:val="right"/>
              <w:rPr>
                <w:rFonts w:cstheme="minorHAnsi"/>
                <w:b/>
                <w:bCs/>
                <w:color w:val="000000"/>
                <w:highlight w:val="yellow"/>
              </w:rPr>
            </w:pPr>
            <w:r w:rsidRPr="00A15076">
              <w:rPr>
                <w:rFonts w:ascii="Calibri" w:hAnsi="Calibri" w:cs="Calibri"/>
                <w:sz w:val="24"/>
                <w:szCs w:val="24"/>
              </w:rPr>
              <w:t>81,639</w:t>
            </w:r>
          </w:p>
        </w:tc>
        <w:tc>
          <w:tcPr>
            <w:tcW w:w="1640" w:type="dxa"/>
            <w:tcBorders>
              <w:bottom w:val="single" w:sz="4" w:space="0" w:color="auto"/>
            </w:tcBorders>
          </w:tcPr>
          <w:p w14:paraId="3FB63975" w14:textId="234AC8F7" w:rsidR="00A911E9" w:rsidRPr="00E20DEA" w:rsidRDefault="00A15076">
            <w:pPr>
              <w:ind w:left="720" w:hanging="557"/>
              <w:contextualSpacing/>
              <w:jc w:val="right"/>
              <w:rPr>
                <w:rFonts w:cstheme="minorHAnsi"/>
                <w:b/>
                <w:bCs/>
                <w:color w:val="000000"/>
                <w:highlight w:val="yellow"/>
              </w:rPr>
            </w:pPr>
            <w:r w:rsidRPr="00A15076">
              <w:rPr>
                <w:rFonts w:ascii="Calibri" w:hAnsi="Calibri" w:cs="Calibri"/>
                <w:sz w:val="24"/>
                <w:szCs w:val="24"/>
              </w:rPr>
              <w:t>34,097</w:t>
            </w:r>
          </w:p>
        </w:tc>
      </w:tr>
      <w:tr w:rsidR="00A911E9" w:rsidRPr="00E20DEA" w14:paraId="4F467217" w14:textId="5719ADF9" w:rsidTr="00A15076">
        <w:trPr>
          <w:cantSplit/>
          <w:trHeight w:val="144"/>
          <w:jc w:val="center"/>
        </w:trPr>
        <w:tc>
          <w:tcPr>
            <w:tcW w:w="4135" w:type="dxa"/>
            <w:tcBorders>
              <w:top w:val="single" w:sz="4" w:space="0" w:color="auto"/>
              <w:left w:val="single" w:sz="4" w:space="0" w:color="auto"/>
              <w:bottom w:val="nil"/>
              <w:right w:val="single" w:sz="4" w:space="0" w:color="auto"/>
            </w:tcBorders>
          </w:tcPr>
          <w:p w14:paraId="02E30F61" w14:textId="77777777" w:rsidR="00A911E9" w:rsidRPr="00E20DEA" w:rsidRDefault="00A911E9">
            <w:pPr>
              <w:contextualSpacing/>
              <w:rPr>
                <w:rFonts w:eastAsia="Calibri" w:cstheme="minorHAnsi"/>
                <w:bCs/>
                <w:highlight w:val="yellow"/>
              </w:rPr>
            </w:pPr>
            <w:r w:rsidRPr="00A15076">
              <w:rPr>
                <w:rFonts w:eastAsia="Calibri" w:cstheme="minorHAnsi"/>
                <w:b/>
              </w:rPr>
              <w:t>Gender</w:t>
            </w:r>
          </w:p>
        </w:tc>
        <w:tc>
          <w:tcPr>
            <w:tcW w:w="1710" w:type="dxa"/>
            <w:tcBorders>
              <w:top w:val="single" w:sz="4" w:space="0" w:color="auto"/>
              <w:left w:val="single" w:sz="4" w:space="0" w:color="auto"/>
              <w:bottom w:val="nil"/>
              <w:right w:val="single" w:sz="4" w:space="0" w:color="auto"/>
            </w:tcBorders>
          </w:tcPr>
          <w:p w14:paraId="5BD1A9DE" w14:textId="77777777" w:rsidR="00A911E9" w:rsidRPr="00E20DEA" w:rsidRDefault="00A911E9">
            <w:pPr>
              <w:contextualSpacing/>
              <w:rPr>
                <w:rFonts w:eastAsia="Calibri" w:cstheme="minorHAnsi"/>
                <w:bCs/>
                <w:highlight w:val="yellow"/>
              </w:rPr>
            </w:pPr>
          </w:p>
        </w:tc>
        <w:tc>
          <w:tcPr>
            <w:tcW w:w="1865" w:type="dxa"/>
            <w:tcBorders>
              <w:top w:val="single" w:sz="4" w:space="0" w:color="auto"/>
              <w:left w:val="single" w:sz="4" w:space="0" w:color="auto"/>
              <w:bottom w:val="nil"/>
              <w:right w:val="single" w:sz="4" w:space="0" w:color="auto"/>
            </w:tcBorders>
          </w:tcPr>
          <w:p w14:paraId="044209A9" w14:textId="77777777" w:rsidR="00A911E9" w:rsidRPr="00E20DEA" w:rsidRDefault="00A911E9">
            <w:pPr>
              <w:contextualSpacing/>
              <w:rPr>
                <w:rFonts w:eastAsia="Calibri" w:cstheme="minorHAnsi"/>
                <w:bCs/>
                <w:highlight w:val="yellow"/>
              </w:rPr>
            </w:pPr>
          </w:p>
        </w:tc>
        <w:tc>
          <w:tcPr>
            <w:tcW w:w="1640" w:type="dxa"/>
            <w:tcBorders>
              <w:top w:val="single" w:sz="4" w:space="0" w:color="auto"/>
              <w:left w:val="single" w:sz="4" w:space="0" w:color="auto"/>
              <w:bottom w:val="nil"/>
              <w:right w:val="single" w:sz="4" w:space="0" w:color="auto"/>
            </w:tcBorders>
          </w:tcPr>
          <w:p w14:paraId="0F340E3D" w14:textId="77777777" w:rsidR="00A911E9" w:rsidRPr="00E20DEA" w:rsidRDefault="00A911E9">
            <w:pPr>
              <w:contextualSpacing/>
              <w:rPr>
                <w:rFonts w:eastAsia="Calibri" w:cstheme="minorHAnsi"/>
                <w:bCs/>
                <w:highlight w:val="yellow"/>
              </w:rPr>
            </w:pPr>
          </w:p>
        </w:tc>
      </w:tr>
      <w:tr w:rsidR="00A911E9" w:rsidRPr="00E20DEA" w14:paraId="12B49B5B" w14:textId="6DEE69B0" w:rsidTr="00A15076">
        <w:trPr>
          <w:cantSplit/>
          <w:trHeight w:val="144"/>
          <w:jc w:val="center"/>
        </w:trPr>
        <w:tc>
          <w:tcPr>
            <w:tcW w:w="4135" w:type="dxa"/>
            <w:tcBorders>
              <w:top w:val="nil"/>
              <w:left w:val="single" w:sz="4" w:space="0" w:color="auto"/>
              <w:bottom w:val="nil"/>
              <w:right w:val="single" w:sz="4" w:space="0" w:color="auto"/>
            </w:tcBorders>
          </w:tcPr>
          <w:p w14:paraId="5C93AAA7" w14:textId="77777777" w:rsidR="00A911E9" w:rsidRPr="003659EE" w:rsidRDefault="00A911E9">
            <w:pPr>
              <w:contextualSpacing/>
              <w:rPr>
                <w:rFonts w:eastAsia="Calibri" w:cstheme="minorHAnsi"/>
                <w:b/>
              </w:rPr>
            </w:pPr>
            <w:r w:rsidRPr="003659EE">
              <w:rPr>
                <w:rFonts w:eastAsia="Calibri" w:cstheme="minorHAnsi"/>
                <w:bCs/>
              </w:rPr>
              <w:t xml:space="preserve">   Female</w:t>
            </w:r>
          </w:p>
        </w:tc>
        <w:tc>
          <w:tcPr>
            <w:tcW w:w="1710" w:type="dxa"/>
            <w:tcBorders>
              <w:top w:val="nil"/>
              <w:left w:val="single" w:sz="4" w:space="0" w:color="auto"/>
              <w:bottom w:val="nil"/>
              <w:right w:val="single" w:sz="4" w:space="0" w:color="auto"/>
            </w:tcBorders>
          </w:tcPr>
          <w:p w14:paraId="2806C1C1" w14:textId="659B0851" w:rsidR="00A911E9" w:rsidRPr="003659EE" w:rsidRDefault="004559CC">
            <w:pPr>
              <w:ind w:left="720" w:hanging="557"/>
              <w:contextualSpacing/>
              <w:jc w:val="right"/>
              <w:rPr>
                <w:rFonts w:eastAsia="Calibri" w:cstheme="minorHAnsi"/>
                <w:bCs/>
                <w:sz w:val="24"/>
                <w:szCs w:val="24"/>
              </w:rPr>
            </w:pPr>
            <w:r w:rsidRPr="003659EE">
              <w:rPr>
                <w:rFonts w:cstheme="minorHAnsi"/>
                <w:color w:val="000000"/>
                <w:sz w:val="24"/>
                <w:szCs w:val="24"/>
              </w:rPr>
              <w:t>55.83</w:t>
            </w:r>
            <w:r w:rsidR="00786C49" w:rsidRPr="003659EE">
              <w:rPr>
                <w:rFonts w:cstheme="minorHAnsi"/>
                <w:color w:val="000000"/>
                <w:sz w:val="24"/>
                <w:szCs w:val="24"/>
              </w:rPr>
              <w:t>%</w:t>
            </w:r>
          </w:p>
        </w:tc>
        <w:tc>
          <w:tcPr>
            <w:tcW w:w="1865" w:type="dxa"/>
            <w:tcBorders>
              <w:top w:val="nil"/>
              <w:left w:val="single" w:sz="4" w:space="0" w:color="auto"/>
              <w:bottom w:val="nil"/>
              <w:right w:val="single" w:sz="4" w:space="0" w:color="auto"/>
            </w:tcBorders>
          </w:tcPr>
          <w:p w14:paraId="78B53C08" w14:textId="18BFDBDF" w:rsidR="00A911E9" w:rsidRPr="00E20DEA" w:rsidRDefault="007F25CD">
            <w:pPr>
              <w:ind w:left="720" w:hanging="557"/>
              <w:contextualSpacing/>
              <w:jc w:val="right"/>
              <w:rPr>
                <w:rFonts w:cstheme="minorHAnsi"/>
                <w:color w:val="000000"/>
                <w:sz w:val="24"/>
                <w:szCs w:val="24"/>
                <w:highlight w:val="yellow"/>
              </w:rPr>
            </w:pPr>
            <w:r w:rsidRPr="007F25CD">
              <w:rPr>
                <w:rFonts w:cstheme="minorHAnsi"/>
                <w:color w:val="000000"/>
                <w:sz w:val="24"/>
                <w:szCs w:val="24"/>
              </w:rPr>
              <w:t>56.73</w:t>
            </w:r>
            <w:r w:rsidR="00EF20A7" w:rsidRPr="007F25CD">
              <w:rPr>
                <w:rFonts w:cstheme="minorHAnsi"/>
                <w:color w:val="000000"/>
                <w:sz w:val="24"/>
                <w:szCs w:val="24"/>
              </w:rPr>
              <w:t>%</w:t>
            </w:r>
          </w:p>
        </w:tc>
        <w:tc>
          <w:tcPr>
            <w:tcW w:w="1640" w:type="dxa"/>
            <w:tcBorders>
              <w:top w:val="nil"/>
              <w:left w:val="single" w:sz="4" w:space="0" w:color="auto"/>
              <w:bottom w:val="nil"/>
              <w:right w:val="single" w:sz="4" w:space="0" w:color="auto"/>
            </w:tcBorders>
          </w:tcPr>
          <w:p w14:paraId="6E59679E" w14:textId="3AF91D01" w:rsidR="00A911E9" w:rsidRPr="00E20DEA" w:rsidRDefault="00FD0A01">
            <w:pPr>
              <w:ind w:left="720" w:hanging="557"/>
              <w:contextualSpacing/>
              <w:jc w:val="right"/>
              <w:rPr>
                <w:rFonts w:cstheme="minorHAnsi"/>
                <w:color w:val="000000"/>
                <w:sz w:val="24"/>
                <w:szCs w:val="24"/>
                <w:highlight w:val="yellow"/>
              </w:rPr>
            </w:pPr>
            <w:r w:rsidRPr="00474F6C">
              <w:rPr>
                <w:rFonts w:cstheme="minorHAnsi"/>
                <w:color w:val="000000"/>
                <w:sz w:val="24"/>
                <w:szCs w:val="24"/>
              </w:rPr>
              <w:t>52.</w:t>
            </w:r>
            <w:r w:rsidR="00474F6C" w:rsidRPr="00474F6C">
              <w:rPr>
                <w:rFonts w:cstheme="minorHAnsi"/>
                <w:color w:val="000000"/>
                <w:sz w:val="24"/>
                <w:szCs w:val="24"/>
              </w:rPr>
              <w:t>49%</w:t>
            </w:r>
          </w:p>
        </w:tc>
      </w:tr>
      <w:tr w:rsidR="00A911E9" w:rsidRPr="00E20DEA" w14:paraId="7AD98759" w14:textId="059D61CC" w:rsidTr="00CF3201">
        <w:trPr>
          <w:cantSplit/>
          <w:trHeight w:val="144"/>
          <w:jc w:val="center"/>
        </w:trPr>
        <w:tc>
          <w:tcPr>
            <w:tcW w:w="4135" w:type="dxa"/>
            <w:tcBorders>
              <w:top w:val="nil"/>
              <w:left w:val="single" w:sz="4" w:space="0" w:color="auto"/>
              <w:bottom w:val="nil"/>
              <w:right w:val="single" w:sz="4" w:space="0" w:color="auto"/>
            </w:tcBorders>
          </w:tcPr>
          <w:p w14:paraId="35B89CB2" w14:textId="77777777" w:rsidR="00A911E9" w:rsidRPr="003659EE" w:rsidRDefault="00A911E9">
            <w:pPr>
              <w:ind w:left="720" w:hanging="557"/>
              <w:contextualSpacing/>
              <w:rPr>
                <w:rFonts w:eastAsia="Calibri" w:cstheme="minorHAnsi"/>
                <w:bCs/>
              </w:rPr>
            </w:pPr>
            <w:r w:rsidRPr="003659EE">
              <w:rPr>
                <w:rFonts w:eastAsia="Calibri" w:cstheme="minorHAnsi"/>
                <w:bCs/>
              </w:rPr>
              <w:t>Male</w:t>
            </w:r>
          </w:p>
        </w:tc>
        <w:tc>
          <w:tcPr>
            <w:tcW w:w="1710" w:type="dxa"/>
            <w:tcBorders>
              <w:top w:val="nil"/>
              <w:left w:val="single" w:sz="4" w:space="0" w:color="auto"/>
              <w:bottom w:val="nil"/>
              <w:right w:val="single" w:sz="4" w:space="0" w:color="auto"/>
            </w:tcBorders>
          </w:tcPr>
          <w:p w14:paraId="066019B5" w14:textId="4D7AAEF4" w:rsidR="00A911E9" w:rsidRPr="003659EE" w:rsidRDefault="00322BB4">
            <w:pPr>
              <w:ind w:left="720" w:hanging="557"/>
              <w:contextualSpacing/>
              <w:jc w:val="right"/>
              <w:rPr>
                <w:rFonts w:eastAsia="Calibri" w:cstheme="minorHAnsi"/>
                <w:bCs/>
                <w:sz w:val="24"/>
                <w:szCs w:val="24"/>
              </w:rPr>
            </w:pPr>
            <w:r w:rsidRPr="003659EE">
              <w:rPr>
                <w:rFonts w:cstheme="minorHAnsi"/>
                <w:color w:val="000000"/>
                <w:sz w:val="24"/>
                <w:szCs w:val="24"/>
              </w:rPr>
              <w:t>44.15</w:t>
            </w:r>
            <w:r w:rsidR="005C5FF6" w:rsidRPr="003659EE">
              <w:rPr>
                <w:rFonts w:cstheme="minorHAnsi"/>
                <w:color w:val="000000"/>
                <w:sz w:val="24"/>
                <w:szCs w:val="24"/>
              </w:rPr>
              <w:t>%</w:t>
            </w:r>
          </w:p>
        </w:tc>
        <w:tc>
          <w:tcPr>
            <w:tcW w:w="1865" w:type="dxa"/>
            <w:tcBorders>
              <w:top w:val="nil"/>
              <w:left w:val="single" w:sz="4" w:space="0" w:color="auto"/>
              <w:bottom w:val="nil"/>
              <w:right w:val="single" w:sz="4" w:space="0" w:color="auto"/>
            </w:tcBorders>
          </w:tcPr>
          <w:p w14:paraId="6BA1FFAE" w14:textId="72586618" w:rsidR="00A911E9" w:rsidRPr="00E20DEA" w:rsidRDefault="007B5E37">
            <w:pPr>
              <w:ind w:left="720" w:hanging="557"/>
              <w:contextualSpacing/>
              <w:jc w:val="right"/>
              <w:rPr>
                <w:rFonts w:cstheme="minorHAnsi"/>
                <w:color w:val="000000"/>
                <w:sz w:val="24"/>
                <w:szCs w:val="24"/>
                <w:highlight w:val="yellow"/>
              </w:rPr>
            </w:pPr>
            <w:r w:rsidRPr="007B5E37">
              <w:rPr>
                <w:rFonts w:cstheme="minorHAnsi"/>
                <w:color w:val="000000"/>
                <w:sz w:val="24"/>
                <w:szCs w:val="24"/>
              </w:rPr>
              <w:t>43.25</w:t>
            </w:r>
            <w:r w:rsidR="007E1BD0" w:rsidRPr="007B5E37">
              <w:rPr>
                <w:rFonts w:cstheme="minorHAnsi"/>
                <w:color w:val="000000"/>
                <w:sz w:val="24"/>
                <w:szCs w:val="24"/>
              </w:rPr>
              <w:t>%</w:t>
            </w:r>
          </w:p>
        </w:tc>
        <w:tc>
          <w:tcPr>
            <w:tcW w:w="1640" w:type="dxa"/>
            <w:tcBorders>
              <w:top w:val="nil"/>
              <w:left w:val="single" w:sz="4" w:space="0" w:color="auto"/>
              <w:bottom w:val="nil"/>
              <w:right w:val="single" w:sz="4" w:space="0" w:color="auto"/>
            </w:tcBorders>
          </w:tcPr>
          <w:p w14:paraId="01BD7DB8" w14:textId="1342EA3C" w:rsidR="00A911E9" w:rsidRPr="00E20DEA" w:rsidRDefault="00F939B9">
            <w:pPr>
              <w:ind w:left="720" w:hanging="557"/>
              <w:contextualSpacing/>
              <w:jc w:val="right"/>
              <w:rPr>
                <w:rFonts w:cstheme="minorHAnsi"/>
                <w:color w:val="000000"/>
                <w:sz w:val="24"/>
                <w:szCs w:val="24"/>
                <w:highlight w:val="yellow"/>
              </w:rPr>
            </w:pPr>
            <w:r w:rsidRPr="00B2391C">
              <w:rPr>
                <w:rFonts w:cstheme="minorHAnsi"/>
                <w:color w:val="000000"/>
                <w:sz w:val="24"/>
                <w:szCs w:val="24"/>
              </w:rPr>
              <w:t>47.</w:t>
            </w:r>
            <w:r w:rsidR="00B2391C" w:rsidRPr="00B2391C">
              <w:rPr>
                <w:rFonts w:cstheme="minorHAnsi"/>
                <w:color w:val="000000"/>
                <w:sz w:val="24"/>
                <w:szCs w:val="24"/>
              </w:rPr>
              <w:t>50</w:t>
            </w:r>
            <w:r w:rsidRPr="00B2391C">
              <w:rPr>
                <w:rFonts w:cstheme="minorHAnsi"/>
                <w:color w:val="000000"/>
                <w:sz w:val="24"/>
                <w:szCs w:val="24"/>
              </w:rPr>
              <w:t>%</w:t>
            </w:r>
          </w:p>
        </w:tc>
      </w:tr>
      <w:tr w:rsidR="00F757A0" w:rsidRPr="00E20DEA" w14:paraId="0DCEE458" w14:textId="77777777" w:rsidTr="00CF3201">
        <w:trPr>
          <w:cantSplit/>
          <w:trHeight w:val="144"/>
          <w:jc w:val="center"/>
        </w:trPr>
        <w:tc>
          <w:tcPr>
            <w:tcW w:w="4135" w:type="dxa"/>
            <w:tcBorders>
              <w:top w:val="nil"/>
              <w:left w:val="single" w:sz="4" w:space="0" w:color="auto"/>
              <w:bottom w:val="nil"/>
              <w:right w:val="single" w:sz="4" w:space="0" w:color="auto"/>
            </w:tcBorders>
          </w:tcPr>
          <w:p w14:paraId="171DEDC7" w14:textId="40A83EBD" w:rsidR="00F757A0" w:rsidRPr="003659EE" w:rsidRDefault="00F757A0" w:rsidP="00F757A0">
            <w:pPr>
              <w:contextualSpacing/>
              <w:rPr>
                <w:rFonts w:eastAsia="Calibri" w:cstheme="minorHAnsi"/>
                <w:bCs/>
              </w:rPr>
            </w:pPr>
            <w:r w:rsidRPr="003659EE">
              <w:rPr>
                <w:rFonts w:eastAsia="Calibri" w:cstheme="minorHAnsi"/>
                <w:b/>
              </w:rPr>
              <w:t xml:space="preserve">   </w:t>
            </w:r>
            <w:r w:rsidRPr="003659EE">
              <w:rPr>
                <w:rFonts w:eastAsia="Calibri" w:cstheme="minorHAnsi"/>
                <w:bCs/>
              </w:rPr>
              <w:t>Other</w:t>
            </w:r>
            <w:r w:rsidRPr="00854622">
              <w:rPr>
                <w:rStyle w:val="FootnoteReference"/>
                <w:rFonts w:eastAsia="Calibri" w:cstheme="minorHAnsi"/>
                <w:bCs/>
              </w:rPr>
              <w:footnoteReference w:id="4"/>
            </w:r>
          </w:p>
        </w:tc>
        <w:tc>
          <w:tcPr>
            <w:tcW w:w="1710" w:type="dxa"/>
            <w:tcBorders>
              <w:top w:val="nil"/>
              <w:left w:val="single" w:sz="4" w:space="0" w:color="auto"/>
              <w:bottom w:val="nil"/>
              <w:right w:val="single" w:sz="4" w:space="0" w:color="auto"/>
            </w:tcBorders>
          </w:tcPr>
          <w:p w14:paraId="7237A150" w14:textId="5AA5F5C8" w:rsidR="00F757A0" w:rsidRPr="00CF3201" w:rsidRDefault="00F757A0" w:rsidP="00F757A0">
            <w:pPr>
              <w:ind w:left="720" w:hanging="557"/>
              <w:contextualSpacing/>
              <w:jc w:val="right"/>
              <w:rPr>
                <w:rFonts w:cstheme="minorHAnsi"/>
                <w:color w:val="000000"/>
                <w:sz w:val="24"/>
                <w:szCs w:val="24"/>
              </w:rPr>
            </w:pPr>
            <w:r w:rsidRPr="003659EE">
              <w:rPr>
                <w:rFonts w:cstheme="minorHAnsi"/>
                <w:color w:val="000000"/>
                <w:sz w:val="24"/>
                <w:szCs w:val="24"/>
              </w:rPr>
              <w:t>0.</w:t>
            </w:r>
            <w:r w:rsidR="003659EE" w:rsidRPr="003659EE">
              <w:rPr>
                <w:rFonts w:cstheme="minorHAnsi"/>
                <w:color w:val="000000"/>
                <w:sz w:val="24"/>
                <w:szCs w:val="24"/>
              </w:rPr>
              <w:t>03</w:t>
            </w:r>
            <w:r w:rsidRPr="003659EE">
              <w:rPr>
                <w:rFonts w:cstheme="minorHAnsi"/>
                <w:color w:val="000000"/>
                <w:sz w:val="24"/>
                <w:szCs w:val="24"/>
              </w:rPr>
              <w:t>%</w:t>
            </w:r>
          </w:p>
        </w:tc>
        <w:tc>
          <w:tcPr>
            <w:tcW w:w="1865" w:type="dxa"/>
            <w:tcBorders>
              <w:top w:val="nil"/>
              <w:left w:val="single" w:sz="4" w:space="0" w:color="auto"/>
              <w:bottom w:val="nil"/>
              <w:right w:val="single" w:sz="4" w:space="0" w:color="auto"/>
            </w:tcBorders>
          </w:tcPr>
          <w:p w14:paraId="5B3478D7" w14:textId="3284ADAF" w:rsidR="00F757A0" w:rsidRPr="00CF3201" w:rsidRDefault="00F757A0" w:rsidP="00F757A0">
            <w:pPr>
              <w:ind w:left="720" w:hanging="557"/>
              <w:contextualSpacing/>
              <w:jc w:val="right"/>
              <w:rPr>
                <w:rFonts w:cstheme="minorHAnsi"/>
                <w:color w:val="000000"/>
                <w:sz w:val="24"/>
                <w:szCs w:val="24"/>
              </w:rPr>
            </w:pPr>
            <w:r w:rsidRPr="009F2FC4">
              <w:rPr>
                <w:rFonts w:cstheme="minorHAnsi"/>
                <w:color w:val="000000"/>
                <w:sz w:val="24"/>
                <w:szCs w:val="24"/>
              </w:rPr>
              <w:t>0.0</w:t>
            </w:r>
            <w:r w:rsidR="009F2FC4" w:rsidRPr="009F2FC4">
              <w:rPr>
                <w:rFonts w:cstheme="minorHAnsi"/>
                <w:color w:val="000000"/>
                <w:sz w:val="24"/>
                <w:szCs w:val="24"/>
              </w:rPr>
              <w:t>2</w:t>
            </w:r>
            <w:r w:rsidRPr="009F2FC4">
              <w:rPr>
                <w:rFonts w:cstheme="minorHAnsi"/>
                <w:color w:val="000000"/>
                <w:sz w:val="24"/>
                <w:szCs w:val="24"/>
              </w:rPr>
              <w:t>%</w:t>
            </w:r>
          </w:p>
        </w:tc>
        <w:tc>
          <w:tcPr>
            <w:tcW w:w="1640" w:type="dxa"/>
            <w:tcBorders>
              <w:top w:val="nil"/>
              <w:left w:val="single" w:sz="4" w:space="0" w:color="auto"/>
              <w:bottom w:val="nil"/>
              <w:right w:val="single" w:sz="4" w:space="0" w:color="auto"/>
            </w:tcBorders>
          </w:tcPr>
          <w:p w14:paraId="070CB6D6" w14:textId="0D1F885E" w:rsidR="00F757A0" w:rsidRPr="00CF3201" w:rsidRDefault="00FD0A01" w:rsidP="00F757A0">
            <w:pPr>
              <w:ind w:left="720" w:hanging="557"/>
              <w:contextualSpacing/>
              <w:jc w:val="right"/>
              <w:rPr>
                <w:rFonts w:cstheme="minorHAnsi"/>
                <w:color w:val="000000"/>
                <w:sz w:val="24"/>
                <w:szCs w:val="24"/>
              </w:rPr>
            </w:pPr>
            <w:r w:rsidRPr="00DC388C">
              <w:rPr>
                <w:rFonts w:cstheme="minorHAnsi"/>
                <w:color w:val="000000"/>
                <w:sz w:val="24"/>
                <w:szCs w:val="24"/>
              </w:rPr>
              <w:t>0.0</w:t>
            </w:r>
            <w:r w:rsidR="00DC388C" w:rsidRPr="00DC388C">
              <w:rPr>
                <w:rFonts w:cstheme="minorHAnsi"/>
                <w:color w:val="000000"/>
                <w:sz w:val="24"/>
                <w:szCs w:val="24"/>
              </w:rPr>
              <w:t>1</w:t>
            </w:r>
            <w:r w:rsidRPr="00DC388C">
              <w:rPr>
                <w:rFonts w:cstheme="minorHAnsi"/>
                <w:color w:val="000000"/>
                <w:sz w:val="24"/>
                <w:szCs w:val="24"/>
              </w:rPr>
              <w:t>%</w:t>
            </w:r>
          </w:p>
        </w:tc>
      </w:tr>
      <w:tr w:rsidR="00A911E9" w:rsidRPr="00E20DEA" w14:paraId="47B7BD9C" w14:textId="4027B25A" w:rsidTr="00A15076">
        <w:trPr>
          <w:cantSplit/>
          <w:trHeight w:val="144"/>
          <w:jc w:val="center"/>
        </w:trPr>
        <w:tc>
          <w:tcPr>
            <w:tcW w:w="4135" w:type="dxa"/>
            <w:tcBorders>
              <w:top w:val="nil"/>
              <w:left w:val="single" w:sz="4" w:space="0" w:color="auto"/>
              <w:bottom w:val="single" w:sz="4" w:space="0" w:color="auto"/>
              <w:right w:val="single" w:sz="4" w:space="0" w:color="auto"/>
            </w:tcBorders>
          </w:tcPr>
          <w:p w14:paraId="062A4D02" w14:textId="01F4E1C1" w:rsidR="00A911E9" w:rsidRPr="00A15076" w:rsidRDefault="00A911E9">
            <w:pPr>
              <w:contextualSpacing/>
              <w:rPr>
                <w:rFonts w:eastAsia="Calibri" w:cstheme="minorHAnsi"/>
                <w:bCs/>
              </w:rPr>
            </w:pPr>
            <w:r w:rsidRPr="00A15076">
              <w:rPr>
                <w:rFonts w:eastAsia="Calibri" w:cstheme="minorHAnsi"/>
                <w:b/>
              </w:rPr>
              <w:t xml:space="preserve">   Total</w:t>
            </w:r>
          </w:p>
        </w:tc>
        <w:tc>
          <w:tcPr>
            <w:tcW w:w="1710" w:type="dxa"/>
            <w:tcBorders>
              <w:top w:val="nil"/>
              <w:left w:val="single" w:sz="4" w:space="0" w:color="auto"/>
              <w:bottom w:val="single" w:sz="4" w:space="0" w:color="auto"/>
              <w:right w:val="single" w:sz="4" w:space="0" w:color="auto"/>
            </w:tcBorders>
          </w:tcPr>
          <w:p w14:paraId="1FD8F9F4" w14:textId="6DEFE4A0" w:rsidR="00A911E9" w:rsidRPr="00DC388C" w:rsidRDefault="00A911E9">
            <w:pPr>
              <w:ind w:left="720" w:hanging="557"/>
              <w:contextualSpacing/>
              <w:jc w:val="right"/>
              <w:rPr>
                <w:rFonts w:eastAsia="Calibri" w:cstheme="minorHAnsi"/>
                <w:b/>
                <w:sz w:val="24"/>
                <w:szCs w:val="24"/>
              </w:rPr>
            </w:pPr>
            <w:r w:rsidRPr="00DC388C">
              <w:rPr>
                <w:rFonts w:eastAsia="Calibri" w:cstheme="minorHAnsi"/>
                <w:b/>
                <w:sz w:val="24"/>
                <w:szCs w:val="24"/>
              </w:rPr>
              <w:t>100.0%</w:t>
            </w:r>
          </w:p>
        </w:tc>
        <w:tc>
          <w:tcPr>
            <w:tcW w:w="1865" w:type="dxa"/>
            <w:tcBorders>
              <w:top w:val="nil"/>
              <w:left w:val="single" w:sz="4" w:space="0" w:color="auto"/>
              <w:bottom w:val="single" w:sz="4" w:space="0" w:color="auto"/>
              <w:right w:val="single" w:sz="4" w:space="0" w:color="auto"/>
            </w:tcBorders>
          </w:tcPr>
          <w:p w14:paraId="28E37A66" w14:textId="5C90DCF0" w:rsidR="00A911E9" w:rsidRPr="00DC388C" w:rsidRDefault="00FD0A01">
            <w:pPr>
              <w:ind w:left="720" w:hanging="557"/>
              <w:contextualSpacing/>
              <w:jc w:val="right"/>
              <w:rPr>
                <w:rFonts w:eastAsia="Calibri" w:cstheme="minorHAnsi"/>
                <w:b/>
                <w:sz w:val="24"/>
                <w:szCs w:val="24"/>
              </w:rPr>
            </w:pPr>
            <w:r w:rsidRPr="00DC388C">
              <w:rPr>
                <w:rFonts w:eastAsia="Calibri" w:cstheme="minorHAnsi"/>
                <w:b/>
                <w:sz w:val="24"/>
                <w:szCs w:val="24"/>
              </w:rPr>
              <w:t>100.0%</w:t>
            </w:r>
          </w:p>
        </w:tc>
        <w:tc>
          <w:tcPr>
            <w:tcW w:w="1640" w:type="dxa"/>
            <w:tcBorders>
              <w:top w:val="nil"/>
              <w:left w:val="single" w:sz="4" w:space="0" w:color="auto"/>
              <w:bottom w:val="single" w:sz="4" w:space="0" w:color="auto"/>
              <w:right w:val="single" w:sz="4" w:space="0" w:color="auto"/>
            </w:tcBorders>
          </w:tcPr>
          <w:p w14:paraId="4DF20E9F" w14:textId="46C833D3" w:rsidR="00A911E9" w:rsidRPr="00DC388C" w:rsidRDefault="00FD0A01">
            <w:pPr>
              <w:ind w:left="720" w:hanging="557"/>
              <w:contextualSpacing/>
              <w:jc w:val="right"/>
              <w:rPr>
                <w:rFonts w:eastAsia="Calibri" w:cstheme="minorHAnsi"/>
                <w:b/>
                <w:sz w:val="24"/>
                <w:szCs w:val="24"/>
              </w:rPr>
            </w:pPr>
            <w:r w:rsidRPr="00DC388C">
              <w:rPr>
                <w:rFonts w:eastAsia="Calibri" w:cstheme="minorHAnsi"/>
                <w:b/>
                <w:sz w:val="24"/>
                <w:szCs w:val="24"/>
              </w:rPr>
              <w:t>100.0%</w:t>
            </w:r>
          </w:p>
        </w:tc>
      </w:tr>
      <w:tr w:rsidR="00A911E9" w:rsidRPr="00E20DEA" w14:paraId="4953FFBD" w14:textId="35482C66" w:rsidTr="00A15076">
        <w:trPr>
          <w:cantSplit/>
          <w:trHeight w:val="144"/>
          <w:jc w:val="center"/>
        </w:trPr>
        <w:tc>
          <w:tcPr>
            <w:tcW w:w="4135" w:type="dxa"/>
            <w:tcBorders>
              <w:top w:val="single" w:sz="4" w:space="0" w:color="auto"/>
              <w:left w:val="single" w:sz="4" w:space="0" w:color="auto"/>
              <w:bottom w:val="nil"/>
              <w:right w:val="single" w:sz="4" w:space="0" w:color="auto"/>
            </w:tcBorders>
          </w:tcPr>
          <w:p w14:paraId="6EF1DBA4" w14:textId="7BCE2DE6" w:rsidR="00A911E9" w:rsidRPr="00E20DEA" w:rsidRDefault="00A911E9">
            <w:pPr>
              <w:ind w:left="520" w:hanging="557"/>
              <w:contextualSpacing/>
              <w:rPr>
                <w:rFonts w:eastAsia="Calibri" w:cstheme="minorHAnsi"/>
                <w:b/>
                <w:highlight w:val="yellow"/>
              </w:rPr>
            </w:pPr>
            <w:r w:rsidRPr="00DC388C">
              <w:rPr>
                <w:rFonts w:eastAsia="Calibri" w:cstheme="minorHAnsi"/>
                <w:b/>
              </w:rPr>
              <w:t>Age</w:t>
            </w:r>
          </w:p>
        </w:tc>
        <w:tc>
          <w:tcPr>
            <w:tcW w:w="1710" w:type="dxa"/>
            <w:tcBorders>
              <w:top w:val="single" w:sz="4" w:space="0" w:color="auto"/>
              <w:left w:val="single" w:sz="4" w:space="0" w:color="auto"/>
              <w:bottom w:val="nil"/>
              <w:right w:val="single" w:sz="4" w:space="0" w:color="auto"/>
            </w:tcBorders>
          </w:tcPr>
          <w:p w14:paraId="4F8417D7" w14:textId="2FC3C764" w:rsidR="00A911E9" w:rsidRPr="00E20DEA" w:rsidRDefault="00A911E9">
            <w:pPr>
              <w:ind w:left="520" w:hanging="557"/>
              <w:contextualSpacing/>
              <w:jc w:val="right"/>
              <w:rPr>
                <w:rFonts w:eastAsia="Calibri" w:cstheme="minorHAnsi"/>
                <w:b/>
                <w:highlight w:val="yellow"/>
              </w:rPr>
            </w:pPr>
          </w:p>
        </w:tc>
        <w:tc>
          <w:tcPr>
            <w:tcW w:w="1865" w:type="dxa"/>
            <w:tcBorders>
              <w:top w:val="single" w:sz="4" w:space="0" w:color="auto"/>
              <w:left w:val="single" w:sz="4" w:space="0" w:color="auto"/>
              <w:bottom w:val="nil"/>
              <w:right w:val="single" w:sz="4" w:space="0" w:color="auto"/>
            </w:tcBorders>
          </w:tcPr>
          <w:p w14:paraId="194AB5CA" w14:textId="77777777" w:rsidR="00A911E9" w:rsidRPr="00E20DEA" w:rsidRDefault="00A911E9">
            <w:pPr>
              <w:ind w:left="520" w:hanging="557"/>
              <w:contextualSpacing/>
              <w:jc w:val="right"/>
              <w:rPr>
                <w:rFonts w:eastAsia="Calibri" w:cstheme="minorHAnsi"/>
                <w:b/>
                <w:highlight w:val="yellow"/>
              </w:rPr>
            </w:pPr>
          </w:p>
        </w:tc>
        <w:tc>
          <w:tcPr>
            <w:tcW w:w="1640" w:type="dxa"/>
            <w:tcBorders>
              <w:top w:val="single" w:sz="4" w:space="0" w:color="auto"/>
              <w:left w:val="single" w:sz="4" w:space="0" w:color="auto"/>
              <w:bottom w:val="nil"/>
              <w:right w:val="single" w:sz="4" w:space="0" w:color="auto"/>
            </w:tcBorders>
          </w:tcPr>
          <w:p w14:paraId="2CDC06EB" w14:textId="77777777" w:rsidR="00A911E9" w:rsidRPr="00E20DEA" w:rsidRDefault="00A911E9">
            <w:pPr>
              <w:ind w:left="520" w:hanging="557"/>
              <w:contextualSpacing/>
              <w:jc w:val="right"/>
              <w:rPr>
                <w:rFonts w:eastAsia="Calibri" w:cstheme="minorHAnsi"/>
                <w:b/>
                <w:highlight w:val="yellow"/>
              </w:rPr>
            </w:pPr>
          </w:p>
        </w:tc>
      </w:tr>
      <w:tr w:rsidR="00B45C94" w:rsidRPr="00E20DEA" w14:paraId="54759A35" w14:textId="41F77D30" w:rsidTr="00A33AC9">
        <w:trPr>
          <w:cantSplit/>
          <w:trHeight w:val="144"/>
          <w:jc w:val="center"/>
        </w:trPr>
        <w:tc>
          <w:tcPr>
            <w:tcW w:w="4135" w:type="dxa"/>
            <w:tcBorders>
              <w:top w:val="nil"/>
              <w:left w:val="single" w:sz="4" w:space="0" w:color="auto"/>
              <w:bottom w:val="nil"/>
              <w:right w:val="single" w:sz="4" w:space="0" w:color="auto"/>
            </w:tcBorders>
          </w:tcPr>
          <w:p w14:paraId="3686D5CB" w14:textId="4852F322" w:rsidR="00B45C94" w:rsidRPr="00277225" w:rsidRDefault="00B45C94" w:rsidP="00B45C94">
            <w:pPr>
              <w:contextualSpacing/>
              <w:rPr>
                <w:rFonts w:eastAsia="Calibri" w:cstheme="minorHAnsi"/>
                <w:bCs/>
              </w:rPr>
            </w:pPr>
            <w:r w:rsidRPr="00277225">
              <w:rPr>
                <w:rFonts w:eastAsia="Calibri" w:cstheme="minorHAnsi"/>
                <w:bCs/>
              </w:rPr>
              <w:t xml:space="preserve">    </w:t>
            </w:r>
            <w:r w:rsidRPr="00277225">
              <w:rPr>
                <w:rFonts w:cstheme="minorHAnsi"/>
              </w:rPr>
              <w:t>0 to 17</w:t>
            </w:r>
          </w:p>
        </w:tc>
        <w:tc>
          <w:tcPr>
            <w:tcW w:w="1710" w:type="dxa"/>
            <w:tcBorders>
              <w:top w:val="nil"/>
              <w:left w:val="single" w:sz="4" w:space="0" w:color="auto"/>
              <w:bottom w:val="nil"/>
              <w:right w:val="single" w:sz="4" w:space="0" w:color="auto"/>
            </w:tcBorders>
            <w:vAlign w:val="bottom"/>
          </w:tcPr>
          <w:p w14:paraId="6DC4A84E" w14:textId="38EC3F03" w:rsidR="00B45C94" w:rsidRPr="003552C1" w:rsidRDefault="00B45C94" w:rsidP="00B45C94">
            <w:pPr>
              <w:ind w:left="720" w:hanging="557"/>
              <w:contextualSpacing/>
              <w:jc w:val="right"/>
              <w:rPr>
                <w:rFonts w:cstheme="minorHAnsi"/>
                <w:sz w:val="24"/>
                <w:szCs w:val="24"/>
                <w:highlight w:val="yellow"/>
              </w:rPr>
            </w:pPr>
            <w:r w:rsidRPr="003552C1">
              <w:rPr>
                <w:color w:val="000000"/>
                <w:sz w:val="24"/>
                <w:szCs w:val="24"/>
              </w:rPr>
              <w:t>15.72%</w:t>
            </w:r>
          </w:p>
        </w:tc>
        <w:tc>
          <w:tcPr>
            <w:tcW w:w="1865" w:type="dxa"/>
            <w:tcBorders>
              <w:top w:val="nil"/>
              <w:left w:val="single" w:sz="4" w:space="0" w:color="auto"/>
              <w:bottom w:val="nil"/>
              <w:right w:val="single" w:sz="4" w:space="0" w:color="auto"/>
            </w:tcBorders>
            <w:vAlign w:val="bottom"/>
          </w:tcPr>
          <w:p w14:paraId="5A9D7EB9" w14:textId="17EF4B90" w:rsidR="00B45C94" w:rsidRPr="002377B2" w:rsidRDefault="00B45C94" w:rsidP="00B45C94">
            <w:pPr>
              <w:ind w:left="720" w:hanging="557"/>
              <w:contextualSpacing/>
              <w:jc w:val="right"/>
              <w:rPr>
                <w:rFonts w:cstheme="minorHAnsi"/>
                <w:color w:val="000000"/>
                <w:sz w:val="24"/>
                <w:szCs w:val="24"/>
                <w:highlight w:val="yellow"/>
              </w:rPr>
            </w:pPr>
            <w:r w:rsidRPr="002377B2">
              <w:rPr>
                <w:color w:val="000000"/>
                <w:sz w:val="24"/>
                <w:szCs w:val="24"/>
              </w:rPr>
              <w:t>12.57%</w:t>
            </w:r>
          </w:p>
        </w:tc>
        <w:tc>
          <w:tcPr>
            <w:tcW w:w="1640" w:type="dxa"/>
            <w:tcBorders>
              <w:top w:val="nil"/>
              <w:left w:val="single" w:sz="4" w:space="0" w:color="auto"/>
              <w:bottom w:val="nil"/>
              <w:right w:val="single" w:sz="4" w:space="0" w:color="auto"/>
            </w:tcBorders>
            <w:vAlign w:val="bottom"/>
          </w:tcPr>
          <w:p w14:paraId="4E8A7493" w14:textId="0C109078" w:rsidR="00B45C94" w:rsidRPr="00B45C94" w:rsidRDefault="00B45C94" w:rsidP="00B45C94">
            <w:pPr>
              <w:ind w:left="720" w:hanging="557"/>
              <w:contextualSpacing/>
              <w:jc w:val="right"/>
              <w:rPr>
                <w:rFonts w:cstheme="minorHAnsi"/>
                <w:color w:val="000000"/>
                <w:sz w:val="24"/>
                <w:szCs w:val="24"/>
                <w:highlight w:val="yellow"/>
              </w:rPr>
            </w:pPr>
            <w:r w:rsidRPr="00B45C94">
              <w:rPr>
                <w:color w:val="000000"/>
                <w:sz w:val="24"/>
                <w:szCs w:val="24"/>
              </w:rPr>
              <w:t>12.33%</w:t>
            </w:r>
          </w:p>
        </w:tc>
      </w:tr>
      <w:tr w:rsidR="00B45C94" w:rsidRPr="00E20DEA" w14:paraId="54CD47D1" w14:textId="416F39CC" w:rsidTr="00A33AC9">
        <w:trPr>
          <w:cantSplit/>
          <w:trHeight w:val="144"/>
          <w:jc w:val="center"/>
        </w:trPr>
        <w:tc>
          <w:tcPr>
            <w:tcW w:w="4135" w:type="dxa"/>
            <w:tcBorders>
              <w:top w:val="nil"/>
              <w:left w:val="single" w:sz="4" w:space="0" w:color="auto"/>
              <w:bottom w:val="nil"/>
              <w:right w:val="single" w:sz="4" w:space="0" w:color="auto"/>
            </w:tcBorders>
          </w:tcPr>
          <w:p w14:paraId="3EA9C111" w14:textId="36C80551" w:rsidR="00B45C94" w:rsidRPr="00277225" w:rsidRDefault="00B45C94" w:rsidP="00B45C94">
            <w:pPr>
              <w:contextualSpacing/>
              <w:rPr>
                <w:rFonts w:eastAsia="Calibri" w:cstheme="minorHAnsi"/>
                <w:b/>
              </w:rPr>
            </w:pPr>
            <w:r w:rsidRPr="00277225">
              <w:rPr>
                <w:rFonts w:cstheme="minorHAnsi"/>
              </w:rPr>
              <w:t xml:space="preserve">   18 to 45</w:t>
            </w:r>
          </w:p>
        </w:tc>
        <w:tc>
          <w:tcPr>
            <w:tcW w:w="1710" w:type="dxa"/>
            <w:tcBorders>
              <w:top w:val="nil"/>
              <w:left w:val="single" w:sz="4" w:space="0" w:color="auto"/>
              <w:bottom w:val="nil"/>
              <w:right w:val="single" w:sz="4" w:space="0" w:color="auto"/>
            </w:tcBorders>
            <w:vAlign w:val="bottom"/>
          </w:tcPr>
          <w:p w14:paraId="11606C8A" w14:textId="0250F18A" w:rsidR="00B45C94" w:rsidRPr="003552C1" w:rsidRDefault="00B45C94" w:rsidP="00B45C94">
            <w:pPr>
              <w:ind w:left="720" w:hanging="557"/>
              <w:contextualSpacing/>
              <w:jc w:val="right"/>
              <w:rPr>
                <w:rFonts w:cstheme="minorHAnsi"/>
                <w:sz w:val="24"/>
                <w:szCs w:val="24"/>
                <w:highlight w:val="yellow"/>
              </w:rPr>
            </w:pPr>
            <w:r w:rsidRPr="003552C1">
              <w:rPr>
                <w:color w:val="000000"/>
                <w:sz w:val="24"/>
                <w:szCs w:val="24"/>
              </w:rPr>
              <w:t>33.55%</w:t>
            </w:r>
          </w:p>
        </w:tc>
        <w:tc>
          <w:tcPr>
            <w:tcW w:w="1865" w:type="dxa"/>
            <w:tcBorders>
              <w:top w:val="nil"/>
              <w:left w:val="single" w:sz="4" w:space="0" w:color="auto"/>
              <w:bottom w:val="nil"/>
              <w:right w:val="single" w:sz="4" w:space="0" w:color="auto"/>
            </w:tcBorders>
            <w:vAlign w:val="bottom"/>
          </w:tcPr>
          <w:p w14:paraId="4584CDA1" w14:textId="7B189AA2" w:rsidR="00B45C94" w:rsidRPr="002377B2" w:rsidRDefault="00B45C94" w:rsidP="00B45C94">
            <w:pPr>
              <w:ind w:left="720" w:hanging="557"/>
              <w:contextualSpacing/>
              <w:jc w:val="right"/>
              <w:rPr>
                <w:rFonts w:cstheme="minorHAnsi"/>
                <w:color w:val="000000"/>
                <w:sz w:val="24"/>
                <w:szCs w:val="24"/>
                <w:highlight w:val="yellow"/>
              </w:rPr>
            </w:pPr>
            <w:r w:rsidRPr="002377B2">
              <w:rPr>
                <w:color w:val="000000"/>
                <w:sz w:val="24"/>
                <w:szCs w:val="24"/>
              </w:rPr>
              <w:t>33.90%</w:t>
            </w:r>
          </w:p>
        </w:tc>
        <w:tc>
          <w:tcPr>
            <w:tcW w:w="1640" w:type="dxa"/>
            <w:tcBorders>
              <w:top w:val="nil"/>
              <w:left w:val="single" w:sz="4" w:space="0" w:color="auto"/>
              <w:bottom w:val="nil"/>
              <w:right w:val="single" w:sz="4" w:space="0" w:color="auto"/>
            </w:tcBorders>
            <w:vAlign w:val="bottom"/>
          </w:tcPr>
          <w:p w14:paraId="63092B23" w14:textId="2809F57F" w:rsidR="00B45C94" w:rsidRPr="00B45C94" w:rsidRDefault="00B45C94" w:rsidP="00B45C94">
            <w:pPr>
              <w:ind w:left="720" w:hanging="557"/>
              <w:contextualSpacing/>
              <w:jc w:val="right"/>
              <w:rPr>
                <w:rFonts w:cstheme="minorHAnsi"/>
                <w:color w:val="000000"/>
                <w:sz w:val="24"/>
                <w:szCs w:val="24"/>
                <w:highlight w:val="yellow"/>
              </w:rPr>
            </w:pPr>
            <w:r w:rsidRPr="00B45C94">
              <w:rPr>
                <w:color w:val="000000"/>
                <w:sz w:val="24"/>
                <w:szCs w:val="24"/>
              </w:rPr>
              <w:t>37.96%</w:t>
            </w:r>
          </w:p>
        </w:tc>
      </w:tr>
      <w:tr w:rsidR="00B45C94" w:rsidRPr="00E20DEA" w14:paraId="4D75E54C" w14:textId="33EC5400" w:rsidTr="00A33AC9">
        <w:trPr>
          <w:cantSplit/>
          <w:trHeight w:val="144"/>
          <w:jc w:val="center"/>
        </w:trPr>
        <w:tc>
          <w:tcPr>
            <w:tcW w:w="4135" w:type="dxa"/>
            <w:tcBorders>
              <w:top w:val="nil"/>
              <w:left w:val="single" w:sz="4" w:space="0" w:color="auto"/>
              <w:bottom w:val="nil"/>
              <w:right w:val="single" w:sz="4" w:space="0" w:color="auto"/>
            </w:tcBorders>
          </w:tcPr>
          <w:p w14:paraId="6248EDD9" w14:textId="479A0F86" w:rsidR="00B45C94" w:rsidRPr="00277225" w:rsidRDefault="00B45C94" w:rsidP="00B45C94">
            <w:pPr>
              <w:ind w:left="720" w:hanging="557"/>
              <w:contextualSpacing/>
              <w:rPr>
                <w:rFonts w:eastAsia="Calibri" w:cstheme="minorHAnsi"/>
                <w:bCs/>
              </w:rPr>
            </w:pPr>
            <w:r w:rsidRPr="00277225">
              <w:rPr>
                <w:rFonts w:eastAsia="Calibri" w:cstheme="minorHAnsi"/>
                <w:bCs/>
              </w:rPr>
              <w:t>46 to 64</w:t>
            </w:r>
          </w:p>
        </w:tc>
        <w:tc>
          <w:tcPr>
            <w:tcW w:w="1710" w:type="dxa"/>
            <w:tcBorders>
              <w:top w:val="nil"/>
              <w:left w:val="single" w:sz="4" w:space="0" w:color="auto"/>
              <w:bottom w:val="nil"/>
              <w:right w:val="single" w:sz="4" w:space="0" w:color="auto"/>
            </w:tcBorders>
            <w:vAlign w:val="bottom"/>
          </w:tcPr>
          <w:p w14:paraId="22D97E44" w14:textId="4AA0C551" w:rsidR="00B45C94" w:rsidRPr="003552C1" w:rsidRDefault="00B45C94" w:rsidP="00B45C94">
            <w:pPr>
              <w:ind w:left="720" w:hanging="557"/>
              <w:contextualSpacing/>
              <w:jc w:val="right"/>
              <w:rPr>
                <w:rFonts w:cstheme="minorHAnsi"/>
                <w:sz w:val="24"/>
                <w:szCs w:val="24"/>
                <w:highlight w:val="yellow"/>
              </w:rPr>
            </w:pPr>
            <w:r w:rsidRPr="003552C1">
              <w:rPr>
                <w:color w:val="000000"/>
                <w:sz w:val="24"/>
                <w:szCs w:val="24"/>
              </w:rPr>
              <w:t>27.56%</w:t>
            </w:r>
          </w:p>
        </w:tc>
        <w:tc>
          <w:tcPr>
            <w:tcW w:w="1865" w:type="dxa"/>
            <w:tcBorders>
              <w:top w:val="nil"/>
              <w:left w:val="single" w:sz="4" w:space="0" w:color="auto"/>
              <w:bottom w:val="nil"/>
              <w:right w:val="single" w:sz="4" w:space="0" w:color="auto"/>
            </w:tcBorders>
            <w:vAlign w:val="bottom"/>
          </w:tcPr>
          <w:p w14:paraId="7B8DA6C3" w14:textId="34BC7021" w:rsidR="00B45C94" w:rsidRPr="002377B2" w:rsidRDefault="00B45C94" w:rsidP="00B45C94">
            <w:pPr>
              <w:ind w:left="720" w:hanging="557"/>
              <w:contextualSpacing/>
              <w:jc w:val="right"/>
              <w:rPr>
                <w:rFonts w:cstheme="minorHAnsi"/>
                <w:color w:val="000000"/>
                <w:sz w:val="24"/>
                <w:szCs w:val="24"/>
                <w:highlight w:val="yellow"/>
              </w:rPr>
            </w:pPr>
            <w:r w:rsidRPr="002377B2">
              <w:rPr>
                <w:color w:val="000000"/>
                <w:sz w:val="24"/>
                <w:szCs w:val="24"/>
              </w:rPr>
              <w:t>28.85%</w:t>
            </w:r>
          </w:p>
        </w:tc>
        <w:tc>
          <w:tcPr>
            <w:tcW w:w="1640" w:type="dxa"/>
            <w:tcBorders>
              <w:top w:val="nil"/>
              <w:left w:val="single" w:sz="4" w:space="0" w:color="auto"/>
              <w:bottom w:val="nil"/>
              <w:right w:val="single" w:sz="4" w:space="0" w:color="auto"/>
            </w:tcBorders>
            <w:vAlign w:val="bottom"/>
          </w:tcPr>
          <w:p w14:paraId="0C5F4424" w14:textId="41B2129A" w:rsidR="00B45C94" w:rsidRPr="00B45C94" w:rsidRDefault="00B45C94" w:rsidP="00B45C94">
            <w:pPr>
              <w:ind w:left="720" w:hanging="557"/>
              <w:contextualSpacing/>
              <w:jc w:val="right"/>
              <w:rPr>
                <w:rFonts w:cstheme="minorHAnsi"/>
                <w:color w:val="000000"/>
                <w:sz w:val="24"/>
                <w:szCs w:val="24"/>
                <w:highlight w:val="yellow"/>
              </w:rPr>
            </w:pPr>
            <w:r w:rsidRPr="00B45C94">
              <w:rPr>
                <w:color w:val="000000"/>
                <w:sz w:val="24"/>
                <w:szCs w:val="24"/>
              </w:rPr>
              <w:t>24.19%</w:t>
            </w:r>
          </w:p>
        </w:tc>
      </w:tr>
      <w:tr w:rsidR="00B45C94" w:rsidRPr="00E20DEA" w14:paraId="742F494D" w14:textId="1783D8A0" w:rsidTr="00A33AC9">
        <w:trPr>
          <w:cantSplit/>
          <w:trHeight w:val="144"/>
          <w:jc w:val="center"/>
        </w:trPr>
        <w:tc>
          <w:tcPr>
            <w:tcW w:w="4135" w:type="dxa"/>
            <w:tcBorders>
              <w:top w:val="nil"/>
              <w:left w:val="single" w:sz="4" w:space="0" w:color="auto"/>
              <w:bottom w:val="nil"/>
              <w:right w:val="single" w:sz="4" w:space="0" w:color="auto"/>
            </w:tcBorders>
          </w:tcPr>
          <w:p w14:paraId="5565C210" w14:textId="2B71452D" w:rsidR="00B45C94" w:rsidRPr="00277225" w:rsidRDefault="00B45C94" w:rsidP="00B45C94">
            <w:pPr>
              <w:ind w:left="720" w:hanging="557"/>
              <w:contextualSpacing/>
              <w:rPr>
                <w:rFonts w:eastAsia="Calibri" w:cstheme="minorHAnsi"/>
                <w:bCs/>
              </w:rPr>
            </w:pPr>
            <w:r w:rsidRPr="00277225">
              <w:rPr>
                <w:rFonts w:cstheme="minorHAnsi"/>
              </w:rPr>
              <w:t>65 and Older</w:t>
            </w:r>
          </w:p>
        </w:tc>
        <w:tc>
          <w:tcPr>
            <w:tcW w:w="1710" w:type="dxa"/>
            <w:tcBorders>
              <w:top w:val="nil"/>
              <w:left w:val="single" w:sz="4" w:space="0" w:color="auto"/>
              <w:bottom w:val="nil"/>
              <w:right w:val="single" w:sz="4" w:space="0" w:color="auto"/>
            </w:tcBorders>
            <w:vAlign w:val="bottom"/>
          </w:tcPr>
          <w:p w14:paraId="3BD2D00E" w14:textId="6B64EF65" w:rsidR="00B45C94" w:rsidRPr="003552C1" w:rsidRDefault="00B45C94" w:rsidP="00B45C94">
            <w:pPr>
              <w:ind w:left="720" w:hanging="557"/>
              <w:contextualSpacing/>
              <w:jc w:val="right"/>
              <w:rPr>
                <w:rFonts w:cstheme="minorHAnsi"/>
                <w:sz w:val="24"/>
                <w:szCs w:val="24"/>
                <w:highlight w:val="yellow"/>
              </w:rPr>
            </w:pPr>
            <w:r w:rsidRPr="003552C1">
              <w:rPr>
                <w:color w:val="000000"/>
                <w:sz w:val="24"/>
                <w:szCs w:val="24"/>
              </w:rPr>
              <w:t>23.17%</w:t>
            </w:r>
          </w:p>
        </w:tc>
        <w:tc>
          <w:tcPr>
            <w:tcW w:w="1865" w:type="dxa"/>
            <w:tcBorders>
              <w:top w:val="nil"/>
              <w:left w:val="single" w:sz="4" w:space="0" w:color="auto"/>
              <w:bottom w:val="nil"/>
              <w:right w:val="single" w:sz="4" w:space="0" w:color="auto"/>
            </w:tcBorders>
            <w:vAlign w:val="bottom"/>
          </w:tcPr>
          <w:p w14:paraId="092426EE" w14:textId="29BA1917" w:rsidR="00B45C94" w:rsidRPr="002377B2" w:rsidRDefault="00B45C94" w:rsidP="00B45C94">
            <w:pPr>
              <w:ind w:left="720" w:hanging="557"/>
              <w:contextualSpacing/>
              <w:jc w:val="right"/>
              <w:rPr>
                <w:rFonts w:cstheme="minorHAnsi"/>
                <w:color w:val="000000"/>
                <w:sz w:val="24"/>
                <w:szCs w:val="24"/>
                <w:highlight w:val="yellow"/>
              </w:rPr>
            </w:pPr>
            <w:r w:rsidRPr="002377B2">
              <w:rPr>
                <w:color w:val="000000"/>
                <w:sz w:val="24"/>
                <w:szCs w:val="24"/>
              </w:rPr>
              <w:t>24.68%</w:t>
            </w:r>
          </w:p>
        </w:tc>
        <w:tc>
          <w:tcPr>
            <w:tcW w:w="1640" w:type="dxa"/>
            <w:tcBorders>
              <w:top w:val="nil"/>
              <w:left w:val="single" w:sz="4" w:space="0" w:color="auto"/>
              <w:bottom w:val="nil"/>
              <w:right w:val="single" w:sz="4" w:space="0" w:color="auto"/>
            </w:tcBorders>
            <w:vAlign w:val="bottom"/>
          </w:tcPr>
          <w:p w14:paraId="381A2381" w14:textId="46356F0E" w:rsidR="00B45C94" w:rsidRPr="00B45C94" w:rsidRDefault="00B45C94" w:rsidP="00B45C94">
            <w:pPr>
              <w:ind w:left="720" w:hanging="557"/>
              <w:contextualSpacing/>
              <w:jc w:val="right"/>
              <w:rPr>
                <w:rFonts w:cstheme="minorHAnsi"/>
                <w:color w:val="000000"/>
                <w:sz w:val="24"/>
                <w:szCs w:val="24"/>
                <w:highlight w:val="yellow"/>
              </w:rPr>
            </w:pPr>
            <w:r w:rsidRPr="00B45C94">
              <w:rPr>
                <w:color w:val="000000"/>
                <w:sz w:val="24"/>
                <w:szCs w:val="24"/>
              </w:rPr>
              <w:t>25.52%</w:t>
            </w:r>
          </w:p>
        </w:tc>
      </w:tr>
      <w:tr w:rsidR="00EA025B" w:rsidRPr="00E20DEA" w14:paraId="4FC985A2" w14:textId="46F8DF31" w:rsidTr="00A15076">
        <w:trPr>
          <w:cantSplit/>
          <w:trHeight w:val="144"/>
          <w:jc w:val="center"/>
        </w:trPr>
        <w:tc>
          <w:tcPr>
            <w:tcW w:w="4135" w:type="dxa"/>
            <w:tcBorders>
              <w:top w:val="nil"/>
              <w:left w:val="single" w:sz="4" w:space="0" w:color="auto"/>
              <w:bottom w:val="single" w:sz="4" w:space="0" w:color="auto"/>
              <w:right w:val="single" w:sz="4" w:space="0" w:color="auto"/>
            </w:tcBorders>
          </w:tcPr>
          <w:p w14:paraId="3EEA83CE" w14:textId="5A1D99AD" w:rsidR="00EA025B" w:rsidRPr="00DC388C" w:rsidRDefault="00EA025B" w:rsidP="00EA025B">
            <w:pPr>
              <w:ind w:left="720" w:hanging="557"/>
              <w:contextualSpacing/>
              <w:rPr>
                <w:rFonts w:eastAsia="Calibri" w:cstheme="minorHAnsi"/>
                <w:bCs/>
                <w:sz w:val="24"/>
                <w:szCs w:val="24"/>
              </w:rPr>
            </w:pPr>
            <w:r w:rsidRPr="00DC388C">
              <w:rPr>
                <w:rFonts w:eastAsia="Calibri" w:cstheme="minorHAnsi"/>
                <w:b/>
                <w:sz w:val="24"/>
                <w:szCs w:val="24"/>
              </w:rPr>
              <w:t xml:space="preserve"> Total</w:t>
            </w:r>
          </w:p>
        </w:tc>
        <w:tc>
          <w:tcPr>
            <w:tcW w:w="1710" w:type="dxa"/>
            <w:tcBorders>
              <w:top w:val="nil"/>
              <w:left w:val="single" w:sz="4" w:space="0" w:color="auto"/>
              <w:bottom w:val="single" w:sz="4" w:space="0" w:color="auto"/>
              <w:right w:val="single" w:sz="4" w:space="0" w:color="auto"/>
            </w:tcBorders>
          </w:tcPr>
          <w:p w14:paraId="45CF3E97" w14:textId="7A2A82AD" w:rsidR="00EA025B" w:rsidRPr="00DC388C" w:rsidRDefault="00EA025B" w:rsidP="00EA025B">
            <w:pPr>
              <w:ind w:left="720" w:hanging="557"/>
              <w:contextualSpacing/>
              <w:jc w:val="right"/>
              <w:rPr>
                <w:rFonts w:cstheme="minorHAnsi"/>
                <w:sz w:val="24"/>
                <w:szCs w:val="24"/>
              </w:rPr>
            </w:pPr>
            <w:r w:rsidRPr="00DC388C">
              <w:rPr>
                <w:rFonts w:eastAsia="Calibri" w:cstheme="minorHAnsi"/>
                <w:b/>
                <w:sz w:val="24"/>
                <w:szCs w:val="24"/>
              </w:rPr>
              <w:t>100.0%</w:t>
            </w:r>
          </w:p>
        </w:tc>
        <w:tc>
          <w:tcPr>
            <w:tcW w:w="1865" w:type="dxa"/>
            <w:tcBorders>
              <w:top w:val="nil"/>
              <w:left w:val="single" w:sz="4" w:space="0" w:color="auto"/>
              <w:bottom w:val="single" w:sz="4" w:space="0" w:color="auto"/>
              <w:right w:val="single" w:sz="4" w:space="0" w:color="auto"/>
            </w:tcBorders>
          </w:tcPr>
          <w:p w14:paraId="082BFCAE" w14:textId="0278C80E" w:rsidR="00EA025B" w:rsidRPr="00DC388C" w:rsidRDefault="00EA025B" w:rsidP="00EA025B">
            <w:pPr>
              <w:ind w:left="720" w:hanging="557"/>
              <w:contextualSpacing/>
              <w:jc w:val="right"/>
              <w:rPr>
                <w:rFonts w:eastAsia="Calibri" w:cstheme="minorHAnsi"/>
                <w:b/>
                <w:sz w:val="24"/>
                <w:szCs w:val="24"/>
              </w:rPr>
            </w:pPr>
            <w:r w:rsidRPr="00DC388C">
              <w:rPr>
                <w:rFonts w:eastAsia="Calibri" w:cstheme="minorHAnsi"/>
                <w:b/>
                <w:sz w:val="24"/>
                <w:szCs w:val="24"/>
              </w:rPr>
              <w:t>100.0%</w:t>
            </w:r>
          </w:p>
        </w:tc>
        <w:tc>
          <w:tcPr>
            <w:tcW w:w="1640" w:type="dxa"/>
            <w:tcBorders>
              <w:top w:val="nil"/>
              <w:left w:val="single" w:sz="4" w:space="0" w:color="auto"/>
              <w:bottom w:val="single" w:sz="4" w:space="0" w:color="auto"/>
              <w:right w:val="single" w:sz="4" w:space="0" w:color="auto"/>
            </w:tcBorders>
          </w:tcPr>
          <w:p w14:paraId="549737F0" w14:textId="16778B12" w:rsidR="00EA025B" w:rsidRPr="00DC388C" w:rsidRDefault="00EA025B" w:rsidP="00EA025B">
            <w:pPr>
              <w:ind w:left="720" w:hanging="557"/>
              <w:contextualSpacing/>
              <w:jc w:val="right"/>
              <w:rPr>
                <w:rFonts w:eastAsia="Calibri" w:cstheme="minorHAnsi"/>
                <w:b/>
                <w:sz w:val="24"/>
                <w:szCs w:val="24"/>
              </w:rPr>
            </w:pPr>
            <w:r w:rsidRPr="00DC388C">
              <w:rPr>
                <w:rFonts w:eastAsia="Calibri" w:cstheme="minorHAnsi"/>
                <w:b/>
                <w:sz w:val="24"/>
                <w:szCs w:val="24"/>
              </w:rPr>
              <w:t>100.0%</w:t>
            </w:r>
          </w:p>
        </w:tc>
      </w:tr>
      <w:tr w:rsidR="00EA025B" w:rsidRPr="00E20DEA" w14:paraId="1034486E" w14:textId="428B2BBA" w:rsidTr="00A15076">
        <w:trPr>
          <w:cantSplit/>
          <w:trHeight w:val="144"/>
          <w:jc w:val="center"/>
        </w:trPr>
        <w:tc>
          <w:tcPr>
            <w:tcW w:w="4135" w:type="dxa"/>
            <w:tcBorders>
              <w:top w:val="single" w:sz="4" w:space="0" w:color="auto"/>
              <w:left w:val="single" w:sz="4" w:space="0" w:color="auto"/>
              <w:bottom w:val="nil"/>
              <w:right w:val="single" w:sz="4" w:space="0" w:color="auto"/>
            </w:tcBorders>
          </w:tcPr>
          <w:p w14:paraId="011883C1" w14:textId="5D7332DD" w:rsidR="00EA025B" w:rsidRPr="00CF3201" w:rsidRDefault="00EA025B" w:rsidP="00EA025B">
            <w:pPr>
              <w:ind w:left="520" w:hanging="557"/>
              <w:contextualSpacing/>
              <w:rPr>
                <w:rFonts w:eastAsia="Calibri" w:cstheme="minorHAnsi"/>
                <w:b/>
                <w:sz w:val="24"/>
                <w:szCs w:val="24"/>
                <w:highlight w:val="yellow"/>
              </w:rPr>
            </w:pPr>
            <w:r w:rsidRPr="00CF3201">
              <w:rPr>
                <w:rFonts w:eastAsia="Calibri" w:cstheme="minorHAnsi"/>
                <w:b/>
                <w:sz w:val="24"/>
                <w:szCs w:val="24"/>
              </w:rPr>
              <w:t>Race</w:t>
            </w:r>
          </w:p>
        </w:tc>
        <w:tc>
          <w:tcPr>
            <w:tcW w:w="1710" w:type="dxa"/>
            <w:tcBorders>
              <w:top w:val="single" w:sz="4" w:space="0" w:color="auto"/>
              <w:left w:val="single" w:sz="4" w:space="0" w:color="auto"/>
              <w:bottom w:val="nil"/>
              <w:right w:val="single" w:sz="4" w:space="0" w:color="auto"/>
            </w:tcBorders>
          </w:tcPr>
          <w:p w14:paraId="248325CF" w14:textId="3A5B010D" w:rsidR="00EA025B" w:rsidRPr="00E20DEA" w:rsidRDefault="00EA025B" w:rsidP="00EA025B">
            <w:pPr>
              <w:ind w:left="720" w:hanging="557"/>
              <w:contextualSpacing/>
              <w:jc w:val="right"/>
              <w:rPr>
                <w:rFonts w:eastAsia="Calibri" w:cstheme="minorHAnsi"/>
                <w:b/>
                <w:highlight w:val="yellow"/>
              </w:rPr>
            </w:pPr>
          </w:p>
        </w:tc>
        <w:tc>
          <w:tcPr>
            <w:tcW w:w="1865" w:type="dxa"/>
            <w:tcBorders>
              <w:top w:val="single" w:sz="4" w:space="0" w:color="auto"/>
              <w:left w:val="single" w:sz="4" w:space="0" w:color="auto"/>
              <w:bottom w:val="nil"/>
              <w:right w:val="single" w:sz="4" w:space="0" w:color="auto"/>
            </w:tcBorders>
          </w:tcPr>
          <w:p w14:paraId="3FEA9431" w14:textId="77777777" w:rsidR="00EA025B" w:rsidRPr="00E20DEA" w:rsidRDefault="00EA025B" w:rsidP="00EA025B">
            <w:pPr>
              <w:ind w:left="720" w:hanging="557"/>
              <w:contextualSpacing/>
              <w:jc w:val="right"/>
              <w:rPr>
                <w:rFonts w:eastAsia="Calibri" w:cstheme="minorHAnsi"/>
                <w:b/>
                <w:highlight w:val="yellow"/>
              </w:rPr>
            </w:pPr>
          </w:p>
        </w:tc>
        <w:tc>
          <w:tcPr>
            <w:tcW w:w="1640" w:type="dxa"/>
            <w:tcBorders>
              <w:top w:val="single" w:sz="4" w:space="0" w:color="auto"/>
              <w:left w:val="single" w:sz="4" w:space="0" w:color="auto"/>
              <w:bottom w:val="nil"/>
              <w:right w:val="single" w:sz="4" w:space="0" w:color="auto"/>
            </w:tcBorders>
          </w:tcPr>
          <w:p w14:paraId="701948D2" w14:textId="77777777" w:rsidR="00EA025B" w:rsidRPr="00E20DEA" w:rsidRDefault="00EA025B" w:rsidP="00EA025B">
            <w:pPr>
              <w:ind w:left="720" w:hanging="557"/>
              <w:contextualSpacing/>
              <w:jc w:val="right"/>
              <w:rPr>
                <w:rFonts w:eastAsia="Calibri" w:cstheme="minorHAnsi"/>
                <w:b/>
                <w:highlight w:val="yellow"/>
              </w:rPr>
            </w:pPr>
          </w:p>
        </w:tc>
      </w:tr>
      <w:tr w:rsidR="004A11F6" w:rsidRPr="00E20DEA" w14:paraId="126035A3" w14:textId="704D9337" w:rsidTr="00A33AC9">
        <w:trPr>
          <w:cantSplit/>
          <w:trHeight w:val="144"/>
          <w:jc w:val="center"/>
        </w:trPr>
        <w:tc>
          <w:tcPr>
            <w:tcW w:w="4135" w:type="dxa"/>
            <w:tcBorders>
              <w:top w:val="nil"/>
              <w:left w:val="single" w:sz="4" w:space="0" w:color="auto"/>
              <w:bottom w:val="nil"/>
              <w:right w:val="single" w:sz="4" w:space="0" w:color="auto"/>
            </w:tcBorders>
            <w:vAlign w:val="bottom"/>
          </w:tcPr>
          <w:p w14:paraId="40CB5351" w14:textId="53DB7572" w:rsidR="004A11F6" w:rsidRPr="00E20DEA" w:rsidRDefault="004A11F6" w:rsidP="004A11F6">
            <w:pPr>
              <w:contextualSpacing/>
              <w:rPr>
                <w:rFonts w:eastAsia="Calibri" w:cstheme="minorHAnsi"/>
                <w:b/>
                <w:sz w:val="24"/>
                <w:szCs w:val="24"/>
                <w:highlight w:val="yellow"/>
              </w:rPr>
            </w:pPr>
            <w:r>
              <w:rPr>
                <w:rFonts w:eastAsia="Times New Roman" w:cs="Arial"/>
                <w:color w:val="000000"/>
              </w:rPr>
              <w:t xml:space="preserve">   </w:t>
            </w:r>
            <w:r w:rsidRPr="0049734C">
              <w:rPr>
                <w:rFonts w:eastAsia="Times New Roman" w:cs="Arial"/>
                <w:color w:val="000000"/>
              </w:rPr>
              <w:t>White</w:t>
            </w:r>
          </w:p>
        </w:tc>
        <w:tc>
          <w:tcPr>
            <w:tcW w:w="1710" w:type="dxa"/>
            <w:tcBorders>
              <w:top w:val="nil"/>
              <w:left w:val="single" w:sz="4" w:space="0" w:color="auto"/>
              <w:bottom w:val="nil"/>
              <w:right w:val="single" w:sz="4" w:space="0" w:color="auto"/>
            </w:tcBorders>
            <w:vAlign w:val="bottom"/>
          </w:tcPr>
          <w:p w14:paraId="53481C79" w14:textId="5CC3B4C1" w:rsidR="004A11F6" w:rsidRPr="00976DBF" w:rsidRDefault="004A11F6" w:rsidP="004A11F6">
            <w:pPr>
              <w:ind w:left="720" w:hanging="557"/>
              <w:contextualSpacing/>
              <w:jc w:val="right"/>
              <w:rPr>
                <w:rFonts w:cstheme="minorHAnsi"/>
                <w:b/>
                <w:bCs/>
                <w:color w:val="000000"/>
                <w:sz w:val="24"/>
                <w:szCs w:val="24"/>
                <w:highlight w:val="yellow"/>
              </w:rPr>
            </w:pPr>
            <w:r w:rsidRPr="00976DBF">
              <w:rPr>
                <w:color w:val="000000"/>
                <w:sz w:val="24"/>
                <w:szCs w:val="24"/>
              </w:rPr>
              <w:t>84.15%</w:t>
            </w:r>
          </w:p>
        </w:tc>
        <w:tc>
          <w:tcPr>
            <w:tcW w:w="1865" w:type="dxa"/>
            <w:tcBorders>
              <w:top w:val="nil"/>
              <w:left w:val="single" w:sz="4" w:space="0" w:color="auto"/>
              <w:bottom w:val="nil"/>
              <w:right w:val="single" w:sz="4" w:space="0" w:color="auto"/>
            </w:tcBorders>
            <w:vAlign w:val="bottom"/>
          </w:tcPr>
          <w:p w14:paraId="10166C9E" w14:textId="5711F7AF" w:rsidR="004A11F6" w:rsidRPr="00C713CD" w:rsidRDefault="004A11F6" w:rsidP="004A11F6">
            <w:pPr>
              <w:ind w:left="720" w:hanging="557"/>
              <w:contextualSpacing/>
              <w:jc w:val="right"/>
              <w:rPr>
                <w:rFonts w:cstheme="minorHAnsi"/>
                <w:color w:val="000000"/>
                <w:sz w:val="24"/>
                <w:szCs w:val="24"/>
                <w:highlight w:val="yellow"/>
              </w:rPr>
            </w:pPr>
            <w:r w:rsidRPr="00C713CD">
              <w:rPr>
                <w:color w:val="000000"/>
                <w:sz w:val="24"/>
                <w:szCs w:val="24"/>
              </w:rPr>
              <w:t>85.12%</w:t>
            </w:r>
          </w:p>
        </w:tc>
        <w:tc>
          <w:tcPr>
            <w:tcW w:w="1640" w:type="dxa"/>
            <w:tcBorders>
              <w:top w:val="nil"/>
              <w:left w:val="single" w:sz="4" w:space="0" w:color="auto"/>
              <w:bottom w:val="nil"/>
              <w:right w:val="single" w:sz="4" w:space="0" w:color="auto"/>
            </w:tcBorders>
            <w:vAlign w:val="bottom"/>
          </w:tcPr>
          <w:p w14:paraId="6B159299" w14:textId="59933F77" w:rsidR="004A11F6" w:rsidRPr="00722539" w:rsidRDefault="004A11F6" w:rsidP="004A11F6">
            <w:pPr>
              <w:ind w:left="720" w:hanging="557"/>
              <w:contextualSpacing/>
              <w:jc w:val="right"/>
              <w:rPr>
                <w:rFonts w:cstheme="minorHAnsi"/>
                <w:color w:val="000000"/>
                <w:sz w:val="24"/>
                <w:szCs w:val="24"/>
                <w:highlight w:val="yellow"/>
              </w:rPr>
            </w:pPr>
            <w:r w:rsidRPr="00722539">
              <w:rPr>
                <w:color w:val="000000"/>
                <w:sz w:val="24"/>
                <w:szCs w:val="24"/>
              </w:rPr>
              <w:t>82.67%</w:t>
            </w:r>
          </w:p>
        </w:tc>
      </w:tr>
      <w:tr w:rsidR="004A11F6" w:rsidRPr="00E20DEA" w14:paraId="723BC2F8" w14:textId="6CBEC4FE" w:rsidTr="00A33AC9">
        <w:trPr>
          <w:cantSplit/>
          <w:trHeight w:val="144"/>
          <w:jc w:val="center"/>
        </w:trPr>
        <w:tc>
          <w:tcPr>
            <w:tcW w:w="4135" w:type="dxa"/>
            <w:tcBorders>
              <w:top w:val="nil"/>
              <w:left w:val="single" w:sz="4" w:space="0" w:color="auto"/>
              <w:bottom w:val="nil"/>
              <w:right w:val="single" w:sz="4" w:space="0" w:color="auto"/>
            </w:tcBorders>
            <w:vAlign w:val="bottom"/>
          </w:tcPr>
          <w:p w14:paraId="0FF67BD8" w14:textId="2104BA21" w:rsidR="004A11F6" w:rsidRPr="00E20DEA" w:rsidRDefault="004A11F6" w:rsidP="004A11F6">
            <w:pPr>
              <w:ind w:left="720" w:hanging="557"/>
              <w:contextualSpacing/>
              <w:rPr>
                <w:rFonts w:cstheme="minorHAnsi"/>
                <w:spacing w:val="-2"/>
                <w:sz w:val="24"/>
                <w:szCs w:val="24"/>
                <w:highlight w:val="yellow"/>
              </w:rPr>
            </w:pPr>
            <w:r w:rsidRPr="0049734C">
              <w:rPr>
                <w:rFonts w:eastAsia="Times New Roman" w:cs="Arial"/>
                <w:color w:val="000000"/>
              </w:rPr>
              <w:t>Black or African American</w:t>
            </w:r>
          </w:p>
        </w:tc>
        <w:tc>
          <w:tcPr>
            <w:tcW w:w="1710" w:type="dxa"/>
            <w:tcBorders>
              <w:top w:val="nil"/>
              <w:left w:val="single" w:sz="4" w:space="0" w:color="auto"/>
              <w:bottom w:val="nil"/>
              <w:right w:val="single" w:sz="4" w:space="0" w:color="auto"/>
            </w:tcBorders>
            <w:vAlign w:val="bottom"/>
          </w:tcPr>
          <w:p w14:paraId="7DF9C7D6" w14:textId="4AD4BF8D" w:rsidR="004A11F6" w:rsidRPr="00976DBF" w:rsidRDefault="004A11F6" w:rsidP="004A11F6">
            <w:pPr>
              <w:ind w:left="720" w:hanging="557"/>
              <w:contextualSpacing/>
              <w:jc w:val="right"/>
              <w:rPr>
                <w:rFonts w:cstheme="minorHAnsi"/>
                <w:sz w:val="24"/>
                <w:szCs w:val="24"/>
                <w:highlight w:val="yellow"/>
              </w:rPr>
            </w:pPr>
            <w:r w:rsidRPr="00976DBF">
              <w:rPr>
                <w:color w:val="000000"/>
                <w:sz w:val="24"/>
                <w:szCs w:val="24"/>
              </w:rPr>
              <w:t>6.27%</w:t>
            </w:r>
          </w:p>
        </w:tc>
        <w:tc>
          <w:tcPr>
            <w:tcW w:w="1865" w:type="dxa"/>
            <w:tcBorders>
              <w:top w:val="nil"/>
              <w:left w:val="single" w:sz="4" w:space="0" w:color="auto"/>
              <w:bottom w:val="nil"/>
              <w:right w:val="single" w:sz="4" w:space="0" w:color="auto"/>
            </w:tcBorders>
            <w:vAlign w:val="bottom"/>
          </w:tcPr>
          <w:p w14:paraId="06925F72" w14:textId="32ACDB1B" w:rsidR="004A11F6" w:rsidRPr="00C713CD" w:rsidRDefault="004A11F6" w:rsidP="004A11F6">
            <w:pPr>
              <w:ind w:left="720" w:hanging="557"/>
              <w:contextualSpacing/>
              <w:jc w:val="right"/>
              <w:rPr>
                <w:rFonts w:cstheme="minorHAnsi"/>
                <w:color w:val="000000"/>
                <w:sz w:val="24"/>
                <w:szCs w:val="24"/>
                <w:highlight w:val="yellow"/>
              </w:rPr>
            </w:pPr>
            <w:r w:rsidRPr="00C713CD">
              <w:rPr>
                <w:color w:val="000000"/>
                <w:sz w:val="24"/>
                <w:szCs w:val="24"/>
              </w:rPr>
              <w:t>6.77%</w:t>
            </w:r>
          </w:p>
        </w:tc>
        <w:tc>
          <w:tcPr>
            <w:tcW w:w="1640" w:type="dxa"/>
            <w:tcBorders>
              <w:top w:val="nil"/>
              <w:left w:val="single" w:sz="4" w:space="0" w:color="auto"/>
              <w:bottom w:val="nil"/>
              <w:right w:val="single" w:sz="4" w:space="0" w:color="auto"/>
            </w:tcBorders>
            <w:vAlign w:val="bottom"/>
          </w:tcPr>
          <w:p w14:paraId="6D9829A6" w14:textId="11EC2492" w:rsidR="004A11F6" w:rsidRPr="00722539" w:rsidRDefault="004A11F6" w:rsidP="004A11F6">
            <w:pPr>
              <w:ind w:left="720" w:hanging="557"/>
              <w:contextualSpacing/>
              <w:jc w:val="right"/>
              <w:rPr>
                <w:rFonts w:cstheme="minorHAnsi"/>
                <w:color w:val="000000"/>
                <w:sz w:val="24"/>
                <w:szCs w:val="24"/>
                <w:highlight w:val="yellow"/>
              </w:rPr>
            </w:pPr>
            <w:r w:rsidRPr="00722539">
              <w:rPr>
                <w:color w:val="000000"/>
                <w:sz w:val="24"/>
                <w:szCs w:val="24"/>
              </w:rPr>
              <w:t>10.32%</w:t>
            </w:r>
          </w:p>
        </w:tc>
      </w:tr>
      <w:tr w:rsidR="004A11F6" w:rsidRPr="00E20DEA" w14:paraId="3601D6DE" w14:textId="69C50327" w:rsidTr="00A33AC9">
        <w:trPr>
          <w:cantSplit/>
          <w:trHeight w:val="144"/>
          <w:jc w:val="center"/>
        </w:trPr>
        <w:tc>
          <w:tcPr>
            <w:tcW w:w="4135" w:type="dxa"/>
            <w:tcBorders>
              <w:top w:val="nil"/>
              <w:left w:val="single" w:sz="4" w:space="0" w:color="auto"/>
              <w:bottom w:val="nil"/>
              <w:right w:val="single" w:sz="4" w:space="0" w:color="auto"/>
            </w:tcBorders>
            <w:vAlign w:val="bottom"/>
          </w:tcPr>
          <w:p w14:paraId="79B3A2CB" w14:textId="0A7376E2" w:rsidR="004A11F6" w:rsidRPr="00E20DEA" w:rsidRDefault="004A11F6" w:rsidP="004A11F6">
            <w:pPr>
              <w:ind w:left="720" w:hanging="557"/>
              <w:contextualSpacing/>
              <w:rPr>
                <w:rFonts w:cstheme="minorHAnsi"/>
                <w:color w:val="000000"/>
                <w:sz w:val="24"/>
                <w:szCs w:val="24"/>
                <w:highlight w:val="yellow"/>
              </w:rPr>
            </w:pPr>
            <w:r w:rsidRPr="0049734C">
              <w:rPr>
                <w:rFonts w:eastAsia="Times New Roman" w:cs="Arial"/>
                <w:color w:val="000000"/>
              </w:rPr>
              <w:t>American Indian or Alaska Native</w:t>
            </w:r>
          </w:p>
        </w:tc>
        <w:tc>
          <w:tcPr>
            <w:tcW w:w="1710" w:type="dxa"/>
            <w:tcBorders>
              <w:top w:val="nil"/>
              <w:left w:val="single" w:sz="4" w:space="0" w:color="auto"/>
              <w:bottom w:val="nil"/>
              <w:right w:val="single" w:sz="4" w:space="0" w:color="auto"/>
            </w:tcBorders>
            <w:vAlign w:val="bottom"/>
          </w:tcPr>
          <w:p w14:paraId="7B794BF0" w14:textId="57D57988" w:rsidR="004A11F6" w:rsidRPr="00976DBF" w:rsidRDefault="004A11F6" w:rsidP="004A11F6">
            <w:pPr>
              <w:ind w:left="720" w:hanging="557"/>
              <w:contextualSpacing/>
              <w:jc w:val="right"/>
              <w:rPr>
                <w:rFonts w:cstheme="minorHAnsi"/>
                <w:sz w:val="24"/>
                <w:szCs w:val="24"/>
                <w:highlight w:val="yellow"/>
              </w:rPr>
            </w:pPr>
            <w:r w:rsidRPr="00976DBF">
              <w:rPr>
                <w:color w:val="000000"/>
                <w:sz w:val="24"/>
                <w:szCs w:val="24"/>
              </w:rPr>
              <w:t>0.14%</w:t>
            </w:r>
          </w:p>
        </w:tc>
        <w:tc>
          <w:tcPr>
            <w:tcW w:w="1865" w:type="dxa"/>
            <w:tcBorders>
              <w:top w:val="nil"/>
              <w:left w:val="single" w:sz="4" w:space="0" w:color="auto"/>
              <w:bottom w:val="nil"/>
              <w:right w:val="single" w:sz="4" w:space="0" w:color="auto"/>
            </w:tcBorders>
            <w:vAlign w:val="bottom"/>
          </w:tcPr>
          <w:p w14:paraId="58EC0479" w14:textId="3E071D7A" w:rsidR="004A11F6" w:rsidRPr="00C713CD" w:rsidRDefault="004A11F6" w:rsidP="004A11F6">
            <w:pPr>
              <w:ind w:left="720" w:hanging="557"/>
              <w:contextualSpacing/>
              <w:jc w:val="right"/>
              <w:rPr>
                <w:rFonts w:cstheme="minorHAnsi"/>
                <w:color w:val="000000"/>
                <w:sz w:val="24"/>
                <w:szCs w:val="24"/>
                <w:highlight w:val="yellow"/>
              </w:rPr>
            </w:pPr>
            <w:r w:rsidRPr="00C713CD">
              <w:rPr>
                <w:color w:val="000000"/>
                <w:sz w:val="24"/>
                <w:szCs w:val="24"/>
              </w:rPr>
              <w:t>0.14%</w:t>
            </w:r>
          </w:p>
        </w:tc>
        <w:tc>
          <w:tcPr>
            <w:tcW w:w="1640" w:type="dxa"/>
            <w:tcBorders>
              <w:top w:val="nil"/>
              <w:left w:val="single" w:sz="4" w:space="0" w:color="auto"/>
              <w:bottom w:val="nil"/>
              <w:right w:val="single" w:sz="4" w:space="0" w:color="auto"/>
            </w:tcBorders>
            <w:vAlign w:val="bottom"/>
          </w:tcPr>
          <w:p w14:paraId="4616E3CB" w14:textId="5FEF12BE" w:rsidR="004A11F6" w:rsidRPr="00722539" w:rsidRDefault="004A11F6" w:rsidP="004A11F6">
            <w:pPr>
              <w:ind w:left="720" w:hanging="557"/>
              <w:contextualSpacing/>
              <w:jc w:val="right"/>
              <w:rPr>
                <w:rFonts w:cstheme="minorHAnsi"/>
                <w:color w:val="000000"/>
                <w:sz w:val="24"/>
                <w:szCs w:val="24"/>
                <w:highlight w:val="yellow"/>
              </w:rPr>
            </w:pPr>
            <w:r w:rsidRPr="00722539">
              <w:rPr>
                <w:color w:val="000000"/>
                <w:sz w:val="24"/>
                <w:szCs w:val="24"/>
              </w:rPr>
              <w:t>0.13%</w:t>
            </w:r>
          </w:p>
        </w:tc>
      </w:tr>
      <w:tr w:rsidR="004A11F6" w:rsidRPr="00E20DEA" w14:paraId="0794838E" w14:textId="5883EE26" w:rsidTr="00A33AC9">
        <w:trPr>
          <w:cantSplit/>
          <w:trHeight w:val="144"/>
          <w:jc w:val="center"/>
        </w:trPr>
        <w:tc>
          <w:tcPr>
            <w:tcW w:w="4135" w:type="dxa"/>
            <w:tcBorders>
              <w:top w:val="nil"/>
              <w:left w:val="single" w:sz="4" w:space="0" w:color="auto"/>
              <w:bottom w:val="nil"/>
              <w:right w:val="single" w:sz="4" w:space="0" w:color="auto"/>
            </w:tcBorders>
            <w:vAlign w:val="bottom"/>
          </w:tcPr>
          <w:p w14:paraId="7F9CCB66" w14:textId="3502A5CE" w:rsidR="004A11F6" w:rsidRPr="00E20DEA" w:rsidRDefault="004A11F6" w:rsidP="004A11F6">
            <w:pPr>
              <w:ind w:left="720" w:hanging="557"/>
              <w:contextualSpacing/>
              <w:rPr>
                <w:rFonts w:cstheme="minorHAnsi"/>
                <w:color w:val="000000"/>
                <w:sz w:val="24"/>
                <w:szCs w:val="24"/>
                <w:highlight w:val="yellow"/>
              </w:rPr>
            </w:pPr>
            <w:r w:rsidRPr="0049734C">
              <w:rPr>
                <w:rFonts w:eastAsia="Times New Roman" w:cs="Arial"/>
                <w:color w:val="000000"/>
              </w:rPr>
              <w:t>Asian</w:t>
            </w:r>
          </w:p>
        </w:tc>
        <w:tc>
          <w:tcPr>
            <w:tcW w:w="1710" w:type="dxa"/>
            <w:tcBorders>
              <w:top w:val="nil"/>
              <w:left w:val="single" w:sz="4" w:space="0" w:color="auto"/>
              <w:bottom w:val="nil"/>
              <w:right w:val="single" w:sz="4" w:space="0" w:color="auto"/>
            </w:tcBorders>
            <w:vAlign w:val="bottom"/>
          </w:tcPr>
          <w:p w14:paraId="3D341692" w14:textId="3D93AA48" w:rsidR="004A11F6" w:rsidRPr="00976DBF" w:rsidRDefault="004A11F6" w:rsidP="004A11F6">
            <w:pPr>
              <w:ind w:left="720" w:hanging="557"/>
              <w:contextualSpacing/>
              <w:jc w:val="right"/>
              <w:rPr>
                <w:rFonts w:cstheme="minorHAnsi"/>
                <w:sz w:val="24"/>
                <w:szCs w:val="24"/>
                <w:highlight w:val="yellow"/>
              </w:rPr>
            </w:pPr>
            <w:r w:rsidRPr="00976DBF">
              <w:rPr>
                <w:color w:val="000000"/>
                <w:sz w:val="24"/>
                <w:szCs w:val="24"/>
              </w:rPr>
              <w:t>3.27%</w:t>
            </w:r>
          </w:p>
        </w:tc>
        <w:tc>
          <w:tcPr>
            <w:tcW w:w="1865" w:type="dxa"/>
            <w:tcBorders>
              <w:top w:val="nil"/>
              <w:left w:val="single" w:sz="4" w:space="0" w:color="auto"/>
              <w:bottom w:val="nil"/>
              <w:right w:val="single" w:sz="4" w:space="0" w:color="auto"/>
            </w:tcBorders>
            <w:vAlign w:val="bottom"/>
          </w:tcPr>
          <w:p w14:paraId="7097556C" w14:textId="2CAF0715" w:rsidR="004A11F6" w:rsidRPr="00C713CD" w:rsidRDefault="004A11F6" w:rsidP="004A11F6">
            <w:pPr>
              <w:ind w:left="720" w:hanging="557"/>
              <w:contextualSpacing/>
              <w:jc w:val="right"/>
              <w:rPr>
                <w:rFonts w:cstheme="minorHAnsi"/>
                <w:color w:val="000000"/>
                <w:sz w:val="24"/>
                <w:szCs w:val="24"/>
                <w:highlight w:val="yellow"/>
              </w:rPr>
            </w:pPr>
            <w:r w:rsidRPr="00C713CD">
              <w:rPr>
                <w:color w:val="000000"/>
                <w:sz w:val="24"/>
                <w:szCs w:val="24"/>
              </w:rPr>
              <w:t>3.31%</w:t>
            </w:r>
          </w:p>
        </w:tc>
        <w:tc>
          <w:tcPr>
            <w:tcW w:w="1640" w:type="dxa"/>
            <w:tcBorders>
              <w:top w:val="nil"/>
              <w:left w:val="single" w:sz="4" w:space="0" w:color="auto"/>
              <w:bottom w:val="nil"/>
              <w:right w:val="single" w:sz="4" w:space="0" w:color="auto"/>
            </w:tcBorders>
            <w:vAlign w:val="bottom"/>
          </w:tcPr>
          <w:p w14:paraId="585401B8" w14:textId="5EFB0DCC" w:rsidR="004A11F6" w:rsidRPr="00722539" w:rsidRDefault="004A11F6" w:rsidP="004A11F6">
            <w:pPr>
              <w:ind w:left="720" w:hanging="557"/>
              <w:contextualSpacing/>
              <w:jc w:val="right"/>
              <w:rPr>
                <w:rFonts w:cstheme="minorHAnsi"/>
                <w:color w:val="000000"/>
                <w:sz w:val="24"/>
                <w:szCs w:val="24"/>
                <w:highlight w:val="yellow"/>
              </w:rPr>
            </w:pPr>
            <w:r w:rsidRPr="00722539">
              <w:rPr>
                <w:color w:val="000000"/>
                <w:sz w:val="24"/>
                <w:szCs w:val="24"/>
              </w:rPr>
              <w:t>2.70%</w:t>
            </w:r>
          </w:p>
        </w:tc>
      </w:tr>
      <w:tr w:rsidR="004A11F6" w:rsidRPr="00E20DEA" w14:paraId="342F5A02" w14:textId="4B657C06" w:rsidTr="00A33AC9">
        <w:trPr>
          <w:cantSplit/>
          <w:trHeight w:val="144"/>
          <w:jc w:val="center"/>
        </w:trPr>
        <w:tc>
          <w:tcPr>
            <w:tcW w:w="4135" w:type="dxa"/>
            <w:tcBorders>
              <w:top w:val="nil"/>
              <w:left w:val="single" w:sz="4" w:space="0" w:color="auto"/>
              <w:bottom w:val="nil"/>
              <w:right w:val="single" w:sz="4" w:space="0" w:color="auto"/>
            </w:tcBorders>
            <w:vAlign w:val="bottom"/>
          </w:tcPr>
          <w:p w14:paraId="67879F66" w14:textId="32B5FF9D" w:rsidR="004A11F6" w:rsidRPr="00E20DEA" w:rsidRDefault="004A11F6" w:rsidP="004A11F6">
            <w:pPr>
              <w:ind w:left="720" w:hanging="557"/>
              <w:contextualSpacing/>
              <w:rPr>
                <w:rFonts w:cstheme="minorHAnsi"/>
                <w:color w:val="000000"/>
                <w:sz w:val="24"/>
                <w:szCs w:val="24"/>
                <w:highlight w:val="yellow"/>
              </w:rPr>
            </w:pPr>
            <w:r w:rsidRPr="0049734C">
              <w:rPr>
                <w:rFonts w:eastAsia="Times New Roman" w:cs="Arial"/>
                <w:color w:val="000000"/>
              </w:rPr>
              <w:t>Native Hawaiian or Other Pacific Islander</w:t>
            </w:r>
          </w:p>
        </w:tc>
        <w:tc>
          <w:tcPr>
            <w:tcW w:w="1710" w:type="dxa"/>
            <w:tcBorders>
              <w:top w:val="nil"/>
              <w:left w:val="single" w:sz="4" w:space="0" w:color="auto"/>
              <w:bottom w:val="nil"/>
              <w:right w:val="single" w:sz="4" w:space="0" w:color="auto"/>
            </w:tcBorders>
            <w:vAlign w:val="bottom"/>
          </w:tcPr>
          <w:p w14:paraId="58FAEA77" w14:textId="291471CF" w:rsidR="004A11F6" w:rsidRPr="00976DBF" w:rsidRDefault="004A11F6" w:rsidP="004A11F6">
            <w:pPr>
              <w:ind w:left="720" w:hanging="557"/>
              <w:contextualSpacing/>
              <w:jc w:val="right"/>
              <w:rPr>
                <w:rFonts w:cstheme="minorHAnsi"/>
                <w:sz w:val="24"/>
                <w:szCs w:val="24"/>
                <w:highlight w:val="yellow"/>
              </w:rPr>
            </w:pPr>
            <w:r w:rsidRPr="00976DBF">
              <w:rPr>
                <w:color w:val="000000"/>
                <w:sz w:val="24"/>
                <w:szCs w:val="24"/>
              </w:rPr>
              <w:t>0.06%</w:t>
            </w:r>
          </w:p>
        </w:tc>
        <w:tc>
          <w:tcPr>
            <w:tcW w:w="1865" w:type="dxa"/>
            <w:tcBorders>
              <w:top w:val="nil"/>
              <w:left w:val="single" w:sz="4" w:space="0" w:color="auto"/>
              <w:bottom w:val="nil"/>
              <w:right w:val="single" w:sz="4" w:space="0" w:color="auto"/>
            </w:tcBorders>
            <w:vAlign w:val="bottom"/>
          </w:tcPr>
          <w:p w14:paraId="5ED1B094" w14:textId="5620B21C" w:rsidR="004A11F6" w:rsidRPr="00C713CD" w:rsidRDefault="004A11F6" w:rsidP="004A11F6">
            <w:pPr>
              <w:ind w:left="720" w:hanging="557"/>
              <w:contextualSpacing/>
              <w:jc w:val="right"/>
              <w:rPr>
                <w:rFonts w:cstheme="minorHAnsi"/>
                <w:color w:val="000000"/>
                <w:sz w:val="24"/>
                <w:szCs w:val="24"/>
                <w:highlight w:val="yellow"/>
              </w:rPr>
            </w:pPr>
            <w:r w:rsidRPr="00C713CD">
              <w:rPr>
                <w:color w:val="000000"/>
                <w:sz w:val="24"/>
                <w:szCs w:val="24"/>
              </w:rPr>
              <w:t>0.06%</w:t>
            </w:r>
          </w:p>
        </w:tc>
        <w:tc>
          <w:tcPr>
            <w:tcW w:w="1640" w:type="dxa"/>
            <w:tcBorders>
              <w:top w:val="nil"/>
              <w:left w:val="single" w:sz="4" w:space="0" w:color="auto"/>
              <w:bottom w:val="nil"/>
              <w:right w:val="single" w:sz="4" w:space="0" w:color="auto"/>
            </w:tcBorders>
            <w:vAlign w:val="bottom"/>
          </w:tcPr>
          <w:p w14:paraId="0F53E0C7" w14:textId="0A8F4FF4" w:rsidR="004A11F6" w:rsidRPr="00722539" w:rsidRDefault="004A11F6" w:rsidP="004A11F6">
            <w:pPr>
              <w:ind w:left="720" w:hanging="557"/>
              <w:contextualSpacing/>
              <w:jc w:val="right"/>
              <w:rPr>
                <w:rFonts w:cstheme="minorHAnsi"/>
                <w:color w:val="000000"/>
                <w:sz w:val="24"/>
                <w:szCs w:val="24"/>
                <w:highlight w:val="yellow"/>
              </w:rPr>
            </w:pPr>
            <w:r w:rsidRPr="00722539">
              <w:rPr>
                <w:color w:val="000000"/>
                <w:sz w:val="24"/>
                <w:szCs w:val="24"/>
              </w:rPr>
              <w:t>0.07%</w:t>
            </w:r>
          </w:p>
        </w:tc>
      </w:tr>
      <w:tr w:rsidR="004A11F6" w:rsidRPr="00E20DEA" w14:paraId="3B7E9E89" w14:textId="77777777" w:rsidTr="00A33AC9">
        <w:trPr>
          <w:cantSplit/>
          <w:trHeight w:val="144"/>
          <w:jc w:val="center"/>
        </w:trPr>
        <w:tc>
          <w:tcPr>
            <w:tcW w:w="4135" w:type="dxa"/>
            <w:tcBorders>
              <w:top w:val="nil"/>
              <w:left w:val="single" w:sz="4" w:space="0" w:color="auto"/>
              <w:bottom w:val="nil"/>
              <w:right w:val="single" w:sz="4" w:space="0" w:color="auto"/>
            </w:tcBorders>
            <w:vAlign w:val="bottom"/>
          </w:tcPr>
          <w:p w14:paraId="1D892E90" w14:textId="1770B9E0" w:rsidR="004A11F6" w:rsidRPr="00E20DEA" w:rsidRDefault="004A11F6" w:rsidP="004A11F6">
            <w:pPr>
              <w:ind w:left="720" w:hanging="557"/>
              <w:contextualSpacing/>
              <w:rPr>
                <w:rFonts w:cstheme="minorHAnsi"/>
                <w:color w:val="000000"/>
                <w:sz w:val="24"/>
                <w:szCs w:val="24"/>
                <w:highlight w:val="yellow"/>
              </w:rPr>
            </w:pPr>
            <w:r w:rsidRPr="0049734C">
              <w:rPr>
                <w:rFonts w:eastAsia="Times New Roman" w:cs="Arial"/>
                <w:color w:val="000000"/>
              </w:rPr>
              <w:t>Other</w:t>
            </w:r>
          </w:p>
        </w:tc>
        <w:tc>
          <w:tcPr>
            <w:tcW w:w="1710" w:type="dxa"/>
            <w:tcBorders>
              <w:top w:val="nil"/>
              <w:left w:val="single" w:sz="4" w:space="0" w:color="auto"/>
              <w:bottom w:val="nil"/>
              <w:right w:val="single" w:sz="4" w:space="0" w:color="auto"/>
            </w:tcBorders>
            <w:vAlign w:val="bottom"/>
          </w:tcPr>
          <w:p w14:paraId="32CC02F6" w14:textId="232D9D58" w:rsidR="004A11F6" w:rsidRPr="00976DBF" w:rsidRDefault="004A11F6" w:rsidP="004A11F6">
            <w:pPr>
              <w:ind w:left="720" w:hanging="557"/>
              <w:contextualSpacing/>
              <w:jc w:val="right"/>
              <w:rPr>
                <w:rFonts w:cstheme="minorHAnsi"/>
                <w:color w:val="000000"/>
                <w:sz w:val="24"/>
                <w:szCs w:val="24"/>
                <w:highlight w:val="yellow"/>
              </w:rPr>
            </w:pPr>
            <w:r w:rsidRPr="00976DBF">
              <w:rPr>
                <w:color w:val="000000"/>
                <w:sz w:val="24"/>
                <w:szCs w:val="24"/>
              </w:rPr>
              <w:t>2.55%</w:t>
            </w:r>
          </w:p>
        </w:tc>
        <w:tc>
          <w:tcPr>
            <w:tcW w:w="1865" w:type="dxa"/>
            <w:tcBorders>
              <w:top w:val="nil"/>
              <w:left w:val="single" w:sz="4" w:space="0" w:color="auto"/>
              <w:bottom w:val="nil"/>
              <w:right w:val="single" w:sz="4" w:space="0" w:color="auto"/>
            </w:tcBorders>
            <w:vAlign w:val="bottom"/>
          </w:tcPr>
          <w:p w14:paraId="579A5721" w14:textId="0B21CB7D" w:rsidR="004A11F6" w:rsidRPr="00C713CD" w:rsidRDefault="004A11F6" w:rsidP="004A11F6">
            <w:pPr>
              <w:ind w:left="720" w:hanging="557"/>
              <w:contextualSpacing/>
              <w:jc w:val="right"/>
              <w:rPr>
                <w:rFonts w:cstheme="minorHAnsi"/>
                <w:color w:val="000000"/>
                <w:sz w:val="24"/>
                <w:szCs w:val="24"/>
                <w:highlight w:val="yellow"/>
              </w:rPr>
            </w:pPr>
            <w:r w:rsidRPr="00C713CD">
              <w:rPr>
                <w:color w:val="000000"/>
                <w:sz w:val="24"/>
                <w:szCs w:val="24"/>
              </w:rPr>
              <w:t>2.51%</w:t>
            </w:r>
          </w:p>
        </w:tc>
        <w:tc>
          <w:tcPr>
            <w:tcW w:w="1640" w:type="dxa"/>
            <w:tcBorders>
              <w:top w:val="nil"/>
              <w:left w:val="single" w:sz="4" w:space="0" w:color="auto"/>
              <w:bottom w:val="nil"/>
              <w:right w:val="single" w:sz="4" w:space="0" w:color="auto"/>
            </w:tcBorders>
            <w:vAlign w:val="bottom"/>
          </w:tcPr>
          <w:p w14:paraId="570D7CEE" w14:textId="54D5CC58" w:rsidR="004A11F6" w:rsidRPr="00722539" w:rsidRDefault="004A11F6" w:rsidP="004A11F6">
            <w:pPr>
              <w:ind w:left="720" w:hanging="557"/>
              <w:contextualSpacing/>
              <w:jc w:val="right"/>
              <w:rPr>
                <w:rFonts w:cstheme="minorHAnsi"/>
                <w:color w:val="000000"/>
                <w:sz w:val="24"/>
                <w:szCs w:val="24"/>
                <w:highlight w:val="yellow"/>
              </w:rPr>
            </w:pPr>
            <w:r w:rsidRPr="00722539">
              <w:rPr>
                <w:color w:val="000000"/>
                <w:sz w:val="24"/>
                <w:szCs w:val="24"/>
              </w:rPr>
              <w:t>3.50%</w:t>
            </w:r>
          </w:p>
        </w:tc>
      </w:tr>
      <w:tr w:rsidR="004A11F6" w:rsidRPr="00E20DEA" w14:paraId="371C557B" w14:textId="77777777" w:rsidTr="00A33AC9">
        <w:trPr>
          <w:cantSplit/>
          <w:trHeight w:val="144"/>
          <w:jc w:val="center"/>
        </w:trPr>
        <w:tc>
          <w:tcPr>
            <w:tcW w:w="4135" w:type="dxa"/>
            <w:tcBorders>
              <w:top w:val="nil"/>
              <w:left w:val="single" w:sz="4" w:space="0" w:color="auto"/>
              <w:bottom w:val="nil"/>
              <w:right w:val="single" w:sz="4" w:space="0" w:color="auto"/>
            </w:tcBorders>
            <w:vAlign w:val="bottom"/>
          </w:tcPr>
          <w:p w14:paraId="1D76DD2A" w14:textId="4E40BADD" w:rsidR="004A11F6" w:rsidRPr="00E20DEA" w:rsidRDefault="004A11F6" w:rsidP="004A11F6">
            <w:pPr>
              <w:ind w:left="720" w:hanging="557"/>
              <w:contextualSpacing/>
              <w:rPr>
                <w:rFonts w:cstheme="minorHAnsi"/>
                <w:color w:val="000000"/>
                <w:sz w:val="24"/>
                <w:szCs w:val="24"/>
                <w:highlight w:val="yellow"/>
              </w:rPr>
            </w:pPr>
            <w:r w:rsidRPr="0049734C">
              <w:rPr>
                <w:rFonts w:eastAsia="Times New Roman" w:cs="Arial"/>
                <w:color w:val="000000"/>
              </w:rPr>
              <w:t>Unknown</w:t>
            </w:r>
          </w:p>
        </w:tc>
        <w:tc>
          <w:tcPr>
            <w:tcW w:w="1710" w:type="dxa"/>
            <w:tcBorders>
              <w:top w:val="nil"/>
              <w:left w:val="single" w:sz="4" w:space="0" w:color="auto"/>
              <w:bottom w:val="nil"/>
              <w:right w:val="single" w:sz="4" w:space="0" w:color="auto"/>
            </w:tcBorders>
            <w:vAlign w:val="bottom"/>
          </w:tcPr>
          <w:p w14:paraId="740F4EEC" w14:textId="3BB6CEA7" w:rsidR="004A11F6" w:rsidRPr="00976DBF" w:rsidRDefault="004A11F6" w:rsidP="004A11F6">
            <w:pPr>
              <w:ind w:left="720" w:hanging="557"/>
              <w:contextualSpacing/>
              <w:jc w:val="right"/>
              <w:rPr>
                <w:rFonts w:cstheme="minorHAnsi"/>
                <w:color w:val="000000"/>
                <w:sz w:val="24"/>
                <w:szCs w:val="24"/>
                <w:highlight w:val="yellow"/>
              </w:rPr>
            </w:pPr>
            <w:r w:rsidRPr="00976DBF">
              <w:rPr>
                <w:color w:val="000000"/>
                <w:sz w:val="24"/>
                <w:szCs w:val="24"/>
              </w:rPr>
              <w:t>3.17%</w:t>
            </w:r>
          </w:p>
        </w:tc>
        <w:tc>
          <w:tcPr>
            <w:tcW w:w="1865" w:type="dxa"/>
            <w:tcBorders>
              <w:top w:val="nil"/>
              <w:left w:val="single" w:sz="4" w:space="0" w:color="auto"/>
              <w:bottom w:val="nil"/>
              <w:right w:val="single" w:sz="4" w:space="0" w:color="auto"/>
            </w:tcBorders>
            <w:vAlign w:val="bottom"/>
          </w:tcPr>
          <w:p w14:paraId="0A53BC8F" w14:textId="43558628" w:rsidR="004A11F6" w:rsidRPr="00C713CD" w:rsidRDefault="004A11F6" w:rsidP="004A11F6">
            <w:pPr>
              <w:ind w:left="720" w:hanging="557"/>
              <w:contextualSpacing/>
              <w:jc w:val="right"/>
              <w:rPr>
                <w:rFonts w:cstheme="minorHAnsi"/>
                <w:color w:val="000000"/>
                <w:sz w:val="24"/>
                <w:szCs w:val="24"/>
                <w:highlight w:val="yellow"/>
              </w:rPr>
            </w:pPr>
            <w:r w:rsidRPr="00C713CD">
              <w:rPr>
                <w:color w:val="000000"/>
                <w:sz w:val="24"/>
                <w:szCs w:val="24"/>
              </w:rPr>
              <w:t>1.88%</w:t>
            </w:r>
          </w:p>
        </w:tc>
        <w:tc>
          <w:tcPr>
            <w:tcW w:w="1640" w:type="dxa"/>
            <w:tcBorders>
              <w:top w:val="nil"/>
              <w:left w:val="single" w:sz="4" w:space="0" w:color="auto"/>
              <w:bottom w:val="nil"/>
              <w:right w:val="single" w:sz="4" w:space="0" w:color="auto"/>
            </w:tcBorders>
            <w:vAlign w:val="bottom"/>
          </w:tcPr>
          <w:p w14:paraId="49756123" w14:textId="7C139DF7" w:rsidR="004A11F6" w:rsidRPr="00722539" w:rsidRDefault="004A11F6" w:rsidP="004A11F6">
            <w:pPr>
              <w:ind w:left="720" w:hanging="557"/>
              <w:contextualSpacing/>
              <w:jc w:val="right"/>
              <w:rPr>
                <w:rFonts w:cstheme="minorHAnsi"/>
                <w:color w:val="000000"/>
                <w:sz w:val="24"/>
                <w:szCs w:val="24"/>
                <w:highlight w:val="yellow"/>
              </w:rPr>
            </w:pPr>
            <w:r w:rsidRPr="00722539">
              <w:rPr>
                <w:color w:val="000000"/>
                <w:sz w:val="24"/>
                <w:szCs w:val="24"/>
              </w:rPr>
              <w:t>0.50%</w:t>
            </w:r>
          </w:p>
        </w:tc>
      </w:tr>
      <w:tr w:rsidR="004A11F6" w:rsidRPr="00E20DEA" w14:paraId="7708551A" w14:textId="0FE5E7DE" w:rsidTr="00A33AC9">
        <w:trPr>
          <w:cantSplit/>
          <w:trHeight w:val="144"/>
          <w:jc w:val="center"/>
        </w:trPr>
        <w:tc>
          <w:tcPr>
            <w:tcW w:w="4135" w:type="dxa"/>
            <w:tcBorders>
              <w:top w:val="nil"/>
              <w:left w:val="single" w:sz="4" w:space="0" w:color="auto"/>
              <w:bottom w:val="nil"/>
              <w:right w:val="single" w:sz="4" w:space="0" w:color="auto"/>
            </w:tcBorders>
            <w:vAlign w:val="bottom"/>
          </w:tcPr>
          <w:p w14:paraId="179CBD72" w14:textId="218E0C07" w:rsidR="004A11F6" w:rsidRPr="00E20DEA" w:rsidRDefault="004A11F6" w:rsidP="004A11F6">
            <w:pPr>
              <w:ind w:left="720" w:hanging="557"/>
              <w:contextualSpacing/>
              <w:rPr>
                <w:rFonts w:cstheme="minorHAnsi"/>
                <w:color w:val="000000"/>
                <w:sz w:val="24"/>
                <w:szCs w:val="24"/>
                <w:highlight w:val="yellow"/>
              </w:rPr>
            </w:pPr>
            <w:r w:rsidRPr="0049734C">
              <w:rPr>
                <w:rFonts w:eastAsia="Times New Roman" w:cs="Arial"/>
                <w:color w:val="000000"/>
              </w:rPr>
              <w:t>Patient Declined</w:t>
            </w:r>
          </w:p>
        </w:tc>
        <w:tc>
          <w:tcPr>
            <w:tcW w:w="1710" w:type="dxa"/>
            <w:tcBorders>
              <w:top w:val="nil"/>
              <w:left w:val="single" w:sz="4" w:space="0" w:color="auto"/>
              <w:bottom w:val="nil"/>
              <w:right w:val="single" w:sz="4" w:space="0" w:color="auto"/>
            </w:tcBorders>
            <w:vAlign w:val="bottom"/>
          </w:tcPr>
          <w:p w14:paraId="731C7329" w14:textId="21D769DE" w:rsidR="004A11F6" w:rsidRPr="00976DBF" w:rsidRDefault="004A11F6" w:rsidP="004A11F6">
            <w:pPr>
              <w:ind w:left="720" w:hanging="557"/>
              <w:contextualSpacing/>
              <w:jc w:val="right"/>
              <w:rPr>
                <w:rFonts w:cstheme="minorHAnsi"/>
                <w:sz w:val="24"/>
                <w:szCs w:val="24"/>
                <w:highlight w:val="yellow"/>
              </w:rPr>
            </w:pPr>
            <w:r w:rsidRPr="00976DBF">
              <w:rPr>
                <w:color w:val="000000"/>
                <w:sz w:val="24"/>
                <w:szCs w:val="24"/>
              </w:rPr>
              <w:t>0.39%</w:t>
            </w:r>
          </w:p>
        </w:tc>
        <w:tc>
          <w:tcPr>
            <w:tcW w:w="1865" w:type="dxa"/>
            <w:tcBorders>
              <w:top w:val="nil"/>
              <w:left w:val="single" w:sz="4" w:space="0" w:color="auto"/>
              <w:bottom w:val="nil"/>
              <w:right w:val="single" w:sz="4" w:space="0" w:color="auto"/>
            </w:tcBorders>
            <w:vAlign w:val="bottom"/>
          </w:tcPr>
          <w:p w14:paraId="6CE9AE91" w14:textId="39B8B4F1" w:rsidR="004A11F6" w:rsidRPr="00C713CD" w:rsidRDefault="004A11F6" w:rsidP="004A11F6">
            <w:pPr>
              <w:ind w:left="720" w:hanging="557"/>
              <w:contextualSpacing/>
              <w:jc w:val="right"/>
              <w:rPr>
                <w:rFonts w:cstheme="minorHAnsi"/>
                <w:color w:val="000000"/>
                <w:sz w:val="24"/>
                <w:szCs w:val="24"/>
                <w:highlight w:val="yellow"/>
              </w:rPr>
            </w:pPr>
            <w:r w:rsidRPr="00C713CD">
              <w:rPr>
                <w:color w:val="000000"/>
                <w:sz w:val="24"/>
                <w:szCs w:val="24"/>
              </w:rPr>
              <w:t>0.21%</w:t>
            </w:r>
          </w:p>
        </w:tc>
        <w:tc>
          <w:tcPr>
            <w:tcW w:w="1640" w:type="dxa"/>
            <w:tcBorders>
              <w:top w:val="nil"/>
              <w:left w:val="single" w:sz="4" w:space="0" w:color="auto"/>
              <w:bottom w:val="nil"/>
              <w:right w:val="single" w:sz="4" w:space="0" w:color="auto"/>
            </w:tcBorders>
            <w:vAlign w:val="bottom"/>
          </w:tcPr>
          <w:p w14:paraId="01FCEAFF" w14:textId="732B3269" w:rsidR="004A11F6" w:rsidRPr="00722539" w:rsidRDefault="004A11F6" w:rsidP="004A11F6">
            <w:pPr>
              <w:ind w:left="720" w:hanging="557"/>
              <w:contextualSpacing/>
              <w:jc w:val="right"/>
              <w:rPr>
                <w:rFonts w:cstheme="minorHAnsi"/>
                <w:color w:val="000000"/>
                <w:sz w:val="24"/>
                <w:szCs w:val="24"/>
                <w:highlight w:val="yellow"/>
              </w:rPr>
            </w:pPr>
            <w:r w:rsidRPr="00722539">
              <w:rPr>
                <w:color w:val="000000"/>
                <w:sz w:val="24"/>
                <w:szCs w:val="24"/>
              </w:rPr>
              <w:t>0.11%</w:t>
            </w:r>
          </w:p>
        </w:tc>
      </w:tr>
      <w:tr w:rsidR="00EA025B" w:rsidRPr="00E20DEA" w14:paraId="7125D56F" w14:textId="7F3BA784" w:rsidTr="00A15076">
        <w:trPr>
          <w:cantSplit/>
          <w:trHeight w:val="144"/>
          <w:jc w:val="center"/>
        </w:trPr>
        <w:tc>
          <w:tcPr>
            <w:tcW w:w="4135" w:type="dxa"/>
            <w:tcBorders>
              <w:top w:val="nil"/>
              <w:left w:val="single" w:sz="4" w:space="0" w:color="auto"/>
              <w:bottom w:val="single" w:sz="4" w:space="0" w:color="auto"/>
              <w:right w:val="single" w:sz="4" w:space="0" w:color="auto"/>
            </w:tcBorders>
            <w:vAlign w:val="center"/>
          </w:tcPr>
          <w:p w14:paraId="15B5C860" w14:textId="156DA69A" w:rsidR="00EA025B" w:rsidRPr="000F6B27" w:rsidRDefault="00EA025B" w:rsidP="00EA025B">
            <w:pPr>
              <w:ind w:left="720" w:hanging="557"/>
              <w:contextualSpacing/>
              <w:rPr>
                <w:rFonts w:cstheme="minorHAnsi"/>
                <w:color w:val="000000"/>
                <w:sz w:val="24"/>
                <w:szCs w:val="24"/>
                <w:highlight w:val="yellow"/>
              </w:rPr>
            </w:pPr>
            <w:r w:rsidRPr="000F6B27">
              <w:rPr>
                <w:rFonts w:cstheme="minorHAnsi"/>
                <w:b/>
                <w:bCs/>
                <w:color w:val="000000"/>
                <w:sz w:val="24"/>
                <w:szCs w:val="24"/>
              </w:rPr>
              <w:t>Total</w:t>
            </w:r>
          </w:p>
        </w:tc>
        <w:tc>
          <w:tcPr>
            <w:tcW w:w="1710" w:type="dxa"/>
            <w:tcBorders>
              <w:top w:val="nil"/>
              <w:left w:val="single" w:sz="4" w:space="0" w:color="auto"/>
              <w:bottom w:val="single" w:sz="4" w:space="0" w:color="auto"/>
              <w:right w:val="single" w:sz="4" w:space="0" w:color="auto"/>
            </w:tcBorders>
            <w:vAlign w:val="center"/>
          </w:tcPr>
          <w:p w14:paraId="79D4BD26" w14:textId="76585C5B" w:rsidR="00EA025B" w:rsidRPr="000F6B27" w:rsidRDefault="00EA025B" w:rsidP="00EA025B">
            <w:pPr>
              <w:ind w:left="720" w:hanging="557"/>
              <w:contextualSpacing/>
              <w:jc w:val="right"/>
              <w:rPr>
                <w:rFonts w:cstheme="minorHAnsi"/>
                <w:sz w:val="24"/>
                <w:szCs w:val="24"/>
              </w:rPr>
            </w:pPr>
            <w:r w:rsidRPr="000F6B27">
              <w:rPr>
                <w:rFonts w:cstheme="minorHAnsi"/>
                <w:b/>
                <w:bCs/>
                <w:color w:val="000000"/>
                <w:sz w:val="24"/>
                <w:szCs w:val="24"/>
              </w:rPr>
              <w:t>100.0%</w:t>
            </w:r>
          </w:p>
        </w:tc>
        <w:tc>
          <w:tcPr>
            <w:tcW w:w="1865" w:type="dxa"/>
            <w:tcBorders>
              <w:top w:val="nil"/>
              <w:left w:val="single" w:sz="4" w:space="0" w:color="auto"/>
              <w:bottom w:val="single" w:sz="4" w:space="0" w:color="auto"/>
              <w:right w:val="single" w:sz="4" w:space="0" w:color="auto"/>
            </w:tcBorders>
          </w:tcPr>
          <w:p w14:paraId="61206604" w14:textId="36DC134F" w:rsidR="00EA025B" w:rsidRPr="000F6B27" w:rsidRDefault="00EA025B" w:rsidP="00EA025B">
            <w:pPr>
              <w:ind w:left="720" w:hanging="557"/>
              <w:contextualSpacing/>
              <w:jc w:val="right"/>
              <w:rPr>
                <w:rFonts w:cstheme="minorHAnsi"/>
                <w:b/>
                <w:bCs/>
                <w:color w:val="000000"/>
                <w:sz w:val="24"/>
                <w:szCs w:val="24"/>
              </w:rPr>
            </w:pPr>
            <w:r w:rsidRPr="000F6B27">
              <w:rPr>
                <w:rFonts w:cstheme="minorHAnsi"/>
                <w:b/>
                <w:bCs/>
                <w:color w:val="000000"/>
                <w:sz w:val="24"/>
                <w:szCs w:val="24"/>
              </w:rPr>
              <w:t>100.0%</w:t>
            </w:r>
          </w:p>
        </w:tc>
        <w:tc>
          <w:tcPr>
            <w:tcW w:w="1640" w:type="dxa"/>
            <w:tcBorders>
              <w:top w:val="nil"/>
              <w:left w:val="single" w:sz="4" w:space="0" w:color="auto"/>
              <w:bottom w:val="single" w:sz="4" w:space="0" w:color="auto"/>
              <w:right w:val="single" w:sz="4" w:space="0" w:color="auto"/>
            </w:tcBorders>
          </w:tcPr>
          <w:p w14:paraId="2E9669DE" w14:textId="33DD881B" w:rsidR="00EA025B" w:rsidRPr="000F6B27" w:rsidRDefault="00EA025B" w:rsidP="00EA025B">
            <w:pPr>
              <w:ind w:left="720" w:hanging="557"/>
              <w:contextualSpacing/>
              <w:jc w:val="right"/>
              <w:rPr>
                <w:rFonts w:cstheme="minorHAnsi"/>
                <w:b/>
                <w:bCs/>
                <w:color w:val="000000"/>
                <w:sz w:val="24"/>
                <w:szCs w:val="24"/>
              </w:rPr>
            </w:pPr>
            <w:r w:rsidRPr="000F6B27">
              <w:rPr>
                <w:rFonts w:cstheme="minorHAnsi"/>
                <w:b/>
                <w:bCs/>
                <w:color w:val="000000"/>
                <w:sz w:val="24"/>
                <w:szCs w:val="24"/>
              </w:rPr>
              <w:t>100.0%</w:t>
            </w:r>
          </w:p>
        </w:tc>
      </w:tr>
      <w:tr w:rsidR="00EA025B" w:rsidRPr="00E20DEA" w14:paraId="063F0844" w14:textId="77777777" w:rsidTr="00A15076">
        <w:trPr>
          <w:cantSplit/>
          <w:trHeight w:val="144"/>
          <w:jc w:val="center"/>
        </w:trPr>
        <w:tc>
          <w:tcPr>
            <w:tcW w:w="4135" w:type="dxa"/>
            <w:tcBorders>
              <w:top w:val="single" w:sz="4" w:space="0" w:color="auto"/>
              <w:left w:val="single" w:sz="4" w:space="0" w:color="auto"/>
              <w:bottom w:val="nil"/>
              <w:right w:val="single" w:sz="4" w:space="0" w:color="auto"/>
            </w:tcBorders>
            <w:shd w:val="clear" w:color="auto" w:fill="auto"/>
          </w:tcPr>
          <w:p w14:paraId="0BD088F5" w14:textId="533CD3DB" w:rsidR="00EA025B" w:rsidRPr="00E20DEA" w:rsidRDefault="00EA025B" w:rsidP="00EA025B">
            <w:pPr>
              <w:contextualSpacing/>
              <w:rPr>
                <w:rFonts w:eastAsia="Calibri" w:cstheme="minorHAnsi"/>
                <w:b/>
                <w:highlight w:val="yellow"/>
              </w:rPr>
            </w:pPr>
            <w:r w:rsidRPr="00722539">
              <w:rPr>
                <w:rFonts w:eastAsia="Calibri" w:cstheme="minorHAnsi"/>
                <w:b/>
              </w:rPr>
              <w:t>Ethnicity</w:t>
            </w:r>
          </w:p>
        </w:tc>
        <w:tc>
          <w:tcPr>
            <w:tcW w:w="1710" w:type="dxa"/>
            <w:tcBorders>
              <w:top w:val="single" w:sz="4" w:space="0" w:color="auto"/>
              <w:left w:val="single" w:sz="4" w:space="0" w:color="auto"/>
              <w:bottom w:val="nil"/>
              <w:right w:val="single" w:sz="4" w:space="0" w:color="auto"/>
            </w:tcBorders>
          </w:tcPr>
          <w:p w14:paraId="5A22C3CB" w14:textId="77777777" w:rsidR="00EA025B" w:rsidRPr="00E20DEA" w:rsidRDefault="00EA025B" w:rsidP="00EA025B">
            <w:pPr>
              <w:ind w:left="720" w:hanging="557"/>
              <w:contextualSpacing/>
              <w:jc w:val="right"/>
              <w:rPr>
                <w:rFonts w:cstheme="minorHAnsi"/>
                <w:highlight w:val="yellow"/>
              </w:rPr>
            </w:pPr>
          </w:p>
        </w:tc>
        <w:tc>
          <w:tcPr>
            <w:tcW w:w="1865" w:type="dxa"/>
            <w:tcBorders>
              <w:top w:val="single" w:sz="4" w:space="0" w:color="auto"/>
              <w:left w:val="single" w:sz="4" w:space="0" w:color="auto"/>
              <w:bottom w:val="nil"/>
              <w:right w:val="single" w:sz="4" w:space="0" w:color="auto"/>
            </w:tcBorders>
          </w:tcPr>
          <w:p w14:paraId="02BE23B5" w14:textId="77777777" w:rsidR="00EA025B" w:rsidRPr="00E20DEA" w:rsidRDefault="00EA025B" w:rsidP="00EA025B">
            <w:pPr>
              <w:ind w:left="720" w:hanging="557"/>
              <w:contextualSpacing/>
              <w:jc w:val="right"/>
              <w:rPr>
                <w:rFonts w:cstheme="minorHAnsi"/>
                <w:highlight w:val="yellow"/>
              </w:rPr>
            </w:pPr>
          </w:p>
        </w:tc>
        <w:tc>
          <w:tcPr>
            <w:tcW w:w="1640" w:type="dxa"/>
            <w:tcBorders>
              <w:top w:val="single" w:sz="4" w:space="0" w:color="auto"/>
              <w:left w:val="single" w:sz="4" w:space="0" w:color="auto"/>
              <w:bottom w:val="nil"/>
              <w:right w:val="single" w:sz="4" w:space="0" w:color="auto"/>
            </w:tcBorders>
          </w:tcPr>
          <w:p w14:paraId="536C8BE1" w14:textId="77777777" w:rsidR="00EA025B" w:rsidRPr="00E20DEA" w:rsidRDefault="00EA025B" w:rsidP="00EA025B">
            <w:pPr>
              <w:ind w:left="720" w:hanging="557"/>
              <w:contextualSpacing/>
              <w:jc w:val="right"/>
              <w:rPr>
                <w:rFonts w:cstheme="minorHAnsi"/>
                <w:highlight w:val="yellow"/>
              </w:rPr>
            </w:pPr>
          </w:p>
        </w:tc>
      </w:tr>
      <w:tr w:rsidR="00C54B41" w:rsidRPr="00E20DEA" w14:paraId="7137381A" w14:textId="77777777" w:rsidTr="00A33AC9">
        <w:trPr>
          <w:cantSplit/>
          <w:trHeight w:val="144"/>
          <w:jc w:val="center"/>
        </w:trPr>
        <w:tc>
          <w:tcPr>
            <w:tcW w:w="4135" w:type="dxa"/>
            <w:tcBorders>
              <w:top w:val="nil"/>
              <w:left w:val="single" w:sz="4" w:space="0" w:color="auto"/>
              <w:bottom w:val="nil"/>
              <w:right w:val="single" w:sz="4" w:space="0" w:color="auto"/>
            </w:tcBorders>
            <w:shd w:val="clear" w:color="auto" w:fill="auto"/>
            <w:vAlign w:val="bottom"/>
          </w:tcPr>
          <w:p w14:paraId="5D0E41B0" w14:textId="66176297" w:rsidR="00C54B41" w:rsidRPr="00351600" w:rsidRDefault="00C54B41" w:rsidP="00C54B41">
            <w:pPr>
              <w:contextualSpacing/>
              <w:rPr>
                <w:rFonts w:eastAsia="Calibri" w:cstheme="minorHAnsi"/>
                <w:b/>
                <w:sz w:val="24"/>
                <w:szCs w:val="24"/>
                <w:highlight w:val="yellow"/>
              </w:rPr>
            </w:pPr>
            <w:r w:rsidRPr="00351600">
              <w:rPr>
                <w:rFonts w:eastAsia="Times New Roman" w:cs="Arial"/>
                <w:color w:val="000000"/>
                <w:sz w:val="24"/>
                <w:szCs w:val="24"/>
              </w:rPr>
              <w:t xml:space="preserve">   Hispanic/Latino</w:t>
            </w:r>
          </w:p>
        </w:tc>
        <w:tc>
          <w:tcPr>
            <w:tcW w:w="1710" w:type="dxa"/>
            <w:tcBorders>
              <w:top w:val="nil"/>
              <w:left w:val="single" w:sz="4" w:space="0" w:color="auto"/>
              <w:bottom w:val="nil"/>
              <w:right w:val="single" w:sz="4" w:space="0" w:color="auto"/>
            </w:tcBorders>
            <w:vAlign w:val="bottom"/>
          </w:tcPr>
          <w:p w14:paraId="06FAD1D6" w14:textId="1DD42BE4" w:rsidR="00C54B41" w:rsidRPr="00C54B41" w:rsidRDefault="00C54B41" w:rsidP="00C54B41">
            <w:pPr>
              <w:ind w:left="720" w:hanging="557"/>
              <w:contextualSpacing/>
              <w:jc w:val="right"/>
              <w:rPr>
                <w:rFonts w:cstheme="minorHAnsi"/>
                <w:sz w:val="24"/>
                <w:szCs w:val="24"/>
                <w:highlight w:val="yellow"/>
              </w:rPr>
            </w:pPr>
            <w:r w:rsidRPr="00C54B41">
              <w:rPr>
                <w:color w:val="000000"/>
                <w:sz w:val="24"/>
                <w:szCs w:val="24"/>
              </w:rPr>
              <w:t>6.17%</w:t>
            </w:r>
          </w:p>
        </w:tc>
        <w:tc>
          <w:tcPr>
            <w:tcW w:w="1865" w:type="dxa"/>
            <w:tcBorders>
              <w:top w:val="nil"/>
              <w:left w:val="single" w:sz="4" w:space="0" w:color="auto"/>
              <w:bottom w:val="nil"/>
              <w:right w:val="single" w:sz="4" w:space="0" w:color="auto"/>
            </w:tcBorders>
            <w:vAlign w:val="bottom"/>
          </w:tcPr>
          <w:p w14:paraId="5F50AA80" w14:textId="61EDB107" w:rsidR="00C54B41" w:rsidRPr="00C54B41" w:rsidRDefault="00C54B41" w:rsidP="00C54B41">
            <w:pPr>
              <w:ind w:left="720" w:hanging="557"/>
              <w:contextualSpacing/>
              <w:jc w:val="right"/>
              <w:rPr>
                <w:rFonts w:cstheme="minorHAnsi"/>
                <w:sz w:val="24"/>
                <w:szCs w:val="24"/>
                <w:highlight w:val="yellow"/>
              </w:rPr>
            </w:pPr>
            <w:r w:rsidRPr="00C54B41">
              <w:rPr>
                <w:color w:val="000000"/>
                <w:sz w:val="24"/>
                <w:szCs w:val="24"/>
              </w:rPr>
              <w:t>6.65%</w:t>
            </w:r>
          </w:p>
        </w:tc>
        <w:tc>
          <w:tcPr>
            <w:tcW w:w="1640" w:type="dxa"/>
            <w:tcBorders>
              <w:top w:val="nil"/>
              <w:left w:val="single" w:sz="4" w:space="0" w:color="auto"/>
              <w:bottom w:val="nil"/>
              <w:right w:val="single" w:sz="4" w:space="0" w:color="auto"/>
            </w:tcBorders>
            <w:vAlign w:val="bottom"/>
          </w:tcPr>
          <w:p w14:paraId="34A9CD56" w14:textId="623DD0AA" w:rsidR="00C54B41" w:rsidRPr="00C54B41" w:rsidRDefault="00C54B41" w:rsidP="00C54B41">
            <w:pPr>
              <w:ind w:left="720" w:hanging="557"/>
              <w:contextualSpacing/>
              <w:jc w:val="right"/>
              <w:rPr>
                <w:rFonts w:cstheme="minorHAnsi"/>
                <w:sz w:val="24"/>
                <w:szCs w:val="24"/>
                <w:highlight w:val="yellow"/>
              </w:rPr>
            </w:pPr>
            <w:r w:rsidRPr="00C54B41">
              <w:rPr>
                <w:color w:val="000000"/>
                <w:sz w:val="24"/>
                <w:szCs w:val="24"/>
              </w:rPr>
              <w:t>9.39%</w:t>
            </w:r>
          </w:p>
        </w:tc>
      </w:tr>
      <w:tr w:rsidR="00C54B41" w:rsidRPr="00E20DEA" w14:paraId="5C2D12B6" w14:textId="77777777" w:rsidTr="00A33AC9">
        <w:trPr>
          <w:cantSplit/>
          <w:trHeight w:val="144"/>
          <w:jc w:val="center"/>
        </w:trPr>
        <w:tc>
          <w:tcPr>
            <w:tcW w:w="4135" w:type="dxa"/>
            <w:tcBorders>
              <w:top w:val="nil"/>
              <w:left w:val="single" w:sz="4" w:space="0" w:color="auto"/>
              <w:bottom w:val="nil"/>
              <w:right w:val="single" w:sz="4" w:space="0" w:color="auto"/>
            </w:tcBorders>
            <w:shd w:val="clear" w:color="auto" w:fill="auto"/>
            <w:vAlign w:val="bottom"/>
          </w:tcPr>
          <w:p w14:paraId="64D23B03" w14:textId="54DD30E8" w:rsidR="00C54B41" w:rsidRPr="00351600" w:rsidRDefault="00C54B41" w:rsidP="00C54B41">
            <w:pPr>
              <w:contextualSpacing/>
              <w:rPr>
                <w:rFonts w:eastAsia="Calibri" w:cstheme="minorHAnsi"/>
                <w:b/>
                <w:sz w:val="24"/>
                <w:szCs w:val="24"/>
                <w:highlight w:val="yellow"/>
              </w:rPr>
            </w:pPr>
            <w:r w:rsidRPr="00351600">
              <w:rPr>
                <w:rFonts w:eastAsia="Times New Roman" w:cs="Arial"/>
                <w:color w:val="000000"/>
                <w:sz w:val="24"/>
                <w:szCs w:val="24"/>
              </w:rPr>
              <w:t xml:space="preserve">   Not Hispanic/Latino</w:t>
            </w:r>
          </w:p>
        </w:tc>
        <w:tc>
          <w:tcPr>
            <w:tcW w:w="1710" w:type="dxa"/>
            <w:tcBorders>
              <w:top w:val="nil"/>
              <w:left w:val="single" w:sz="4" w:space="0" w:color="auto"/>
              <w:bottom w:val="nil"/>
              <w:right w:val="single" w:sz="4" w:space="0" w:color="auto"/>
            </w:tcBorders>
            <w:vAlign w:val="bottom"/>
          </w:tcPr>
          <w:p w14:paraId="702ECC09" w14:textId="1630F673" w:rsidR="00C54B41" w:rsidRPr="00C54B41" w:rsidRDefault="00C54B41" w:rsidP="00C54B41">
            <w:pPr>
              <w:ind w:left="720" w:hanging="557"/>
              <w:contextualSpacing/>
              <w:jc w:val="right"/>
              <w:rPr>
                <w:rFonts w:cstheme="minorHAnsi"/>
                <w:sz w:val="24"/>
                <w:szCs w:val="24"/>
                <w:highlight w:val="yellow"/>
              </w:rPr>
            </w:pPr>
            <w:r w:rsidRPr="00C54B41">
              <w:rPr>
                <w:color w:val="000000"/>
                <w:sz w:val="24"/>
                <w:szCs w:val="24"/>
              </w:rPr>
              <w:t>86.03%</w:t>
            </w:r>
          </w:p>
        </w:tc>
        <w:tc>
          <w:tcPr>
            <w:tcW w:w="1865" w:type="dxa"/>
            <w:tcBorders>
              <w:top w:val="nil"/>
              <w:left w:val="single" w:sz="4" w:space="0" w:color="auto"/>
              <w:bottom w:val="nil"/>
              <w:right w:val="single" w:sz="4" w:space="0" w:color="auto"/>
            </w:tcBorders>
            <w:vAlign w:val="bottom"/>
          </w:tcPr>
          <w:p w14:paraId="4E566F54" w14:textId="72E5CB3B" w:rsidR="00C54B41" w:rsidRPr="00C54B41" w:rsidRDefault="00C54B41" w:rsidP="00C54B41">
            <w:pPr>
              <w:ind w:left="720" w:hanging="557"/>
              <w:contextualSpacing/>
              <w:jc w:val="right"/>
              <w:rPr>
                <w:rFonts w:cstheme="minorHAnsi"/>
                <w:sz w:val="24"/>
                <w:szCs w:val="24"/>
                <w:highlight w:val="yellow"/>
              </w:rPr>
            </w:pPr>
            <w:r w:rsidRPr="00C54B41">
              <w:rPr>
                <w:color w:val="000000"/>
                <w:sz w:val="24"/>
                <w:szCs w:val="24"/>
              </w:rPr>
              <w:t>88.53%</w:t>
            </w:r>
          </w:p>
        </w:tc>
        <w:tc>
          <w:tcPr>
            <w:tcW w:w="1640" w:type="dxa"/>
            <w:tcBorders>
              <w:top w:val="nil"/>
              <w:left w:val="single" w:sz="4" w:space="0" w:color="auto"/>
              <w:bottom w:val="nil"/>
              <w:right w:val="single" w:sz="4" w:space="0" w:color="auto"/>
            </w:tcBorders>
            <w:vAlign w:val="bottom"/>
          </w:tcPr>
          <w:p w14:paraId="64F9BF4E" w14:textId="1FA38D53" w:rsidR="00C54B41" w:rsidRPr="00C54B41" w:rsidRDefault="00C54B41" w:rsidP="00C54B41">
            <w:pPr>
              <w:ind w:left="720" w:hanging="557"/>
              <w:contextualSpacing/>
              <w:jc w:val="right"/>
              <w:rPr>
                <w:rFonts w:cstheme="minorHAnsi"/>
                <w:sz w:val="24"/>
                <w:szCs w:val="24"/>
                <w:highlight w:val="yellow"/>
              </w:rPr>
            </w:pPr>
            <w:r w:rsidRPr="00C54B41">
              <w:rPr>
                <w:color w:val="000000"/>
                <w:sz w:val="24"/>
                <w:szCs w:val="24"/>
              </w:rPr>
              <w:t>89.13%</w:t>
            </w:r>
          </w:p>
        </w:tc>
      </w:tr>
      <w:tr w:rsidR="00C54B41" w:rsidRPr="00E20DEA" w14:paraId="2FD4E417" w14:textId="77777777" w:rsidTr="00A33AC9">
        <w:trPr>
          <w:cantSplit/>
          <w:trHeight w:val="144"/>
          <w:jc w:val="center"/>
        </w:trPr>
        <w:tc>
          <w:tcPr>
            <w:tcW w:w="4135" w:type="dxa"/>
            <w:tcBorders>
              <w:top w:val="nil"/>
              <w:left w:val="single" w:sz="4" w:space="0" w:color="auto"/>
              <w:bottom w:val="nil"/>
              <w:right w:val="single" w:sz="4" w:space="0" w:color="auto"/>
            </w:tcBorders>
            <w:shd w:val="clear" w:color="auto" w:fill="auto"/>
            <w:vAlign w:val="bottom"/>
          </w:tcPr>
          <w:p w14:paraId="1FFACF28" w14:textId="1C76CB6F" w:rsidR="00C54B41" w:rsidRPr="00351600" w:rsidRDefault="00C54B41" w:rsidP="00C54B41">
            <w:pPr>
              <w:contextualSpacing/>
              <w:rPr>
                <w:rFonts w:eastAsia="Calibri" w:cstheme="minorHAnsi"/>
                <w:b/>
                <w:sz w:val="24"/>
                <w:szCs w:val="24"/>
                <w:highlight w:val="yellow"/>
              </w:rPr>
            </w:pPr>
            <w:r w:rsidRPr="00351600">
              <w:rPr>
                <w:rFonts w:eastAsia="Times New Roman" w:cs="Arial"/>
                <w:color w:val="000000"/>
                <w:sz w:val="24"/>
                <w:szCs w:val="24"/>
              </w:rPr>
              <w:t xml:space="preserve">   Patient Declined</w:t>
            </w:r>
          </w:p>
        </w:tc>
        <w:tc>
          <w:tcPr>
            <w:tcW w:w="1710" w:type="dxa"/>
            <w:tcBorders>
              <w:top w:val="nil"/>
              <w:left w:val="single" w:sz="4" w:space="0" w:color="auto"/>
              <w:bottom w:val="nil"/>
              <w:right w:val="single" w:sz="4" w:space="0" w:color="auto"/>
            </w:tcBorders>
            <w:vAlign w:val="bottom"/>
          </w:tcPr>
          <w:p w14:paraId="73E9F0B1" w14:textId="01FB4E3D" w:rsidR="00C54B41" w:rsidRPr="00C54B41" w:rsidRDefault="00C54B41" w:rsidP="00C54B41">
            <w:pPr>
              <w:ind w:left="720" w:hanging="557"/>
              <w:contextualSpacing/>
              <w:jc w:val="right"/>
              <w:rPr>
                <w:rFonts w:cstheme="minorHAnsi"/>
                <w:sz w:val="24"/>
                <w:szCs w:val="24"/>
                <w:highlight w:val="yellow"/>
              </w:rPr>
            </w:pPr>
            <w:r w:rsidRPr="00C54B41">
              <w:rPr>
                <w:color w:val="000000"/>
                <w:sz w:val="24"/>
                <w:szCs w:val="24"/>
              </w:rPr>
              <w:t>0.71%</w:t>
            </w:r>
          </w:p>
        </w:tc>
        <w:tc>
          <w:tcPr>
            <w:tcW w:w="1865" w:type="dxa"/>
            <w:tcBorders>
              <w:top w:val="nil"/>
              <w:left w:val="single" w:sz="4" w:space="0" w:color="auto"/>
              <w:bottom w:val="nil"/>
              <w:right w:val="single" w:sz="4" w:space="0" w:color="auto"/>
            </w:tcBorders>
            <w:vAlign w:val="bottom"/>
          </w:tcPr>
          <w:p w14:paraId="70C3BB39" w14:textId="7E336C08" w:rsidR="00C54B41" w:rsidRPr="00C54B41" w:rsidRDefault="00C54B41" w:rsidP="00C54B41">
            <w:pPr>
              <w:ind w:left="720" w:hanging="557"/>
              <w:contextualSpacing/>
              <w:jc w:val="right"/>
              <w:rPr>
                <w:rFonts w:cstheme="minorHAnsi"/>
                <w:sz w:val="24"/>
                <w:szCs w:val="24"/>
                <w:highlight w:val="yellow"/>
              </w:rPr>
            </w:pPr>
            <w:r w:rsidRPr="00C54B41">
              <w:rPr>
                <w:color w:val="000000"/>
                <w:sz w:val="24"/>
                <w:szCs w:val="24"/>
              </w:rPr>
              <w:t>0.49%</w:t>
            </w:r>
          </w:p>
        </w:tc>
        <w:tc>
          <w:tcPr>
            <w:tcW w:w="1640" w:type="dxa"/>
            <w:tcBorders>
              <w:top w:val="nil"/>
              <w:left w:val="single" w:sz="4" w:space="0" w:color="auto"/>
              <w:bottom w:val="nil"/>
              <w:right w:val="single" w:sz="4" w:space="0" w:color="auto"/>
            </w:tcBorders>
            <w:vAlign w:val="bottom"/>
          </w:tcPr>
          <w:p w14:paraId="1FF25C8A" w14:textId="793D4FAC" w:rsidR="00C54B41" w:rsidRPr="00C54B41" w:rsidRDefault="00C54B41" w:rsidP="00C54B41">
            <w:pPr>
              <w:ind w:left="720" w:hanging="557"/>
              <w:contextualSpacing/>
              <w:jc w:val="right"/>
              <w:rPr>
                <w:rFonts w:cstheme="minorHAnsi"/>
                <w:sz w:val="24"/>
                <w:szCs w:val="24"/>
                <w:highlight w:val="yellow"/>
              </w:rPr>
            </w:pPr>
            <w:r w:rsidRPr="00C54B41">
              <w:rPr>
                <w:color w:val="000000"/>
                <w:sz w:val="24"/>
                <w:szCs w:val="24"/>
              </w:rPr>
              <w:t>0.22%</w:t>
            </w:r>
          </w:p>
        </w:tc>
      </w:tr>
      <w:tr w:rsidR="00C54B41" w:rsidRPr="00E20DEA" w14:paraId="57A34499" w14:textId="77777777" w:rsidTr="00A33AC9">
        <w:trPr>
          <w:cantSplit/>
          <w:trHeight w:val="144"/>
          <w:jc w:val="center"/>
        </w:trPr>
        <w:tc>
          <w:tcPr>
            <w:tcW w:w="4135" w:type="dxa"/>
            <w:tcBorders>
              <w:top w:val="nil"/>
              <w:left w:val="single" w:sz="4" w:space="0" w:color="auto"/>
              <w:bottom w:val="nil"/>
              <w:right w:val="single" w:sz="4" w:space="0" w:color="auto"/>
            </w:tcBorders>
            <w:shd w:val="clear" w:color="auto" w:fill="auto"/>
            <w:vAlign w:val="bottom"/>
          </w:tcPr>
          <w:p w14:paraId="048CC592" w14:textId="47A3F187" w:rsidR="00C54B41" w:rsidRPr="00351600" w:rsidRDefault="00C54B41" w:rsidP="00C54B41">
            <w:pPr>
              <w:contextualSpacing/>
              <w:rPr>
                <w:rFonts w:eastAsia="Calibri" w:cstheme="minorHAnsi"/>
                <w:b/>
                <w:sz w:val="24"/>
                <w:szCs w:val="24"/>
                <w:highlight w:val="yellow"/>
              </w:rPr>
            </w:pPr>
            <w:r w:rsidRPr="00351600">
              <w:rPr>
                <w:rFonts w:eastAsia="Times New Roman" w:cs="Arial"/>
                <w:color w:val="000000"/>
                <w:sz w:val="24"/>
                <w:szCs w:val="24"/>
              </w:rPr>
              <w:t xml:space="preserve">   Unknown</w:t>
            </w:r>
          </w:p>
        </w:tc>
        <w:tc>
          <w:tcPr>
            <w:tcW w:w="1710" w:type="dxa"/>
            <w:tcBorders>
              <w:top w:val="nil"/>
              <w:left w:val="single" w:sz="4" w:space="0" w:color="auto"/>
              <w:bottom w:val="nil"/>
              <w:right w:val="single" w:sz="4" w:space="0" w:color="auto"/>
            </w:tcBorders>
            <w:vAlign w:val="bottom"/>
          </w:tcPr>
          <w:p w14:paraId="2784364D" w14:textId="787D1C8B" w:rsidR="00C54B41" w:rsidRPr="00C54B41" w:rsidRDefault="00C54B41" w:rsidP="00C54B41">
            <w:pPr>
              <w:ind w:left="720" w:hanging="557"/>
              <w:contextualSpacing/>
              <w:jc w:val="right"/>
              <w:rPr>
                <w:rFonts w:cstheme="minorHAnsi"/>
                <w:sz w:val="24"/>
                <w:szCs w:val="24"/>
                <w:highlight w:val="yellow"/>
              </w:rPr>
            </w:pPr>
            <w:r w:rsidRPr="00C54B41">
              <w:rPr>
                <w:color w:val="000000"/>
                <w:sz w:val="24"/>
                <w:szCs w:val="24"/>
              </w:rPr>
              <w:t>6.71%</w:t>
            </w:r>
          </w:p>
        </w:tc>
        <w:tc>
          <w:tcPr>
            <w:tcW w:w="1865" w:type="dxa"/>
            <w:tcBorders>
              <w:top w:val="nil"/>
              <w:left w:val="single" w:sz="4" w:space="0" w:color="auto"/>
              <w:bottom w:val="nil"/>
              <w:right w:val="single" w:sz="4" w:space="0" w:color="auto"/>
            </w:tcBorders>
            <w:vAlign w:val="bottom"/>
          </w:tcPr>
          <w:p w14:paraId="1623EDA9" w14:textId="2D79C4D1" w:rsidR="00C54B41" w:rsidRPr="00C54B41" w:rsidRDefault="00C54B41" w:rsidP="00C54B41">
            <w:pPr>
              <w:ind w:left="720" w:hanging="557"/>
              <w:contextualSpacing/>
              <w:jc w:val="right"/>
              <w:rPr>
                <w:rFonts w:cstheme="minorHAnsi"/>
                <w:sz w:val="24"/>
                <w:szCs w:val="24"/>
                <w:highlight w:val="yellow"/>
              </w:rPr>
            </w:pPr>
            <w:r w:rsidRPr="00C54B41">
              <w:rPr>
                <w:color w:val="000000"/>
                <w:sz w:val="24"/>
                <w:szCs w:val="24"/>
              </w:rPr>
              <w:t>3.97%</w:t>
            </w:r>
          </w:p>
        </w:tc>
        <w:tc>
          <w:tcPr>
            <w:tcW w:w="1640" w:type="dxa"/>
            <w:tcBorders>
              <w:top w:val="nil"/>
              <w:left w:val="single" w:sz="4" w:space="0" w:color="auto"/>
              <w:bottom w:val="nil"/>
              <w:right w:val="single" w:sz="4" w:space="0" w:color="auto"/>
            </w:tcBorders>
            <w:vAlign w:val="bottom"/>
          </w:tcPr>
          <w:p w14:paraId="7B611D05" w14:textId="1ED7E988" w:rsidR="00C54B41" w:rsidRPr="00C54B41" w:rsidRDefault="00C54B41" w:rsidP="00C54B41">
            <w:pPr>
              <w:ind w:left="720" w:hanging="557"/>
              <w:contextualSpacing/>
              <w:jc w:val="right"/>
              <w:rPr>
                <w:rFonts w:cstheme="minorHAnsi"/>
                <w:sz w:val="24"/>
                <w:szCs w:val="24"/>
                <w:highlight w:val="yellow"/>
              </w:rPr>
            </w:pPr>
            <w:r w:rsidRPr="00C54B41">
              <w:rPr>
                <w:color w:val="000000"/>
                <w:sz w:val="24"/>
                <w:szCs w:val="24"/>
              </w:rPr>
              <w:t>0.94%</w:t>
            </w:r>
          </w:p>
        </w:tc>
      </w:tr>
      <w:tr w:rsidR="00C54B41" w:rsidRPr="00E20DEA" w14:paraId="00A8E845" w14:textId="77777777" w:rsidTr="00A33AC9">
        <w:trPr>
          <w:cantSplit/>
          <w:trHeight w:val="144"/>
          <w:jc w:val="center"/>
        </w:trPr>
        <w:tc>
          <w:tcPr>
            <w:tcW w:w="4135" w:type="dxa"/>
            <w:tcBorders>
              <w:top w:val="nil"/>
              <w:left w:val="single" w:sz="4" w:space="0" w:color="auto"/>
              <w:bottom w:val="nil"/>
              <w:right w:val="single" w:sz="4" w:space="0" w:color="auto"/>
            </w:tcBorders>
            <w:shd w:val="clear" w:color="auto" w:fill="auto"/>
            <w:vAlign w:val="bottom"/>
          </w:tcPr>
          <w:p w14:paraId="5FB9A76A" w14:textId="2F1237BD" w:rsidR="00C54B41" w:rsidRPr="00351600" w:rsidRDefault="00C54B41" w:rsidP="00C54B41">
            <w:pPr>
              <w:contextualSpacing/>
              <w:rPr>
                <w:rFonts w:eastAsia="Calibri" w:cstheme="minorHAnsi"/>
                <w:b/>
                <w:sz w:val="24"/>
                <w:szCs w:val="24"/>
                <w:highlight w:val="yellow"/>
              </w:rPr>
            </w:pPr>
            <w:r w:rsidRPr="00351600">
              <w:rPr>
                <w:rFonts w:eastAsia="Times New Roman" w:cs="Arial"/>
                <w:color w:val="000000"/>
                <w:sz w:val="24"/>
                <w:szCs w:val="24"/>
              </w:rPr>
              <w:t xml:space="preserve">   Other</w:t>
            </w:r>
          </w:p>
        </w:tc>
        <w:tc>
          <w:tcPr>
            <w:tcW w:w="1710" w:type="dxa"/>
            <w:tcBorders>
              <w:top w:val="nil"/>
              <w:left w:val="single" w:sz="4" w:space="0" w:color="auto"/>
              <w:bottom w:val="nil"/>
              <w:right w:val="single" w:sz="4" w:space="0" w:color="auto"/>
            </w:tcBorders>
            <w:vAlign w:val="bottom"/>
          </w:tcPr>
          <w:p w14:paraId="7058791A" w14:textId="54AEA8C8" w:rsidR="00C54B41" w:rsidRPr="00C54B41" w:rsidRDefault="00C54B41" w:rsidP="00C54B41">
            <w:pPr>
              <w:ind w:left="720" w:hanging="557"/>
              <w:contextualSpacing/>
              <w:jc w:val="right"/>
              <w:rPr>
                <w:rFonts w:cstheme="minorHAnsi"/>
                <w:sz w:val="24"/>
                <w:szCs w:val="24"/>
                <w:highlight w:val="yellow"/>
              </w:rPr>
            </w:pPr>
            <w:r w:rsidRPr="00C54B41">
              <w:rPr>
                <w:color w:val="000000"/>
                <w:sz w:val="24"/>
                <w:szCs w:val="24"/>
              </w:rPr>
              <w:t>0.38%</w:t>
            </w:r>
          </w:p>
        </w:tc>
        <w:tc>
          <w:tcPr>
            <w:tcW w:w="1865" w:type="dxa"/>
            <w:tcBorders>
              <w:top w:val="nil"/>
              <w:left w:val="single" w:sz="4" w:space="0" w:color="auto"/>
              <w:bottom w:val="nil"/>
              <w:right w:val="single" w:sz="4" w:space="0" w:color="auto"/>
            </w:tcBorders>
            <w:vAlign w:val="bottom"/>
          </w:tcPr>
          <w:p w14:paraId="0D2AD45B" w14:textId="59E78D6C" w:rsidR="00C54B41" w:rsidRPr="00C54B41" w:rsidRDefault="00C54B41" w:rsidP="00C54B41">
            <w:pPr>
              <w:ind w:left="720" w:hanging="557"/>
              <w:contextualSpacing/>
              <w:jc w:val="right"/>
              <w:rPr>
                <w:rFonts w:cstheme="minorHAnsi"/>
                <w:sz w:val="24"/>
                <w:szCs w:val="24"/>
                <w:highlight w:val="yellow"/>
              </w:rPr>
            </w:pPr>
            <w:r w:rsidRPr="00C54B41">
              <w:rPr>
                <w:color w:val="000000"/>
                <w:sz w:val="24"/>
                <w:szCs w:val="24"/>
              </w:rPr>
              <w:t>0.36%</w:t>
            </w:r>
          </w:p>
        </w:tc>
        <w:tc>
          <w:tcPr>
            <w:tcW w:w="1640" w:type="dxa"/>
            <w:tcBorders>
              <w:top w:val="nil"/>
              <w:left w:val="single" w:sz="4" w:space="0" w:color="auto"/>
              <w:bottom w:val="nil"/>
              <w:right w:val="single" w:sz="4" w:space="0" w:color="auto"/>
            </w:tcBorders>
            <w:vAlign w:val="bottom"/>
          </w:tcPr>
          <w:p w14:paraId="3F216EEA" w14:textId="57C6A177" w:rsidR="00C54B41" w:rsidRPr="00C54B41" w:rsidRDefault="00C54B41" w:rsidP="00C54B41">
            <w:pPr>
              <w:ind w:left="720" w:hanging="557"/>
              <w:contextualSpacing/>
              <w:jc w:val="right"/>
              <w:rPr>
                <w:rFonts w:cstheme="minorHAnsi"/>
                <w:sz w:val="24"/>
                <w:szCs w:val="24"/>
                <w:highlight w:val="yellow"/>
              </w:rPr>
            </w:pPr>
            <w:r w:rsidRPr="00C54B41">
              <w:rPr>
                <w:color w:val="000000"/>
                <w:sz w:val="24"/>
                <w:szCs w:val="24"/>
              </w:rPr>
              <w:t>0.32%</w:t>
            </w:r>
          </w:p>
        </w:tc>
      </w:tr>
      <w:tr w:rsidR="00EA025B" w:rsidRPr="00E20DEA" w14:paraId="4BA3A17C" w14:textId="77777777" w:rsidTr="00A15076">
        <w:trPr>
          <w:cantSplit/>
          <w:trHeight w:val="144"/>
          <w:jc w:val="center"/>
        </w:trPr>
        <w:tc>
          <w:tcPr>
            <w:tcW w:w="4135" w:type="dxa"/>
            <w:tcBorders>
              <w:top w:val="nil"/>
              <w:left w:val="single" w:sz="4" w:space="0" w:color="auto"/>
              <w:bottom w:val="single" w:sz="4" w:space="0" w:color="auto"/>
              <w:right w:val="single" w:sz="4" w:space="0" w:color="auto"/>
            </w:tcBorders>
            <w:shd w:val="clear" w:color="auto" w:fill="auto"/>
          </w:tcPr>
          <w:p w14:paraId="41390CCD" w14:textId="2A5B75E7" w:rsidR="00EA025B" w:rsidRPr="00351600" w:rsidRDefault="00EA025B" w:rsidP="00EA025B">
            <w:pPr>
              <w:contextualSpacing/>
              <w:rPr>
                <w:rFonts w:eastAsia="Calibri" w:cstheme="minorHAnsi"/>
                <w:b/>
                <w:sz w:val="24"/>
                <w:szCs w:val="24"/>
              </w:rPr>
            </w:pPr>
            <w:r w:rsidRPr="00351600">
              <w:rPr>
                <w:rFonts w:eastAsia="Calibri" w:cstheme="minorHAnsi"/>
                <w:b/>
                <w:sz w:val="24"/>
                <w:szCs w:val="24"/>
              </w:rPr>
              <w:t xml:space="preserve">   Total</w:t>
            </w:r>
          </w:p>
        </w:tc>
        <w:tc>
          <w:tcPr>
            <w:tcW w:w="1710" w:type="dxa"/>
            <w:tcBorders>
              <w:top w:val="nil"/>
              <w:left w:val="single" w:sz="4" w:space="0" w:color="auto"/>
              <w:bottom w:val="single" w:sz="4" w:space="0" w:color="auto"/>
              <w:right w:val="single" w:sz="4" w:space="0" w:color="auto"/>
            </w:tcBorders>
            <w:vAlign w:val="center"/>
          </w:tcPr>
          <w:p w14:paraId="44ACDBF4" w14:textId="2BD0733D" w:rsidR="00EA025B" w:rsidRPr="00351600" w:rsidRDefault="00EA025B" w:rsidP="00EA025B">
            <w:pPr>
              <w:ind w:left="720" w:hanging="557"/>
              <w:contextualSpacing/>
              <w:jc w:val="right"/>
              <w:rPr>
                <w:rFonts w:cstheme="minorHAnsi"/>
                <w:sz w:val="24"/>
                <w:szCs w:val="24"/>
              </w:rPr>
            </w:pPr>
            <w:r w:rsidRPr="00351600">
              <w:rPr>
                <w:rFonts w:cstheme="minorHAnsi"/>
                <w:b/>
                <w:bCs/>
                <w:color w:val="000000"/>
                <w:sz w:val="24"/>
                <w:szCs w:val="24"/>
              </w:rPr>
              <w:t>100.0%</w:t>
            </w:r>
          </w:p>
        </w:tc>
        <w:tc>
          <w:tcPr>
            <w:tcW w:w="1865" w:type="dxa"/>
            <w:tcBorders>
              <w:top w:val="nil"/>
              <w:left w:val="single" w:sz="4" w:space="0" w:color="auto"/>
              <w:bottom w:val="single" w:sz="4" w:space="0" w:color="auto"/>
              <w:right w:val="single" w:sz="4" w:space="0" w:color="auto"/>
            </w:tcBorders>
          </w:tcPr>
          <w:p w14:paraId="367F046C" w14:textId="76E1A3CE" w:rsidR="00EA025B" w:rsidRPr="00351600" w:rsidRDefault="00EA025B" w:rsidP="00EA025B">
            <w:pPr>
              <w:ind w:left="720" w:hanging="557"/>
              <w:contextualSpacing/>
              <w:jc w:val="right"/>
              <w:rPr>
                <w:rFonts w:cstheme="minorHAnsi"/>
                <w:sz w:val="24"/>
                <w:szCs w:val="24"/>
              </w:rPr>
            </w:pPr>
            <w:r w:rsidRPr="00351600">
              <w:rPr>
                <w:rFonts w:cstheme="minorHAnsi"/>
                <w:b/>
                <w:bCs/>
                <w:color w:val="000000"/>
                <w:sz w:val="24"/>
                <w:szCs w:val="24"/>
              </w:rPr>
              <w:t>100.0%</w:t>
            </w:r>
          </w:p>
        </w:tc>
        <w:tc>
          <w:tcPr>
            <w:tcW w:w="1640" w:type="dxa"/>
            <w:tcBorders>
              <w:top w:val="nil"/>
              <w:left w:val="single" w:sz="4" w:space="0" w:color="auto"/>
              <w:bottom w:val="single" w:sz="4" w:space="0" w:color="auto"/>
              <w:right w:val="single" w:sz="4" w:space="0" w:color="auto"/>
            </w:tcBorders>
          </w:tcPr>
          <w:p w14:paraId="41D96279" w14:textId="4955FBF7" w:rsidR="00EA025B" w:rsidRPr="00351600" w:rsidRDefault="00EA025B" w:rsidP="00EA025B">
            <w:pPr>
              <w:ind w:left="720" w:hanging="557"/>
              <w:contextualSpacing/>
              <w:jc w:val="right"/>
              <w:rPr>
                <w:rFonts w:cstheme="minorHAnsi"/>
                <w:sz w:val="24"/>
                <w:szCs w:val="24"/>
              </w:rPr>
            </w:pPr>
            <w:r w:rsidRPr="00351600">
              <w:rPr>
                <w:rFonts w:cstheme="minorHAnsi"/>
                <w:b/>
                <w:bCs/>
                <w:color w:val="000000"/>
                <w:sz w:val="24"/>
                <w:szCs w:val="24"/>
              </w:rPr>
              <w:t>100.0%</w:t>
            </w:r>
          </w:p>
        </w:tc>
      </w:tr>
      <w:tr w:rsidR="00EA025B" w:rsidRPr="00E20DEA" w14:paraId="568D2565" w14:textId="685C4C20" w:rsidTr="00A15076">
        <w:trPr>
          <w:cantSplit/>
          <w:trHeight w:val="144"/>
          <w:jc w:val="center"/>
        </w:trPr>
        <w:tc>
          <w:tcPr>
            <w:tcW w:w="4135" w:type="dxa"/>
            <w:tcBorders>
              <w:top w:val="single" w:sz="4" w:space="0" w:color="auto"/>
              <w:left w:val="single" w:sz="4" w:space="0" w:color="auto"/>
              <w:bottom w:val="nil"/>
              <w:right w:val="single" w:sz="4" w:space="0" w:color="auto"/>
            </w:tcBorders>
            <w:shd w:val="clear" w:color="auto" w:fill="auto"/>
          </w:tcPr>
          <w:p w14:paraId="5379FFEE" w14:textId="1A89054D" w:rsidR="00EA025B" w:rsidRPr="00E20DEA" w:rsidRDefault="00EA025B" w:rsidP="00EA025B">
            <w:pPr>
              <w:contextualSpacing/>
              <w:rPr>
                <w:rFonts w:cstheme="minorHAnsi"/>
                <w:color w:val="000000"/>
                <w:highlight w:val="yellow"/>
              </w:rPr>
            </w:pPr>
            <w:r w:rsidRPr="00C54B41">
              <w:rPr>
                <w:rFonts w:eastAsia="Calibri" w:cstheme="minorHAnsi"/>
                <w:b/>
              </w:rPr>
              <w:t>Payer Mix</w:t>
            </w:r>
          </w:p>
        </w:tc>
        <w:tc>
          <w:tcPr>
            <w:tcW w:w="1710" w:type="dxa"/>
            <w:tcBorders>
              <w:top w:val="single" w:sz="4" w:space="0" w:color="auto"/>
              <w:left w:val="single" w:sz="4" w:space="0" w:color="auto"/>
              <w:bottom w:val="nil"/>
              <w:right w:val="single" w:sz="4" w:space="0" w:color="auto"/>
            </w:tcBorders>
          </w:tcPr>
          <w:p w14:paraId="0A5C2A00" w14:textId="0FD63CC1" w:rsidR="00EA025B" w:rsidRPr="00E20DEA" w:rsidRDefault="00EA025B" w:rsidP="00EA025B">
            <w:pPr>
              <w:ind w:left="720" w:hanging="557"/>
              <w:contextualSpacing/>
              <w:jc w:val="right"/>
              <w:rPr>
                <w:rFonts w:cstheme="minorHAnsi"/>
                <w:highlight w:val="yellow"/>
              </w:rPr>
            </w:pPr>
          </w:p>
        </w:tc>
        <w:tc>
          <w:tcPr>
            <w:tcW w:w="1865" w:type="dxa"/>
            <w:tcBorders>
              <w:top w:val="single" w:sz="4" w:space="0" w:color="auto"/>
              <w:left w:val="single" w:sz="4" w:space="0" w:color="auto"/>
              <w:bottom w:val="nil"/>
              <w:right w:val="single" w:sz="4" w:space="0" w:color="auto"/>
            </w:tcBorders>
          </w:tcPr>
          <w:p w14:paraId="2AF1DC85" w14:textId="77777777" w:rsidR="00EA025B" w:rsidRPr="00E20DEA" w:rsidRDefault="00EA025B" w:rsidP="00EA025B">
            <w:pPr>
              <w:ind w:left="720" w:hanging="557"/>
              <w:contextualSpacing/>
              <w:jc w:val="right"/>
              <w:rPr>
                <w:rFonts w:cstheme="minorHAnsi"/>
                <w:highlight w:val="yellow"/>
              </w:rPr>
            </w:pPr>
          </w:p>
        </w:tc>
        <w:tc>
          <w:tcPr>
            <w:tcW w:w="1640" w:type="dxa"/>
            <w:tcBorders>
              <w:top w:val="single" w:sz="4" w:space="0" w:color="auto"/>
              <w:left w:val="single" w:sz="4" w:space="0" w:color="auto"/>
              <w:bottom w:val="nil"/>
              <w:right w:val="single" w:sz="4" w:space="0" w:color="auto"/>
            </w:tcBorders>
          </w:tcPr>
          <w:p w14:paraId="37E168CD" w14:textId="77777777" w:rsidR="00EA025B" w:rsidRPr="00E20DEA" w:rsidRDefault="00EA025B" w:rsidP="00EA025B">
            <w:pPr>
              <w:ind w:left="720" w:hanging="557"/>
              <w:contextualSpacing/>
              <w:jc w:val="right"/>
              <w:rPr>
                <w:rFonts w:cstheme="minorHAnsi"/>
                <w:highlight w:val="yellow"/>
              </w:rPr>
            </w:pPr>
          </w:p>
        </w:tc>
      </w:tr>
      <w:tr w:rsidR="00922B52" w:rsidRPr="00E20DEA" w14:paraId="24B05433" w14:textId="354DF561" w:rsidTr="00A33AC9">
        <w:trPr>
          <w:cantSplit/>
          <w:trHeight w:val="144"/>
          <w:jc w:val="center"/>
        </w:trPr>
        <w:tc>
          <w:tcPr>
            <w:tcW w:w="4135" w:type="dxa"/>
            <w:tcBorders>
              <w:top w:val="nil"/>
              <w:left w:val="single" w:sz="4" w:space="0" w:color="auto"/>
              <w:bottom w:val="nil"/>
              <w:right w:val="single" w:sz="4" w:space="0" w:color="auto"/>
            </w:tcBorders>
            <w:shd w:val="clear" w:color="auto" w:fill="auto"/>
            <w:vAlign w:val="bottom"/>
          </w:tcPr>
          <w:p w14:paraId="7FE06F66" w14:textId="51BC4EA8" w:rsidR="00922B52" w:rsidRPr="000F785D" w:rsidRDefault="00922B52" w:rsidP="00922B52">
            <w:pPr>
              <w:ind w:left="720" w:hanging="557"/>
              <w:contextualSpacing/>
              <w:rPr>
                <w:rFonts w:cstheme="minorHAnsi"/>
                <w:color w:val="000000"/>
                <w:sz w:val="24"/>
                <w:szCs w:val="24"/>
                <w:highlight w:val="yellow"/>
              </w:rPr>
            </w:pPr>
            <w:r w:rsidRPr="000F785D">
              <w:rPr>
                <w:rFonts w:eastAsia="Times New Roman" w:cs="Arial"/>
                <w:color w:val="000000"/>
                <w:sz w:val="24"/>
                <w:szCs w:val="24"/>
              </w:rPr>
              <w:t>Commercial PPO/Indemnity</w:t>
            </w:r>
          </w:p>
        </w:tc>
        <w:tc>
          <w:tcPr>
            <w:tcW w:w="1710" w:type="dxa"/>
            <w:tcBorders>
              <w:top w:val="nil"/>
              <w:left w:val="single" w:sz="4" w:space="0" w:color="auto"/>
              <w:bottom w:val="nil"/>
              <w:right w:val="single" w:sz="4" w:space="0" w:color="auto"/>
            </w:tcBorders>
          </w:tcPr>
          <w:p w14:paraId="601EA8D8" w14:textId="5CE16918" w:rsidR="00922B52" w:rsidRPr="00AA01BA" w:rsidRDefault="00922B52" w:rsidP="00922B52">
            <w:pPr>
              <w:ind w:left="720" w:hanging="557"/>
              <w:contextualSpacing/>
              <w:jc w:val="right"/>
              <w:rPr>
                <w:rFonts w:cstheme="minorHAnsi"/>
                <w:sz w:val="24"/>
                <w:szCs w:val="24"/>
                <w:highlight w:val="yellow"/>
              </w:rPr>
            </w:pPr>
            <w:r w:rsidRPr="00AA01BA">
              <w:rPr>
                <w:rFonts w:eastAsia="Times New Roman" w:cs="Arial"/>
                <w:color w:val="000000"/>
                <w:sz w:val="24"/>
                <w:szCs w:val="24"/>
              </w:rPr>
              <w:t>24.4</w:t>
            </w:r>
            <w:r w:rsidR="00AA01BA">
              <w:rPr>
                <w:rFonts w:eastAsia="Times New Roman" w:cs="Arial"/>
                <w:color w:val="000000"/>
                <w:sz w:val="24"/>
                <w:szCs w:val="24"/>
              </w:rPr>
              <w:t>0</w:t>
            </w:r>
            <w:r w:rsidRPr="00AA01BA">
              <w:rPr>
                <w:rFonts w:eastAsia="Times New Roman" w:cs="Arial"/>
                <w:color w:val="000000"/>
                <w:sz w:val="24"/>
                <w:szCs w:val="24"/>
              </w:rPr>
              <w:t>%</w:t>
            </w:r>
          </w:p>
        </w:tc>
        <w:tc>
          <w:tcPr>
            <w:tcW w:w="1865" w:type="dxa"/>
            <w:tcBorders>
              <w:top w:val="nil"/>
              <w:left w:val="single" w:sz="4" w:space="0" w:color="auto"/>
              <w:bottom w:val="nil"/>
              <w:right w:val="single" w:sz="4" w:space="0" w:color="auto"/>
            </w:tcBorders>
          </w:tcPr>
          <w:p w14:paraId="746DB5C3" w14:textId="75D795FC" w:rsidR="00922B52" w:rsidRPr="00AA01BA" w:rsidRDefault="00922B52" w:rsidP="00922B52">
            <w:pPr>
              <w:ind w:left="720" w:hanging="557"/>
              <w:contextualSpacing/>
              <w:jc w:val="right"/>
              <w:rPr>
                <w:rFonts w:eastAsia="Times New Roman" w:cstheme="minorHAnsi"/>
                <w:color w:val="000000"/>
                <w:sz w:val="24"/>
                <w:szCs w:val="24"/>
                <w:highlight w:val="yellow"/>
              </w:rPr>
            </w:pPr>
            <w:r w:rsidRPr="00AA01BA">
              <w:rPr>
                <w:rFonts w:eastAsia="Times New Roman" w:cs="Arial"/>
                <w:color w:val="000000"/>
                <w:sz w:val="24"/>
                <w:szCs w:val="24"/>
              </w:rPr>
              <w:t>22.5</w:t>
            </w:r>
            <w:r w:rsidR="00AA01BA">
              <w:rPr>
                <w:rFonts w:eastAsia="Times New Roman" w:cs="Arial"/>
                <w:color w:val="000000"/>
                <w:sz w:val="24"/>
                <w:szCs w:val="24"/>
              </w:rPr>
              <w:t>0</w:t>
            </w:r>
            <w:r w:rsidRPr="00AA01BA">
              <w:rPr>
                <w:rFonts w:eastAsia="Times New Roman" w:cs="Arial"/>
                <w:color w:val="000000"/>
                <w:sz w:val="24"/>
                <w:szCs w:val="24"/>
              </w:rPr>
              <w:t>%</w:t>
            </w:r>
          </w:p>
        </w:tc>
        <w:tc>
          <w:tcPr>
            <w:tcW w:w="1640" w:type="dxa"/>
            <w:tcBorders>
              <w:top w:val="nil"/>
              <w:left w:val="single" w:sz="4" w:space="0" w:color="auto"/>
              <w:bottom w:val="nil"/>
              <w:right w:val="single" w:sz="4" w:space="0" w:color="auto"/>
            </w:tcBorders>
          </w:tcPr>
          <w:p w14:paraId="0ACB4E94" w14:textId="29D7072D" w:rsidR="00922B52" w:rsidRPr="00854622" w:rsidRDefault="00854622" w:rsidP="00922B52">
            <w:pPr>
              <w:ind w:left="720" w:hanging="557"/>
              <w:contextualSpacing/>
              <w:jc w:val="right"/>
              <w:rPr>
                <w:rFonts w:eastAsia="Times New Roman" w:cstheme="minorHAnsi"/>
                <w:color w:val="000000"/>
                <w:sz w:val="24"/>
                <w:szCs w:val="24"/>
              </w:rPr>
            </w:pPr>
            <w:r w:rsidRPr="00854622">
              <w:rPr>
                <w:rFonts w:eastAsia="Times New Roman" w:cstheme="minorHAnsi"/>
                <w:color w:val="000000"/>
                <w:sz w:val="24"/>
                <w:szCs w:val="24"/>
              </w:rPr>
              <w:t>25.1%</w:t>
            </w:r>
          </w:p>
        </w:tc>
      </w:tr>
      <w:tr w:rsidR="00922B52" w:rsidRPr="00E20DEA" w14:paraId="4214478C" w14:textId="2C43E5CC" w:rsidTr="00A33AC9">
        <w:trPr>
          <w:cantSplit/>
          <w:trHeight w:val="144"/>
          <w:jc w:val="center"/>
        </w:trPr>
        <w:tc>
          <w:tcPr>
            <w:tcW w:w="4135" w:type="dxa"/>
            <w:tcBorders>
              <w:top w:val="nil"/>
              <w:left w:val="single" w:sz="4" w:space="0" w:color="auto"/>
              <w:bottom w:val="nil"/>
              <w:right w:val="single" w:sz="4" w:space="0" w:color="auto"/>
            </w:tcBorders>
            <w:shd w:val="clear" w:color="auto" w:fill="auto"/>
            <w:vAlign w:val="bottom"/>
          </w:tcPr>
          <w:p w14:paraId="1B9AE4D9" w14:textId="02B8F886" w:rsidR="00922B52" w:rsidRPr="000F785D" w:rsidRDefault="00922B52" w:rsidP="00922B52">
            <w:pPr>
              <w:ind w:left="720" w:hanging="557"/>
              <w:contextualSpacing/>
              <w:rPr>
                <w:rFonts w:cstheme="minorHAnsi"/>
                <w:b/>
                <w:bCs/>
                <w:sz w:val="24"/>
                <w:szCs w:val="24"/>
                <w:highlight w:val="yellow"/>
              </w:rPr>
            </w:pPr>
            <w:r w:rsidRPr="000F785D">
              <w:rPr>
                <w:rFonts w:eastAsia="Times New Roman" w:cs="Arial"/>
                <w:color w:val="000000"/>
                <w:sz w:val="24"/>
                <w:szCs w:val="24"/>
              </w:rPr>
              <w:lastRenderedPageBreak/>
              <w:t>Commercial HMO/POS</w:t>
            </w:r>
          </w:p>
        </w:tc>
        <w:tc>
          <w:tcPr>
            <w:tcW w:w="1710" w:type="dxa"/>
            <w:tcBorders>
              <w:top w:val="nil"/>
              <w:left w:val="single" w:sz="4" w:space="0" w:color="auto"/>
              <w:bottom w:val="nil"/>
              <w:right w:val="single" w:sz="4" w:space="0" w:color="auto"/>
            </w:tcBorders>
          </w:tcPr>
          <w:p w14:paraId="204A14C7" w14:textId="4E89B6F4" w:rsidR="00922B52" w:rsidRPr="00AA01BA" w:rsidRDefault="00922B52" w:rsidP="00922B52">
            <w:pPr>
              <w:jc w:val="right"/>
              <w:rPr>
                <w:rFonts w:cstheme="minorHAnsi"/>
                <w:b/>
                <w:bCs/>
                <w:color w:val="000000"/>
                <w:sz w:val="24"/>
                <w:szCs w:val="24"/>
                <w:highlight w:val="yellow"/>
              </w:rPr>
            </w:pPr>
            <w:r w:rsidRPr="00AA01BA">
              <w:rPr>
                <w:rFonts w:eastAsia="Times New Roman" w:cs="Arial"/>
                <w:color w:val="000000"/>
                <w:sz w:val="24"/>
                <w:szCs w:val="24"/>
              </w:rPr>
              <w:t>8.2</w:t>
            </w:r>
            <w:r w:rsidR="00AA01BA">
              <w:rPr>
                <w:rFonts w:eastAsia="Times New Roman" w:cs="Arial"/>
                <w:color w:val="000000"/>
                <w:sz w:val="24"/>
                <w:szCs w:val="24"/>
              </w:rPr>
              <w:t>0</w:t>
            </w:r>
            <w:r w:rsidRPr="00AA01BA">
              <w:rPr>
                <w:rFonts w:eastAsia="Times New Roman" w:cs="Arial"/>
                <w:color w:val="000000"/>
                <w:sz w:val="24"/>
                <w:szCs w:val="24"/>
              </w:rPr>
              <w:t>%</w:t>
            </w:r>
          </w:p>
        </w:tc>
        <w:tc>
          <w:tcPr>
            <w:tcW w:w="1865" w:type="dxa"/>
            <w:tcBorders>
              <w:top w:val="nil"/>
              <w:left w:val="single" w:sz="4" w:space="0" w:color="auto"/>
              <w:bottom w:val="nil"/>
              <w:right w:val="single" w:sz="4" w:space="0" w:color="auto"/>
            </w:tcBorders>
          </w:tcPr>
          <w:p w14:paraId="44DE22E0" w14:textId="6AA1D3BD" w:rsidR="00922B52" w:rsidRPr="00AA01BA" w:rsidRDefault="00922B52" w:rsidP="00922B52">
            <w:pPr>
              <w:jc w:val="right"/>
              <w:rPr>
                <w:rFonts w:eastAsia="Times New Roman" w:cstheme="minorHAnsi"/>
                <w:color w:val="000000"/>
                <w:sz w:val="24"/>
                <w:szCs w:val="24"/>
                <w:highlight w:val="yellow"/>
              </w:rPr>
            </w:pPr>
            <w:r w:rsidRPr="00AA01BA">
              <w:rPr>
                <w:rFonts w:eastAsia="Times New Roman" w:cs="Arial"/>
                <w:color w:val="000000"/>
                <w:sz w:val="24"/>
                <w:szCs w:val="24"/>
              </w:rPr>
              <w:t>7.4</w:t>
            </w:r>
            <w:r w:rsidR="00AA01BA">
              <w:rPr>
                <w:rFonts w:eastAsia="Times New Roman" w:cs="Arial"/>
                <w:color w:val="000000"/>
                <w:sz w:val="24"/>
                <w:szCs w:val="24"/>
              </w:rPr>
              <w:t>0</w:t>
            </w:r>
            <w:r w:rsidRPr="00AA01BA">
              <w:rPr>
                <w:rFonts w:eastAsia="Times New Roman" w:cs="Arial"/>
                <w:color w:val="000000"/>
                <w:sz w:val="24"/>
                <w:szCs w:val="24"/>
              </w:rPr>
              <w:t>%</w:t>
            </w:r>
          </w:p>
        </w:tc>
        <w:tc>
          <w:tcPr>
            <w:tcW w:w="1640" w:type="dxa"/>
            <w:tcBorders>
              <w:top w:val="nil"/>
              <w:left w:val="single" w:sz="4" w:space="0" w:color="auto"/>
              <w:bottom w:val="nil"/>
              <w:right w:val="single" w:sz="4" w:space="0" w:color="auto"/>
            </w:tcBorders>
          </w:tcPr>
          <w:p w14:paraId="43D39C20" w14:textId="0AD750E4" w:rsidR="00922B52" w:rsidRPr="00854622" w:rsidRDefault="00854622" w:rsidP="00922B52">
            <w:pPr>
              <w:jc w:val="right"/>
              <w:rPr>
                <w:rFonts w:eastAsia="Times New Roman" w:cstheme="minorHAnsi"/>
                <w:color w:val="000000"/>
                <w:sz w:val="24"/>
                <w:szCs w:val="24"/>
              </w:rPr>
            </w:pPr>
            <w:r w:rsidRPr="00854622">
              <w:rPr>
                <w:rFonts w:eastAsia="Times New Roman" w:cstheme="minorHAnsi"/>
                <w:color w:val="000000"/>
                <w:sz w:val="24"/>
                <w:szCs w:val="24"/>
              </w:rPr>
              <w:t>7.00%</w:t>
            </w:r>
          </w:p>
        </w:tc>
      </w:tr>
      <w:tr w:rsidR="00922B52" w:rsidRPr="00E20DEA" w14:paraId="2A423D6A" w14:textId="17EEB21E" w:rsidTr="00A33AC9">
        <w:trPr>
          <w:cantSplit/>
          <w:trHeight w:val="144"/>
          <w:jc w:val="center"/>
        </w:trPr>
        <w:tc>
          <w:tcPr>
            <w:tcW w:w="4135" w:type="dxa"/>
            <w:tcBorders>
              <w:top w:val="nil"/>
              <w:left w:val="single" w:sz="4" w:space="0" w:color="auto"/>
              <w:bottom w:val="nil"/>
              <w:right w:val="single" w:sz="4" w:space="0" w:color="auto"/>
            </w:tcBorders>
            <w:shd w:val="clear" w:color="auto" w:fill="auto"/>
            <w:vAlign w:val="bottom"/>
          </w:tcPr>
          <w:p w14:paraId="1F09980F" w14:textId="0B9662A5" w:rsidR="00922B52" w:rsidRPr="000F785D" w:rsidRDefault="00922B52" w:rsidP="00922B52">
            <w:pPr>
              <w:contextualSpacing/>
              <w:rPr>
                <w:rFonts w:eastAsia="Calibri" w:cstheme="minorHAnsi"/>
                <w:b/>
                <w:sz w:val="24"/>
                <w:szCs w:val="24"/>
                <w:highlight w:val="yellow"/>
              </w:rPr>
            </w:pPr>
            <w:r w:rsidRPr="000F785D">
              <w:rPr>
                <w:rFonts w:eastAsia="Times New Roman" w:cs="Arial"/>
                <w:color w:val="000000"/>
                <w:sz w:val="24"/>
                <w:szCs w:val="24"/>
              </w:rPr>
              <w:t xml:space="preserve">   MassHealth</w:t>
            </w:r>
          </w:p>
        </w:tc>
        <w:tc>
          <w:tcPr>
            <w:tcW w:w="1710" w:type="dxa"/>
            <w:tcBorders>
              <w:top w:val="nil"/>
              <w:left w:val="single" w:sz="4" w:space="0" w:color="auto"/>
              <w:bottom w:val="nil"/>
              <w:right w:val="single" w:sz="4" w:space="0" w:color="auto"/>
            </w:tcBorders>
          </w:tcPr>
          <w:p w14:paraId="4E1B34E4" w14:textId="143C9B71" w:rsidR="00922B52" w:rsidRPr="00AA01BA" w:rsidRDefault="00922B52" w:rsidP="00922B52">
            <w:pPr>
              <w:jc w:val="right"/>
              <w:rPr>
                <w:rFonts w:eastAsia="Calibri" w:cstheme="minorHAnsi"/>
                <w:bCs/>
                <w:sz w:val="24"/>
                <w:szCs w:val="24"/>
                <w:highlight w:val="yellow"/>
              </w:rPr>
            </w:pPr>
            <w:r w:rsidRPr="00AA01BA">
              <w:rPr>
                <w:rFonts w:eastAsia="Times New Roman" w:cs="Arial"/>
                <w:color w:val="000000"/>
                <w:sz w:val="24"/>
                <w:szCs w:val="24"/>
              </w:rPr>
              <w:t>4.2</w:t>
            </w:r>
            <w:r w:rsidR="00AA01BA">
              <w:rPr>
                <w:rFonts w:eastAsia="Times New Roman" w:cs="Arial"/>
                <w:color w:val="000000"/>
                <w:sz w:val="24"/>
                <w:szCs w:val="24"/>
              </w:rPr>
              <w:t>0</w:t>
            </w:r>
            <w:r w:rsidRPr="00AA01BA">
              <w:rPr>
                <w:rFonts w:eastAsia="Times New Roman" w:cs="Arial"/>
                <w:color w:val="000000"/>
                <w:sz w:val="24"/>
                <w:szCs w:val="24"/>
              </w:rPr>
              <w:t>%</w:t>
            </w:r>
          </w:p>
        </w:tc>
        <w:tc>
          <w:tcPr>
            <w:tcW w:w="1865" w:type="dxa"/>
            <w:tcBorders>
              <w:top w:val="nil"/>
              <w:left w:val="single" w:sz="4" w:space="0" w:color="auto"/>
              <w:bottom w:val="nil"/>
              <w:right w:val="single" w:sz="4" w:space="0" w:color="auto"/>
            </w:tcBorders>
          </w:tcPr>
          <w:p w14:paraId="1FEE3089" w14:textId="5D44E8C7" w:rsidR="00922B52" w:rsidRPr="00AA01BA" w:rsidRDefault="00922B52" w:rsidP="00922B52">
            <w:pPr>
              <w:jc w:val="right"/>
              <w:rPr>
                <w:rFonts w:eastAsia="Times New Roman" w:cstheme="minorHAnsi"/>
                <w:color w:val="000000"/>
                <w:sz w:val="24"/>
                <w:szCs w:val="24"/>
                <w:highlight w:val="yellow"/>
              </w:rPr>
            </w:pPr>
            <w:r w:rsidRPr="00AA01BA">
              <w:rPr>
                <w:rFonts w:eastAsia="Times New Roman" w:cs="Arial"/>
                <w:color w:val="000000"/>
                <w:sz w:val="24"/>
                <w:szCs w:val="24"/>
              </w:rPr>
              <w:t>4.7</w:t>
            </w:r>
            <w:r w:rsidR="00AA01BA">
              <w:rPr>
                <w:rFonts w:eastAsia="Times New Roman" w:cs="Arial"/>
                <w:color w:val="000000"/>
                <w:sz w:val="24"/>
                <w:szCs w:val="24"/>
              </w:rPr>
              <w:t>0</w:t>
            </w:r>
            <w:r w:rsidRPr="00AA01BA">
              <w:rPr>
                <w:rFonts w:eastAsia="Times New Roman" w:cs="Arial"/>
                <w:color w:val="000000"/>
                <w:sz w:val="24"/>
                <w:szCs w:val="24"/>
              </w:rPr>
              <w:t>%</w:t>
            </w:r>
          </w:p>
        </w:tc>
        <w:tc>
          <w:tcPr>
            <w:tcW w:w="1640" w:type="dxa"/>
            <w:tcBorders>
              <w:top w:val="nil"/>
              <w:left w:val="single" w:sz="4" w:space="0" w:color="auto"/>
              <w:bottom w:val="nil"/>
              <w:right w:val="single" w:sz="4" w:space="0" w:color="auto"/>
            </w:tcBorders>
          </w:tcPr>
          <w:p w14:paraId="3B33F51A" w14:textId="16CC99B2" w:rsidR="00922B52" w:rsidRPr="00854622" w:rsidRDefault="00854622" w:rsidP="00922B52">
            <w:pPr>
              <w:jc w:val="right"/>
              <w:rPr>
                <w:rFonts w:eastAsia="Times New Roman" w:cstheme="minorHAnsi"/>
                <w:color w:val="000000"/>
                <w:sz w:val="24"/>
                <w:szCs w:val="24"/>
              </w:rPr>
            </w:pPr>
            <w:r w:rsidRPr="00854622">
              <w:rPr>
                <w:rFonts w:eastAsia="Times New Roman" w:cstheme="minorHAnsi"/>
                <w:color w:val="000000"/>
                <w:sz w:val="24"/>
                <w:szCs w:val="24"/>
              </w:rPr>
              <w:t>7.9%</w:t>
            </w:r>
          </w:p>
        </w:tc>
      </w:tr>
      <w:tr w:rsidR="00922B52" w:rsidRPr="00E20DEA" w14:paraId="7A439DEE" w14:textId="65DAEC63" w:rsidTr="00A33AC9">
        <w:trPr>
          <w:cantSplit/>
          <w:trHeight w:val="144"/>
          <w:jc w:val="center"/>
        </w:trPr>
        <w:tc>
          <w:tcPr>
            <w:tcW w:w="4135" w:type="dxa"/>
            <w:tcBorders>
              <w:top w:val="nil"/>
              <w:left w:val="single" w:sz="4" w:space="0" w:color="auto"/>
              <w:bottom w:val="nil"/>
              <w:right w:val="single" w:sz="4" w:space="0" w:color="auto"/>
            </w:tcBorders>
            <w:shd w:val="clear" w:color="auto" w:fill="auto"/>
            <w:vAlign w:val="bottom"/>
          </w:tcPr>
          <w:p w14:paraId="4A3AE532" w14:textId="6482C417" w:rsidR="00922B52" w:rsidRPr="000F785D" w:rsidRDefault="00922B52" w:rsidP="00922B52">
            <w:pPr>
              <w:contextualSpacing/>
              <w:rPr>
                <w:rFonts w:eastAsia="Calibri" w:cstheme="minorHAnsi"/>
                <w:b/>
                <w:sz w:val="24"/>
                <w:szCs w:val="24"/>
                <w:highlight w:val="yellow"/>
              </w:rPr>
            </w:pPr>
            <w:r w:rsidRPr="000F785D">
              <w:rPr>
                <w:rFonts w:eastAsia="Times New Roman" w:cs="Arial"/>
                <w:color w:val="000000"/>
                <w:sz w:val="24"/>
                <w:szCs w:val="24"/>
              </w:rPr>
              <w:t xml:space="preserve">   Medicaid Managed</w:t>
            </w:r>
          </w:p>
        </w:tc>
        <w:tc>
          <w:tcPr>
            <w:tcW w:w="1710" w:type="dxa"/>
            <w:tcBorders>
              <w:top w:val="nil"/>
              <w:left w:val="single" w:sz="4" w:space="0" w:color="auto"/>
              <w:bottom w:val="nil"/>
              <w:right w:val="single" w:sz="4" w:space="0" w:color="auto"/>
            </w:tcBorders>
          </w:tcPr>
          <w:p w14:paraId="50779943" w14:textId="7423E7A2" w:rsidR="00922B52" w:rsidRPr="00AA01BA" w:rsidRDefault="00922B52" w:rsidP="00922B52">
            <w:pPr>
              <w:ind w:left="720" w:hanging="557"/>
              <w:contextualSpacing/>
              <w:jc w:val="right"/>
              <w:rPr>
                <w:rFonts w:cstheme="minorHAnsi"/>
                <w:sz w:val="24"/>
                <w:szCs w:val="24"/>
                <w:highlight w:val="yellow"/>
              </w:rPr>
            </w:pPr>
            <w:r w:rsidRPr="00AA01BA">
              <w:rPr>
                <w:rFonts w:eastAsia="Times New Roman" w:cs="Arial"/>
                <w:color w:val="000000"/>
                <w:sz w:val="24"/>
                <w:szCs w:val="24"/>
              </w:rPr>
              <w:t>13.4</w:t>
            </w:r>
            <w:r w:rsidR="00AA01BA">
              <w:rPr>
                <w:rFonts w:eastAsia="Times New Roman" w:cs="Arial"/>
                <w:color w:val="000000"/>
                <w:sz w:val="24"/>
                <w:szCs w:val="24"/>
              </w:rPr>
              <w:t>0</w:t>
            </w:r>
            <w:r w:rsidRPr="00AA01BA">
              <w:rPr>
                <w:rFonts w:eastAsia="Times New Roman" w:cs="Arial"/>
                <w:color w:val="000000"/>
                <w:sz w:val="24"/>
                <w:szCs w:val="24"/>
              </w:rPr>
              <w:t>%</w:t>
            </w:r>
          </w:p>
        </w:tc>
        <w:tc>
          <w:tcPr>
            <w:tcW w:w="1865" w:type="dxa"/>
            <w:tcBorders>
              <w:top w:val="nil"/>
              <w:left w:val="single" w:sz="4" w:space="0" w:color="auto"/>
              <w:bottom w:val="nil"/>
              <w:right w:val="single" w:sz="4" w:space="0" w:color="auto"/>
            </w:tcBorders>
          </w:tcPr>
          <w:p w14:paraId="28B675F8" w14:textId="37A30272" w:rsidR="00922B52" w:rsidRPr="00AA01BA" w:rsidRDefault="00922B52" w:rsidP="00922B52">
            <w:pPr>
              <w:ind w:left="720" w:hanging="557"/>
              <w:contextualSpacing/>
              <w:jc w:val="right"/>
              <w:rPr>
                <w:rFonts w:eastAsia="Times New Roman" w:cstheme="minorHAnsi"/>
                <w:color w:val="000000"/>
                <w:sz w:val="24"/>
                <w:szCs w:val="24"/>
                <w:highlight w:val="yellow"/>
              </w:rPr>
            </w:pPr>
            <w:r w:rsidRPr="00AA01BA">
              <w:rPr>
                <w:rFonts w:eastAsia="Times New Roman" w:cs="Arial"/>
                <w:color w:val="000000"/>
                <w:sz w:val="24"/>
                <w:szCs w:val="24"/>
              </w:rPr>
              <w:t>12.7</w:t>
            </w:r>
            <w:r w:rsidR="00AA01BA">
              <w:rPr>
                <w:rFonts w:eastAsia="Times New Roman" w:cs="Arial"/>
                <w:color w:val="000000"/>
                <w:sz w:val="24"/>
                <w:szCs w:val="24"/>
              </w:rPr>
              <w:t>0</w:t>
            </w:r>
            <w:r w:rsidRPr="00AA01BA">
              <w:rPr>
                <w:rFonts w:eastAsia="Times New Roman" w:cs="Arial"/>
                <w:color w:val="000000"/>
                <w:sz w:val="24"/>
                <w:szCs w:val="24"/>
              </w:rPr>
              <w:t>%</w:t>
            </w:r>
          </w:p>
        </w:tc>
        <w:tc>
          <w:tcPr>
            <w:tcW w:w="1640" w:type="dxa"/>
            <w:tcBorders>
              <w:top w:val="nil"/>
              <w:left w:val="single" w:sz="4" w:space="0" w:color="auto"/>
              <w:bottom w:val="nil"/>
              <w:right w:val="single" w:sz="4" w:space="0" w:color="auto"/>
            </w:tcBorders>
          </w:tcPr>
          <w:p w14:paraId="1AAB78D8" w14:textId="4BB7D249" w:rsidR="00922B52" w:rsidRPr="00854622" w:rsidRDefault="00854622" w:rsidP="00922B52">
            <w:pPr>
              <w:ind w:left="720" w:hanging="557"/>
              <w:contextualSpacing/>
              <w:jc w:val="right"/>
              <w:rPr>
                <w:rFonts w:eastAsia="Times New Roman" w:cstheme="minorHAnsi"/>
                <w:color w:val="000000"/>
                <w:sz w:val="24"/>
                <w:szCs w:val="24"/>
              </w:rPr>
            </w:pPr>
            <w:r w:rsidRPr="00854622">
              <w:rPr>
                <w:rFonts w:eastAsia="Times New Roman" w:cstheme="minorHAnsi"/>
                <w:color w:val="000000"/>
                <w:sz w:val="24"/>
                <w:szCs w:val="24"/>
              </w:rPr>
              <w:t>16.7%</w:t>
            </w:r>
          </w:p>
        </w:tc>
      </w:tr>
      <w:tr w:rsidR="00922B52" w:rsidRPr="00E20DEA" w14:paraId="33BD56AC" w14:textId="77777777" w:rsidTr="00A33AC9">
        <w:trPr>
          <w:cantSplit/>
          <w:trHeight w:val="144"/>
          <w:jc w:val="center"/>
        </w:trPr>
        <w:tc>
          <w:tcPr>
            <w:tcW w:w="4135" w:type="dxa"/>
            <w:tcBorders>
              <w:top w:val="nil"/>
              <w:left w:val="single" w:sz="4" w:space="0" w:color="auto"/>
              <w:bottom w:val="nil"/>
              <w:right w:val="single" w:sz="4" w:space="0" w:color="auto"/>
            </w:tcBorders>
            <w:shd w:val="clear" w:color="auto" w:fill="auto"/>
            <w:vAlign w:val="bottom"/>
          </w:tcPr>
          <w:p w14:paraId="7B9DB9C0" w14:textId="5722FB1E" w:rsidR="00922B52" w:rsidRPr="000F785D" w:rsidRDefault="00922B52" w:rsidP="00922B52">
            <w:pPr>
              <w:contextualSpacing/>
              <w:rPr>
                <w:rFonts w:eastAsia="Times New Roman" w:cstheme="minorHAnsi"/>
                <w:color w:val="000000"/>
                <w:sz w:val="24"/>
                <w:szCs w:val="24"/>
                <w:highlight w:val="yellow"/>
              </w:rPr>
            </w:pPr>
            <w:r w:rsidRPr="000F785D">
              <w:rPr>
                <w:rFonts w:eastAsia="Times New Roman" w:cs="Arial"/>
                <w:color w:val="000000"/>
                <w:sz w:val="24"/>
                <w:szCs w:val="24"/>
              </w:rPr>
              <w:t xml:space="preserve">   Commercial Medicare</w:t>
            </w:r>
          </w:p>
        </w:tc>
        <w:tc>
          <w:tcPr>
            <w:tcW w:w="1710" w:type="dxa"/>
            <w:tcBorders>
              <w:top w:val="nil"/>
              <w:left w:val="single" w:sz="4" w:space="0" w:color="auto"/>
              <w:bottom w:val="nil"/>
              <w:right w:val="single" w:sz="4" w:space="0" w:color="auto"/>
            </w:tcBorders>
          </w:tcPr>
          <w:p w14:paraId="6CEBFED9" w14:textId="207A2ACA" w:rsidR="00922B52" w:rsidRPr="00AA01BA" w:rsidRDefault="00922B52" w:rsidP="00922B52">
            <w:pPr>
              <w:ind w:left="720" w:hanging="557"/>
              <w:contextualSpacing/>
              <w:jc w:val="right"/>
              <w:rPr>
                <w:rFonts w:cstheme="minorHAnsi"/>
                <w:color w:val="000000"/>
                <w:sz w:val="24"/>
                <w:szCs w:val="24"/>
                <w:highlight w:val="yellow"/>
              </w:rPr>
            </w:pPr>
            <w:r w:rsidRPr="00AA01BA">
              <w:rPr>
                <w:rFonts w:eastAsia="Times New Roman" w:cs="Arial"/>
                <w:color w:val="000000"/>
                <w:sz w:val="24"/>
                <w:szCs w:val="24"/>
              </w:rPr>
              <w:t>16.8</w:t>
            </w:r>
            <w:r w:rsidR="00AA01BA">
              <w:rPr>
                <w:rFonts w:eastAsia="Times New Roman" w:cs="Arial"/>
                <w:color w:val="000000"/>
                <w:sz w:val="24"/>
                <w:szCs w:val="24"/>
              </w:rPr>
              <w:t>0</w:t>
            </w:r>
            <w:r w:rsidRPr="00AA01BA">
              <w:rPr>
                <w:rFonts w:eastAsia="Times New Roman" w:cs="Arial"/>
                <w:color w:val="000000"/>
                <w:sz w:val="24"/>
                <w:szCs w:val="24"/>
              </w:rPr>
              <w:t>%</w:t>
            </w:r>
          </w:p>
        </w:tc>
        <w:tc>
          <w:tcPr>
            <w:tcW w:w="1865" w:type="dxa"/>
            <w:tcBorders>
              <w:top w:val="nil"/>
              <w:left w:val="single" w:sz="4" w:space="0" w:color="auto"/>
              <w:bottom w:val="nil"/>
              <w:right w:val="single" w:sz="4" w:space="0" w:color="auto"/>
            </w:tcBorders>
          </w:tcPr>
          <w:p w14:paraId="349CADAA" w14:textId="03A19553" w:rsidR="00922B52" w:rsidRPr="00AA01BA" w:rsidRDefault="00922B52" w:rsidP="00922B52">
            <w:pPr>
              <w:ind w:left="720" w:hanging="557"/>
              <w:contextualSpacing/>
              <w:jc w:val="right"/>
              <w:rPr>
                <w:rFonts w:cstheme="minorHAnsi"/>
                <w:color w:val="000000"/>
                <w:sz w:val="24"/>
                <w:szCs w:val="24"/>
                <w:highlight w:val="yellow"/>
              </w:rPr>
            </w:pPr>
            <w:r w:rsidRPr="00AA01BA">
              <w:rPr>
                <w:rFonts w:eastAsia="Times New Roman" w:cs="Arial"/>
                <w:color w:val="000000"/>
                <w:sz w:val="24"/>
                <w:szCs w:val="24"/>
              </w:rPr>
              <w:t>17.6</w:t>
            </w:r>
            <w:r w:rsidR="00AA01BA">
              <w:rPr>
                <w:rFonts w:eastAsia="Times New Roman" w:cs="Arial"/>
                <w:color w:val="000000"/>
                <w:sz w:val="24"/>
                <w:szCs w:val="24"/>
              </w:rPr>
              <w:t>0</w:t>
            </w:r>
            <w:r w:rsidRPr="00AA01BA">
              <w:rPr>
                <w:rFonts w:eastAsia="Times New Roman" w:cs="Arial"/>
                <w:color w:val="000000"/>
                <w:sz w:val="24"/>
                <w:szCs w:val="24"/>
              </w:rPr>
              <w:t>%</w:t>
            </w:r>
          </w:p>
        </w:tc>
        <w:tc>
          <w:tcPr>
            <w:tcW w:w="1640" w:type="dxa"/>
            <w:tcBorders>
              <w:top w:val="nil"/>
              <w:left w:val="single" w:sz="4" w:space="0" w:color="auto"/>
              <w:bottom w:val="nil"/>
              <w:right w:val="single" w:sz="4" w:space="0" w:color="auto"/>
            </w:tcBorders>
          </w:tcPr>
          <w:p w14:paraId="79BF1CB5" w14:textId="4FDDA94F" w:rsidR="00854622" w:rsidRPr="00854622" w:rsidRDefault="00854622" w:rsidP="00854622">
            <w:pPr>
              <w:ind w:left="720" w:hanging="557"/>
              <w:contextualSpacing/>
              <w:jc w:val="right"/>
              <w:rPr>
                <w:rFonts w:eastAsia="Times New Roman" w:cstheme="minorHAnsi"/>
                <w:color w:val="000000"/>
                <w:sz w:val="24"/>
                <w:szCs w:val="24"/>
              </w:rPr>
            </w:pPr>
            <w:r w:rsidRPr="00854622">
              <w:rPr>
                <w:rFonts w:eastAsia="Times New Roman" w:cstheme="minorHAnsi"/>
                <w:color w:val="000000"/>
                <w:sz w:val="24"/>
                <w:szCs w:val="24"/>
              </w:rPr>
              <w:t>13.9%</w:t>
            </w:r>
          </w:p>
        </w:tc>
      </w:tr>
      <w:tr w:rsidR="00922B52" w:rsidRPr="00E20DEA" w14:paraId="2A10232A" w14:textId="77777777" w:rsidTr="00A33AC9">
        <w:trPr>
          <w:cantSplit/>
          <w:trHeight w:val="144"/>
          <w:jc w:val="center"/>
        </w:trPr>
        <w:tc>
          <w:tcPr>
            <w:tcW w:w="4135" w:type="dxa"/>
            <w:tcBorders>
              <w:top w:val="nil"/>
              <w:left w:val="single" w:sz="4" w:space="0" w:color="auto"/>
              <w:bottom w:val="nil"/>
              <w:right w:val="single" w:sz="4" w:space="0" w:color="auto"/>
            </w:tcBorders>
            <w:shd w:val="clear" w:color="auto" w:fill="auto"/>
            <w:vAlign w:val="bottom"/>
          </w:tcPr>
          <w:p w14:paraId="1EBCB97B" w14:textId="5F2CBD23" w:rsidR="00922B52" w:rsidRPr="000F785D" w:rsidRDefault="00922B52" w:rsidP="00922B52">
            <w:pPr>
              <w:contextualSpacing/>
              <w:rPr>
                <w:rFonts w:eastAsia="Times New Roman" w:cstheme="minorHAnsi"/>
                <w:color w:val="000000"/>
                <w:sz w:val="24"/>
                <w:szCs w:val="24"/>
                <w:highlight w:val="yellow"/>
              </w:rPr>
            </w:pPr>
            <w:r w:rsidRPr="000F785D">
              <w:rPr>
                <w:rFonts w:eastAsia="Times New Roman" w:cs="Arial"/>
                <w:color w:val="000000"/>
                <w:sz w:val="24"/>
                <w:szCs w:val="24"/>
              </w:rPr>
              <w:t xml:space="preserve">   Medicare FFS</w:t>
            </w:r>
          </w:p>
        </w:tc>
        <w:tc>
          <w:tcPr>
            <w:tcW w:w="1710" w:type="dxa"/>
            <w:tcBorders>
              <w:top w:val="nil"/>
              <w:left w:val="single" w:sz="4" w:space="0" w:color="auto"/>
              <w:bottom w:val="nil"/>
              <w:right w:val="single" w:sz="4" w:space="0" w:color="auto"/>
            </w:tcBorders>
          </w:tcPr>
          <w:p w14:paraId="49245B81" w14:textId="09C84175" w:rsidR="00922B52" w:rsidRPr="00AA01BA" w:rsidRDefault="00922B52" w:rsidP="00922B52">
            <w:pPr>
              <w:ind w:left="720" w:hanging="557"/>
              <w:contextualSpacing/>
              <w:jc w:val="right"/>
              <w:rPr>
                <w:rFonts w:cstheme="minorHAnsi"/>
                <w:color w:val="000000"/>
                <w:sz w:val="24"/>
                <w:szCs w:val="24"/>
                <w:highlight w:val="yellow"/>
              </w:rPr>
            </w:pPr>
            <w:r w:rsidRPr="00AA01BA">
              <w:rPr>
                <w:rFonts w:eastAsia="Times New Roman" w:cs="Arial"/>
                <w:color w:val="000000"/>
                <w:sz w:val="24"/>
                <w:szCs w:val="24"/>
              </w:rPr>
              <w:t>30.2</w:t>
            </w:r>
            <w:r w:rsidR="00AA01BA">
              <w:rPr>
                <w:rFonts w:eastAsia="Times New Roman" w:cs="Arial"/>
                <w:color w:val="000000"/>
                <w:sz w:val="24"/>
                <w:szCs w:val="24"/>
              </w:rPr>
              <w:t>0</w:t>
            </w:r>
            <w:r w:rsidRPr="00AA01BA">
              <w:rPr>
                <w:rFonts w:eastAsia="Times New Roman" w:cs="Arial"/>
                <w:color w:val="000000"/>
                <w:sz w:val="24"/>
                <w:szCs w:val="24"/>
              </w:rPr>
              <w:t>%</w:t>
            </w:r>
          </w:p>
        </w:tc>
        <w:tc>
          <w:tcPr>
            <w:tcW w:w="1865" w:type="dxa"/>
            <w:tcBorders>
              <w:top w:val="nil"/>
              <w:left w:val="single" w:sz="4" w:space="0" w:color="auto"/>
              <w:bottom w:val="nil"/>
              <w:right w:val="single" w:sz="4" w:space="0" w:color="auto"/>
            </w:tcBorders>
          </w:tcPr>
          <w:p w14:paraId="12D74A12" w14:textId="68EA56AF" w:rsidR="00922B52" w:rsidRPr="00AA01BA" w:rsidRDefault="00922B52" w:rsidP="00922B52">
            <w:pPr>
              <w:ind w:left="720" w:hanging="557"/>
              <w:contextualSpacing/>
              <w:jc w:val="right"/>
              <w:rPr>
                <w:rFonts w:cstheme="minorHAnsi"/>
                <w:color w:val="000000"/>
                <w:sz w:val="24"/>
                <w:szCs w:val="24"/>
                <w:highlight w:val="yellow"/>
              </w:rPr>
            </w:pPr>
            <w:r w:rsidRPr="00AA01BA">
              <w:rPr>
                <w:rFonts w:eastAsia="Times New Roman" w:cs="Arial"/>
                <w:color w:val="000000"/>
                <w:sz w:val="24"/>
                <w:szCs w:val="24"/>
              </w:rPr>
              <w:t>31.8</w:t>
            </w:r>
            <w:r w:rsidR="00AA01BA">
              <w:rPr>
                <w:rFonts w:eastAsia="Times New Roman" w:cs="Arial"/>
                <w:color w:val="000000"/>
                <w:sz w:val="24"/>
                <w:szCs w:val="24"/>
              </w:rPr>
              <w:t>0</w:t>
            </w:r>
            <w:r w:rsidRPr="00AA01BA">
              <w:rPr>
                <w:rFonts w:eastAsia="Times New Roman" w:cs="Arial"/>
                <w:color w:val="000000"/>
                <w:sz w:val="24"/>
                <w:szCs w:val="24"/>
              </w:rPr>
              <w:t>%</w:t>
            </w:r>
          </w:p>
        </w:tc>
        <w:tc>
          <w:tcPr>
            <w:tcW w:w="1640" w:type="dxa"/>
            <w:tcBorders>
              <w:top w:val="nil"/>
              <w:left w:val="single" w:sz="4" w:space="0" w:color="auto"/>
              <w:bottom w:val="nil"/>
              <w:right w:val="single" w:sz="4" w:space="0" w:color="auto"/>
            </w:tcBorders>
          </w:tcPr>
          <w:p w14:paraId="68413EB9" w14:textId="0E64F5D7" w:rsidR="00922B52" w:rsidRPr="00854622" w:rsidRDefault="00854622" w:rsidP="00922B52">
            <w:pPr>
              <w:ind w:left="720" w:hanging="557"/>
              <w:contextualSpacing/>
              <w:jc w:val="right"/>
              <w:rPr>
                <w:rFonts w:eastAsia="Times New Roman" w:cstheme="minorHAnsi"/>
                <w:color w:val="000000"/>
                <w:sz w:val="24"/>
                <w:szCs w:val="24"/>
              </w:rPr>
            </w:pPr>
            <w:r w:rsidRPr="00854622">
              <w:rPr>
                <w:rFonts w:eastAsia="Times New Roman" w:cstheme="minorHAnsi"/>
                <w:color w:val="000000"/>
                <w:sz w:val="24"/>
                <w:szCs w:val="24"/>
              </w:rPr>
              <w:t>23.4%</w:t>
            </w:r>
          </w:p>
        </w:tc>
      </w:tr>
      <w:tr w:rsidR="00922B52" w:rsidRPr="00E20DEA" w14:paraId="633284C0" w14:textId="0867C9E9" w:rsidTr="00A33AC9">
        <w:trPr>
          <w:cantSplit/>
          <w:trHeight w:val="144"/>
          <w:jc w:val="center"/>
        </w:trPr>
        <w:tc>
          <w:tcPr>
            <w:tcW w:w="4135" w:type="dxa"/>
            <w:tcBorders>
              <w:top w:val="nil"/>
              <w:left w:val="single" w:sz="4" w:space="0" w:color="auto"/>
              <w:bottom w:val="nil"/>
              <w:right w:val="single" w:sz="4" w:space="0" w:color="auto"/>
            </w:tcBorders>
            <w:shd w:val="clear" w:color="auto" w:fill="auto"/>
            <w:vAlign w:val="bottom"/>
          </w:tcPr>
          <w:p w14:paraId="0F0EACA0" w14:textId="5286E123" w:rsidR="00922B52" w:rsidRPr="000F785D" w:rsidRDefault="00922B52" w:rsidP="00922B52">
            <w:pPr>
              <w:contextualSpacing/>
              <w:rPr>
                <w:rFonts w:eastAsia="Calibri" w:cstheme="minorHAnsi"/>
                <w:b/>
                <w:sz w:val="24"/>
                <w:szCs w:val="24"/>
                <w:highlight w:val="yellow"/>
              </w:rPr>
            </w:pPr>
            <w:r w:rsidRPr="000F785D">
              <w:rPr>
                <w:rFonts w:eastAsia="Times New Roman" w:cs="Arial"/>
                <w:color w:val="000000"/>
                <w:sz w:val="24"/>
                <w:szCs w:val="24"/>
              </w:rPr>
              <w:t xml:space="preserve">   All Other</w:t>
            </w:r>
          </w:p>
        </w:tc>
        <w:tc>
          <w:tcPr>
            <w:tcW w:w="1710" w:type="dxa"/>
            <w:tcBorders>
              <w:top w:val="nil"/>
              <w:left w:val="single" w:sz="4" w:space="0" w:color="auto"/>
              <w:bottom w:val="nil"/>
              <w:right w:val="single" w:sz="4" w:space="0" w:color="auto"/>
            </w:tcBorders>
          </w:tcPr>
          <w:p w14:paraId="41011EA9" w14:textId="6283D036" w:rsidR="00922B52" w:rsidRPr="00AA01BA" w:rsidRDefault="00922B52" w:rsidP="00922B52">
            <w:pPr>
              <w:ind w:left="720" w:hanging="557"/>
              <w:contextualSpacing/>
              <w:jc w:val="right"/>
              <w:rPr>
                <w:rFonts w:cstheme="minorHAnsi"/>
                <w:sz w:val="24"/>
                <w:szCs w:val="24"/>
                <w:highlight w:val="yellow"/>
              </w:rPr>
            </w:pPr>
            <w:r w:rsidRPr="00AA01BA">
              <w:rPr>
                <w:rFonts w:eastAsia="Times New Roman" w:cs="Arial"/>
                <w:color w:val="000000"/>
                <w:sz w:val="24"/>
                <w:szCs w:val="24"/>
              </w:rPr>
              <w:t>2.9</w:t>
            </w:r>
            <w:r w:rsidR="00AA01BA">
              <w:rPr>
                <w:rFonts w:eastAsia="Times New Roman" w:cs="Arial"/>
                <w:color w:val="000000"/>
                <w:sz w:val="24"/>
                <w:szCs w:val="24"/>
              </w:rPr>
              <w:t>0</w:t>
            </w:r>
            <w:r w:rsidRPr="00AA01BA">
              <w:rPr>
                <w:rFonts w:eastAsia="Times New Roman" w:cs="Arial"/>
                <w:color w:val="000000"/>
                <w:sz w:val="24"/>
                <w:szCs w:val="24"/>
              </w:rPr>
              <w:t>%</w:t>
            </w:r>
          </w:p>
        </w:tc>
        <w:tc>
          <w:tcPr>
            <w:tcW w:w="1865" w:type="dxa"/>
            <w:tcBorders>
              <w:top w:val="nil"/>
              <w:left w:val="single" w:sz="4" w:space="0" w:color="auto"/>
              <w:bottom w:val="nil"/>
              <w:right w:val="single" w:sz="4" w:space="0" w:color="auto"/>
            </w:tcBorders>
          </w:tcPr>
          <w:p w14:paraId="71CE70BA" w14:textId="010C66FF" w:rsidR="00922B52" w:rsidRPr="00AA01BA" w:rsidRDefault="00922B52" w:rsidP="00922B52">
            <w:pPr>
              <w:ind w:left="720" w:hanging="557"/>
              <w:contextualSpacing/>
              <w:jc w:val="right"/>
              <w:rPr>
                <w:rFonts w:eastAsia="Times New Roman" w:cstheme="minorHAnsi"/>
                <w:color w:val="000000"/>
                <w:sz w:val="24"/>
                <w:szCs w:val="24"/>
                <w:highlight w:val="yellow"/>
              </w:rPr>
            </w:pPr>
            <w:r w:rsidRPr="00AA01BA">
              <w:rPr>
                <w:rFonts w:eastAsia="Times New Roman" w:cs="Arial"/>
                <w:color w:val="000000"/>
                <w:sz w:val="24"/>
                <w:szCs w:val="24"/>
              </w:rPr>
              <w:t>3.3</w:t>
            </w:r>
            <w:r w:rsidR="00AA01BA">
              <w:rPr>
                <w:rFonts w:eastAsia="Times New Roman" w:cs="Arial"/>
                <w:color w:val="000000"/>
                <w:sz w:val="24"/>
                <w:szCs w:val="24"/>
              </w:rPr>
              <w:t>0</w:t>
            </w:r>
            <w:r w:rsidRPr="00AA01BA">
              <w:rPr>
                <w:rFonts w:eastAsia="Times New Roman" w:cs="Arial"/>
                <w:color w:val="000000"/>
                <w:sz w:val="24"/>
                <w:szCs w:val="24"/>
              </w:rPr>
              <w:t>%</w:t>
            </w:r>
          </w:p>
        </w:tc>
        <w:tc>
          <w:tcPr>
            <w:tcW w:w="1640" w:type="dxa"/>
            <w:tcBorders>
              <w:top w:val="nil"/>
              <w:left w:val="single" w:sz="4" w:space="0" w:color="auto"/>
              <w:bottom w:val="nil"/>
              <w:right w:val="single" w:sz="4" w:space="0" w:color="auto"/>
            </w:tcBorders>
          </w:tcPr>
          <w:p w14:paraId="10B99616" w14:textId="22153A70" w:rsidR="00922B52" w:rsidRPr="00854622" w:rsidRDefault="00854622" w:rsidP="00922B52">
            <w:pPr>
              <w:ind w:left="720" w:hanging="557"/>
              <w:contextualSpacing/>
              <w:jc w:val="right"/>
              <w:rPr>
                <w:rFonts w:eastAsia="Times New Roman" w:cstheme="minorHAnsi"/>
                <w:color w:val="000000"/>
                <w:sz w:val="24"/>
                <w:szCs w:val="24"/>
              </w:rPr>
            </w:pPr>
            <w:r w:rsidRPr="00854622">
              <w:rPr>
                <w:rFonts w:eastAsia="Times New Roman" w:cstheme="minorHAnsi"/>
                <w:color w:val="000000"/>
                <w:sz w:val="24"/>
                <w:szCs w:val="24"/>
              </w:rPr>
              <w:t>6.0%</w:t>
            </w:r>
          </w:p>
        </w:tc>
      </w:tr>
      <w:tr w:rsidR="00EA025B" w:rsidRPr="00E20DEA" w14:paraId="120E1650" w14:textId="1104D2DA" w:rsidTr="00A15076">
        <w:trPr>
          <w:cantSplit/>
          <w:trHeight w:val="144"/>
          <w:jc w:val="center"/>
        </w:trPr>
        <w:tc>
          <w:tcPr>
            <w:tcW w:w="4135" w:type="dxa"/>
            <w:tcBorders>
              <w:top w:val="nil"/>
              <w:left w:val="single" w:sz="4" w:space="0" w:color="auto"/>
              <w:bottom w:val="single" w:sz="4" w:space="0" w:color="auto"/>
              <w:right w:val="single" w:sz="4" w:space="0" w:color="auto"/>
            </w:tcBorders>
            <w:shd w:val="clear" w:color="auto" w:fill="auto"/>
          </w:tcPr>
          <w:p w14:paraId="32EE7E57" w14:textId="359FF221" w:rsidR="00EA025B" w:rsidRPr="00C54B41" w:rsidRDefault="00EA025B" w:rsidP="00EA025B">
            <w:pPr>
              <w:contextualSpacing/>
              <w:rPr>
                <w:rFonts w:eastAsia="Calibri" w:cstheme="minorHAnsi"/>
                <w:b/>
                <w:sz w:val="24"/>
                <w:szCs w:val="24"/>
              </w:rPr>
            </w:pPr>
            <w:r w:rsidRPr="00C54B41">
              <w:rPr>
                <w:rFonts w:cstheme="minorHAnsi"/>
                <w:b/>
                <w:spacing w:val="-2"/>
                <w:sz w:val="24"/>
                <w:szCs w:val="24"/>
              </w:rPr>
              <w:t xml:space="preserve">   Total</w:t>
            </w:r>
          </w:p>
        </w:tc>
        <w:tc>
          <w:tcPr>
            <w:tcW w:w="1710" w:type="dxa"/>
            <w:tcBorders>
              <w:top w:val="nil"/>
              <w:left w:val="single" w:sz="4" w:space="0" w:color="auto"/>
              <w:bottom w:val="single" w:sz="4" w:space="0" w:color="auto"/>
              <w:right w:val="single" w:sz="4" w:space="0" w:color="auto"/>
            </w:tcBorders>
          </w:tcPr>
          <w:p w14:paraId="0271AFAB" w14:textId="51FAEFDA" w:rsidR="00EA025B" w:rsidRPr="00C54B41" w:rsidRDefault="00EA025B" w:rsidP="00EA025B">
            <w:pPr>
              <w:ind w:left="720" w:hanging="557"/>
              <w:contextualSpacing/>
              <w:jc w:val="right"/>
              <w:rPr>
                <w:rFonts w:cstheme="minorHAnsi"/>
                <w:sz w:val="24"/>
                <w:szCs w:val="24"/>
              </w:rPr>
            </w:pPr>
            <w:r w:rsidRPr="00C54B41">
              <w:rPr>
                <w:rFonts w:eastAsia="Calibri" w:cstheme="minorHAnsi"/>
                <w:b/>
                <w:sz w:val="24"/>
                <w:szCs w:val="24"/>
              </w:rPr>
              <w:t>100.0%</w:t>
            </w:r>
          </w:p>
        </w:tc>
        <w:tc>
          <w:tcPr>
            <w:tcW w:w="1865" w:type="dxa"/>
            <w:tcBorders>
              <w:top w:val="nil"/>
              <w:left w:val="single" w:sz="4" w:space="0" w:color="auto"/>
              <w:bottom w:val="single" w:sz="4" w:space="0" w:color="auto"/>
              <w:right w:val="single" w:sz="4" w:space="0" w:color="auto"/>
            </w:tcBorders>
          </w:tcPr>
          <w:p w14:paraId="750C58D2" w14:textId="46E3F49B" w:rsidR="00EA025B" w:rsidRPr="00C54B41" w:rsidRDefault="00EA025B" w:rsidP="00EA025B">
            <w:pPr>
              <w:ind w:left="720" w:hanging="557"/>
              <w:contextualSpacing/>
              <w:jc w:val="right"/>
              <w:rPr>
                <w:rFonts w:eastAsia="Calibri" w:cstheme="minorHAnsi"/>
                <w:b/>
                <w:sz w:val="24"/>
                <w:szCs w:val="24"/>
              </w:rPr>
            </w:pPr>
            <w:r w:rsidRPr="00C54B41">
              <w:rPr>
                <w:rFonts w:eastAsia="Calibri" w:cstheme="minorHAnsi"/>
                <w:b/>
                <w:sz w:val="24"/>
                <w:szCs w:val="24"/>
              </w:rPr>
              <w:t>100.0%</w:t>
            </w:r>
          </w:p>
        </w:tc>
        <w:tc>
          <w:tcPr>
            <w:tcW w:w="1640" w:type="dxa"/>
            <w:tcBorders>
              <w:top w:val="nil"/>
              <w:left w:val="single" w:sz="4" w:space="0" w:color="auto"/>
              <w:bottom w:val="single" w:sz="4" w:space="0" w:color="auto"/>
              <w:right w:val="single" w:sz="4" w:space="0" w:color="auto"/>
            </w:tcBorders>
          </w:tcPr>
          <w:p w14:paraId="0119B32A" w14:textId="527FE7E2" w:rsidR="00EA025B" w:rsidRPr="00C54B41" w:rsidRDefault="00EA025B" w:rsidP="00EA025B">
            <w:pPr>
              <w:ind w:left="720" w:hanging="557"/>
              <w:contextualSpacing/>
              <w:jc w:val="right"/>
              <w:rPr>
                <w:rFonts w:eastAsia="Calibri" w:cstheme="minorHAnsi"/>
                <w:b/>
                <w:sz w:val="24"/>
                <w:szCs w:val="24"/>
              </w:rPr>
            </w:pPr>
            <w:r w:rsidRPr="00C54B41">
              <w:rPr>
                <w:rFonts w:eastAsia="Calibri" w:cstheme="minorHAnsi"/>
                <w:b/>
                <w:sz w:val="24"/>
                <w:szCs w:val="24"/>
              </w:rPr>
              <w:t>100.0%</w:t>
            </w:r>
          </w:p>
        </w:tc>
      </w:tr>
    </w:tbl>
    <w:p w14:paraId="20C809FB" w14:textId="7C74B5D9" w:rsidR="00B30C38" w:rsidRPr="00E20DEA" w:rsidRDefault="00B30C38" w:rsidP="00A662DF">
      <w:pPr>
        <w:spacing w:after="0" w:line="240" w:lineRule="auto"/>
        <w:rPr>
          <w:highlight w:val="yellow"/>
        </w:rPr>
      </w:pPr>
    </w:p>
    <w:p w14:paraId="7CB25DC3" w14:textId="252294CA" w:rsidR="003E1CDA" w:rsidRPr="005D6765" w:rsidRDefault="003E1CDA" w:rsidP="00A662DF">
      <w:pPr>
        <w:pStyle w:val="Heading1"/>
        <w:spacing w:before="0" w:line="240" w:lineRule="auto"/>
      </w:pPr>
      <w:bookmarkStart w:id="5" w:name="_Toc192247629"/>
      <w:r w:rsidRPr="005D6765">
        <w:t>Factor 1: a) Patient Panel Need</w:t>
      </w:r>
      <w:bookmarkEnd w:id="5"/>
    </w:p>
    <w:p w14:paraId="7BFA4A99" w14:textId="2AF562BF" w:rsidR="00684D63" w:rsidRPr="005D6765" w:rsidRDefault="003535E8" w:rsidP="00A662DF">
      <w:pPr>
        <w:spacing w:after="0" w:line="240" w:lineRule="auto"/>
        <w:contextualSpacing/>
        <w:rPr>
          <w:rFonts w:eastAsia="Calibri" w:cstheme="minorHAnsi"/>
        </w:rPr>
      </w:pPr>
      <w:r w:rsidRPr="005D6765">
        <w:rPr>
          <w:sz w:val="24"/>
          <w:szCs w:val="24"/>
        </w:rPr>
        <w:t>In this section, staff assesses if the Applicant has sufficiently addressed Patient Panel need for the Proposed Project.</w:t>
      </w:r>
      <w:r w:rsidRPr="005D6765">
        <w:rPr>
          <w:rFonts w:eastAsia="Calibri" w:cstheme="minorHAnsi"/>
        </w:rPr>
        <w:t xml:space="preserve"> </w:t>
      </w:r>
      <w:r w:rsidR="00684D63" w:rsidRPr="005D6765">
        <w:rPr>
          <w:sz w:val="24"/>
          <w:szCs w:val="24"/>
        </w:rPr>
        <w:t>The Applicant attributes Patient Panel need for the Proposed Project to the following:</w:t>
      </w:r>
    </w:p>
    <w:p w14:paraId="6638E698" w14:textId="77777777" w:rsidR="00575025" w:rsidRPr="00E20DEA" w:rsidRDefault="00575025" w:rsidP="00A662DF">
      <w:pPr>
        <w:spacing w:after="0" w:line="240" w:lineRule="auto"/>
        <w:rPr>
          <w:highlight w:val="yellow"/>
        </w:rPr>
      </w:pPr>
    </w:p>
    <w:p w14:paraId="193E5277" w14:textId="06EE4D2A" w:rsidR="007026CE" w:rsidRDefault="00FF76E0" w:rsidP="00A662DF">
      <w:pPr>
        <w:pStyle w:val="ListParagraph"/>
        <w:numPr>
          <w:ilvl w:val="0"/>
          <w:numId w:val="2"/>
        </w:numPr>
        <w:spacing w:after="0" w:line="240" w:lineRule="auto"/>
        <w:rPr>
          <w:rFonts w:cstheme="minorHAnsi"/>
          <w:sz w:val="24"/>
          <w:szCs w:val="24"/>
        </w:rPr>
      </w:pPr>
      <w:r w:rsidRPr="000D5FB2">
        <w:rPr>
          <w:rFonts w:cstheme="minorHAnsi"/>
          <w:sz w:val="24"/>
          <w:szCs w:val="24"/>
        </w:rPr>
        <w:t xml:space="preserve">Emergency Department </w:t>
      </w:r>
      <w:r w:rsidR="00913E5F" w:rsidRPr="000D5FB2">
        <w:rPr>
          <w:rFonts w:cstheme="minorHAnsi"/>
          <w:sz w:val="24"/>
          <w:szCs w:val="24"/>
        </w:rPr>
        <w:t xml:space="preserve">Operating </w:t>
      </w:r>
      <w:r w:rsidRPr="000D5FB2">
        <w:rPr>
          <w:rFonts w:cstheme="minorHAnsi"/>
          <w:sz w:val="24"/>
          <w:szCs w:val="24"/>
        </w:rPr>
        <w:t>Over Capacity</w:t>
      </w:r>
      <w:r w:rsidR="00B678B9">
        <w:rPr>
          <w:rFonts w:cstheme="minorHAnsi"/>
          <w:sz w:val="24"/>
          <w:szCs w:val="24"/>
        </w:rPr>
        <w:t xml:space="preserve"> </w:t>
      </w:r>
    </w:p>
    <w:p w14:paraId="25C9F726" w14:textId="1056DF56" w:rsidR="00DD4321" w:rsidRDefault="00DD4321" w:rsidP="00A662DF">
      <w:pPr>
        <w:pStyle w:val="ListParagraph"/>
        <w:numPr>
          <w:ilvl w:val="0"/>
          <w:numId w:val="2"/>
        </w:numPr>
        <w:spacing w:after="0" w:line="240" w:lineRule="auto"/>
        <w:rPr>
          <w:rFonts w:cstheme="minorHAnsi"/>
          <w:sz w:val="24"/>
          <w:szCs w:val="24"/>
        </w:rPr>
      </w:pPr>
      <w:r w:rsidRPr="000D5FB2">
        <w:rPr>
          <w:rFonts w:cstheme="minorHAnsi"/>
          <w:sz w:val="24"/>
          <w:szCs w:val="24"/>
        </w:rPr>
        <w:t xml:space="preserve">Insufficient </w:t>
      </w:r>
      <w:r w:rsidR="00581265">
        <w:rPr>
          <w:rFonts w:cstheme="minorHAnsi"/>
          <w:sz w:val="24"/>
          <w:szCs w:val="24"/>
        </w:rPr>
        <w:t>Ligature Free Rooms</w:t>
      </w:r>
      <w:r w:rsidR="00581265" w:rsidRPr="000D5FB2">
        <w:rPr>
          <w:rFonts w:cstheme="minorHAnsi"/>
          <w:sz w:val="24"/>
          <w:szCs w:val="24"/>
        </w:rPr>
        <w:t xml:space="preserve"> </w:t>
      </w:r>
      <w:r w:rsidR="003A6DDC">
        <w:rPr>
          <w:rFonts w:cstheme="minorHAnsi"/>
          <w:sz w:val="24"/>
          <w:szCs w:val="24"/>
        </w:rPr>
        <w:t xml:space="preserve">to Meet Patient </w:t>
      </w:r>
      <w:r w:rsidR="00913E5F" w:rsidRPr="000D5FB2">
        <w:rPr>
          <w:rFonts w:cstheme="minorHAnsi"/>
          <w:sz w:val="24"/>
          <w:szCs w:val="24"/>
        </w:rPr>
        <w:t>Behavioral Health Needs</w:t>
      </w:r>
    </w:p>
    <w:p w14:paraId="596B3C9B" w14:textId="6E8B506F" w:rsidR="007026CE" w:rsidRPr="007026CE" w:rsidRDefault="007026CE" w:rsidP="00A662DF">
      <w:pPr>
        <w:pStyle w:val="ListParagraph"/>
        <w:numPr>
          <w:ilvl w:val="0"/>
          <w:numId w:val="2"/>
        </w:numPr>
        <w:spacing w:after="0" w:line="240" w:lineRule="auto"/>
        <w:rPr>
          <w:rFonts w:cstheme="minorHAnsi"/>
          <w:sz w:val="24"/>
          <w:szCs w:val="24"/>
        </w:rPr>
      </w:pPr>
      <w:r>
        <w:rPr>
          <w:rFonts w:cstheme="minorHAnsi"/>
          <w:sz w:val="24"/>
          <w:szCs w:val="24"/>
        </w:rPr>
        <w:t>Projected Growth in ED Utilization</w:t>
      </w:r>
    </w:p>
    <w:p w14:paraId="21429E80" w14:textId="43F55427" w:rsidR="00575025" w:rsidRPr="000D5FB2" w:rsidRDefault="000D5FB2" w:rsidP="00A662DF">
      <w:pPr>
        <w:pStyle w:val="ListParagraph"/>
        <w:numPr>
          <w:ilvl w:val="0"/>
          <w:numId w:val="2"/>
        </w:numPr>
        <w:spacing w:after="0" w:line="240" w:lineRule="auto"/>
        <w:rPr>
          <w:rFonts w:cstheme="minorHAnsi"/>
          <w:sz w:val="24"/>
          <w:szCs w:val="24"/>
        </w:rPr>
      </w:pPr>
      <w:r w:rsidRPr="000D5FB2">
        <w:rPr>
          <w:rFonts w:cstheme="minorHAnsi"/>
          <w:sz w:val="24"/>
          <w:szCs w:val="24"/>
        </w:rPr>
        <w:t>Limitations of Current ED Layout</w:t>
      </w:r>
    </w:p>
    <w:p w14:paraId="5F9F8DCD" w14:textId="77777777" w:rsidR="00575025" w:rsidRPr="00E20DEA" w:rsidRDefault="00575025" w:rsidP="00A662DF">
      <w:pPr>
        <w:spacing w:after="0" w:line="240" w:lineRule="auto"/>
        <w:rPr>
          <w:rFonts w:cstheme="minorHAnsi"/>
          <w:i/>
          <w:iCs/>
          <w:sz w:val="24"/>
          <w:szCs w:val="24"/>
          <w:highlight w:val="yellow"/>
        </w:rPr>
      </w:pPr>
    </w:p>
    <w:p w14:paraId="070FD55B" w14:textId="0E7E793F" w:rsidR="00575025" w:rsidRPr="006A7232" w:rsidRDefault="00213C5C" w:rsidP="00A662DF">
      <w:pPr>
        <w:pStyle w:val="ListParagraph"/>
        <w:numPr>
          <w:ilvl w:val="0"/>
          <w:numId w:val="6"/>
        </w:numPr>
        <w:spacing w:after="0" w:line="240" w:lineRule="auto"/>
        <w:rPr>
          <w:rFonts w:cstheme="minorHAnsi"/>
          <w:b/>
          <w:bCs/>
          <w:i/>
          <w:iCs/>
          <w:sz w:val="24"/>
          <w:szCs w:val="24"/>
        </w:rPr>
      </w:pPr>
      <w:r w:rsidRPr="006A7232">
        <w:rPr>
          <w:rFonts w:cstheme="minorHAnsi"/>
          <w:b/>
          <w:bCs/>
          <w:i/>
          <w:iCs/>
          <w:sz w:val="24"/>
          <w:szCs w:val="24"/>
        </w:rPr>
        <w:t>Emergency Department Operating Over Capacity</w:t>
      </w:r>
      <w:r w:rsidR="00076C67">
        <w:rPr>
          <w:rFonts w:cstheme="minorHAnsi"/>
          <w:b/>
          <w:bCs/>
          <w:i/>
          <w:iCs/>
          <w:sz w:val="24"/>
          <w:szCs w:val="24"/>
        </w:rPr>
        <w:t xml:space="preserve"> </w:t>
      </w:r>
    </w:p>
    <w:p w14:paraId="03E0AC0A" w14:textId="4D39A419" w:rsidR="00575025" w:rsidRPr="006A7232" w:rsidRDefault="0033526C" w:rsidP="00A662DF">
      <w:pPr>
        <w:spacing w:after="0" w:line="240" w:lineRule="auto"/>
        <w:rPr>
          <w:sz w:val="24"/>
          <w:szCs w:val="24"/>
        </w:rPr>
      </w:pPr>
      <w:r w:rsidRPr="006A7232">
        <w:rPr>
          <w:sz w:val="24"/>
          <w:szCs w:val="24"/>
        </w:rPr>
        <w:t xml:space="preserve">First built in 1979 and last renovated in 2003, </w:t>
      </w:r>
      <w:r w:rsidR="00F3732B">
        <w:rPr>
          <w:rFonts w:cs="Arial"/>
          <w:sz w:val="24"/>
          <w:szCs w:val="24"/>
        </w:rPr>
        <w:t>the Hospital’s</w:t>
      </w:r>
      <w:r w:rsidR="00FC3DA7">
        <w:rPr>
          <w:rFonts w:cs="Arial"/>
          <w:sz w:val="24"/>
          <w:szCs w:val="24"/>
        </w:rPr>
        <w:t xml:space="preserve"> ED</w:t>
      </w:r>
      <w:r w:rsidR="00FC3DA7" w:rsidRPr="006A7232">
        <w:rPr>
          <w:rFonts w:cs="Arial"/>
          <w:sz w:val="24"/>
          <w:szCs w:val="24"/>
        </w:rPr>
        <w:t xml:space="preserve"> </w:t>
      </w:r>
      <w:r w:rsidR="00EE0EF0" w:rsidRPr="006A7232">
        <w:rPr>
          <w:rFonts w:cs="Arial"/>
          <w:sz w:val="24"/>
          <w:szCs w:val="24"/>
        </w:rPr>
        <w:t>was designed to accommodate a maximum of 45,000 annual visits</w:t>
      </w:r>
      <w:r w:rsidRPr="006A7232">
        <w:rPr>
          <w:sz w:val="24"/>
          <w:szCs w:val="24"/>
        </w:rPr>
        <w:t xml:space="preserve">. </w:t>
      </w:r>
      <w:r w:rsidR="00296F1D">
        <w:rPr>
          <w:sz w:val="24"/>
          <w:szCs w:val="24"/>
        </w:rPr>
        <w:t>However, t</w:t>
      </w:r>
      <w:r w:rsidR="006D1F65">
        <w:rPr>
          <w:sz w:val="24"/>
          <w:szCs w:val="24"/>
        </w:rPr>
        <w:t xml:space="preserve">he Hospital’s ED utilization </w:t>
      </w:r>
      <w:r w:rsidR="00E13C8F">
        <w:rPr>
          <w:sz w:val="24"/>
          <w:szCs w:val="24"/>
        </w:rPr>
        <w:t xml:space="preserve">has consistently risen over the last </w:t>
      </w:r>
      <w:r w:rsidR="00296F1D">
        <w:rPr>
          <w:sz w:val="24"/>
          <w:szCs w:val="24"/>
        </w:rPr>
        <w:t>four years as demonstrated in Table 4. Most recently, i</w:t>
      </w:r>
      <w:r w:rsidR="00B50665" w:rsidRPr="006A7232">
        <w:rPr>
          <w:sz w:val="24"/>
          <w:szCs w:val="24"/>
        </w:rPr>
        <w:t>n FY202</w:t>
      </w:r>
      <w:r w:rsidR="009A568F" w:rsidRPr="006A7232">
        <w:rPr>
          <w:sz w:val="24"/>
          <w:szCs w:val="24"/>
        </w:rPr>
        <w:t>4</w:t>
      </w:r>
      <w:r w:rsidR="00B50665" w:rsidRPr="006A7232">
        <w:rPr>
          <w:sz w:val="24"/>
          <w:szCs w:val="24"/>
        </w:rPr>
        <w:t xml:space="preserve">, </w:t>
      </w:r>
      <w:r w:rsidR="00F3732B">
        <w:rPr>
          <w:sz w:val="24"/>
          <w:szCs w:val="24"/>
        </w:rPr>
        <w:t>it</w:t>
      </w:r>
      <w:r w:rsidR="00AE25D5" w:rsidRPr="006A7232">
        <w:rPr>
          <w:sz w:val="24"/>
          <w:szCs w:val="24"/>
        </w:rPr>
        <w:t xml:space="preserve"> saw</w:t>
      </w:r>
      <w:r w:rsidR="00B50665" w:rsidRPr="006A7232">
        <w:rPr>
          <w:sz w:val="24"/>
          <w:szCs w:val="24"/>
        </w:rPr>
        <w:t xml:space="preserve"> </w:t>
      </w:r>
      <w:r w:rsidR="003D47B7">
        <w:rPr>
          <w:sz w:val="24"/>
          <w:szCs w:val="24"/>
        </w:rPr>
        <w:t>52,160</w:t>
      </w:r>
      <w:r w:rsidR="00B50665" w:rsidRPr="006A7232">
        <w:rPr>
          <w:sz w:val="24"/>
          <w:szCs w:val="24"/>
        </w:rPr>
        <w:t xml:space="preserve"> </w:t>
      </w:r>
      <w:r w:rsidR="001438DE" w:rsidRPr="00CB5B31">
        <w:rPr>
          <w:sz w:val="24"/>
          <w:szCs w:val="24"/>
        </w:rPr>
        <w:t>visits</w:t>
      </w:r>
      <w:r w:rsidR="00B50665" w:rsidRPr="00CB5B31">
        <w:rPr>
          <w:sz w:val="24"/>
          <w:szCs w:val="24"/>
        </w:rPr>
        <w:t xml:space="preserve">, </w:t>
      </w:r>
      <w:r w:rsidR="00CB5B31" w:rsidRPr="00CB5B31">
        <w:rPr>
          <w:sz w:val="24"/>
          <w:szCs w:val="24"/>
        </w:rPr>
        <w:t>1</w:t>
      </w:r>
      <w:r w:rsidR="00B50665" w:rsidRPr="00CB5B31">
        <w:rPr>
          <w:sz w:val="24"/>
          <w:szCs w:val="24"/>
        </w:rPr>
        <w:t xml:space="preserve">5% more </w:t>
      </w:r>
      <w:r w:rsidR="00DC513F" w:rsidRPr="00CB5B31">
        <w:rPr>
          <w:sz w:val="24"/>
          <w:szCs w:val="24"/>
        </w:rPr>
        <w:t>visits</w:t>
      </w:r>
      <w:r w:rsidR="00B50665" w:rsidRPr="00CB5B31">
        <w:rPr>
          <w:sz w:val="24"/>
          <w:szCs w:val="24"/>
        </w:rPr>
        <w:t xml:space="preserve"> than intended when the ED was </w:t>
      </w:r>
      <w:r w:rsidR="00B50665" w:rsidRPr="00854622">
        <w:rPr>
          <w:sz w:val="24"/>
          <w:szCs w:val="24"/>
        </w:rPr>
        <w:t>designed.</w:t>
      </w:r>
      <w:r w:rsidR="00470F0B" w:rsidRPr="00854622">
        <w:rPr>
          <w:sz w:val="24"/>
          <w:szCs w:val="24"/>
        </w:rPr>
        <w:t xml:space="preserve"> </w:t>
      </w:r>
    </w:p>
    <w:p w14:paraId="43CEFCD5" w14:textId="77777777" w:rsidR="00AA6FE4" w:rsidRPr="00E20DEA" w:rsidRDefault="00AA6FE4" w:rsidP="00A662DF">
      <w:pPr>
        <w:spacing w:after="0" w:line="240" w:lineRule="auto"/>
        <w:rPr>
          <w:rFonts w:cstheme="minorHAnsi"/>
          <w:sz w:val="24"/>
          <w:szCs w:val="24"/>
          <w:highlight w:val="yellow"/>
        </w:rPr>
      </w:pPr>
    </w:p>
    <w:p w14:paraId="247C7D8F" w14:textId="622D8595" w:rsidR="00B50665" w:rsidRPr="00E20DEA" w:rsidRDefault="00AA6FE4" w:rsidP="00AA6FE4">
      <w:pPr>
        <w:pStyle w:val="Caption"/>
        <w:spacing w:after="0"/>
        <w:contextualSpacing/>
        <w:jc w:val="center"/>
        <w:rPr>
          <w:rFonts w:cstheme="minorHAnsi"/>
          <w:color w:val="2F5496" w:themeColor="accent1" w:themeShade="BF"/>
          <w:sz w:val="24"/>
          <w:szCs w:val="24"/>
          <w:highlight w:val="yellow"/>
        </w:rPr>
      </w:pPr>
      <w:r w:rsidRPr="00854622">
        <w:rPr>
          <w:rFonts w:cstheme="minorHAnsi"/>
          <w:color w:val="2F5496" w:themeColor="accent1" w:themeShade="BF"/>
          <w:sz w:val="24"/>
          <w:szCs w:val="24"/>
          <w:u w:val="single"/>
        </w:rPr>
        <w:t xml:space="preserve">Table </w:t>
      </w:r>
      <w:r w:rsidR="00854622" w:rsidRPr="00854622">
        <w:rPr>
          <w:rFonts w:cstheme="minorHAnsi"/>
          <w:color w:val="2F5496" w:themeColor="accent1" w:themeShade="BF"/>
          <w:sz w:val="24"/>
          <w:szCs w:val="24"/>
          <w:u w:val="single"/>
        </w:rPr>
        <w:t>4</w:t>
      </w:r>
      <w:r w:rsidRPr="00854622">
        <w:rPr>
          <w:rFonts w:cstheme="minorHAnsi"/>
          <w:color w:val="2F5496" w:themeColor="accent1" w:themeShade="BF"/>
          <w:sz w:val="24"/>
          <w:szCs w:val="24"/>
        </w:rPr>
        <w:t xml:space="preserve"> – </w:t>
      </w:r>
      <w:r w:rsidR="00112F9C" w:rsidRPr="00854622">
        <w:rPr>
          <w:rFonts w:cstheme="minorHAnsi"/>
          <w:color w:val="2F5496" w:themeColor="accent1" w:themeShade="BF"/>
          <w:sz w:val="24"/>
          <w:szCs w:val="24"/>
        </w:rPr>
        <w:t>Historical</w:t>
      </w:r>
      <w:r w:rsidR="00112F9C" w:rsidRPr="00123E59">
        <w:rPr>
          <w:rFonts w:cstheme="minorHAnsi"/>
          <w:color w:val="2F5496" w:themeColor="accent1" w:themeShade="BF"/>
          <w:sz w:val="24"/>
          <w:szCs w:val="24"/>
        </w:rPr>
        <w:t xml:space="preserve"> </w:t>
      </w:r>
      <w:r w:rsidR="00123E59">
        <w:rPr>
          <w:rFonts w:cstheme="minorHAnsi"/>
          <w:color w:val="2F5496" w:themeColor="accent1" w:themeShade="BF"/>
          <w:sz w:val="24"/>
          <w:szCs w:val="24"/>
        </w:rPr>
        <w:t>Sturdy Memorial Hospital</w:t>
      </w:r>
      <w:r w:rsidRPr="00123E59">
        <w:rPr>
          <w:rFonts w:cstheme="minorHAnsi"/>
          <w:color w:val="2F5496" w:themeColor="accent1" w:themeShade="BF"/>
          <w:sz w:val="24"/>
          <w:szCs w:val="24"/>
        </w:rPr>
        <w:t xml:space="preserve"> Emergency Department </w:t>
      </w:r>
      <w:r w:rsidR="00112F9C" w:rsidRPr="00123E59">
        <w:rPr>
          <w:rFonts w:cstheme="minorHAnsi"/>
          <w:color w:val="2F5496" w:themeColor="accent1" w:themeShade="BF"/>
          <w:sz w:val="24"/>
          <w:szCs w:val="24"/>
        </w:rPr>
        <w:t>Volume</w:t>
      </w:r>
    </w:p>
    <w:tbl>
      <w:tblPr>
        <w:tblStyle w:val="TableGrid"/>
        <w:tblW w:w="8046" w:type="dxa"/>
        <w:jc w:val="center"/>
        <w:tblLook w:val="04A0" w:firstRow="1" w:lastRow="0" w:firstColumn="1" w:lastColumn="0" w:noHBand="0" w:noVBand="1"/>
      </w:tblPr>
      <w:tblGrid>
        <w:gridCol w:w="1863"/>
        <w:gridCol w:w="1077"/>
        <w:gridCol w:w="1166"/>
        <w:gridCol w:w="1166"/>
        <w:gridCol w:w="1077"/>
        <w:gridCol w:w="1697"/>
      </w:tblGrid>
      <w:tr w:rsidR="00854622" w:rsidRPr="00E20DEA" w14:paraId="1274E375" w14:textId="77777777" w:rsidTr="007057D1">
        <w:trPr>
          <w:jc w:val="center"/>
        </w:trPr>
        <w:tc>
          <w:tcPr>
            <w:tcW w:w="1863" w:type="dxa"/>
            <w:shd w:val="clear" w:color="auto" w:fill="D9E2F3" w:themeFill="accent1" w:themeFillTint="33"/>
          </w:tcPr>
          <w:p w14:paraId="5E2E5A2E" w14:textId="236E589F" w:rsidR="00854622" w:rsidRPr="00E20DEA" w:rsidRDefault="00854622">
            <w:pPr>
              <w:jc w:val="both"/>
              <w:rPr>
                <w:rFonts w:cstheme="minorHAnsi"/>
                <w:b/>
                <w:bCs/>
                <w:sz w:val="24"/>
                <w:szCs w:val="24"/>
                <w:highlight w:val="yellow"/>
              </w:rPr>
            </w:pPr>
          </w:p>
        </w:tc>
        <w:tc>
          <w:tcPr>
            <w:tcW w:w="1077" w:type="dxa"/>
            <w:shd w:val="clear" w:color="auto" w:fill="D9E2F3" w:themeFill="accent1" w:themeFillTint="33"/>
            <w:vAlign w:val="center"/>
          </w:tcPr>
          <w:p w14:paraId="3152B7A5" w14:textId="77777777" w:rsidR="00854622" w:rsidRPr="004E3927" w:rsidRDefault="00854622">
            <w:pPr>
              <w:jc w:val="center"/>
              <w:rPr>
                <w:rFonts w:cstheme="minorHAnsi"/>
                <w:sz w:val="24"/>
                <w:szCs w:val="24"/>
              </w:rPr>
            </w:pPr>
            <w:r w:rsidRPr="004E3927">
              <w:rPr>
                <w:rFonts w:eastAsia="Times New Roman" w:cstheme="minorHAnsi"/>
                <w:b/>
                <w:bCs/>
                <w:color w:val="000000"/>
                <w:sz w:val="24"/>
                <w:szCs w:val="24"/>
              </w:rPr>
              <w:t>FY2021</w:t>
            </w:r>
          </w:p>
        </w:tc>
        <w:tc>
          <w:tcPr>
            <w:tcW w:w="1166" w:type="dxa"/>
            <w:shd w:val="clear" w:color="auto" w:fill="D9E2F3" w:themeFill="accent1" w:themeFillTint="33"/>
            <w:vAlign w:val="center"/>
          </w:tcPr>
          <w:p w14:paraId="4D5C0111" w14:textId="77777777" w:rsidR="00854622" w:rsidRPr="004E3927" w:rsidRDefault="00854622">
            <w:pPr>
              <w:jc w:val="center"/>
              <w:rPr>
                <w:rFonts w:cstheme="minorHAnsi"/>
                <w:sz w:val="24"/>
                <w:szCs w:val="24"/>
              </w:rPr>
            </w:pPr>
            <w:r w:rsidRPr="004E3927">
              <w:rPr>
                <w:rFonts w:eastAsia="Times New Roman" w:cstheme="minorHAnsi"/>
                <w:b/>
                <w:bCs/>
                <w:color w:val="000000"/>
                <w:sz w:val="24"/>
                <w:szCs w:val="24"/>
              </w:rPr>
              <w:t>FY2022</w:t>
            </w:r>
          </w:p>
        </w:tc>
        <w:tc>
          <w:tcPr>
            <w:tcW w:w="1166" w:type="dxa"/>
            <w:shd w:val="clear" w:color="auto" w:fill="D9E2F3" w:themeFill="accent1" w:themeFillTint="33"/>
            <w:vAlign w:val="center"/>
          </w:tcPr>
          <w:p w14:paraId="5DA1D7FE" w14:textId="77777777" w:rsidR="00854622" w:rsidRPr="004E3927" w:rsidRDefault="00854622">
            <w:pPr>
              <w:jc w:val="center"/>
              <w:rPr>
                <w:rFonts w:cstheme="minorHAnsi"/>
                <w:sz w:val="24"/>
                <w:szCs w:val="24"/>
              </w:rPr>
            </w:pPr>
            <w:r w:rsidRPr="004E3927">
              <w:rPr>
                <w:rFonts w:eastAsia="Times New Roman" w:cstheme="minorHAnsi"/>
                <w:b/>
                <w:bCs/>
                <w:color w:val="000000"/>
                <w:sz w:val="24"/>
                <w:szCs w:val="24"/>
              </w:rPr>
              <w:t>FY2023</w:t>
            </w:r>
          </w:p>
        </w:tc>
        <w:tc>
          <w:tcPr>
            <w:tcW w:w="1077" w:type="dxa"/>
            <w:shd w:val="clear" w:color="auto" w:fill="D9E2F3" w:themeFill="accent1" w:themeFillTint="33"/>
            <w:vAlign w:val="center"/>
          </w:tcPr>
          <w:p w14:paraId="0D8E0691" w14:textId="50125DCF" w:rsidR="00854622" w:rsidRPr="004E3927" w:rsidRDefault="00854622" w:rsidP="00EA025B">
            <w:pPr>
              <w:jc w:val="center"/>
              <w:rPr>
                <w:rFonts w:eastAsia="Times New Roman" w:cstheme="minorHAnsi"/>
                <w:b/>
                <w:bCs/>
                <w:color w:val="000000"/>
                <w:sz w:val="24"/>
                <w:szCs w:val="24"/>
              </w:rPr>
            </w:pPr>
            <w:r w:rsidRPr="004E3927">
              <w:rPr>
                <w:rFonts w:eastAsia="Times New Roman" w:cstheme="minorHAnsi"/>
                <w:b/>
                <w:bCs/>
                <w:color w:val="000000"/>
                <w:sz w:val="24"/>
                <w:szCs w:val="24"/>
              </w:rPr>
              <w:t>FY2024</w:t>
            </w:r>
          </w:p>
        </w:tc>
        <w:tc>
          <w:tcPr>
            <w:tcW w:w="1697" w:type="dxa"/>
            <w:shd w:val="clear" w:color="auto" w:fill="D9E2F3" w:themeFill="accent1" w:themeFillTint="33"/>
          </w:tcPr>
          <w:p w14:paraId="24E81DEA" w14:textId="6840807C" w:rsidR="00854622" w:rsidRPr="007057D1" w:rsidRDefault="00854622" w:rsidP="00EA025B">
            <w:pPr>
              <w:jc w:val="center"/>
              <w:rPr>
                <w:rFonts w:eastAsia="Times New Roman" w:cstheme="minorHAnsi"/>
                <w:b/>
                <w:bCs/>
                <w:color w:val="000000"/>
                <w:sz w:val="24"/>
                <w:szCs w:val="24"/>
              </w:rPr>
            </w:pPr>
            <w:r w:rsidRPr="007057D1">
              <w:rPr>
                <w:rFonts w:eastAsia="Times New Roman" w:cstheme="minorHAnsi"/>
                <w:b/>
                <w:bCs/>
                <w:color w:val="000000"/>
                <w:sz w:val="24"/>
                <w:szCs w:val="24"/>
              </w:rPr>
              <w:t>Change</w:t>
            </w:r>
          </w:p>
          <w:p w14:paraId="77D07066" w14:textId="415FF95D" w:rsidR="00854622" w:rsidRPr="007057D1" w:rsidRDefault="00854622" w:rsidP="00EA025B">
            <w:pPr>
              <w:jc w:val="center"/>
              <w:rPr>
                <w:rFonts w:eastAsia="Times New Roman" w:cstheme="minorHAnsi"/>
                <w:b/>
                <w:bCs/>
                <w:color w:val="000000"/>
                <w:sz w:val="24"/>
                <w:szCs w:val="24"/>
              </w:rPr>
            </w:pPr>
            <w:r w:rsidRPr="007057D1">
              <w:rPr>
                <w:rFonts w:eastAsia="Times New Roman" w:cstheme="minorHAnsi"/>
                <w:b/>
                <w:bCs/>
                <w:color w:val="000000"/>
                <w:sz w:val="24"/>
                <w:szCs w:val="24"/>
              </w:rPr>
              <w:t>2021-2024</w:t>
            </w:r>
          </w:p>
        </w:tc>
      </w:tr>
      <w:tr w:rsidR="00854622" w:rsidRPr="00E20DEA" w14:paraId="56A26D32" w14:textId="77777777" w:rsidTr="007057D1">
        <w:trPr>
          <w:jc w:val="center"/>
        </w:trPr>
        <w:tc>
          <w:tcPr>
            <w:tcW w:w="1863" w:type="dxa"/>
          </w:tcPr>
          <w:p w14:paraId="2946B049" w14:textId="77777777" w:rsidR="00854622" w:rsidRPr="00E20DEA" w:rsidRDefault="00854622" w:rsidP="00A16FB0">
            <w:pPr>
              <w:jc w:val="both"/>
              <w:rPr>
                <w:rFonts w:cstheme="minorHAnsi"/>
                <w:sz w:val="24"/>
                <w:szCs w:val="24"/>
                <w:highlight w:val="yellow"/>
              </w:rPr>
            </w:pPr>
            <w:r w:rsidRPr="00123E59">
              <w:rPr>
                <w:rFonts w:cstheme="minorHAnsi"/>
                <w:sz w:val="24"/>
                <w:szCs w:val="24"/>
              </w:rPr>
              <w:t xml:space="preserve">ED Visits </w:t>
            </w:r>
          </w:p>
        </w:tc>
        <w:tc>
          <w:tcPr>
            <w:tcW w:w="1077" w:type="dxa"/>
          </w:tcPr>
          <w:p w14:paraId="5ED87EE2" w14:textId="2874898C" w:rsidR="00854622" w:rsidRPr="00E20DEA" w:rsidRDefault="00854622" w:rsidP="00A16FB0">
            <w:pPr>
              <w:jc w:val="center"/>
              <w:rPr>
                <w:rFonts w:cstheme="minorHAnsi"/>
                <w:sz w:val="24"/>
                <w:szCs w:val="24"/>
                <w:highlight w:val="yellow"/>
              </w:rPr>
            </w:pPr>
            <w:r w:rsidRPr="00A87D82">
              <w:rPr>
                <w:rFonts w:cs="Arial"/>
              </w:rPr>
              <w:t>44,893</w:t>
            </w:r>
          </w:p>
        </w:tc>
        <w:tc>
          <w:tcPr>
            <w:tcW w:w="1166" w:type="dxa"/>
          </w:tcPr>
          <w:p w14:paraId="32888B34" w14:textId="7FC4D73D" w:rsidR="00854622" w:rsidRPr="00E20DEA" w:rsidRDefault="00854622" w:rsidP="00A16FB0">
            <w:pPr>
              <w:jc w:val="center"/>
              <w:rPr>
                <w:rFonts w:cstheme="minorHAnsi"/>
                <w:sz w:val="24"/>
                <w:szCs w:val="24"/>
                <w:highlight w:val="yellow"/>
              </w:rPr>
            </w:pPr>
            <w:r w:rsidRPr="00A87D82">
              <w:rPr>
                <w:rFonts w:cs="Arial"/>
              </w:rPr>
              <w:t>48,877</w:t>
            </w:r>
          </w:p>
        </w:tc>
        <w:tc>
          <w:tcPr>
            <w:tcW w:w="1166" w:type="dxa"/>
          </w:tcPr>
          <w:p w14:paraId="3B512155" w14:textId="487807F3" w:rsidR="00854622" w:rsidRPr="00E20DEA" w:rsidRDefault="00854622" w:rsidP="00A16FB0">
            <w:pPr>
              <w:jc w:val="center"/>
              <w:rPr>
                <w:rFonts w:cstheme="minorHAnsi"/>
                <w:sz w:val="24"/>
                <w:szCs w:val="24"/>
                <w:highlight w:val="yellow"/>
              </w:rPr>
            </w:pPr>
            <w:r w:rsidRPr="00A87D82">
              <w:rPr>
                <w:rFonts w:cs="Arial"/>
              </w:rPr>
              <w:t>51,106</w:t>
            </w:r>
          </w:p>
        </w:tc>
        <w:tc>
          <w:tcPr>
            <w:tcW w:w="1077" w:type="dxa"/>
          </w:tcPr>
          <w:p w14:paraId="0CEA698F" w14:textId="07D3AAF2" w:rsidR="00854622" w:rsidRPr="00E20DEA" w:rsidRDefault="00854622" w:rsidP="00A16FB0">
            <w:pPr>
              <w:jc w:val="center"/>
              <w:rPr>
                <w:rFonts w:cstheme="minorHAnsi"/>
                <w:color w:val="000000"/>
                <w:sz w:val="24"/>
                <w:szCs w:val="24"/>
                <w:highlight w:val="yellow"/>
              </w:rPr>
            </w:pPr>
            <w:r>
              <w:rPr>
                <w:rFonts w:cs="Arial"/>
              </w:rPr>
              <w:t>52,160</w:t>
            </w:r>
          </w:p>
        </w:tc>
        <w:tc>
          <w:tcPr>
            <w:tcW w:w="1697" w:type="dxa"/>
          </w:tcPr>
          <w:p w14:paraId="327892BF" w14:textId="52871787" w:rsidR="00854622" w:rsidRPr="007057D1" w:rsidRDefault="007057D1" w:rsidP="00A16FB0">
            <w:pPr>
              <w:jc w:val="center"/>
              <w:rPr>
                <w:rFonts w:cstheme="minorHAnsi"/>
                <w:color w:val="000000"/>
                <w:sz w:val="24"/>
                <w:szCs w:val="24"/>
              </w:rPr>
            </w:pPr>
            <w:r w:rsidRPr="007057D1">
              <w:rPr>
                <w:rFonts w:cstheme="minorHAnsi"/>
                <w:color w:val="000000"/>
                <w:sz w:val="24"/>
                <w:szCs w:val="24"/>
              </w:rPr>
              <w:t>16.2</w:t>
            </w:r>
            <w:r w:rsidR="00854622" w:rsidRPr="007057D1">
              <w:rPr>
                <w:rFonts w:cstheme="minorHAnsi"/>
                <w:color w:val="000000"/>
                <w:sz w:val="24"/>
                <w:szCs w:val="24"/>
              </w:rPr>
              <w:t>%</w:t>
            </w:r>
          </w:p>
        </w:tc>
      </w:tr>
    </w:tbl>
    <w:p w14:paraId="5E8FE418" w14:textId="77777777" w:rsidR="00D913C0" w:rsidRPr="00E20DEA" w:rsidRDefault="00D913C0" w:rsidP="00637364">
      <w:pPr>
        <w:pStyle w:val="xxmsolistparagraph"/>
        <w:ind w:left="0"/>
        <w:rPr>
          <w:rFonts w:asciiTheme="minorHAnsi" w:hAnsiTheme="minorHAnsi" w:cstheme="minorHAnsi"/>
          <w:sz w:val="24"/>
          <w:szCs w:val="24"/>
          <w:highlight w:val="yellow"/>
        </w:rPr>
      </w:pPr>
    </w:p>
    <w:p w14:paraId="40C953A9" w14:textId="1EFF7C8B" w:rsidR="00E330F1" w:rsidRPr="00E20DEA" w:rsidRDefault="00D913C0" w:rsidP="00A662DF">
      <w:pPr>
        <w:spacing w:after="0" w:line="240" w:lineRule="auto"/>
        <w:rPr>
          <w:sz w:val="24"/>
          <w:szCs w:val="24"/>
          <w:highlight w:val="yellow"/>
        </w:rPr>
      </w:pPr>
      <w:r w:rsidRPr="0075315B">
        <w:rPr>
          <w:sz w:val="24"/>
          <w:szCs w:val="24"/>
        </w:rPr>
        <w:t xml:space="preserve">As </w:t>
      </w:r>
      <w:r w:rsidR="006623D8" w:rsidRPr="0075315B">
        <w:rPr>
          <w:sz w:val="24"/>
          <w:szCs w:val="24"/>
        </w:rPr>
        <w:t xml:space="preserve">illustrated in </w:t>
      </w:r>
      <w:r w:rsidR="001B0396" w:rsidRPr="007057D1">
        <w:rPr>
          <w:sz w:val="24"/>
          <w:szCs w:val="24"/>
        </w:rPr>
        <w:t xml:space="preserve">Table </w:t>
      </w:r>
      <w:r w:rsidR="007057D1" w:rsidRPr="007057D1">
        <w:rPr>
          <w:sz w:val="24"/>
          <w:szCs w:val="24"/>
        </w:rPr>
        <w:t>4</w:t>
      </w:r>
      <w:r w:rsidR="001B0396" w:rsidRPr="007057D1">
        <w:rPr>
          <w:sz w:val="24"/>
          <w:szCs w:val="24"/>
        </w:rPr>
        <w:t xml:space="preserve"> above</w:t>
      </w:r>
      <w:r w:rsidRPr="007057D1">
        <w:rPr>
          <w:sz w:val="24"/>
          <w:szCs w:val="24"/>
        </w:rPr>
        <w:t xml:space="preserve">, </w:t>
      </w:r>
      <w:r w:rsidR="0075315B" w:rsidRPr="007057D1">
        <w:rPr>
          <w:sz w:val="24"/>
          <w:szCs w:val="24"/>
        </w:rPr>
        <w:t>the Hospital’s</w:t>
      </w:r>
      <w:r w:rsidRPr="0075315B">
        <w:rPr>
          <w:sz w:val="24"/>
          <w:szCs w:val="24"/>
        </w:rPr>
        <w:t xml:space="preserve"> ED has been </w:t>
      </w:r>
      <w:r w:rsidR="00E67381" w:rsidRPr="0075315B">
        <w:rPr>
          <w:sz w:val="24"/>
          <w:szCs w:val="24"/>
        </w:rPr>
        <w:t>treating</w:t>
      </w:r>
      <w:r w:rsidR="00080F7E" w:rsidRPr="0075315B">
        <w:rPr>
          <w:sz w:val="24"/>
          <w:szCs w:val="24"/>
        </w:rPr>
        <w:t xml:space="preserve"> a</w:t>
      </w:r>
      <w:r w:rsidR="00E67381" w:rsidRPr="0075315B">
        <w:rPr>
          <w:sz w:val="24"/>
          <w:szCs w:val="24"/>
        </w:rPr>
        <w:t xml:space="preserve"> </w:t>
      </w:r>
      <w:r w:rsidR="00080F7E" w:rsidRPr="0075315B">
        <w:rPr>
          <w:sz w:val="24"/>
          <w:szCs w:val="24"/>
        </w:rPr>
        <w:t>greater number of</w:t>
      </w:r>
      <w:r w:rsidR="00F77D5D" w:rsidRPr="0075315B">
        <w:rPr>
          <w:sz w:val="24"/>
          <w:szCs w:val="24"/>
        </w:rPr>
        <w:t xml:space="preserve"> patients </w:t>
      </w:r>
      <w:r w:rsidR="0084441B" w:rsidRPr="0075315B">
        <w:rPr>
          <w:sz w:val="24"/>
          <w:szCs w:val="24"/>
        </w:rPr>
        <w:t xml:space="preserve">than the space was designed to </w:t>
      </w:r>
      <w:r w:rsidR="002C3FD1" w:rsidRPr="0075315B">
        <w:rPr>
          <w:sz w:val="24"/>
          <w:szCs w:val="24"/>
        </w:rPr>
        <w:t>accommodate</w:t>
      </w:r>
      <w:r w:rsidR="0084441B" w:rsidRPr="0075315B">
        <w:rPr>
          <w:sz w:val="24"/>
          <w:szCs w:val="24"/>
        </w:rPr>
        <w:t xml:space="preserve"> </w:t>
      </w:r>
      <w:r w:rsidRPr="0075315B">
        <w:rPr>
          <w:sz w:val="24"/>
          <w:szCs w:val="24"/>
        </w:rPr>
        <w:t xml:space="preserve">for </w:t>
      </w:r>
      <w:r w:rsidR="006623D8" w:rsidRPr="0075315B">
        <w:rPr>
          <w:sz w:val="24"/>
          <w:szCs w:val="24"/>
        </w:rPr>
        <w:t>several</w:t>
      </w:r>
      <w:r w:rsidRPr="0075315B">
        <w:rPr>
          <w:sz w:val="24"/>
          <w:szCs w:val="24"/>
        </w:rPr>
        <w:t xml:space="preserve"> </w:t>
      </w:r>
      <w:r w:rsidRPr="007057D1">
        <w:rPr>
          <w:sz w:val="24"/>
          <w:szCs w:val="24"/>
        </w:rPr>
        <w:t xml:space="preserve">years. </w:t>
      </w:r>
      <w:r w:rsidR="00D22E6F" w:rsidRPr="007057D1">
        <w:rPr>
          <w:sz w:val="24"/>
          <w:szCs w:val="24"/>
        </w:rPr>
        <w:t xml:space="preserve">The Applicant notes that </w:t>
      </w:r>
      <w:r w:rsidR="00A34285" w:rsidRPr="007057D1">
        <w:rPr>
          <w:sz w:val="24"/>
          <w:szCs w:val="24"/>
        </w:rPr>
        <w:t xml:space="preserve">the majority of patients visiting the ED </w:t>
      </w:r>
      <w:r w:rsidR="00DF667D" w:rsidRPr="007057D1">
        <w:rPr>
          <w:sz w:val="24"/>
          <w:szCs w:val="24"/>
        </w:rPr>
        <w:t>present</w:t>
      </w:r>
      <w:r w:rsidR="00BB1A61" w:rsidRPr="007057D1">
        <w:rPr>
          <w:sz w:val="24"/>
          <w:szCs w:val="24"/>
        </w:rPr>
        <w:t>ed</w:t>
      </w:r>
      <w:r w:rsidR="00DF667D" w:rsidRPr="007057D1">
        <w:rPr>
          <w:sz w:val="24"/>
          <w:szCs w:val="24"/>
        </w:rPr>
        <w:t xml:space="preserve"> with a moderate level of acuity</w:t>
      </w:r>
      <w:r w:rsidR="00661124" w:rsidRPr="007057D1">
        <w:rPr>
          <w:sz w:val="24"/>
          <w:szCs w:val="24"/>
        </w:rPr>
        <w:t xml:space="preserve"> on the Emergency Severity Index (ESI)</w:t>
      </w:r>
      <w:r w:rsidR="00EF43A5" w:rsidRPr="007057D1">
        <w:rPr>
          <w:vertAlign w:val="superscript"/>
        </w:rPr>
        <w:footnoteReference w:id="5"/>
      </w:r>
      <w:r w:rsidR="00661124" w:rsidRPr="007057D1">
        <w:rPr>
          <w:sz w:val="24"/>
          <w:szCs w:val="24"/>
        </w:rPr>
        <w:t>.</w:t>
      </w:r>
      <w:r w:rsidR="00D86E6B" w:rsidRPr="007057D1">
        <w:rPr>
          <w:sz w:val="24"/>
          <w:szCs w:val="24"/>
        </w:rPr>
        <w:t xml:space="preserve"> Table </w:t>
      </w:r>
      <w:r w:rsidR="007057D1" w:rsidRPr="007057D1">
        <w:rPr>
          <w:sz w:val="24"/>
          <w:szCs w:val="24"/>
        </w:rPr>
        <w:t>5</w:t>
      </w:r>
      <w:r w:rsidR="00D86E6B" w:rsidRPr="007057D1">
        <w:rPr>
          <w:sz w:val="24"/>
          <w:szCs w:val="24"/>
        </w:rPr>
        <w:t xml:space="preserve"> below details the </w:t>
      </w:r>
      <w:r w:rsidR="004C543D" w:rsidRPr="007057D1">
        <w:rPr>
          <w:sz w:val="24"/>
          <w:szCs w:val="24"/>
        </w:rPr>
        <w:t xml:space="preserve">historical </w:t>
      </w:r>
      <w:r w:rsidR="00E330F1" w:rsidRPr="007057D1">
        <w:rPr>
          <w:sz w:val="24"/>
          <w:szCs w:val="24"/>
        </w:rPr>
        <w:t xml:space="preserve">composition of </w:t>
      </w:r>
      <w:r w:rsidR="004C543D" w:rsidRPr="007057D1">
        <w:rPr>
          <w:sz w:val="24"/>
          <w:szCs w:val="24"/>
        </w:rPr>
        <w:t xml:space="preserve">patient </w:t>
      </w:r>
      <w:r w:rsidR="00E330F1" w:rsidRPr="007057D1">
        <w:rPr>
          <w:sz w:val="24"/>
          <w:szCs w:val="24"/>
        </w:rPr>
        <w:t xml:space="preserve">severity. </w:t>
      </w:r>
    </w:p>
    <w:p w14:paraId="6D0FDCBC" w14:textId="2E5AFAAA" w:rsidR="002C50CE" w:rsidRPr="007057D1" w:rsidRDefault="002C50CE" w:rsidP="007057D1">
      <w:pPr>
        <w:pStyle w:val="Caption"/>
        <w:spacing w:after="0"/>
        <w:contextualSpacing/>
        <w:jc w:val="center"/>
        <w:rPr>
          <w:rFonts w:cstheme="minorHAnsi"/>
          <w:color w:val="2F5496" w:themeColor="accent1" w:themeShade="BF"/>
          <w:sz w:val="24"/>
          <w:szCs w:val="24"/>
        </w:rPr>
      </w:pPr>
      <w:r w:rsidRPr="007057D1">
        <w:rPr>
          <w:rFonts w:cstheme="minorHAnsi"/>
          <w:color w:val="2F5496" w:themeColor="accent1" w:themeShade="BF"/>
          <w:sz w:val="24"/>
          <w:szCs w:val="24"/>
          <w:u w:val="single"/>
        </w:rPr>
        <w:t xml:space="preserve">Table </w:t>
      </w:r>
      <w:r w:rsidR="007057D1" w:rsidRPr="007057D1">
        <w:rPr>
          <w:rFonts w:cstheme="minorHAnsi"/>
          <w:color w:val="2F5496" w:themeColor="accent1" w:themeShade="BF"/>
          <w:sz w:val="24"/>
          <w:szCs w:val="24"/>
          <w:u w:val="single"/>
        </w:rPr>
        <w:t>5</w:t>
      </w:r>
      <w:r w:rsidRPr="007057D1">
        <w:rPr>
          <w:rFonts w:cstheme="minorHAnsi"/>
          <w:color w:val="2F5496" w:themeColor="accent1" w:themeShade="BF"/>
          <w:sz w:val="24"/>
          <w:szCs w:val="24"/>
        </w:rPr>
        <w:t xml:space="preserve"> – Historical </w:t>
      </w:r>
      <w:r w:rsidR="007057D1" w:rsidRPr="007057D1">
        <w:rPr>
          <w:rFonts w:cstheme="minorHAnsi"/>
          <w:color w:val="2F5496" w:themeColor="accent1" w:themeShade="BF"/>
          <w:sz w:val="24"/>
          <w:szCs w:val="24"/>
        </w:rPr>
        <w:t>Sturdy Memorial</w:t>
      </w:r>
      <w:r w:rsidRPr="007057D1">
        <w:rPr>
          <w:rFonts w:cstheme="minorHAnsi"/>
          <w:color w:val="2F5496" w:themeColor="accent1" w:themeShade="BF"/>
          <w:sz w:val="24"/>
          <w:szCs w:val="24"/>
        </w:rPr>
        <w:t xml:space="preserve"> Emergency Department </w:t>
      </w:r>
      <w:r w:rsidR="007D3325" w:rsidRPr="007057D1">
        <w:rPr>
          <w:rFonts w:cstheme="minorHAnsi"/>
          <w:color w:val="2F5496" w:themeColor="accent1" w:themeShade="BF"/>
          <w:sz w:val="24"/>
          <w:szCs w:val="24"/>
        </w:rPr>
        <w:t>Visit Acuity</w:t>
      </w:r>
    </w:p>
    <w:tbl>
      <w:tblPr>
        <w:tblStyle w:val="TableGrid"/>
        <w:tblW w:w="0" w:type="auto"/>
        <w:tblInd w:w="720" w:type="dxa"/>
        <w:tblLook w:val="04A0" w:firstRow="1" w:lastRow="0" w:firstColumn="1" w:lastColumn="0" w:noHBand="0" w:noVBand="1"/>
      </w:tblPr>
      <w:tblGrid>
        <w:gridCol w:w="1698"/>
        <w:gridCol w:w="1742"/>
        <w:gridCol w:w="1730"/>
        <w:gridCol w:w="1730"/>
        <w:gridCol w:w="1730"/>
      </w:tblGrid>
      <w:tr w:rsidR="007057D1" w:rsidRPr="00AF7BA8" w14:paraId="6B562CC1" w14:textId="77777777" w:rsidTr="00C57446">
        <w:trPr>
          <w:cantSplit/>
          <w:tblHeader/>
        </w:trPr>
        <w:tc>
          <w:tcPr>
            <w:tcW w:w="1870" w:type="dxa"/>
          </w:tcPr>
          <w:p w14:paraId="222F20F4" w14:textId="67BC1566" w:rsidR="007057D1" w:rsidRPr="00D02233" w:rsidRDefault="007057D1" w:rsidP="00A33AC9">
            <w:pPr>
              <w:rPr>
                <w:rFonts w:cstheme="minorHAnsi"/>
                <w:b/>
                <w:bCs/>
                <w:sz w:val="24"/>
                <w:szCs w:val="24"/>
              </w:rPr>
            </w:pPr>
          </w:p>
        </w:tc>
        <w:tc>
          <w:tcPr>
            <w:tcW w:w="1870" w:type="dxa"/>
          </w:tcPr>
          <w:p w14:paraId="050FFDD2" w14:textId="358DD7AD" w:rsidR="007057D1" w:rsidRPr="00D02233" w:rsidRDefault="007057D1" w:rsidP="00A33AC9">
            <w:pPr>
              <w:jc w:val="center"/>
              <w:rPr>
                <w:rFonts w:cstheme="minorHAnsi"/>
                <w:b/>
                <w:bCs/>
                <w:sz w:val="24"/>
                <w:szCs w:val="24"/>
              </w:rPr>
            </w:pPr>
            <w:r w:rsidRPr="00D02233">
              <w:rPr>
                <w:rFonts w:cstheme="minorHAnsi"/>
                <w:b/>
                <w:bCs/>
                <w:sz w:val="24"/>
                <w:szCs w:val="24"/>
              </w:rPr>
              <w:t>FY2021</w:t>
            </w:r>
            <w:r w:rsidRPr="00D02233">
              <w:rPr>
                <w:rStyle w:val="FootnoteReference"/>
                <w:rFonts w:cstheme="minorHAnsi"/>
                <w:b/>
                <w:bCs/>
                <w:sz w:val="24"/>
                <w:szCs w:val="24"/>
              </w:rPr>
              <w:footnoteReference w:id="6"/>
            </w:r>
          </w:p>
        </w:tc>
        <w:tc>
          <w:tcPr>
            <w:tcW w:w="1870" w:type="dxa"/>
          </w:tcPr>
          <w:p w14:paraId="51891836" w14:textId="1D97D7B9" w:rsidR="007057D1" w:rsidRPr="00D02233" w:rsidRDefault="007057D1" w:rsidP="00A33AC9">
            <w:pPr>
              <w:jc w:val="center"/>
              <w:rPr>
                <w:rFonts w:cstheme="minorHAnsi"/>
                <w:b/>
                <w:bCs/>
                <w:sz w:val="24"/>
                <w:szCs w:val="24"/>
              </w:rPr>
            </w:pPr>
            <w:r w:rsidRPr="00D02233">
              <w:rPr>
                <w:rFonts w:cstheme="minorHAnsi"/>
                <w:b/>
                <w:bCs/>
                <w:sz w:val="24"/>
                <w:szCs w:val="24"/>
              </w:rPr>
              <w:t>FY2022</w:t>
            </w:r>
          </w:p>
        </w:tc>
        <w:tc>
          <w:tcPr>
            <w:tcW w:w="1870" w:type="dxa"/>
          </w:tcPr>
          <w:p w14:paraId="1372AEEE" w14:textId="653B9FCF" w:rsidR="007057D1" w:rsidRPr="00D02233" w:rsidRDefault="007057D1" w:rsidP="00A33AC9">
            <w:pPr>
              <w:jc w:val="center"/>
              <w:rPr>
                <w:rFonts w:cstheme="minorHAnsi"/>
                <w:b/>
                <w:bCs/>
                <w:sz w:val="24"/>
                <w:szCs w:val="24"/>
              </w:rPr>
            </w:pPr>
            <w:r w:rsidRPr="00D02233">
              <w:rPr>
                <w:rFonts w:cstheme="minorHAnsi"/>
                <w:b/>
                <w:bCs/>
                <w:sz w:val="24"/>
                <w:szCs w:val="24"/>
              </w:rPr>
              <w:t>FY2023</w:t>
            </w:r>
          </w:p>
        </w:tc>
        <w:tc>
          <w:tcPr>
            <w:tcW w:w="1870" w:type="dxa"/>
          </w:tcPr>
          <w:p w14:paraId="31AD95BC" w14:textId="3B6EAC9B" w:rsidR="007057D1" w:rsidRPr="00D02233" w:rsidRDefault="007057D1" w:rsidP="00A33AC9">
            <w:pPr>
              <w:jc w:val="center"/>
              <w:rPr>
                <w:rFonts w:cstheme="minorHAnsi"/>
                <w:b/>
                <w:bCs/>
                <w:sz w:val="24"/>
                <w:szCs w:val="24"/>
              </w:rPr>
            </w:pPr>
            <w:r w:rsidRPr="00D02233">
              <w:rPr>
                <w:rFonts w:cstheme="minorHAnsi"/>
                <w:b/>
                <w:bCs/>
                <w:sz w:val="24"/>
                <w:szCs w:val="24"/>
              </w:rPr>
              <w:t>FY2024</w:t>
            </w:r>
          </w:p>
        </w:tc>
      </w:tr>
      <w:tr w:rsidR="007057D1" w:rsidRPr="00AF7BA8" w14:paraId="75ED6D9D" w14:textId="77777777" w:rsidTr="00C57446">
        <w:trPr>
          <w:cantSplit/>
        </w:trPr>
        <w:tc>
          <w:tcPr>
            <w:tcW w:w="1870" w:type="dxa"/>
          </w:tcPr>
          <w:p w14:paraId="63FFD1AF" w14:textId="77777777" w:rsidR="007057D1" w:rsidRPr="00D02233" w:rsidRDefault="007057D1" w:rsidP="00A33AC9">
            <w:pPr>
              <w:rPr>
                <w:rFonts w:cstheme="minorHAnsi"/>
                <w:sz w:val="24"/>
                <w:szCs w:val="24"/>
              </w:rPr>
            </w:pPr>
            <w:r w:rsidRPr="00D02233">
              <w:rPr>
                <w:rFonts w:cstheme="minorHAnsi"/>
                <w:sz w:val="24"/>
                <w:szCs w:val="24"/>
              </w:rPr>
              <w:t>ESI Level 1</w:t>
            </w:r>
          </w:p>
        </w:tc>
        <w:tc>
          <w:tcPr>
            <w:tcW w:w="1870" w:type="dxa"/>
          </w:tcPr>
          <w:p w14:paraId="681C243A" w14:textId="77777777" w:rsidR="007057D1" w:rsidRPr="00D02233" w:rsidRDefault="007057D1" w:rsidP="00A33AC9">
            <w:pPr>
              <w:jc w:val="center"/>
              <w:rPr>
                <w:rFonts w:cstheme="minorHAnsi"/>
                <w:sz w:val="24"/>
                <w:szCs w:val="24"/>
              </w:rPr>
            </w:pPr>
            <w:r w:rsidRPr="00D02233">
              <w:rPr>
                <w:rFonts w:cstheme="minorHAnsi"/>
                <w:sz w:val="24"/>
                <w:szCs w:val="24"/>
              </w:rPr>
              <w:t>0.4%</w:t>
            </w:r>
          </w:p>
        </w:tc>
        <w:tc>
          <w:tcPr>
            <w:tcW w:w="1870" w:type="dxa"/>
          </w:tcPr>
          <w:p w14:paraId="1AA6B65D" w14:textId="77777777" w:rsidR="007057D1" w:rsidRPr="00D02233" w:rsidRDefault="007057D1" w:rsidP="00A33AC9">
            <w:pPr>
              <w:jc w:val="center"/>
              <w:rPr>
                <w:rFonts w:cstheme="minorHAnsi"/>
                <w:sz w:val="24"/>
                <w:szCs w:val="24"/>
              </w:rPr>
            </w:pPr>
            <w:r w:rsidRPr="00D02233">
              <w:rPr>
                <w:rFonts w:cstheme="minorHAnsi"/>
                <w:sz w:val="24"/>
                <w:szCs w:val="24"/>
              </w:rPr>
              <w:t>0.3%</w:t>
            </w:r>
          </w:p>
        </w:tc>
        <w:tc>
          <w:tcPr>
            <w:tcW w:w="1870" w:type="dxa"/>
          </w:tcPr>
          <w:p w14:paraId="08AED9D7" w14:textId="77777777" w:rsidR="007057D1" w:rsidRPr="00D02233" w:rsidRDefault="007057D1" w:rsidP="00A33AC9">
            <w:pPr>
              <w:jc w:val="center"/>
              <w:rPr>
                <w:rFonts w:cstheme="minorHAnsi"/>
                <w:sz w:val="24"/>
                <w:szCs w:val="24"/>
              </w:rPr>
            </w:pPr>
            <w:r w:rsidRPr="00D02233">
              <w:rPr>
                <w:rFonts w:cstheme="minorHAnsi"/>
                <w:sz w:val="24"/>
                <w:szCs w:val="24"/>
              </w:rPr>
              <w:t>0.4%</w:t>
            </w:r>
          </w:p>
        </w:tc>
        <w:tc>
          <w:tcPr>
            <w:tcW w:w="1870" w:type="dxa"/>
          </w:tcPr>
          <w:p w14:paraId="36E7CE98" w14:textId="77777777" w:rsidR="007057D1" w:rsidRPr="00D02233" w:rsidRDefault="007057D1" w:rsidP="00A33AC9">
            <w:pPr>
              <w:jc w:val="center"/>
              <w:rPr>
                <w:rFonts w:cstheme="minorHAnsi"/>
                <w:sz w:val="24"/>
                <w:szCs w:val="24"/>
              </w:rPr>
            </w:pPr>
            <w:r w:rsidRPr="00D02233">
              <w:rPr>
                <w:rFonts w:cstheme="minorHAnsi"/>
                <w:sz w:val="24"/>
                <w:szCs w:val="24"/>
              </w:rPr>
              <w:t>0.4%</w:t>
            </w:r>
          </w:p>
        </w:tc>
      </w:tr>
      <w:tr w:rsidR="007057D1" w:rsidRPr="00AF7BA8" w14:paraId="5B544540" w14:textId="77777777" w:rsidTr="00C57446">
        <w:trPr>
          <w:cantSplit/>
        </w:trPr>
        <w:tc>
          <w:tcPr>
            <w:tcW w:w="1870" w:type="dxa"/>
          </w:tcPr>
          <w:p w14:paraId="30931C6B" w14:textId="77777777" w:rsidR="007057D1" w:rsidRPr="00D02233" w:rsidRDefault="007057D1" w:rsidP="00A33AC9">
            <w:pPr>
              <w:rPr>
                <w:rFonts w:cstheme="minorHAnsi"/>
                <w:sz w:val="24"/>
                <w:szCs w:val="24"/>
              </w:rPr>
            </w:pPr>
            <w:r w:rsidRPr="00D02233">
              <w:rPr>
                <w:rFonts w:cstheme="minorHAnsi"/>
                <w:sz w:val="24"/>
                <w:szCs w:val="24"/>
              </w:rPr>
              <w:t>ESI Level 2</w:t>
            </w:r>
          </w:p>
        </w:tc>
        <w:tc>
          <w:tcPr>
            <w:tcW w:w="1870" w:type="dxa"/>
          </w:tcPr>
          <w:p w14:paraId="16B5FC6E" w14:textId="77777777" w:rsidR="007057D1" w:rsidRPr="00D02233" w:rsidRDefault="007057D1" w:rsidP="00A33AC9">
            <w:pPr>
              <w:jc w:val="center"/>
              <w:rPr>
                <w:rFonts w:cstheme="minorHAnsi"/>
                <w:sz w:val="24"/>
                <w:szCs w:val="24"/>
              </w:rPr>
            </w:pPr>
            <w:r w:rsidRPr="00D02233">
              <w:rPr>
                <w:rFonts w:cstheme="minorHAnsi"/>
                <w:sz w:val="24"/>
                <w:szCs w:val="24"/>
              </w:rPr>
              <w:t>23.80%</w:t>
            </w:r>
          </w:p>
        </w:tc>
        <w:tc>
          <w:tcPr>
            <w:tcW w:w="1870" w:type="dxa"/>
          </w:tcPr>
          <w:p w14:paraId="5EA1CD58" w14:textId="77777777" w:rsidR="007057D1" w:rsidRPr="00D02233" w:rsidRDefault="007057D1" w:rsidP="00A33AC9">
            <w:pPr>
              <w:jc w:val="center"/>
              <w:rPr>
                <w:rFonts w:cstheme="minorHAnsi"/>
                <w:sz w:val="24"/>
                <w:szCs w:val="24"/>
              </w:rPr>
            </w:pPr>
            <w:r w:rsidRPr="00D02233">
              <w:rPr>
                <w:rFonts w:cstheme="minorHAnsi"/>
                <w:sz w:val="24"/>
                <w:szCs w:val="24"/>
              </w:rPr>
              <w:t>21.20%</w:t>
            </w:r>
          </w:p>
        </w:tc>
        <w:tc>
          <w:tcPr>
            <w:tcW w:w="1870" w:type="dxa"/>
          </w:tcPr>
          <w:p w14:paraId="004F8A74" w14:textId="77777777" w:rsidR="007057D1" w:rsidRPr="00D02233" w:rsidRDefault="007057D1" w:rsidP="00A33AC9">
            <w:pPr>
              <w:jc w:val="center"/>
              <w:rPr>
                <w:rFonts w:cstheme="minorHAnsi"/>
                <w:sz w:val="24"/>
                <w:szCs w:val="24"/>
              </w:rPr>
            </w:pPr>
            <w:r w:rsidRPr="00D02233">
              <w:rPr>
                <w:rFonts w:cstheme="minorHAnsi"/>
                <w:sz w:val="24"/>
                <w:szCs w:val="24"/>
              </w:rPr>
              <w:t>21.90%</w:t>
            </w:r>
          </w:p>
        </w:tc>
        <w:tc>
          <w:tcPr>
            <w:tcW w:w="1870" w:type="dxa"/>
          </w:tcPr>
          <w:p w14:paraId="067F43AF" w14:textId="77777777" w:rsidR="007057D1" w:rsidRPr="00D02233" w:rsidRDefault="007057D1" w:rsidP="00A33AC9">
            <w:pPr>
              <w:jc w:val="center"/>
              <w:rPr>
                <w:rFonts w:cstheme="minorHAnsi"/>
                <w:sz w:val="24"/>
                <w:szCs w:val="24"/>
              </w:rPr>
            </w:pPr>
            <w:r w:rsidRPr="00D02233">
              <w:rPr>
                <w:rFonts w:cstheme="minorHAnsi"/>
                <w:sz w:val="24"/>
                <w:szCs w:val="24"/>
              </w:rPr>
              <w:t>20.90%</w:t>
            </w:r>
          </w:p>
        </w:tc>
      </w:tr>
      <w:tr w:rsidR="007057D1" w:rsidRPr="00AF7BA8" w14:paraId="18705F72" w14:textId="77777777" w:rsidTr="00C57446">
        <w:trPr>
          <w:cantSplit/>
        </w:trPr>
        <w:tc>
          <w:tcPr>
            <w:tcW w:w="1870" w:type="dxa"/>
          </w:tcPr>
          <w:p w14:paraId="4AF184B2" w14:textId="77777777" w:rsidR="007057D1" w:rsidRPr="00D02233" w:rsidRDefault="007057D1" w:rsidP="00A33AC9">
            <w:pPr>
              <w:rPr>
                <w:rFonts w:cstheme="minorHAnsi"/>
                <w:sz w:val="24"/>
                <w:szCs w:val="24"/>
              </w:rPr>
            </w:pPr>
            <w:r w:rsidRPr="00D02233">
              <w:rPr>
                <w:rFonts w:cstheme="minorHAnsi"/>
                <w:sz w:val="24"/>
                <w:szCs w:val="24"/>
              </w:rPr>
              <w:t>ESI Level 3</w:t>
            </w:r>
          </w:p>
        </w:tc>
        <w:tc>
          <w:tcPr>
            <w:tcW w:w="1870" w:type="dxa"/>
          </w:tcPr>
          <w:p w14:paraId="2E7C8F8F" w14:textId="77777777" w:rsidR="007057D1" w:rsidRPr="00D02233" w:rsidRDefault="007057D1" w:rsidP="00A33AC9">
            <w:pPr>
              <w:jc w:val="center"/>
              <w:rPr>
                <w:rFonts w:cstheme="minorHAnsi"/>
                <w:sz w:val="24"/>
                <w:szCs w:val="24"/>
              </w:rPr>
            </w:pPr>
            <w:r w:rsidRPr="00D02233">
              <w:rPr>
                <w:rFonts w:cstheme="minorHAnsi"/>
                <w:sz w:val="24"/>
                <w:szCs w:val="24"/>
              </w:rPr>
              <w:t>51.60%</w:t>
            </w:r>
          </w:p>
        </w:tc>
        <w:tc>
          <w:tcPr>
            <w:tcW w:w="1870" w:type="dxa"/>
          </w:tcPr>
          <w:p w14:paraId="7B9C3431" w14:textId="77777777" w:rsidR="007057D1" w:rsidRPr="00D02233" w:rsidRDefault="007057D1" w:rsidP="00A33AC9">
            <w:pPr>
              <w:jc w:val="center"/>
              <w:rPr>
                <w:rFonts w:cstheme="minorHAnsi"/>
                <w:sz w:val="24"/>
                <w:szCs w:val="24"/>
              </w:rPr>
            </w:pPr>
            <w:r w:rsidRPr="00D02233">
              <w:rPr>
                <w:rFonts w:cstheme="minorHAnsi"/>
                <w:sz w:val="24"/>
                <w:szCs w:val="24"/>
              </w:rPr>
              <w:t>52.40%</w:t>
            </w:r>
          </w:p>
        </w:tc>
        <w:tc>
          <w:tcPr>
            <w:tcW w:w="1870" w:type="dxa"/>
          </w:tcPr>
          <w:p w14:paraId="328B3470" w14:textId="77777777" w:rsidR="007057D1" w:rsidRPr="00D02233" w:rsidRDefault="007057D1" w:rsidP="00A33AC9">
            <w:pPr>
              <w:jc w:val="center"/>
              <w:rPr>
                <w:rFonts w:cstheme="minorHAnsi"/>
                <w:sz w:val="24"/>
                <w:szCs w:val="24"/>
              </w:rPr>
            </w:pPr>
            <w:r w:rsidRPr="00D02233">
              <w:rPr>
                <w:rFonts w:cstheme="minorHAnsi"/>
                <w:sz w:val="24"/>
                <w:szCs w:val="24"/>
              </w:rPr>
              <w:t>53.20%</w:t>
            </w:r>
          </w:p>
        </w:tc>
        <w:tc>
          <w:tcPr>
            <w:tcW w:w="1870" w:type="dxa"/>
          </w:tcPr>
          <w:p w14:paraId="21677140" w14:textId="77777777" w:rsidR="007057D1" w:rsidRPr="00D02233" w:rsidRDefault="007057D1" w:rsidP="00A33AC9">
            <w:pPr>
              <w:jc w:val="center"/>
              <w:rPr>
                <w:rFonts w:cstheme="minorHAnsi"/>
                <w:sz w:val="24"/>
                <w:szCs w:val="24"/>
              </w:rPr>
            </w:pPr>
            <w:r w:rsidRPr="00D02233">
              <w:rPr>
                <w:rFonts w:cstheme="minorHAnsi"/>
                <w:sz w:val="24"/>
                <w:szCs w:val="24"/>
              </w:rPr>
              <w:t>54.50%</w:t>
            </w:r>
          </w:p>
        </w:tc>
      </w:tr>
      <w:tr w:rsidR="007057D1" w:rsidRPr="00AF7BA8" w14:paraId="15575315" w14:textId="77777777" w:rsidTr="00C57446">
        <w:trPr>
          <w:cantSplit/>
        </w:trPr>
        <w:tc>
          <w:tcPr>
            <w:tcW w:w="1870" w:type="dxa"/>
          </w:tcPr>
          <w:p w14:paraId="2A0A5EEC" w14:textId="77777777" w:rsidR="007057D1" w:rsidRPr="00D02233" w:rsidRDefault="007057D1" w:rsidP="00A33AC9">
            <w:pPr>
              <w:rPr>
                <w:rFonts w:cstheme="minorHAnsi"/>
                <w:sz w:val="24"/>
                <w:szCs w:val="24"/>
              </w:rPr>
            </w:pPr>
            <w:r w:rsidRPr="00D02233">
              <w:rPr>
                <w:rFonts w:cstheme="minorHAnsi"/>
                <w:sz w:val="24"/>
                <w:szCs w:val="24"/>
              </w:rPr>
              <w:t>ESI Level 4</w:t>
            </w:r>
          </w:p>
        </w:tc>
        <w:tc>
          <w:tcPr>
            <w:tcW w:w="1870" w:type="dxa"/>
          </w:tcPr>
          <w:p w14:paraId="6AE85AA6" w14:textId="77777777" w:rsidR="007057D1" w:rsidRPr="00D02233" w:rsidRDefault="007057D1" w:rsidP="00A33AC9">
            <w:pPr>
              <w:jc w:val="center"/>
              <w:rPr>
                <w:rFonts w:cstheme="minorHAnsi"/>
                <w:sz w:val="24"/>
                <w:szCs w:val="24"/>
              </w:rPr>
            </w:pPr>
            <w:r w:rsidRPr="00D02233">
              <w:rPr>
                <w:rFonts w:cstheme="minorHAnsi"/>
                <w:sz w:val="24"/>
                <w:szCs w:val="24"/>
              </w:rPr>
              <w:t>21.10%</w:t>
            </w:r>
          </w:p>
        </w:tc>
        <w:tc>
          <w:tcPr>
            <w:tcW w:w="1870" w:type="dxa"/>
          </w:tcPr>
          <w:p w14:paraId="6EEA871E" w14:textId="77777777" w:rsidR="007057D1" w:rsidRPr="00D02233" w:rsidRDefault="007057D1" w:rsidP="00A33AC9">
            <w:pPr>
              <w:jc w:val="center"/>
              <w:rPr>
                <w:rFonts w:cstheme="minorHAnsi"/>
                <w:sz w:val="24"/>
                <w:szCs w:val="24"/>
              </w:rPr>
            </w:pPr>
            <w:r w:rsidRPr="00D02233">
              <w:rPr>
                <w:rFonts w:cstheme="minorHAnsi"/>
                <w:sz w:val="24"/>
                <w:szCs w:val="24"/>
              </w:rPr>
              <w:t>23.10%</w:t>
            </w:r>
          </w:p>
        </w:tc>
        <w:tc>
          <w:tcPr>
            <w:tcW w:w="1870" w:type="dxa"/>
          </w:tcPr>
          <w:p w14:paraId="364E6AA2" w14:textId="77777777" w:rsidR="007057D1" w:rsidRPr="00D02233" w:rsidRDefault="007057D1" w:rsidP="00A33AC9">
            <w:pPr>
              <w:jc w:val="center"/>
              <w:rPr>
                <w:rFonts w:cstheme="minorHAnsi"/>
                <w:sz w:val="24"/>
                <w:szCs w:val="24"/>
              </w:rPr>
            </w:pPr>
            <w:r w:rsidRPr="00D02233">
              <w:rPr>
                <w:rFonts w:cstheme="minorHAnsi"/>
                <w:sz w:val="24"/>
                <w:szCs w:val="24"/>
              </w:rPr>
              <w:t>21.70%</w:t>
            </w:r>
          </w:p>
        </w:tc>
        <w:tc>
          <w:tcPr>
            <w:tcW w:w="1870" w:type="dxa"/>
          </w:tcPr>
          <w:p w14:paraId="795D8F81" w14:textId="77777777" w:rsidR="007057D1" w:rsidRPr="00D02233" w:rsidRDefault="007057D1" w:rsidP="00A33AC9">
            <w:pPr>
              <w:jc w:val="center"/>
              <w:rPr>
                <w:rFonts w:cstheme="minorHAnsi"/>
                <w:sz w:val="24"/>
                <w:szCs w:val="24"/>
              </w:rPr>
            </w:pPr>
            <w:r w:rsidRPr="00D02233">
              <w:rPr>
                <w:rFonts w:cstheme="minorHAnsi"/>
                <w:sz w:val="24"/>
                <w:szCs w:val="24"/>
              </w:rPr>
              <w:t>21.70%</w:t>
            </w:r>
          </w:p>
        </w:tc>
      </w:tr>
      <w:tr w:rsidR="007057D1" w:rsidRPr="00AF7BA8" w14:paraId="54B92850" w14:textId="77777777" w:rsidTr="00C57446">
        <w:trPr>
          <w:cantSplit/>
        </w:trPr>
        <w:tc>
          <w:tcPr>
            <w:tcW w:w="1870" w:type="dxa"/>
          </w:tcPr>
          <w:p w14:paraId="521B12FC" w14:textId="77777777" w:rsidR="007057D1" w:rsidRPr="00D02233" w:rsidRDefault="007057D1" w:rsidP="00A33AC9">
            <w:pPr>
              <w:rPr>
                <w:rFonts w:cstheme="minorHAnsi"/>
                <w:sz w:val="24"/>
                <w:szCs w:val="24"/>
              </w:rPr>
            </w:pPr>
            <w:r w:rsidRPr="00D02233">
              <w:rPr>
                <w:rFonts w:cstheme="minorHAnsi"/>
                <w:sz w:val="24"/>
                <w:szCs w:val="24"/>
              </w:rPr>
              <w:t>ESI Level 5</w:t>
            </w:r>
          </w:p>
        </w:tc>
        <w:tc>
          <w:tcPr>
            <w:tcW w:w="1870" w:type="dxa"/>
          </w:tcPr>
          <w:p w14:paraId="73B43CE3" w14:textId="77777777" w:rsidR="007057D1" w:rsidRPr="00D02233" w:rsidRDefault="007057D1" w:rsidP="00A33AC9">
            <w:pPr>
              <w:jc w:val="center"/>
              <w:rPr>
                <w:rFonts w:cstheme="minorHAnsi"/>
                <w:sz w:val="24"/>
                <w:szCs w:val="24"/>
              </w:rPr>
            </w:pPr>
            <w:r w:rsidRPr="00D02233">
              <w:rPr>
                <w:rFonts w:cstheme="minorHAnsi"/>
                <w:sz w:val="24"/>
                <w:szCs w:val="24"/>
              </w:rPr>
              <w:t>1.6%</w:t>
            </w:r>
          </w:p>
        </w:tc>
        <w:tc>
          <w:tcPr>
            <w:tcW w:w="1870" w:type="dxa"/>
          </w:tcPr>
          <w:p w14:paraId="6490CD85" w14:textId="77777777" w:rsidR="007057D1" w:rsidRPr="00D02233" w:rsidRDefault="007057D1" w:rsidP="00A33AC9">
            <w:pPr>
              <w:jc w:val="center"/>
              <w:rPr>
                <w:rFonts w:cstheme="minorHAnsi"/>
                <w:sz w:val="24"/>
                <w:szCs w:val="24"/>
              </w:rPr>
            </w:pPr>
            <w:r w:rsidRPr="00D02233">
              <w:rPr>
                <w:rFonts w:cstheme="minorHAnsi"/>
                <w:sz w:val="24"/>
                <w:szCs w:val="24"/>
              </w:rPr>
              <w:t>1.8%</w:t>
            </w:r>
          </w:p>
        </w:tc>
        <w:tc>
          <w:tcPr>
            <w:tcW w:w="1870" w:type="dxa"/>
          </w:tcPr>
          <w:p w14:paraId="2229474D" w14:textId="77777777" w:rsidR="007057D1" w:rsidRPr="00D02233" w:rsidRDefault="007057D1" w:rsidP="00A33AC9">
            <w:pPr>
              <w:jc w:val="center"/>
              <w:rPr>
                <w:rFonts w:cstheme="minorHAnsi"/>
                <w:sz w:val="24"/>
                <w:szCs w:val="24"/>
              </w:rPr>
            </w:pPr>
            <w:r w:rsidRPr="00D02233">
              <w:rPr>
                <w:rFonts w:cstheme="minorHAnsi"/>
                <w:sz w:val="24"/>
                <w:szCs w:val="24"/>
              </w:rPr>
              <w:t>1.7%</w:t>
            </w:r>
          </w:p>
        </w:tc>
        <w:tc>
          <w:tcPr>
            <w:tcW w:w="1870" w:type="dxa"/>
          </w:tcPr>
          <w:p w14:paraId="24A1229A" w14:textId="77777777" w:rsidR="007057D1" w:rsidRPr="00D02233" w:rsidRDefault="007057D1" w:rsidP="00A33AC9">
            <w:pPr>
              <w:jc w:val="center"/>
              <w:rPr>
                <w:rFonts w:cstheme="minorHAnsi"/>
                <w:sz w:val="24"/>
                <w:szCs w:val="24"/>
              </w:rPr>
            </w:pPr>
            <w:r w:rsidRPr="00D02233">
              <w:rPr>
                <w:rFonts w:cstheme="minorHAnsi"/>
                <w:sz w:val="24"/>
                <w:szCs w:val="24"/>
              </w:rPr>
              <w:t>1.7%</w:t>
            </w:r>
          </w:p>
        </w:tc>
      </w:tr>
    </w:tbl>
    <w:p w14:paraId="43A27CD3" w14:textId="069B5523" w:rsidR="00661124" w:rsidRPr="00E20DEA" w:rsidRDefault="00661124" w:rsidP="00A662DF">
      <w:pPr>
        <w:spacing w:after="0" w:line="240" w:lineRule="auto"/>
        <w:rPr>
          <w:sz w:val="24"/>
          <w:szCs w:val="24"/>
          <w:highlight w:val="yellow"/>
        </w:rPr>
      </w:pPr>
    </w:p>
    <w:p w14:paraId="190E598D" w14:textId="4BE7A9FA" w:rsidR="005A57E3" w:rsidRPr="00CC2AE8" w:rsidRDefault="004C543D" w:rsidP="00A662DF">
      <w:pPr>
        <w:spacing w:after="0" w:line="240" w:lineRule="auto"/>
        <w:rPr>
          <w:sz w:val="24"/>
          <w:szCs w:val="24"/>
          <w:highlight w:val="yellow"/>
        </w:rPr>
      </w:pPr>
      <w:r w:rsidRPr="0C8BC4C9">
        <w:rPr>
          <w:sz w:val="24"/>
          <w:szCs w:val="24"/>
        </w:rPr>
        <w:t xml:space="preserve">The Hospital has </w:t>
      </w:r>
      <w:r w:rsidR="00D02233" w:rsidRPr="0C8BC4C9">
        <w:rPr>
          <w:sz w:val="24"/>
          <w:szCs w:val="24"/>
        </w:rPr>
        <w:t>implemented steps</w:t>
      </w:r>
      <w:r w:rsidRPr="0C8BC4C9">
        <w:rPr>
          <w:sz w:val="24"/>
          <w:szCs w:val="24"/>
        </w:rPr>
        <w:t xml:space="preserve"> to facilitate patients receiving care in the right setting. </w:t>
      </w:r>
      <w:r w:rsidR="00D913C0" w:rsidRPr="0C8BC4C9">
        <w:rPr>
          <w:sz w:val="24"/>
          <w:szCs w:val="24"/>
        </w:rPr>
        <w:t>T</w:t>
      </w:r>
      <w:r w:rsidR="002A5E8A" w:rsidRPr="0C8BC4C9">
        <w:rPr>
          <w:sz w:val="24"/>
          <w:szCs w:val="24"/>
        </w:rPr>
        <w:t xml:space="preserve">hese </w:t>
      </w:r>
      <w:r w:rsidR="00D02233" w:rsidRPr="0C8BC4C9">
        <w:rPr>
          <w:sz w:val="24"/>
          <w:szCs w:val="24"/>
        </w:rPr>
        <w:t>steps</w:t>
      </w:r>
      <w:r w:rsidR="002A5E8A" w:rsidRPr="0C8BC4C9">
        <w:rPr>
          <w:sz w:val="24"/>
          <w:szCs w:val="24"/>
        </w:rPr>
        <w:t xml:space="preserve"> include</w:t>
      </w:r>
      <w:r w:rsidR="00A9368D" w:rsidRPr="0C8BC4C9">
        <w:rPr>
          <w:sz w:val="24"/>
          <w:szCs w:val="24"/>
        </w:rPr>
        <w:t xml:space="preserve">d </w:t>
      </w:r>
      <w:r w:rsidR="00CC2AE8" w:rsidRPr="0C8BC4C9">
        <w:rPr>
          <w:rFonts w:cs="Arial"/>
          <w:sz w:val="24"/>
          <w:szCs w:val="24"/>
        </w:rPr>
        <w:t>easy-to-understand information on its website instructing patients on where to go for their condition or concern</w:t>
      </w:r>
      <w:bookmarkStart w:id="6" w:name="_Hlk183074654"/>
      <w:r w:rsidR="00CF51F9" w:rsidRPr="0C8BC4C9">
        <w:rPr>
          <w:rFonts w:cs="Arial"/>
          <w:sz w:val="24"/>
          <w:szCs w:val="24"/>
        </w:rPr>
        <w:t>, patient education</w:t>
      </w:r>
      <w:r w:rsidR="00CC2AE8" w:rsidRPr="0C8BC4C9">
        <w:rPr>
          <w:rFonts w:cs="Arial"/>
          <w:sz w:val="24"/>
          <w:szCs w:val="24"/>
        </w:rPr>
        <w:t xml:space="preserve"> on appropriate uses of emergency care </w:t>
      </w:r>
      <w:r w:rsidR="00DE3969" w:rsidRPr="0C8BC4C9">
        <w:rPr>
          <w:rFonts w:cs="Arial"/>
          <w:sz w:val="24"/>
          <w:szCs w:val="24"/>
        </w:rPr>
        <w:t>versus</w:t>
      </w:r>
      <w:r w:rsidR="00CC2AE8" w:rsidRPr="0C8BC4C9">
        <w:rPr>
          <w:rFonts w:cs="Arial"/>
          <w:sz w:val="24"/>
          <w:szCs w:val="24"/>
        </w:rPr>
        <w:t xml:space="preserve"> urgent care services </w:t>
      </w:r>
      <w:r w:rsidR="00DE3969" w:rsidRPr="0C8BC4C9">
        <w:rPr>
          <w:rFonts w:cs="Arial"/>
          <w:sz w:val="24"/>
          <w:szCs w:val="24"/>
        </w:rPr>
        <w:t>and regular</w:t>
      </w:r>
      <w:r w:rsidR="00CC2AE8" w:rsidRPr="0C8BC4C9">
        <w:rPr>
          <w:rFonts w:cs="Arial"/>
          <w:sz w:val="24"/>
          <w:szCs w:val="24"/>
        </w:rPr>
        <w:t xml:space="preserve"> </w:t>
      </w:r>
      <w:r w:rsidR="00DE3969" w:rsidRPr="0C8BC4C9">
        <w:rPr>
          <w:rFonts w:cs="Arial"/>
          <w:sz w:val="24"/>
          <w:szCs w:val="24"/>
        </w:rPr>
        <w:t>communications</w:t>
      </w:r>
      <w:r w:rsidR="00CC2AE8" w:rsidRPr="0C8BC4C9">
        <w:rPr>
          <w:rFonts w:cs="Arial"/>
          <w:sz w:val="24"/>
          <w:szCs w:val="24"/>
        </w:rPr>
        <w:t xml:space="preserve"> via Facebook posts and patient portal messages</w:t>
      </w:r>
      <w:r w:rsidR="00DE3969" w:rsidRPr="0C8BC4C9">
        <w:rPr>
          <w:rFonts w:cs="Arial"/>
          <w:sz w:val="24"/>
          <w:szCs w:val="24"/>
        </w:rPr>
        <w:t xml:space="preserve"> on this topic</w:t>
      </w:r>
      <w:bookmarkEnd w:id="6"/>
      <w:r w:rsidR="00D46FD0" w:rsidRPr="0C8BC4C9">
        <w:rPr>
          <w:rFonts w:cs="Arial"/>
          <w:sz w:val="24"/>
          <w:szCs w:val="24"/>
        </w:rPr>
        <w:t xml:space="preserve">. </w:t>
      </w:r>
      <w:r w:rsidR="00E23ACA" w:rsidRPr="0C8BC4C9">
        <w:rPr>
          <w:sz w:val="24"/>
          <w:szCs w:val="24"/>
        </w:rPr>
        <w:t xml:space="preserve">While these efforts have aided in diverting low acuity patients to </w:t>
      </w:r>
      <w:r w:rsidR="00CF51F9" w:rsidRPr="0C8BC4C9">
        <w:rPr>
          <w:sz w:val="24"/>
          <w:szCs w:val="24"/>
        </w:rPr>
        <w:t xml:space="preserve">the primary or urgent care setting, the ED continues to see </w:t>
      </w:r>
      <w:r w:rsidR="00D02233" w:rsidRPr="0C8BC4C9">
        <w:rPr>
          <w:sz w:val="24"/>
          <w:szCs w:val="24"/>
        </w:rPr>
        <w:t>a steady rise</w:t>
      </w:r>
      <w:r w:rsidR="00CF51F9" w:rsidRPr="0C8BC4C9">
        <w:rPr>
          <w:sz w:val="24"/>
          <w:szCs w:val="24"/>
        </w:rPr>
        <w:t xml:space="preserve"> in moderate acuity patient volume seeking care in the ED</w:t>
      </w:r>
      <w:r w:rsidR="00E62D61">
        <w:rPr>
          <w:sz w:val="24"/>
          <w:szCs w:val="24"/>
        </w:rPr>
        <w:t>, as illustrate</w:t>
      </w:r>
      <w:r w:rsidR="005F4E4B">
        <w:rPr>
          <w:sz w:val="24"/>
          <w:szCs w:val="24"/>
        </w:rPr>
        <w:t>d</w:t>
      </w:r>
      <w:r w:rsidR="00E62D61">
        <w:rPr>
          <w:sz w:val="24"/>
          <w:szCs w:val="24"/>
        </w:rPr>
        <w:t xml:space="preserve"> by the </w:t>
      </w:r>
      <w:r w:rsidR="005F4E4B">
        <w:rPr>
          <w:sz w:val="24"/>
          <w:szCs w:val="24"/>
        </w:rPr>
        <w:t>percentages of Level 3 patients in Table 5 above</w:t>
      </w:r>
      <w:r w:rsidR="00CF51F9" w:rsidRPr="0C8BC4C9">
        <w:rPr>
          <w:sz w:val="24"/>
          <w:szCs w:val="24"/>
        </w:rPr>
        <w:t>.</w:t>
      </w:r>
    </w:p>
    <w:p w14:paraId="79B71233" w14:textId="77777777" w:rsidR="00D913C0" w:rsidRPr="00E20DEA" w:rsidRDefault="00D913C0" w:rsidP="00637364">
      <w:pPr>
        <w:pStyle w:val="xxmsolistparagraph"/>
        <w:ind w:left="0"/>
        <w:rPr>
          <w:rFonts w:asciiTheme="minorHAnsi" w:hAnsiTheme="minorHAnsi" w:cstheme="minorHAnsi"/>
          <w:sz w:val="24"/>
          <w:szCs w:val="24"/>
          <w:highlight w:val="yellow"/>
        </w:rPr>
      </w:pPr>
    </w:p>
    <w:p w14:paraId="52015C35" w14:textId="7BCCC07F" w:rsidR="00575025" w:rsidRPr="00D25B92" w:rsidRDefault="001A68F8" w:rsidP="00637364">
      <w:pPr>
        <w:pStyle w:val="xxmsolistparagraph"/>
        <w:ind w:left="0"/>
        <w:rPr>
          <w:rFonts w:asciiTheme="minorHAnsi" w:hAnsiTheme="minorHAnsi" w:cstheme="minorHAnsi"/>
          <w:sz w:val="24"/>
          <w:szCs w:val="24"/>
        </w:rPr>
      </w:pPr>
      <w:r w:rsidRPr="00F91128">
        <w:rPr>
          <w:rFonts w:asciiTheme="minorHAnsi" w:hAnsiTheme="minorHAnsi" w:cstheme="minorHAnsi"/>
          <w:sz w:val="24"/>
          <w:szCs w:val="24"/>
        </w:rPr>
        <w:t>According to the Applicant, t</w:t>
      </w:r>
      <w:r w:rsidR="00DC66BC" w:rsidRPr="00F91128">
        <w:rPr>
          <w:rFonts w:asciiTheme="minorHAnsi" w:hAnsiTheme="minorHAnsi" w:cstheme="minorHAnsi"/>
          <w:sz w:val="24"/>
          <w:szCs w:val="24"/>
        </w:rPr>
        <w:t xml:space="preserve">he mismatch between the size of the ED and the volume of patients frequently results in overcrowding, delayed treatment or no treatment at all as patients choose to leave </w:t>
      </w:r>
      <w:r w:rsidR="00DC66BC" w:rsidRPr="00D25B92">
        <w:rPr>
          <w:rFonts w:asciiTheme="minorHAnsi" w:hAnsiTheme="minorHAnsi" w:cstheme="minorHAnsi"/>
          <w:sz w:val="24"/>
          <w:szCs w:val="24"/>
        </w:rPr>
        <w:t>without being seen, and strained resources.</w:t>
      </w:r>
      <w:r w:rsidR="008D670E" w:rsidRPr="00D25B92">
        <w:rPr>
          <w:rFonts w:asciiTheme="minorHAnsi" w:hAnsiTheme="minorHAnsi" w:cstheme="minorHAnsi"/>
          <w:sz w:val="24"/>
          <w:szCs w:val="24"/>
        </w:rPr>
        <w:t xml:space="preserve"> Table </w:t>
      </w:r>
      <w:r w:rsidR="00D02233" w:rsidRPr="00D25B92">
        <w:rPr>
          <w:rFonts w:asciiTheme="minorHAnsi" w:hAnsiTheme="minorHAnsi" w:cstheme="minorHAnsi"/>
          <w:sz w:val="24"/>
          <w:szCs w:val="24"/>
        </w:rPr>
        <w:t>6</w:t>
      </w:r>
      <w:r w:rsidR="008D670E" w:rsidRPr="00D25B92">
        <w:rPr>
          <w:rFonts w:asciiTheme="minorHAnsi" w:hAnsiTheme="minorHAnsi" w:cstheme="minorHAnsi"/>
          <w:sz w:val="24"/>
          <w:szCs w:val="24"/>
        </w:rPr>
        <w:t xml:space="preserve"> </w:t>
      </w:r>
      <w:r w:rsidR="0093633C" w:rsidRPr="00D25B92">
        <w:rPr>
          <w:rFonts w:asciiTheme="minorHAnsi" w:hAnsiTheme="minorHAnsi" w:cstheme="minorHAnsi"/>
          <w:sz w:val="24"/>
          <w:szCs w:val="24"/>
        </w:rPr>
        <w:t xml:space="preserve">provides ED Utilization details, showing </w:t>
      </w:r>
      <w:r w:rsidR="00B459B1" w:rsidRPr="00D25B92">
        <w:rPr>
          <w:rFonts w:asciiTheme="minorHAnsi" w:hAnsiTheme="minorHAnsi" w:cstheme="minorHAnsi"/>
          <w:sz w:val="24"/>
          <w:szCs w:val="24"/>
        </w:rPr>
        <w:t>increases in wait time</w:t>
      </w:r>
      <w:r w:rsidR="00896080" w:rsidRPr="00D25B92">
        <w:rPr>
          <w:rFonts w:asciiTheme="minorHAnsi" w:hAnsiTheme="minorHAnsi" w:cstheme="minorHAnsi"/>
          <w:sz w:val="24"/>
          <w:szCs w:val="24"/>
        </w:rPr>
        <w:t>s,</w:t>
      </w:r>
      <w:r w:rsidR="005A7329" w:rsidRPr="00D25B92">
        <w:rPr>
          <w:rFonts w:asciiTheme="minorHAnsi" w:hAnsiTheme="minorHAnsi" w:cstheme="minorHAnsi"/>
          <w:sz w:val="24"/>
          <w:szCs w:val="24"/>
        </w:rPr>
        <w:t xml:space="preserve"> </w:t>
      </w:r>
      <w:r w:rsidR="00D25B92" w:rsidRPr="00D25B92">
        <w:rPr>
          <w:rFonts w:asciiTheme="minorHAnsi" w:hAnsiTheme="minorHAnsi" w:cstheme="minorHAnsi"/>
          <w:sz w:val="24"/>
          <w:szCs w:val="24"/>
        </w:rPr>
        <w:t>medical boarding</w:t>
      </w:r>
      <w:r w:rsidR="005A7329" w:rsidRPr="00D25B92">
        <w:rPr>
          <w:rFonts w:asciiTheme="minorHAnsi" w:hAnsiTheme="minorHAnsi" w:cstheme="minorHAnsi"/>
          <w:sz w:val="24"/>
          <w:szCs w:val="24"/>
        </w:rPr>
        <w:t xml:space="preserve">, and </w:t>
      </w:r>
      <w:r w:rsidR="007B51AB" w:rsidRPr="00D25B92">
        <w:rPr>
          <w:rFonts w:asciiTheme="minorHAnsi" w:hAnsiTheme="minorHAnsi" w:cstheme="minorHAnsi"/>
          <w:sz w:val="24"/>
          <w:szCs w:val="24"/>
        </w:rPr>
        <w:t>the percentage of patients who left without being seen</w:t>
      </w:r>
      <w:r w:rsidR="00271440" w:rsidRPr="00D25B92">
        <w:rPr>
          <w:rFonts w:asciiTheme="minorHAnsi" w:hAnsiTheme="minorHAnsi" w:cstheme="minorHAnsi"/>
          <w:sz w:val="24"/>
          <w:szCs w:val="24"/>
        </w:rPr>
        <w:t>.</w:t>
      </w:r>
    </w:p>
    <w:p w14:paraId="07564B5F" w14:textId="77777777" w:rsidR="0093633C" w:rsidRPr="00E20DEA" w:rsidRDefault="0093633C" w:rsidP="00637364">
      <w:pPr>
        <w:pStyle w:val="xxmsolistparagraph"/>
        <w:ind w:left="0"/>
        <w:rPr>
          <w:rFonts w:asciiTheme="minorHAnsi" w:hAnsiTheme="minorHAnsi" w:cstheme="minorHAnsi"/>
          <w:sz w:val="24"/>
          <w:szCs w:val="24"/>
          <w:highlight w:val="yellow"/>
        </w:rPr>
      </w:pPr>
    </w:p>
    <w:p w14:paraId="2AA40726" w14:textId="4C46EC93" w:rsidR="0093633C" w:rsidRDefault="00FA501E" w:rsidP="00FA501E">
      <w:pPr>
        <w:pStyle w:val="Caption"/>
        <w:spacing w:after="0"/>
        <w:contextualSpacing/>
        <w:jc w:val="center"/>
        <w:rPr>
          <w:rFonts w:cstheme="minorHAnsi"/>
          <w:color w:val="2F5496" w:themeColor="accent1" w:themeShade="BF"/>
          <w:sz w:val="24"/>
          <w:szCs w:val="24"/>
          <w:highlight w:val="yellow"/>
        </w:rPr>
      </w:pPr>
      <w:r w:rsidRPr="00D25B92">
        <w:rPr>
          <w:rFonts w:cstheme="minorHAnsi"/>
          <w:color w:val="2F5496" w:themeColor="accent1" w:themeShade="BF"/>
          <w:sz w:val="24"/>
          <w:szCs w:val="24"/>
          <w:u w:val="single"/>
        </w:rPr>
        <w:t xml:space="preserve">Table </w:t>
      </w:r>
      <w:r w:rsidR="00D02233" w:rsidRPr="00D25B92">
        <w:rPr>
          <w:rFonts w:cstheme="minorHAnsi"/>
          <w:color w:val="2F5496" w:themeColor="accent1" w:themeShade="BF"/>
          <w:sz w:val="24"/>
          <w:szCs w:val="24"/>
          <w:u w:val="single"/>
        </w:rPr>
        <w:t>6</w:t>
      </w:r>
      <w:r w:rsidRPr="00D25B92">
        <w:rPr>
          <w:rFonts w:cstheme="minorHAnsi"/>
          <w:color w:val="2F5496" w:themeColor="accent1" w:themeShade="BF"/>
          <w:sz w:val="24"/>
          <w:szCs w:val="24"/>
        </w:rPr>
        <w:t xml:space="preserve"> – Historical</w:t>
      </w:r>
      <w:r w:rsidRPr="003D7779">
        <w:rPr>
          <w:rFonts w:cstheme="minorHAnsi"/>
          <w:color w:val="2F5496" w:themeColor="accent1" w:themeShade="BF"/>
          <w:sz w:val="24"/>
          <w:szCs w:val="24"/>
        </w:rPr>
        <w:t xml:space="preserve"> </w:t>
      </w:r>
      <w:r w:rsidR="003D7779" w:rsidRPr="003D7779">
        <w:rPr>
          <w:rFonts w:cstheme="minorHAnsi"/>
          <w:color w:val="2F5496" w:themeColor="accent1" w:themeShade="BF"/>
          <w:sz w:val="24"/>
          <w:szCs w:val="24"/>
        </w:rPr>
        <w:t>Sturdy Memorial Hospital</w:t>
      </w:r>
      <w:r w:rsidRPr="003D7779">
        <w:rPr>
          <w:rFonts w:cstheme="minorHAnsi"/>
          <w:color w:val="2F5496" w:themeColor="accent1" w:themeShade="BF"/>
          <w:sz w:val="24"/>
          <w:szCs w:val="24"/>
        </w:rPr>
        <w:t xml:space="preserve"> Emergency Department Utilization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0"/>
        <w:gridCol w:w="1260"/>
        <w:gridCol w:w="1440"/>
        <w:gridCol w:w="1710"/>
        <w:gridCol w:w="1430"/>
      </w:tblGrid>
      <w:tr w:rsidR="003D7779" w:rsidRPr="00A87D82" w14:paraId="537A4437" w14:textId="77777777" w:rsidTr="00283726">
        <w:trPr>
          <w:cantSplit/>
          <w:tblHeader/>
        </w:trPr>
        <w:tc>
          <w:tcPr>
            <w:tcW w:w="3500" w:type="dxa"/>
            <w:tcMar>
              <w:top w:w="0" w:type="dxa"/>
              <w:left w:w="108" w:type="dxa"/>
              <w:bottom w:w="0" w:type="dxa"/>
              <w:right w:w="108" w:type="dxa"/>
            </w:tcMar>
          </w:tcPr>
          <w:p w14:paraId="7A300C3C" w14:textId="7A08D4B7" w:rsidR="003D7779" w:rsidRPr="0007293D" w:rsidRDefault="003D7779" w:rsidP="00A662DF">
            <w:pPr>
              <w:spacing w:after="0" w:line="240" w:lineRule="auto"/>
              <w:rPr>
                <w:rFonts w:cs="Arial"/>
                <w:b/>
                <w:bCs/>
              </w:rPr>
            </w:pPr>
          </w:p>
        </w:tc>
        <w:tc>
          <w:tcPr>
            <w:tcW w:w="1260" w:type="dxa"/>
            <w:tcMar>
              <w:top w:w="0" w:type="dxa"/>
              <w:left w:w="108" w:type="dxa"/>
              <w:bottom w:w="0" w:type="dxa"/>
              <w:right w:w="108" w:type="dxa"/>
            </w:tcMar>
            <w:hideMark/>
          </w:tcPr>
          <w:p w14:paraId="205253EF" w14:textId="77777777" w:rsidR="003D7779" w:rsidRPr="00A87D82" w:rsidRDefault="003D7779" w:rsidP="00A662DF">
            <w:pPr>
              <w:spacing w:after="0" w:line="240" w:lineRule="auto"/>
              <w:jc w:val="center"/>
              <w:rPr>
                <w:rFonts w:cs="Arial"/>
                <w:b/>
                <w:bCs/>
              </w:rPr>
            </w:pPr>
            <w:r w:rsidRPr="00A87D82">
              <w:rPr>
                <w:rFonts w:cs="Arial"/>
                <w:b/>
                <w:bCs/>
              </w:rPr>
              <w:t>FY2021</w:t>
            </w:r>
          </w:p>
        </w:tc>
        <w:tc>
          <w:tcPr>
            <w:tcW w:w="1440" w:type="dxa"/>
            <w:tcMar>
              <w:top w:w="0" w:type="dxa"/>
              <w:left w:w="108" w:type="dxa"/>
              <w:bottom w:w="0" w:type="dxa"/>
              <w:right w:w="108" w:type="dxa"/>
            </w:tcMar>
            <w:hideMark/>
          </w:tcPr>
          <w:p w14:paraId="116AAE4D" w14:textId="77777777" w:rsidR="003D7779" w:rsidRPr="00A87D82" w:rsidRDefault="003D7779" w:rsidP="00A662DF">
            <w:pPr>
              <w:spacing w:after="0" w:line="240" w:lineRule="auto"/>
              <w:jc w:val="center"/>
              <w:rPr>
                <w:rFonts w:cs="Arial"/>
                <w:b/>
                <w:bCs/>
              </w:rPr>
            </w:pPr>
            <w:r w:rsidRPr="00A87D82">
              <w:rPr>
                <w:rFonts w:cs="Arial"/>
                <w:b/>
                <w:bCs/>
              </w:rPr>
              <w:t>FY2022</w:t>
            </w:r>
          </w:p>
        </w:tc>
        <w:tc>
          <w:tcPr>
            <w:tcW w:w="1710" w:type="dxa"/>
            <w:tcMar>
              <w:top w:w="0" w:type="dxa"/>
              <w:left w:w="108" w:type="dxa"/>
              <w:bottom w:w="0" w:type="dxa"/>
              <w:right w:w="108" w:type="dxa"/>
            </w:tcMar>
            <w:hideMark/>
          </w:tcPr>
          <w:p w14:paraId="44AD7579" w14:textId="77777777" w:rsidR="003D7779" w:rsidRPr="00A87D82" w:rsidRDefault="003D7779" w:rsidP="00A662DF">
            <w:pPr>
              <w:spacing w:after="0" w:line="240" w:lineRule="auto"/>
              <w:jc w:val="center"/>
              <w:rPr>
                <w:rFonts w:cs="Arial"/>
                <w:b/>
                <w:bCs/>
              </w:rPr>
            </w:pPr>
            <w:r w:rsidRPr="00A87D82">
              <w:rPr>
                <w:rFonts w:cs="Arial"/>
                <w:b/>
                <w:bCs/>
              </w:rPr>
              <w:t>FY2023</w:t>
            </w:r>
          </w:p>
        </w:tc>
        <w:tc>
          <w:tcPr>
            <w:tcW w:w="1430" w:type="dxa"/>
            <w:tcMar>
              <w:top w:w="0" w:type="dxa"/>
              <w:left w:w="108" w:type="dxa"/>
              <w:bottom w:w="0" w:type="dxa"/>
              <w:right w:w="108" w:type="dxa"/>
            </w:tcMar>
            <w:hideMark/>
          </w:tcPr>
          <w:p w14:paraId="4D8070F5" w14:textId="77777777" w:rsidR="003D7779" w:rsidRPr="00A87D82" w:rsidRDefault="003D7779" w:rsidP="00A662DF">
            <w:pPr>
              <w:spacing w:after="0" w:line="240" w:lineRule="auto"/>
              <w:jc w:val="center"/>
              <w:rPr>
                <w:rFonts w:cs="Arial"/>
                <w:b/>
                <w:bCs/>
              </w:rPr>
            </w:pPr>
            <w:r w:rsidRPr="00A87D82">
              <w:rPr>
                <w:rFonts w:cs="Arial"/>
                <w:b/>
                <w:bCs/>
              </w:rPr>
              <w:t>FY2024</w:t>
            </w:r>
          </w:p>
        </w:tc>
      </w:tr>
      <w:tr w:rsidR="003D7779" w:rsidRPr="00A87D82" w14:paraId="1A50A44B" w14:textId="77777777" w:rsidTr="00283726">
        <w:trPr>
          <w:cantSplit/>
        </w:trPr>
        <w:tc>
          <w:tcPr>
            <w:tcW w:w="3500" w:type="dxa"/>
            <w:tcMar>
              <w:top w:w="0" w:type="dxa"/>
              <w:left w:w="108" w:type="dxa"/>
              <w:bottom w:w="0" w:type="dxa"/>
              <w:right w:w="108" w:type="dxa"/>
            </w:tcMar>
            <w:hideMark/>
          </w:tcPr>
          <w:p w14:paraId="1497CA53" w14:textId="77777777" w:rsidR="003D7779" w:rsidRPr="00A87D82" w:rsidRDefault="003D7779" w:rsidP="00A662DF">
            <w:pPr>
              <w:spacing w:after="0" w:line="240" w:lineRule="auto"/>
              <w:rPr>
                <w:rFonts w:cs="Arial"/>
              </w:rPr>
            </w:pPr>
            <w:r w:rsidRPr="00A87D82">
              <w:rPr>
                <w:rFonts w:cs="Arial"/>
              </w:rPr>
              <w:t>Annual Visits</w:t>
            </w:r>
          </w:p>
        </w:tc>
        <w:tc>
          <w:tcPr>
            <w:tcW w:w="1260" w:type="dxa"/>
            <w:tcMar>
              <w:top w:w="0" w:type="dxa"/>
              <w:left w:w="108" w:type="dxa"/>
              <w:bottom w:w="0" w:type="dxa"/>
              <w:right w:w="108" w:type="dxa"/>
            </w:tcMar>
            <w:hideMark/>
          </w:tcPr>
          <w:p w14:paraId="1E398B8D" w14:textId="77777777" w:rsidR="003D7779" w:rsidRPr="00D02233" w:rsidRDefault="003D7779" w:rsidP="00A662DF">
            <w:pPr>
              <w:spacing w:after="0" w:line="240" w:lineRule="auto"/>
              <w:jc w:val="center"/>
              <w:rPr>
                <w:rFonts w:cstheme="minorHAnsi"/>
                <w:sz w:val="24"/>
                <w:szCs w:val="24"/>
              </w:rPr>
            </w:pPr>
            <w:r w:rsidRPr="00D02233">
              <w:rPr>
                <w:rFonts w:cstheme="minorHAnsi"/>
                <w:sz w:val="24"/>
                <w:szCs w:val="24"/>
              </w:rPr>
              <w:t>44,893</w:t>
            </w:r>
          </w:p>
        </w:tc>
        <w:tc>
          <w:tcPr>
            <w:tcW w:w="1440" w:type="dxa"/>
            <w:tcMar>
              <w:top w:w="0" w:type="dxa"/>
              <w:left w:w="108" w:type="dxa"/>
              <w:bottom w:w="0" w:type="dxa"/>
              <w:right w:w="108" w:type="dxa"/>
            </w:tcMar>
            <w:hideMark/>
          </w:tcPr>
          <w:p w14:paraId="20AB58F2" w14:textId="77777777" w:rsidR="003D7779" w:rsidRPr="00D02233" w:rsidRDefault="003D7779" w:rsidP="00A662DF">
            <w:pPr>
              <w:spacing w:after="0" w:line="240" w:lineRule="auto"/>
              <w:jc w:val="center"/>
              <w:rPr>
                <w:rFonts w:cstheme="minorHAnsi"/>
                <w:sz w:val="24"/>
                <w:szCs w:val="24"/>
              </w:rPr>
            </w:pPr>
            <w:r w:rsidRPr="00D02233">
              <w:rPr>
                <w:rFonts w:cstheme="minorHAnsi"/>
                <w:sz w:val="24"/>
                <w:szCs w:val="24"/>
              </w:rPr>
              <w:t>48,877</w:t>
            </w:r>
          </w:p>
        </w:tc>
        <w:tc>
          <w:tcPr>
            <w:tcW w:w="1710" w:type="dxa"/>
            <w:tcMar>
              <w:top w:w="0" w:type="dxa"/>
              <w:left w:w="108" w:type="dxa"/>
              <w:bottom w:w="0" w:type="dxa"/>
              <w:right w:w="108" w:type="dxa"/>
            </w:tcMar>
            <w:hideMark/>
          </w:tcPr>
          <w:p w14:paraId="688002A5" w14:textId="77777777" w:rsidR="003D7779" w:rsidRPr="00D02233" w:rsidRDefault="003D7779" w:rsidP="00A662DF">
            <w:pPr>
              <w:spacing w:after="0" w:line="240" w:lineRule="auto"/>
              <w:jc w:val="center"/>
              <w:rPr>
                <w:rFonts w:cstheme="minorHAnsi"/>
                <w:sz w:val="24"/>
                <w:szCs w:val="24"/>
              </w:rPr>
            </w:pPr>
            <w:r w:rsidRPr="00D02233">
              <w:rPr>
                <w:rFonts w:cstheme="minorHAnsi"/>
                <w:sz w:val="24"/>
                <w:szCs w:val="24"/>
              </w:rPr>
              <w:t>51,106</w:t>
            </w:r>
          </w:p>
        </w:tc>
        <w:tc>
          <w:tcPr>
            <w:tcW w:w="1430" w:type="dxa"/>
            <w:shd w:val="clear" w:color="auto" w:fill="auto"/>
            <w:tcMar>
              <w:top w:w="0" w:type="dxa"/>
              <w:left w:w="108" w:type="dxa"/>
              <w:bottom w:w="0" w:type="dxa"/>
              <w:right w:w="108" w:type="dxa"/>
            </w:tcMar>
          </w:tcPr>
          <w:p w14:paraId="11F25FC4" w14:textId="77777777" w:rsidR="003D7779" w:rsidRPr="00D02233" w:rsidRDefault="003D7779" w:rsidP="00A662DF">
            <w:pPr>
              <w:spacing w:after="0" w:line="240" w:lineRule="auto"/>
              <w:jc w:val="center"/>
              <w:rPr>
                <w:rFonts w:cstheme="minorHAnsi"/>
                <w:sz w:val="24"/>
                <w:szCs w:val="24"/>
              </w:rPr>
            </w:pPr>
            <w:r w:rsidRPr="00D02233">
              <w:rPr>
                <w:rFonts w:cstheme="minorHAnsi"/>
                <w:sz w:val="24"/>
                <w:szCs w:val="24"/>
              </w:rPr>
              <w:t>52,160</w:t>
            </w:r>
          </w:p>
        </w:tc>
      </w:tr>
      <w:tr w:rsidR="00D02233" w:rsidRPr="00A87D82" w14:paraId="58600FA6" w14:textId="77777777" w:rsidTr="00283726">
        <w:trPr>
          <w:cantSplit/>
        </w:trPr>
        <w:tc>
          <w:tcPr>
            <w:tcW w:w="3500" w:type="dxa"/>
            <w:tcMar>
              <w:top w:w="0" w:type="dxa"/>
              <w:left w:w="108" w:type="dxa"/>
              <w:bottom w:w="0" w:type="dxa"/>
              <w:right w:w="108" w:type="dxa"/>
            </w:tcMar>
          </w:tcPr>
          <w:p w14:paraId="5C39AD06" w14:textId="5059B816" w:rsidR="00D02233" w:rsidRPr="00A87D82" w:rsidRDefault="00D02233" w:rsidP="00A662DF">
            <w:pPr>
              <w:spacing w:after="0" w:line="240" w:lineRule="auto"/>
              <w:rPr>
                <w:rFonts w:cs="Arial"/>
              </w:rPr>
            </w:pPr>
            <w:r>
              <w:rPr>
                <w:rFonts w:cs="Arial"/>
              </w:rPr>
              <w:t>Wait time</w:t>
            </w:r>
            <w:r w:rsidR="00D25B92">
              <w:rPr>
                <w:rFonts w:cs="Arial"/>
              </w:rPr>
              <w:t xml:space="preserve"> in minutes </w:t>
            </w:r>
            <w:r>
              <w:rPr>
                <w:rFonts w:cs="Arial"/>
              </w:rPr>
              <w:t>from door to provider</w:t>
            </w:r>
          </w:p>
        </w:tc>
        <w:tc>
          <w:tcPr>
            <w:tcW w:w="1260" w:type="dxa"/>
            <w:tcMar>
              <w:top w:w="0" w:type="dxa"/>
              <w:left w:w="108" w:type="dxa"/>
              <w:bottom w:w="0" w:type="dxa"/>
              <w:right w:w="108" w:type="dxa"/>
            </w:tcMar>
          </w:tcPr>
          <w:p w14:paraId="2BAFB844" w14:textId="2E264535" w:rsidR="00D02233" w:rsidRPr="00D02233" w:rsidRDefault="00D02233" w:rsidP="00A662DF">
            <w:pPr>
              <w:spacing w:after="0" w:line="240" w:lineRule="auto"/>
              <w:jc w:val="center"/>
              <w:rPr>
                <w:rFonts w:cstheme="minorHAnsi"/>
                <w:sz w:val="24"/>
                <w:szCs w:val="24"/>
              </w:rPr>
            </w:pPr>
            <w:r w:rsidRPr="00D02233">
              <w:rPr>
                <w:rFonts w:cstheme="minorHAnsi"/>
                <w:sz w:val="24"/>
                <w:szCs w:val="24"/>
              </w:rPr>
              <w:t>36.67</w:t>
            </w:r>
          </w:p>
        </w:tc>
        <w:tc>
          <w:tcPr>
            <w:tcW w:w="1440" w:type="dxa"/>
            <w:tcMar>
              <w:top w:w="0" w:type="dxa"/>
              <w:left w:w="108" w:type="dxa"/>
              <w:bottom w:w="0" w:type="dxa"/>
              <w:right w:w="108" w:type="dxa"/>
            </w:tcMar>
          </w:tcPr>
          <w:p w14:paraId="0F3CD090" w14:textId="0D39DF8B" w:rsidR="00D02233" w:rsidRPr="00D02233" w:rsidRDefault="00D02233" w:rsidP="00A662DF">
            <w:pPr>
              <w:spacing w:after="0" w:line="240" w:lineRule="auto"/>
              <w:jc w:val="center"/>
              <w:rPr>
                <w:rFonts w:cstheme="minorHAnsi"/>
                <w:sz w:val="24"/>
                <w:szCs w:val="24"/>
              </w:rPr>
            </w:pPr>
            <w:r w:rsidRPr="00D02233">
              <w:rPr>
                <w:rFonts w:cstheme="minorHAnsi"/>
                <w:sz w:val="24"/>
                <w:szCs w:val="24"/>
              </w:rPr>
              <w:t>51.00</w:t>
            </w:r>
          </w:p>
        </w:tc>
        <w:tc>
          <w:tcPr>
            <w:tcW w:w="1710" w:type="dxa"/>
            <w:tcMar>
              <w:top w:w="0" w:type="dxa"/>
              <w:left w:w="108" w:type="dxa"/>
              <w:bottom w:w="0" w:type="dxa"/>
              <w:right w:w="108" w:type="dxa"/>
            </w:tcMar>
          </w:tcPr>
          <w:p w14:paraId="2B19DF35" w14:textId="00419072" w:rsidR="00D02233" w:rsidRPr="00D02233" w:rsidRDefault="00D02233" w:rsidP="00A662DF">
            <w:pPr>
              <w:spacing w:after="0" w:line="240" w:lineRule="auto"/>
              <w:jc w:val="center"/>
              <w:rPr>
                <w:rFonts w:cstheme="minorHAnsi"/>
                <w:sz w:val="24"/>
                <w:szCs w:val="24"/>
              </w:rPr>
            </w:pPr>
            <w:r w:rsidRPr="00D02233">
              <w:rPr>
                <w:rFonts w:cstheme="minorHAnsi"/>
                <w:sz w:val="24"/>
                <w:szCs w:val="24"/>
              </w:rPr>
              <w:t>63.67</w:t>
            </w:r>
          </w:p>
        </w:tc>
        <w:tc>
          <w:tcPr>
            <w:tcW w:w="1430" w:type="dxa"/>
            <w:shd w:val="clear" w:color="auto" w:fill="auto"/>
            <w:tcMar>
              <w:top w:w="0" w:type="dxa"/>
              <w:left w:w="108" w:type="dxa"/>
              <w:bottom w:w="0" w:type="dxa"/>
              <w:right w:w="108" w:type="dxa"/>
            </w:tcMar>
          </w:tcPr>
          <w:p w14:paraId="1A94C541" w14:textId="6E4F1AB0" w:rsidR="00D02233" w:rsidRPr="00D02233" w:rsidRDefault="00D02233" w:rsidP="00A662DF">
            <w:pPr>
              <w:spacing w:after="0" w:line="240" w:lineRule="auto"/>
              <w:jc w:val="center"/>
              <w:rPr>
                <w:rFonts w:cstheme="minorHAnsi"/>
                <w:sz w:val="24"/>
                <w:szCs w:val="24"/>
              </w:rPr>
            </w:pPr>
            <w:r w:rsidRPr="00D02233">
              <w:rPr>
                <w:rFonts w:cstheme="minorHAnsi"/>
                <w:sz w:val="24"/>
                <w:szCs w:val="24"/>
              </w:rPr>
              <w:t>64.33</w:t>
            </w:r>
          </w:p>
        </w:tc>
      </w:tr>
      <w:tr w:rsidR="00E23ACA" w:rsidRPr="00A87D82" w14:paraId="6383646E" w14:textId="77777777" w:rsidTr="00283726">
        <w:trPr>
          <w:cantSplit/>
        </w:trPr>
        <w:tc>
          <w:tcPr>
            <w:tcW w:w="3500" w:type="dxa"/>
            <w:tcMar>
              <w:top w:w="0" w:type="dxa"/>
              <w:left w:w="108" w:type="dxa"/>
              <w:bottom w:w="0" w:type="dxa"/>
              <w:right w:w="108" w:type="dxa"/>
            </w:tcMar>
            <w:hideMark/>
          </w:tcPr>
          <w:p w14:paraId="22BB8CAB" w14:textId="4B96D0B4" w:rsidR="00E23ACA" w:rsidRPr="00A87D82" w:rsidRDefault="00E23ACA" w:rsidP="00A662DF">
            <w:pPr>
              <w:spacing w:after="0" w:line="240" w:lineRule="auto"/>
              <w:rPr>
                <w:rFonts w:cs="Arial"/>
              </w:rPr>
            </w:pPr>
            <w:r w:rsidRPr="00A87D82">
              <w:rPr>
                <w:rFonts w:cs="Arial"/>
              </w:rPr>
              <w:t>Left without being seen</w:t>
            </w:r>
            <w:r>
              <w:rPr>
                <w:rFonts w:cs="Arial"/>
              </w:rPr>
              <w:t xml:space="preserve"> (Expressed as Percentage of Annual Visits)</w:t>
            </w:r>
            <w:r w:rsidR="005A5B21">
              <w:rPr>
                <w:rStyle w:val="FootnoteReference"/>
                <w:rFonts w:cs="Arial"/>
              </w:rPr>
              <w:footnoteReference w:id="7"/>
            </w:r>
          </w:p>
        </w:tc>
        <w:tc>
          <w:tcPr>
            <w:tcW w:w="1260" w:type="dxa"/>
            <w:tcMar>
              <w:top w:w="0" w:type="dxa"/>
              <w:left w:w="108" w:type="dxa"/>
              <w:bottom w:w="0" w:type="dxa"/>
              <w:right w:w="108" w:type="dxa"/>
            </w:tcMar>
            <w:hideMark/>
          </w:tcPr>
          <w:p w14:paraId="1010312C" w14:textId="7F6E5A5A" w:rsidR="00E23ACA" w:rsidRPr="00D25B92" w:rsidRDefault="00E23ACA" w:rsidP="00A662DF">
            <w:pPr>
              <w:spacing w:after="0" w:line="240" w:lineRule="auto"/>
              <w:jc w:val="center"/>
              <w:rPr>
                <w:rFonts w:cstheme="minorHAnsi"/>
                <w:sz w:val="24"/>
                <w:szCs w:val="24"/>
                <w:highlight w:val="yellow"/>
              </w:rPr>
            </w:pPr>
            <w:r w:rsidRPr="003A78B2">
              <w:t>1.60%</w:t>
            </w:r>
          </w:p>
        </w:tc>
        <w:tc>
          <w:tcPr>
            <w:tcW w:w="1440" w:type="dxa"/>
            <w:tcMar>
              <w:top w:w="0" w:type="dxa"/>
              <w:left w:w="108" w:type="dxa"/>
              <w:bottom w:w="0" w:type="dxa"/>
              <w:right w:w="108" w:type="dxa"/>
            </w:tcMar>
            <w:hideMark/>
          </w:tcPr>
          <w:p w14:paraId="583B2F89" w14:textId="0E3BC015" w:rsidR="00E23ACA" w:rsidRPr="00D25B92" w:rsidRDefault="00E23ACA" w:rsidP="00A662DF">
            <w:pPr>
              <w:spacing w:after="0" w:line="240" w:lineRule="auto"/>
              <w:jc w:val="center"/>
              <w:rPr>
                <w:rFonts w:cstheme="minorHAnsi"/>
                <w:sz w:val="24"/>
                <w:szCs w:val="24"/>
                <w:highlight w:val="yellow"/>
              </w:rPr>
            </w:pPr>
            <w:r w:rsidRPr="003A78B2">
              <w:t>2.51%</w:t>
            </w:r>
          </w:p>
        </w:tc>
        <w:tc>
          <w:tcPr>
            <w:tcW w:w="1710" w:type="dxa"/>
            <w:tcMar>
              <w:top w:w="0" w:type="dxa"/>
              <w:left w:w="108" w:type="dxa"/>
              <w:bottom w:w="0" w:type="dxa"/>
              <w:right w:w="108" w:type="dxa"/>
            </w:tcMar>
            <w:hideMark/>
          </w:tcPr>
          <w:p w14:paraId="719B90B4" w14:textId="52A15EC4" w:rsidR="00E23ACA" w:rsidRPr="00D25B92" w:rsidRDefault="00E23ACA" w:rsidP="00A662DF">
            <w:pPr>
              <w:spacing w:after="0" w:line="240" w:lineRule="auto"/>
              <w:jc w:val="center"/>
              <w:rPr>
                <w:rFonts w:cstheme="minorHAnsi"/>
                <w:sz w:val="24"/>
                <w:szCs w:val="24"/>
                <w:highlight w:val="yellow"/>
              </w:rPr>
            </w:pPr>
            <w:r w:rsidRPr="003A78B2">
              <w:t>3.19%</w:t>
            </w:r>
          </w:p>
        </w:tc>
        <w:tc>
          <w:tcPr>
            <w:tcW w:w="1430" w:type="dxa"/>
            <w:shd w:val="clear" w:color="auto" w:fill="auto"/>
            <w:tcMar>
              <w:top w:w="0" w:type="dxa"/>
              <w:left w:w="108" w:type="dxa"/>
              <w:bottom w:w="0" w:type="dxa"/>
              <w:right w:w="108" w:type="dxa"/>
            </w:tcMar>
          </w:tcPr>
          <w:p w14:paraId="780B45D8" w14:textId="64108DDD" w:rsidR="00E23ACA" w:rsidRPr="00D25B92" w:rsidRDefault="00E23ACA" w:rsidP="00A662DF">
            <w:pPr>
              <w:spacing w:after="0" w:line="240" w:lineRule="auto"/>
              <w:jc w:val="center"/>
              <w:rPr>
                <w:sz w:val="24"/>
                <w:szCs w:val="24"/>
                <w:highlight w:val="yellow"/>
              </w:rPr>
            </w:pPr>
            <w:r>
              <w:t>2.60%</w:t>
            </w:r>
          </w:p>
        </w:tc>
      </w:tr>
      <w:tr w:rsidR="00D02233" w:rsidRPr="00A87D82" w14:paraId="5613BAC0" w14:textId="77777777" w:rsidTr="00283726">
        <w:trPr>
          <w:cantSplit/>
        </w:trPr>
        <w:tc>
          <w:tcPr>
            <w:tcW w:w="3500" w:type="dxa"/>
            <w:tcMar>
              <w:top w:w="0" w:type="dxa"/>
              <w:left w:w="108" w:type="dxa"/>
              <w:bottom w:w="0" w:type="dxa"/>
              <w:right w:w="108" w:type="dxa"/>
            </w:tcMar>
            <w:hideMark/>
          </w:tcPr>
          <w:p w14:paraId="7513D834" w14:textId="169695BA" w:rsidR="00D02233" w:rsidRPr="00A87D82" w:rsidRDefault="00D02233" w:rsidP="00A662DF">
            <w:pPr>
              <w:spacing w:after="0" w:line="240" w:lineRule="auto"/>
              <w:rPr>
                <w:rFonts w:cs="Arial"/>
              </w:rPr>
            </w:pPr>
            <w:r w:rsidRPr="00A87D82">
              <w:rPr>
                <w:rFonts w:cs="Arial"/>
              </w:rPr>
              <w:t>Psych board</w:t>
            </w:r>
            <w:r w:rsidR="000956C1">
              <w:rPr>
                <w:rFonts w:cs="Arial"/>
              </w:rPr>
              <w:t>ers</w:t>
            </w:r>
            <w:r w:rsidR="00D25B92">
              <w:rPr>
                <w:rStyle w:val="FootnoteReference"/>
                <w:rFonts w:cs="Arial"/>
              </w:rPr>
              <w:footnoteReference w:id="8"/>
            </w:r>
          </w:p>
        </w:tc>
        <w:tc>
          <w:tcPr>
            <w:tcW w:w="1260" w:type="dxa"/>
            <w:tcMar>
              <w:top w:w="0" w:type="dxa"/>
              <w:left w:w="108" w:type="dxa"/>
              <w:bottom w:w="0" w:type="dxa"/>
              <w:right w:w="108" w:type="dxa"/>
            </w:tcMar>
            <w:hideMark/>
          </w:tcPr>
          <w:p w14:paraId="155A26EC" w14:textId="77777777" w:rsidR="00D02233" w:rsidRPr="00A87D82" w:rsidRDefault="00D02233" w:rsidP="00A662DF">
            <w:pPr>
              <w:spacing w:after="0" w:line="240" w:lineRule="auto"/>
              <w:jc w:val="center"/>
              <w:rPr>
                <w:rFonts w:cs="Arial"/>
              </w:rPr>
            </w:pPr>
            <w:r w:rsidRPr="00A87D82">
              <w:rPr>
                <w:rFonts w:cs="Arial"/>
              </w:rPr>
              <w:t>3,444</w:t>
            </w:r>
          </w:p>
        </w:tc>
        <w:tc>
          <w:tcPr>
            <w:tcW w:w="1440" w:type="dxa"/>
            <w:tcMar>
              <w:top w:w="0" w:type="dxa"/>
              <w:left w:w="108" w:type="dxa"/>
              <w:bottom w:w="0" w:type="dxa"/>
              <w:right w:w="108" w:type="dxa"/>
            </w:tcMar>
            <w:hideMark/>
          </w:tcPr>
          <w:p w14:paraId="3E93F218" w14:textId="77777777" w:rsidR="00D02233" w:rsidRPr="00A87D82" w:rsidRDefault="00D02233" w:rsidP="00A662DF">
            <w:pPr>
              <w:spacing w:after="0" w:line="240" w:lineRule="auto"/>
              <w:jc w:val="center"/>
              <w:rPr>
                <w:rFonts w:cs="Arial"/>
              </w:rPr>
            </w:pPr>
            <w:r w:rsidRPr="00A87D82">
              <w:rPr>
                <w:rFonts w:cs="Arial"/>
              </w:rPr>
              <w:t>3,717</w:t>
            </w:r>
          </w:p>
        </w:tc>
        <w:tc>
          <w:tcPr>
            <w:tcW w:w="1710" w:type="dxa"/>
            <w:tcMar>
              <w:top w:w="0" w:type="dxa"/>
              <w:left w:w="108" w:type="dxa"/>
              <w:bottom w:w="0" w:type="dxa"/>
              <w:right w:w="108" w:type="dxa"/>
            </w:tcMar>
            <w:hideMark/>
          </w:tcPr>
          <w:p w14:paraId="4CBB4BB3" w14:textId="77777777" w:rsidR="00D02233" w:rsidRPr="001C40E4" w:rsidRDefault="00D02233" w:rsidP="00A662DF">
            <w:pPr>
              <w:spacing w:after="0" w:line="240" w:lineRule="auto"/>
              <w:jc w:val="center"/>
              <w:rPr>
                <w:rFonts w:cs="Arial"/>
              </w:rPr>
            </w:pPr>
            <w:r w:rsidRPr="001C40E4">
              <w:rPr>
                <w:rFonts w:cs="Arial"/>
              </w:rPr>
              <w:t>3,046</w:t>
            </w:r>
          </w:p>
        </w:tc>
        <w:tc>
          <w:tcPr>
            <w:tcW w:w="1430" w:type="dxa"/>
            <w:shd w:val="clear" w:color="auto" w:fill="auto"/>
            <w:tcMar>
              <w:top w:w="0" w:type="dxa"/>
              <w:left w:w="108" w:type="dxa"/>
              <w:bottom w:w="0" w:type="dxa"/>
              <w:right w:w="108" w:type="dxa"/>
            </w:tcMar>
          </w:tcPr>
          <w:p w14:paraId="4853E8B8" w14:textId="77777777" w:rsidR="00D02233" w:rsidRPr="001C40E4" w:rsidRDefault="00D02233" w:rsidP="00A662DF">
            <w:pPr>
              <w:spacing w:after="0" w:line="240" w:lineRule="auto"/>
              <w:jc w:val="center"/>
              <w:rPr>
                <w:rFonts w:cs="Arial"/>
              </w:rPr>
            </w:pPr>
            <w:r w:rsidRPr="001C40E4">
              <w:rPr>
                <w:rFonts w:cs="Arial"/>
              </w:rPr>
              <w:t>2,262</w:t>
            </w:r>
          </w:p>
        </w:tc>
      </w:tr>
      <w:tr w:rsidR="00D02233" w:rsidRPr="00A87D82" w14:paraId="5B09A9D8" w14:textId="77777777" w:rsidTr="00283726">
        <w:trPr>
          <w:cantSplit/>
        </w:trPr>
        <w:tc>
          <w:tcPr>
            <w:tcW w:w="3500" w:type="dxa"/>
            <w:tcMar>
              <w:top w:w="0" w:type="dxa"/>
              <w:left w:w="108" w:type="dxa"/>
              <w:bottom w:w="0" w:type="dxa"/>
              <w:right w:w="108" w:type="dxa"/>
            </w:tcMar>
            <w:hideMark/>
          </w:tcPr>
          <w:p w14:paraId="4DF044C5" w14:textId="644221CD" w:rsidR="00D02233" w:rsidRPr="00A87D82" w:rsidRDefault="00D02233" w:rsidP="00A662DF">
            <w:pPr>
              <w:spacing w:after="0" w:line="240" w:lineRule="auto"/>
              <w:rPr>
                <w:rFonts w:cs="Arial"/>
              </w:rPr>
            </w:pPr>
            <w:r w:rsidRPr="00A87D82">
              <w:rPr>
                <w:rFonts w:cs="Arial"/>
              </w:rPr>
              <w:t>Medical board</w:t>
            </w:r>
            <w:r w:rsidR="000956C1">
              <w:rPr>
                <w:rFonts w:cs="Arial"/>
              </w:rPr>
              <w:t>ers</w:t>
            </w:r>
            <w:r w:rsidR="00D25B92">
              <w:rPr>
                <w:rStyle w:val="FootnoteReference"/>
                <w:rFonts w:cs="Arial"/>
              </w:rPr>
              <w:footnoteReference w:id="9"/>
            </w:r>
          </w:p>
        </w:tc>
        <w:tc>
          <w:tcPr>
            <w:tcW w:w="1260" w:type="dxa"/>
            <w:tcMar>
              <w:top w:w="0" w:type="dxa"/>
              <w:left w:w="108" w:type="dxa"/>
              <w:bottom w:w="0" w:type="dxa"/>
              <w:right w:w="108" w:type="dxa"/>
            </w:tcMar>
            <w:hideMark/>
          </w:tcPr>
          <w:p w14:paraId="158B1E6C" w14:textId="77777777" w:rsidR="00D02233" w:rsidRPr="00A87D82" w:rsidRDefault="00D02233" w:rsidP="00A662DF">
            <w:pPr>
              <w:spacing w:after="0" w:line="240" w:lineRule="auto"/>
              <w:jc w:val="center"/>
              <w:rPr>
                <w:rFonts w:cs="Arial"/>
              </w:rPr>
            </w:pPr>
            <w:r w:rsidRPr="00A87D82">
              <w:rPr>
                <w:rFonts w:cs="Arial"/>
              </w:rPr>
              <w:t>5,469</w:t>
            </w:r>
          </w:p>
        </w:tc>
        <w:tc>
          <w:tcPr>
            <w:tcW w:w="1440" w:type="dxa"/>
            <w:tcMar>
              <w:top w:w="0" w:type="dxa"/>
              <w:left w:w="108" w:type="dxa"/>
              <w:bottom w:w="0" w:type="dxa"/>
              <w:right w:w="108" w:type="dxa"/>
            </w:tcMar>
            <w:hideMark/>
          </w:tcPr>
          <w:p w14:paraId="151ADB72" w14:textId="77777777" w:rsidR="00D02233" w:rsidRPr="00A87D82" w:rsidRDefault="00D02233" w:rsidP="00A662DF">
            <w:pPr>
              <w:spacing w:after="0" w:line="240" w:lineRule="auto"/>
              <w:jc w:val="center"/>
              <w:rPr>
                <w:rFonts w:cs="Arial"/>
              </w:rPr>
            </w:pPr>
            <w:r w:rsidRPr="00A87D82">
              <w:rPr>
                <w:rFonts w:cs="Arial"/>
              </w:rPr>
              <w:t>13,536</w:t>
            </w:r>
          </w:p>
        </w:tc>
        <w:tc>
          <w:tcPr>
            <w:tcW w:w="1710" w:type="dxa"/>
            <w:tcMar>
              <w:top w:w="0" w:type="dxa"/>
              <w:left w:w="108" w:type="dxa"/>
              <w:bottom w:w="0" w:type="dxa"/>
              <w:right w:w="108" w:type="dxa"/>
            </w:tcMar>
            <w:hideMark/>
          </w:tcPr>
          <w:p w14:paraId="42615F75" w14:textId="77777777" w:rsidR="00D02233" w:rsidRPr="00A87D82" w:rsidRDefault="00D02233" w:rsidP="00A662DF">
            <w:pPr>
              <w:spacing w:after="0" w:line="240" w:lineRule="auto"/>
              <w:jc w:val="center"/>
              <w:rPr>
                <w:rFonts w:cs="Arial"/>
              </w:rPr>
            </w:pPr>
            <w:r w:rsidRPr="00A87D82">
              <w:rPr>
                <w:rFonts w:cs="Arial"/>
              </w:rPr>
              <w:t>11,921</w:t>
            </w:r>
          </w:p>
        </w:tc>
        <w:tc>
          <w:tcPr>
            <w:tcW w:w="1430" w:type="dxa"/>
            <w:shd w:val="clear" w:color="auto" w:fill="auto"/>
            <w:tcMar>
              <w:top w:w="0" w:type="dxa"/>
              <w:left w:w="108" w:type="dxa"/>
              <w:bottom w:w="0" w:type="dxa"/>
              <w:right w:w="108" w:type="dxa"/>
            </w:tcMar>
          </w:tcPr>
          <w:p w14:paraId="2C97EA71" w14:textId="77777777" w:rsidR="00D02233" w:rsidRPr="00A87D82" w:rsidRDefault="00D02233" w:rsidP="00A662DF">
            <w:pPr>
              <w:spacing w:after="0" w:line="240" w:lineRule="auto"/>
              <w:jc w:val="center"/>
              <w:rPr>
                <w:rFonts w:cs="Arial"/>
              </w:rPr>
            </w:pPr>
            <w:r>
              <w:rPr>
                <w:rFonts w:cs="Arial"/>
              </w:rPr>
              <w:t>20,846</w:t>
            </w:r>
          </w:p>
        </w:tc>
      </w:tr>
      <w:tr w:rsidR="00D02233" w:rsidRPr="00A87D82" w14:paraId="165BD424" w14:textId="77777777" w:rsidTr="00283726">
        <w:trPr>
          <w:cantSplit/>
        </w:trPr>
        <w:tc>
          <w:tcPr>
            <w:tcW w:w="3500" w:type="dxa"/>
            <w:tcMar>
              <w:top w:w="0" w:type="dxa"/>
              <w:left w:w="108" w:type="dxa"/>
              <w:bottom w:w="0" w:type="dxa"/>
              <w:right w:w="108" w:type="dxa"/>
            </w:tcMar>
          </w:tcPr>
          <w:p w14:paraId="1CC5B789" w14:textId="77777777" w:rsidR="00D02233" w:rsidRPr="00A87D82" w:rsidRDefault="00D02233" w:rsidP="00A662DF">
            <w:pPr>
              <w:spacing w:after="0" w:line="240" w:lineRule="auto"/>
              <w:rPr>
                <w:rFonts w:cs="Arial"/>
              </w:rPr>
            </w:pPr>
            <w:r w:rsidRPr="00A87D82">
              <w:rPr>
                <w:rFonts w:cs="Arial"/>
              </w:rPr>
              <w:t>Code Help Activations (All Levels)</w:t>
            </w:r>
          </w:p>
        </w:tc>
        <w:tc>
          <w:tcPr>
            <w:tcW w:w="1260" w:type="dxa"/>
            <w:tcMar>
              <w:top w:w="0" w:type="dxa"/>
              <w:left w:w="108" w:type="dxa"/>
              <w:bottom w:w="0" w:type="dxa"/>
              <w:right w:w="108" w:type="dxa"/>
            </w:tcMar>
          </w:tcPr>
          <w:p w14:paraId="681EC41B" w14:textId="77777777" w:rsidR="00D02233" w:rsidRPr="00A87D82" w:rsidRDefault="00D02233" w:rsidP="00A662DF">
            <w:pPr>
              <w:spacing w:after="0" w:line="240" w:lineRule="auto"/>
              <w:jc w:val="center"/>
              <w:rPr>
                <w:rFonts w:cs="Arial"/>
              </w:rPr>
            </w:pPr>
            <w:r w:rsidRPr="00A87D82">
              <w:rPr>
                <w:rFonts w:cs="Arial"/>
              </w:rPr>
              <w:t>92</w:t>
            </w:r>
          </w:p>
        </w:tc>
        <w:tc>
          <w:tcPr>
            <w:tcW w:w="1440" w:type="dxa"/>
            <w:tcMar>
              <w:top w:w="0" w:type="dxa"/>
              <w:left w:w="108" w:type="dxa"/>
              <w:bottom w:w="0" w:type="dxa"/>
              <w:right w:w="108" w:type="dxa"/>
            </w:tcMar>
          </w:tcPr>
          <w:p w14:paraId="7F5628A1" w14:textId="77777777" w:rsidR="00D02233" w:rsidRPr="00A87D82" w:rsidRDefault="00D02233" w:rsidP="00A662DF">
            <w:pPr>
              <w:spacing w:after="0" w:line="240" w:lineRule="auto"/>
              <w:jc w:val="center"/>
              <w:rPr>
                <w:rFonts w:cs="Arial"/>
              </w:rPr>
            </w:pPr>
            <w:r w:rsidRPr="00A87D82">
              <w:rPr>
                <w:rFonts w:cs="Arial"/>
              </w:rPr>
              <w:t>129</w:t>
            </w:r>
          </w:p>
        </w:tc>
        <w:tc>
          <w:tcPr>
            <w:tcW w:w="1710" w:type="dxa"/>
            <w:tcMar>
              <w:top w:w="0" w:type="dxa"/>
              <w:left w:w="108" w:type="dxa"/>
              <w:bottom w:w="0" w:type="dxa"/>
              <w:right w:w="108" w:type="dxa"/>
            </w:tcMar>
          </w:tcPr>
          <w:p w14:paraId="2761AD1D" w14:textId="77777777" w:rsidR="00D02233" w:rsidRPr="00A87D82" w:rsidRDefault="00D02233" w:rsidP="00A662DF">
            <w:pPr>
              <w:spacing w:after="0" w:line="240" w:lineRule="auto"/>
              <w:jc w:val="center"/>
              <w:rPr>
                <w:rFonts w:cs="Arial"/>
              </w:rPr>
            </w:pPr>
            <w:r w:rsidRPr="00A87D82">
              <w:rPr>
                <w:rFonts w:cs="Arial"/>
              </w:rPr>
              <w:t>143</w:t>
            </w:r>
          </w:p>
        </w:tc>
        <w:tc>
          <w:tcPr>
            <w:tcW w:w="1430" w:type="dxa"/>
            <w:shd w:val="clear" w:color="auto" w:fill="auto"/>
            <w:tcMar>
              <w:top w:w="0" w:type="dxa"/>
              <w:left w:w="108" w:type="dxa"/>
              <w:bottom w:w="0" w:type="dxa"/>
              <w:right w:w="108" w:type="dxa"/>
            </w:tcMar>
          </w:tcPr>
          <w:p w14:paraId="693AF87D" w14:textId="77777777" w:rsidR="00D02233" w:rsidRPr="00A87D82" w:rsidRDefault="00D02233" w:rsidP="00A662DF">
            <w:pPr>
              <w:spacing w:after="0" w:line="240" w:lineRule="auto"/>
              <w:jc w:val="center"/>
              <w:rPr>
                <w:rFonts w:cs="Arial"/>
              </w:rPr>
            </w:pPr>
            <w:r>
              <w:rPr>
                <w:rFonts w:cs="Arial"/>
              </w:rPr>
              <w:t>47</w:t>
            </w:r>
            <w:r>
              <w:rPr>
                <w:rStyle w:val="FootnoteReference"/>
                <w:rFonts w:cs="Arial"/>
              </w:rPr>
              <w:footnoteReference w:id="10"/>
            </w:r>
          </w:p>
        </w:tc>
      </w:tr>
    </w:tbl>
    <w:p w14:paraId="256DA3C2" w14:textId="77777777" w:rsidR="003D7779" w:rsidRPr="003D7779" w:rsidRDefault="003D7779" w:rsidP="00A662DF">
      <w:pPr>
        <w:spacing w:after="0" w:line="240" w:lineRule="auto"/>
        <w:rPr>
          <w:highlight w:val="yellow"/>
        </w:rPr>
      </w:pPr>
    </w:p>
    <w:p w14:paraId="61B1F22B" w14:textId="55032C28" w:rsidR="00372AF7" w:rsidRPr="004B3C98" w:rsidRDefault="0057195F" w:rsidP="4519D7D6">
      <w:pPr>
        <w:pStyle w:val="xxmsolistparagraph"/>
        <w:ind w:left="0"/>
        <w:rPr>
          <w:rFonts w:asciiTheme="minorHAnsi" w:hAnsiTheme="minorHAnsi" w:cstheme="minorBidi"/>
          <w:sz w:val="24"/>
          <w:szCs w:val="24"/>
          <w:highlight w:val="yellow"/>
        </w:rPr>
      </w:pPr>
      <w:r w:rsidRPr="4519D7D6">
        <w:rPr>
          <w:rFonts w:asciiTheme="minorHAnsi" w:hAnsiTheme="minorHAnsi" w:cstheme="minorBidi"/>
          <w:sz w:val="24"/>
          <w:szCs w:val="24"/>
        </w:rPr>
        <w:t xml:space="preserve">With an ED </w:t>
      </w:r>
      <w:r w:rsidR="00083E4A" w:rsidRPr="4519D7D6">
        <w:rPr>
          <w:rFonts w:asciiTheme="minorHAnsi" w:hAnsiTheme="minorHAnsi" w:cstheme="minorBidi"/>
          <w:sz w:val="24"/>
          <w:szCs w:val="24"/>
        </w:rPr>
        <w:t xml:space="preserve">serving more </w:t>
      </w:r>
      <w:r w:rsidRPr="4519D7D6">
        <w:rPr>
          <w:rFonts w:asciiTheme="minorHAnsi" w:hAnsiTheme="minorHAnsi" w:cstheme="minorBidi"/>
          <w:sz w:val="24"/>
          <w:szCs w:val="24"/>
        </w:rPr>
        <w:t>patients</w:t>
      </w:r>
      <w:r w:rsidR="00B400A6" w:rsidRPr="4519D7D6">
        <w:rPr>
          <w:rFonts w:asciiTheme="minorHAnsi" w:hAnsiTheme="minorHAnsi" w:cstheme="minorBidi"/>
          <w:sz w:val="24"/>
          <w:szCs w:val="24"/>
        </w:rPr>
        <w:t xml:space="preserve"> than it was built to manage, patients</w:t>
      </w:r>
      <w:r w:rsidRPr="4519D7D6">
        <w:rPr>
          <w:rFonts w:asciiTheme="minorHAnsi" w:hAnsiTheme="minorHAnsi" w:cstheme="minorBidi"/>
          <w:sz w:val="24"/>
          <w:szCs w:val="24"/>
        </w:rPr>
        <w:t xml:space="preserve"> are experiencing increas</w:t>
      </w:r>
      <w:r w:rsidR="003C06F9" w:rsidRPr="4519D7D6">
        <w:rPr>
          <w:rFonts w:asciiTheme="minorHAnsi" w:hAnsiTheme="minorHAnsi" w:cstheme="minorBidi"/>
          <w:sz w:val="24"/>
          <w:szCs w:val="24"/>
        </w:rPr>
        <w:t>ed</w:t>
      </w:r>
      <w:r w:rsidRPr="4519D7D6">
        <w:rPr>
          <w:rFonts w:asciiTheme="minorHAnsi" w:hAnsiTheme="minorHAnsi" w:cstheme="minorBidi"/>
          <w:sz w:val="24"/>
          <w:szCs w:val="24"/>
        </w:rPr>
        <w:t xml:space="preserve"> wait times to be seen by a provider</w:t>
      </w:r>
      <w:r w:rsidR="004B3C98" w:rsidRPr="4519D7D6">
        <w:rPr>
          <w:rFonts w:asciiTheme="minorHAnsi" w:hAnsiTheme="minorHAnsi" w:cstheme="minorBidi"/>
          <w:sz w:val="24"/>
          <w:szCs w:val="24"/>
        </w:rPr>
        <w:t xml:space="preserve">, </w:t>
      </w:r>
      <w:r w:rsidR="003C06F9" w:rsidRPr="4519D7D6">
        <w:rPr>
          <w:rFonts w:asciiTheme="minorHAnsi" w:hAnsiTheme="minorHAnsi" w:cstheme="minorBidi"/>
          <w:sz w:val="24"/>
          <w:szCs w:val="24"/>
        </w:rPr>
        <w:t>which</w:t>
      </w:r>
      <w:r w:rsidR="004B3C98" w:rsidRPr="4519D7D6">
        <w:rPr>
          <w:rFonts w:asciiTheme="minorHAnsi" w:hAnsiTheme="minorHAnsi" w:cstheme="minorBidi"/>
          <w:sz w:val="24"/>
          <w:szCs w:val="24"/>
        </w:rPr>
        <w:t xml:space="preserve"> corresponds </w:t>
      </w:r>
      <w:r w:rsidR="003C06F9" w:rsidRPr="4519D7D6">
        <w:rPr>
          <w:rFonts w:asciiTheme="minorHAnsi" w:hAnsiTheme="minorHAnsi" w:cstheme="minorBidi"/>
          <w:sz w:val="24"/>
          <w:szCs w:val="24"/>
        </w:rPr>
        <w:t>with</w:t>
      </w:r>
      <w:r w:rsidR="004B3C98" w:rsidRPr="4519D7D6">
        <w:rPr>
          <w:rFonts w:asciiTheme="minorHAnsi" w:hAnsiTheme="minorHAnsi" w:cstheme="minorBidi"/>
          <w:sz w:val="24"/>
          <w:szCs w:val="24"/>
        </w:rPr>
        <w:t xml:space="preserve"> a </w:t>
      </w:r>
      <w:r w:rsidR="005F4E4B">
        <w:rPr>
          <w:rFonts w:asciiTheme="minorHAnsi" w:hAnsiTheme="minorHAnsi" w:cstheme="minorBidi"/>
          <w:sz w:val="24"/>
          <w:szCs w:val="24"/>
        </w:rPr>
        <w:t>mild</w:t>
      </w:r>
      <w:r w:rsidR="005F4E4B" w:rsidRPr="4519D7D6">
        <w:rPr>
          <w:rFonts w:asciiTheme="minorHAnsi" w:hAnsiTheme="minorHAnsi" w:cstheme="minorBidi"/>
          <w:sz w:val="24"/>
          <w:szCs w:val="24"/>
        </w:rPr>
        <w:t xml:space="preserve"> </w:t>
      </w:r>
      <w:r w:rsidR="004B3C98" w:rsidRPr="4519D7D6">
        <w:rPr>
          <w:rFonts w:asciiTheme="minorHAnsi" w:hAnsiTheme="minorHAnsi" w:cstheme="minorBidi"/>
          <w:sz w:val="24"/>
          <w:szCs w:val="24"/>
        </w:rPr>
        <w:t xml:space="preserve">increase in patients leaving without being seen </w:t>
      </w:r>
      <w:r w:rsidR="005F4E4B">
        <w:rPr>
          <w:rFonts w:asciiTheme="minorHAnsi" w:hAnsiTheme="minorHAnsi" w:cstheme="minorBidi"/>
          <w:sz w:val="24"/>
          <w:szCs w:val="24"/>
        </w:rPr>
        <w:t>from FY2021</w:t>
      </w:r>
      <w:r w:rsidR="00057A4A">
        <w:rPr>
          <w:rFonts w:asciiTheme="minorHAnsi" w:hAnsiTheme="minorHAnsi" w:cstheme="minorBidi"/>
          <w:sz w:val="24"/>
          <w:szCs w:val="24"/>
        </w:rPr>
        <w:t xml:space="preserve"> to FY2024 </w:t>
      </w:r>
      <w:r w:rsidRPr="4519D7D6">
        <w:rPr>
          <w:rFonts w:asciiTheme="minorHAnsi" w:hAnsiTheme="minorHAnsi" w:cstheme="minorBidi"/>
          <w:sz w:val="24"/>
          <w:szCs w:val="24"/>
        </w:rPr>
        <w:t xml:space="preserve">(as illustrated in Table </w:t>
      </w:r>
      <w:r w:rsidR="004B3C98" w:rsidRPr="4519D7D6">
        <w:rPr>
          <w:rFonts w:asciiTheme="minorHAnsi" w:hAnsiTheme="minorHAnsi" w:cstheme="minorBidi"/>
          <w:sz w:val="24"/>
          <w:szCs w:val="24"/>
        </w:rPr>
        <w:t>6</w:t>
      </w:r>
      <w:r w:rsidRPr="4519D7D6">
        <w:rPr>
          <w:rFonts w:asciiTheme="minorHAnsi" w:hAnsiTheme="minorHAnsi" w:cstheme="minorBidi"/>
          <w:sz w:val="24"/>
          <w:szCs w:val="24"/>
        </w:rPr>
        <w:t>)</w:t>
      </w:r>
      <w:r w:rsidR="004B3C98" w:rsidRPr="4519D7D6">
        <w:rPr>
          <w:rFonts w:asciiTheme="minorHAnsi" w:hAnsiTheme="minorHAnsi" w:cstheme="minorBidi"/>
          <w:sz w:val="24"/>
          <w:szCs w:val="24"/>
        </w:rPr>
        <w:t xml:space="preserve">. </w:t>
      </w:r>
      <w:r w:rsidR="00401C95" w:rsidRPr="4519D7D6">
        <w:rPr>
          <w:rFonts w:asciiTheme="minorHAnsi" w:hAnsiTheme="minorHAnsi" w:cstheme="minorBidi"/>
          <w:sz w:val="24"/>
          <w:szCs w:val="24"/>
        </w:rPr>
        <w:t xml:space="preserve">Without the space and resources provided through the Proposed Project, </w:t>
      </w:r>
      <w:r w:rsidR="004B3C98" w:rsidRPr="4519D7D6">
        <w:rPr>
          <w:rFonts w:asciiTheme="minorHAnsi" w:hAnsiTheme="minorHAnsi" w:cstheme="minorBidi"/>
          <w:sz w:val="24"/>
          <w:szCs w:val="24"/>
        </w:rPr>
        <w:t>the Hospital’s</w:t>
      </w:r>
      <w:r w:rsidR="00401C95" w:rsidRPr="4519D7D6">
        <w:rPr>
          <w:rFonts w:asciiTheme="minorHAnsi" w:hAnsiTheme="minorHAnsi" w:cstheme="minorBidi"/>
          <w:sz w:val="24"/>
          <w:szCs w:val="24"/>
        </w:rPr>
        <w:t xml:space="preserve"> patients will continue </w:t>
      </w:r>
      <w:r w:rsidR="00C5405B" w:rsidRPr="4519D7D6">
        <w:rPr>
          <w:rFonts w:asciiTheme="minorHAnsi" w:hAnsiTheme="minorHAnsi" w:cstheme="minorBidi"/>
          <w:sz w:val="24"/>
          <w:szCs w:val="24"/>
        </w:rPr>
        <w:t>to</w:t>
      </w:r>
      <w:r w:rsidR="00595C92" w:rsidRPr="4519D7D6">
        <w:rPr>
          <w:rFonts w:asciiTheme="minorHAnsi" w:hAnsiTheme="minorHAnsi" w:cstheme="minorBidi"/>
          <w:sz w:val="24"/>
          <w:szCs w:val="24"/>
        </w:rPr>
        <w:t xml:space="preserve"> experience long wait times (from </w:t>
      </w:r>
      <w:r w:rsidR="004B3C98" w:rsidRPr="4519D7D6">
        <w:rPr>
          <w:rFonts w:asciiTheme="minorHAnsi" w:hAnsiTheme="minorHAnsi" w:cstheme="minorBidi"/>
          <w:sz w:val="24"/>
          <w:szCs w:val="24"/>
        </w:rPr>
        <w:t>door to provider</w:t>
      </w:r>
      <w:r w:rsidR="00595C92" w:rsidRPr="4519D7D6">
        <w:rPr>
          <w:rFonts w:asciiTheme="minorHAnsi" w:hAnsiTheme="minorHAnsi" w:cstheme="minorBidi"/>
          <w:sz w:val="24"/>
          <w:szCs w:val="24"/>
        </w:rPr>
        <w:t>) in the ED</w:t>
      </w:r>
      <w:r w:rsidR="003C06F9" w:rsidRPr="4519D7D6">
        <w:rPr>
          <w:rFonts w:asciiTheme="minorHAnsi" w:hAnsiTheme="minorHAnsi" w:cstheme="minorBidi"/>
          <w:sz w:val="24"/>
          <w:szCs w:val="24"/>
        </w:rPr>
        <w:t>. T</w:t>
      </w:r>
      <w:r w:rsidR="00FC3261" w:rsidRPr="4519D7D6">
        <w:rPr>
          <w:rFonts w:asciiTheme="minorHAnsi" w:hAnsiTheme="minorHAnsi" w:cstheme="minorBidi"/>
          <w:sz w:val="24"/>
          <w:szCs w:val="24"/>
        </w:rPr>
        <w:t xml:space="preserve">he Applicant </w:t>
      </w:r>
      <w:r w:rsidR="00FC3261" w:rsidRPr="4519D7D6">
        <w:rPr>
          <w:rFonts w:asciiTheme="minorHAnsi" w:hAnsiTheme="minorHAnsi" w:cstheme="minorBidi"/>
          <w:sz w:val="24"/>
          <w:szCs w:val="24"/>
        </w:rPr>
        <w:lastRenderedPageBreak/>
        <w:t xml:space="preserve">suggests </w:t>
      </w:r>
      <w:r w:rsidR="00FA70A5" w:rsidRPr="4519D7D6">
        <w:rPr>
          <w:rFonts w:asciiTheme="minorHAnsi" w:hAnsiTheme="minorHAnsi" w:cstheme="minorBidi"/>
          <w:sz w:val="24"/>
          <w:szCs w:val="24"/>
        </w:rPr>
        <w:t xml:space="preserve">it is likely that </w:t>
      </w:r>
      <w:r w:rsidR="00401C95" w:rsidRPr="4519D7D6">
        <w:rPr>
          <w:rFonts w:asciiTheme="minorHAnsi" w:hAnsiTheme="minorHAnsi" w:cstheme="minorBidi"/>
          <w:sz w:val="24"/>
          <w:szCs w:val="24"/>
        </w:rPr>
        <w:t xml:space="preserve">more patients </w:t>
      </w:r>
      <w:r w:rsidR="00FA70A5" w:rsidRPr="4519D7D6">
        <w:rPr>
          <w:rFonts w:asciiTheme="minorHAnsi" w:hAnsiTheme="minorHAnsi" w:cstheme="minorBidi"/>
          <w:sz w:val="24"/>
          <w:szCs w:val="24"/>
        </w:rPr>
        <w:t xml:space="preserve">will </w:t>
      </w:r>
      <w:r w:rsidR="00401C95" w:rsidRPr="4519D7D6">
        <w:rPr>
          <w:rFonts w:asciiTheme="minorHAnsi" w:hAnsiTheme="minorHAnsi" w:cstheme="minorBidi"/>
          <w:sz w:val="24"/>
          <w:szCs w:val="24"/>
        </w:rPr>
        <w:t xml:space="preserve">decide to forego care until their condition worsens, </w:t>
      </w:r>
      <w:r w:rsidR="00150A4C" w:rsidRPr="4519D7D6">
        <w:rPr>
          <w:rFonts w:asciiTheme="minorHAnsi" w:hAnsiTheme="minorHAnsi" w:cstheme="minorBidi"/>
          <w:sz w:val="24"/>
          <w:szCs w:val="24"/>
        </w:rPr>
        <w:t xml:space="preserve">leading to </w:t>
      </w:r>
      <w:r w:rsidR="00401C95" w:rsidRPr="4519D7D6">
        <w:rPr>
          <w:rFonts w:asciiTheme="minorHAnsi" w:hAnsiTheme="minorHAnsi" w:cstheme="minorBidi"/>
          <w:sz w:val="24"/>
          <w:szCs w:val="24"/>
        </w:rPr>
        <w:t xml:space="preserve">higher cost, treatment </w:t>
      </w:r>
      <w:r w:rsidR="000F6DE7" w:rsidRPr="4519D7D6">
        <w:rPr>
          <w:rFonts w:asciiTheme="minorHAnsi" w:hAnsiTheme="minorHAnsi" w:cstheme="minorBidi"/>
          <w:sz w:val="24"/>
          <w:szCs w:val="24"/>
        </w:rPr>
        <w:t>(covered in more detail in factor 1F)</w:t>
      </w:r>
      <w:r w:rsidR="00401C95" w:rsidRPr="4519D7D6">
        <w:rPr>
          <w:rFonts w:asciiTheme="minorHAnsi" w:hAnsiTheme="minorHAnsi" w:cstheme="minorBidi"/>
          <w:sz w:val="24"/>
          <w:szCs w:val="24"/>
        </w:rPr>
        <w:t xml:space="preserve">. </w:t>
      </w:r>
      <w:r w:rsidR="001E15F4" w:rsidRPr="4519D7D6">
        <w:rPr>
          <w:rFonts w:asciiTheme="minorHAnsi" w:hAnsiTheme="minorHAnsi" w:cstheme="minorBidi"/>
          <w:sz w:val="24"/>
          <w:szCs w:val="24"/>
        </w:rPr>
        <w:t>The Applicant asserts that c</w:t>
      </w:r>
      <w:r w:rsidR="00401C95" w:rsidRPr="4519D7D6">
        <w:rPr>
          <w:rFonts w:asciiTheme="minorHAnsi" w:hAnsiTheme="minorHAnsi" w:cstheme="minorBidi"/>
          <w:sz w:val="24"/>
          <w:szCs w:val="24"/>
        </w:rPr>
        <w:t>reating sufficient capacity within the Hospital’s ED will improve wait times and care delivery.</w:t>
      </w:r>
    </w:p>
    <w:p w14:paraId="3F70E127" w14:textId="77777777" w:rsidR="001E15F4" w:rsidRPr="00D31CA5" w:rsidRDefault="001E15F4" w:rsidP="0061319F">
      <w:pPr>
        <w:pStyle w:val="Default"/>
        <w:rPr>
          <w:rFonts w:ascii="Lora" w:hAnsi="Lora" w:cs="Lora"/>
        </w:rPr>
      </w:pPr>
    </w:p>
    <w:p w14:paraId="0E21979A" w14:textId="3FF517C9" w:rsidR="00423B5C" w:rsidRPr="00D31CA5" w:rsidRDefault="00C65EFB" w:rsidP="00A662DF">
      <w:pPr>
        <w:pStyle w:val="ListParagraph"/>
        <w:numPr>
          <w:ilvl w:val="0"/>
          <w:numId w:val="6"/>
        </w:numPr>
        <w:spacing w:after="0" w:line="240" w:lineRule="auto"/>
        <w:rPr>
          <w:b/>
          <w:bCs/>
          <w:i/>
          <w:iCs/>
          <w:sz w:val="24"/>
          <w:szCs w:val="24"/>
        </w:rPr>
      </w:pPr>
      <w:r w:rsidRPr="00D31CA5">
        <w:rPr>
          <w:b/>
          <w:bCs/>
          <w:i/>
          <w:iCs/>
          <w:sz w:val="24"/>
          <w:szCs w:val="24"/>
        </w:rPr>
        <w:t xml:space="preserve">Insufficient </w:t>
      </w:r>
      <w:r w:rsidR="00581265">
        <w:rPr>
          <w:b/>
          <w:bCs/>
          <w:i/>
          <w:iCs/>
          <w:sz w:val="24"/>
          <w:szCs w:val="24"/>
        </w:rPr>
        <w:t>Ligature Free Rooms</w:t>
      </w:r>
      <w:r w:rsidR="00581265" w:rsidRPr="00D31CA5">
        <w:rPr>
          <w:b/>
          <w:bCs/>
          <w:i/>
          <w:iCs/>
          <w:sz w:val="24"/>
          <w:szCs w:val="24"/>
        </w:rPr>
        <w:t xml:space="preserve"> </w:t>
      </w:r>
      <w:r w:rsidR="005D5281">
        <w:rPr>
          <w:b/>
          <w:bCs/>
          <w:i/>
          <w:iCs/>
          <w:sz w:val="24"/>
          <w:szCs w:val="24"/>
        </w:rPr>
        <w:t>t</w:t>
      </w:r>
      <w:r w:rsidR="00581265">
        <w:rPr>
          <w:b/>
          <w:bCs/>
          <w:i/>
          <w:iCs/>
          <w:sz w:val="24"/>
          <w:szCs w:val="24"/>
        </w:rPr>
        <w:t>o Meet</w:t>
      </w:r>
      <w:r w:rsidR="00581265" w:rsidRPr="00D31CA5">
        <w:rPr>
          <w:b/>
          <w:bCs/>
          <w:i/>
          <w:iCs/>
          <w:sz w:val="24"/>
          <w:szCs w:val="24"/>
        </w:rPr>
        <w:t xml:space="preserve"> </w:t>
      </w:r>
      <w:r w:rsidRPr="00D31CA5">
        <w:rPr>
          <w:b/>
          <w:bCs/>
          <w:i/>
          <w:iCs/>
          <w:sz w:val="24"/>
          <w:szCs w:val="24"/>
        </w:rPr>
        <w:t>Behavioral Health Needs</w:t>
      </w:r>
    </w:p>
    <w:p w14:paraId="6EED727B" w14:textId="2EB99B1D" w:rsidR="00C370B9" w:rsidRDefault="00C80E51" w:rsidP="00A662DF">
      <w:pPr>
        <w:pStyle w:val="HBblj"/>
        <w:spacing w:after="0"/>
        <w:jc w:val="left"/>
        <w:rPr>
          <w:rFonts w:cs="Arial"/>
          <w:sz w:val="24"/>
          <w:szCs w:val="24"/>
        </w:rPr>
      </w:pPr>
      <w:r w:rsidRPr="0C8BC4C9">
        <w:rPr>
          <w:sz w:val="24"/>
          <w:szCs w:val="24"/>
        </w:rPr>
        <w:t xml:space="preserve">The Proposed Project will </w:t>
      </w:r>
      <w:r w:rsidR="00C22C7F" w:rsidRPr="0C8BC4C9">
        <w:rPr>
          <w:sz w:val="24"/>
          <w:szCs w:val="24"/>
        </w:rPr>
        <w:t>significantly increase</w:t>
      </w:r>
      <w:r w:rsidRPr="0C8BC4C9">
        <w:rPr>
          <w:sz w:val="24"/>
          <w:szCs w:val="24"/>
        </w:rPr>
        <w:t xml:space="preserve"> the ED’s capacity to care for patients experiencing acute behavioral health emergencies. </w:t>
      </w:r>
      <w:r w:rsidR="007568CD">
        <w:rPr>
          <w:sz w:val="24"/>
          <w:szCs w:val="24"/>
        </w:rPr>
        <w:t xml:space="preserve">The Hospital has only </w:t>
      </w:r>
      <w:r w:rsidR="008D786A">
        <w:rPr>
          <w:sz w:val="24"/>
          <w:szCs w:val="24"/>
        </w:rPr>
        <w:t xml:space="preserve">five </w:t>
      </w:r>
      <w:r w:rsidR="00AE1FF3">
        <w:rPr>
          <w:sz w:val="24"/>
          <w:szCs w:val="24"/>
        </w:rPr>
        <w:t xml:space="preserve">ligature free </w:t>
      </w:r>
      <w:r w:rsidR="008D786A">
        <w:rPr>
          <w:sz w:val="24"/>
          <w:szCs w:val="24"/>
        </w:rPr>
        <w:t>behavioral beds in the ED</w:t>
      </w:r>
      <w:r w:rsidR="006C55A8">
        <w:rPr>
          <w:sz w:val="24"/>
          <w:szCs w:val="24"/>
        </w:rPr>
        <w:t xml:space="preserve"> in a space that </w:t>
      </w:r>
      <w:r w:rsidR="006C55A8" w:rsidRPr="002572C8">
        <w:rPr>
          <w:sz w:val="24"/>
          <w:szCs w:val="24"/>
        </w:rPr>
        <w:t>i</w:t>
      </w:r>
      <w:r w:rsidR="00450161">
        <w:rPr>
          <w:sz w:val="24"/>
          <w:szCs w:val="24"/>
        </w:rPr>
        <w:t>s</w:t>
      </w:r>
      <w:r w:rsidR="006C55A8" w:rsidRPr="002572C8">
        <w:rPr>
          <w:sz w:val="24"/>
          <w:szCs w:val="24"/>
        </w:rPr>
        <w:t xml:space="preserve"> not separate from the rest of the ED</w:t>
      </w:r>
      <w:r w:rsidR="008D786A" w:rsidRPr="002572C8">
        <w:rPr>
          <w:sz w:val="24"/>
          <w:szCs w:val="24"/>
        </w:rPr>
        <w:t xml:space="preserve">. </w:t>
      </w:r>
      <w:r w:rsidR="00D775B5" w:rsidRPr="5189BED5">
        <w:rPr>
          <w:sz w:val="24"/>
          <w:szCs w:val="24"/>
        </w:rPr>
        <w:t>Despite a reduction in overall psych boarding noted in Table 6</w:t>
      </w:r>
      <w:r w:rsidR="007568CD" w:rsidRPr="5189BED5">
        <w:rPr>
          <w:sz w:val="24"/>
          <w:szCs w:val="24"/>
        </w:rPr>
        <w:t xml:space="preserve"> </w:t>
      </w:r>
      <w:r w:rsidR="006C55A8" w:rsidRPr="5189BED5">
        <w:rPr>
          <w:sz w:val="24"/>
          <w:szCs w:val="24"/>
        </w:rPr>
        <w:t>(</w:t>
      </w:r>
      <w:r w:rsidR="007568CD" w:rsidRPr="5189BED5">
        <w:rPr>
          <w:sz w:val="24"/>
          <w:szCs w:val="24"/>
        </w:rPr>
        <w:t xml:space="preserve">attributed to </w:t>
      </w:r>
      <w:r w:rsidR="007568CD" w:rsidRPr="002572C8">
        <w:rPr>
          <w:sz w:val="24"/>
          <w:szCs w:val="24"/>
        </w:rPr>
        <w:t>increased presence of community behavioral health centers, and more timely admissions to inpatient psychiatric beds</w:t>
      </w:r>
      <w:r w:rsidR="006C55A8" w:rsidRPr="002572C8">
        <w:rPr>
          <w:sz w:val="24"/>
          <w:szCs w:val="24"/>
        </w:rPr>
        <w:t>)</w:t>
      </w:r>
      <w:r w:rsidR="00D775B5" w:rsidRPr="5189BED5">
        <w:rPr>
          <w:sz w:val="24"/>
          <w:szCs w:val="24"/>
        </w:rPr>
        <w:t xml:space="preserve">, </w:t>
      </w:r>
      <w:r w:rsidR="007568CD" w:rsidRPr="5189BED5">
        <w:rPr>
          <w:sz w:val="24"/>
          <w:szCs w:val="24"/>
        </w:rPr>
        <w:t>the Applicant notes there</w:t>
      </w:r>
      <w:r w:rsidR="00D775B5" w:rsidRPr="5189BED5">
        <w:rPr>
          <w:sz w:val="24"/>
          <w:szCs w:val="24"/>
        </w:rPr>
        <w:t xml:space="preserve"> are many days that the Hospital still treats more than five behavioral health patients at a time</w:t>
      </w:r>
      <w:r w:rsidR="00450161" w:rsidRPr="5189BED5">
        <w:rPr>
          <w:sz w:val="24"/>
          <w:szCs w:val="24"/>
        </w:rPr>
        <w:t xml:space="preserve">. This can lead to placement in </w:t>
      </w:r>
      <w:r w:rsidR="00012BB3" w:rsidRPr="5189BED5">
        <w:rPr>
          <w:sz w:val="24"/>
          <w:szCs w:val="24"/>
        </w:rPr>
        <w:t xml:space="preserve">hallway stretchers, which </w:t>
      </w:r>
      <w:r w:rsidR="00072B2D" w:rsidRPr="5189BED5">
        <w:rPr>
          <w:sz w:val="24"/>
          <w:szCs w:val="24"/>
        </w:rPr>
        <w:t xml:space="preserve">may increase agitation for behavioral health patients in crisis </w:t>
      </w:r>
      <w:r w:rsidR="00C27183" w:rsidRPr="5189BED5">
        <w:rPr>
          <w:sz w:val="24"/>
          <w:szCs w:val="24"/>
        </w:rPr>
        <w:t xml:space="preserve">and may infringe on </w:t>
      </w:r>
      <w:r w:rsidR="002572C8" w:rsidRPr="002572C8">
        <w:rPr>
          <w:sz w:val="24"/>
          <w:szCs w:val="24"/>
        </w:rPr>
        <w:t xml:space="preserve">patient privacy </w:t>
      </w:r>
      <w:r w:rsidR="00C27183">
        <w:rPr>
          <w:sz w:val="24"/>
          <w:szCs w:val="24"/>
        </w:rPr>
        <w:t xml:space="preserve">as </w:t>
      </w:r>
      <w:r w:rsidR="002572C8" w:rsidRPr="002572C8">
        <w:rPr>
          <w:sz w:val="24"/>
          <w:szCs w:val="24"/>
        </w:rPr>
        <w:t>treatment-related conversations</w:t>
      </w:r>
      <w:r w:rsidR="006504D8">
        <w:rPr>
          <w:sz w:val="24"/>
          <w:szCs w:val="24"/>
        </w:rPr>
        <w:t xml:space="preserve"> are completed in the hallway</w:t>
      </w:r>
      <w:r w:rsidR="00C5604D">
        <w:rPr>
          <w:sz w:val="24"/>
          <w:szCs w:val="24"/>
        </w:rPr>
        <w:t>.</w:t>
      </w:r>
      <w:r w:rsidR="00C322E3">
        <w:rPr>
          <w:sz w:val="24"/>
          <w:szCs w:val="24"/>
        </w:rPr>
        <w:t xml:space="preserve"> The Hospital anticipates that </w:t>
      </w:r>
      <w:r w:rsidR="00AF3DD9">
        <w:rPr>
          <w:sz w:val="24"/>
          <w:szCs w:val="24"/>
        </w:rPr>
        <w:t>the volume</w:t>
      </w:r>
      <w:r w:rsidR="00C322E3">
        <w:rPr>
          <w:sz w:val="24"/>
          <w:szCs w:val="24"/>
        </w:rPr>
        <w:t xml:space="preserve"> of behavioral health patients will</w:t>
      </w:r>
      <w:r w:rsidR="00E074F7" w:rsidRPr="0C8BC4C9">
        <w:rPr>
          <w:sz w:val="24"/>
          <w:szCs w:val="24"/>
        </w:rPr>
        <w:t xml:space="preserve"> increase as the overall volume of ED visits increases. </w:t>
      </w:r>
      <w:r w:rsidR="00B83073" w:rsidRPr="013B43F3">
        <w:rPr>
          <w:sz w:val="24"/>
          <w:szCs w:val="24"/>
        </w:rPr>
        <w:t xml:space="preserve">The Hospital </w:t>
      </w:r>
      <w:r w:rsidR="008051B8" w:rsidRPr="013B43F3">
        <w:rPr>
          <w:sz w:val="24"/>
          <w:szCs w:val="24"/>
        </w:rPr>
        <w:t>concluded</w:t>
      </w:r>
      <w:r w:rsidR="00B83073" w:rsidRPr="013B43F3">
        <w:rPr>
          <w:sz w:val="24"/>
          <w:szCs w:val="24"/>
        </w:rPr>
        <w:t xml:space="preserve"> that </w:t>
      </w:r>
      <w:r w:rsidR="00E074F7" w:rsidRPr="013B43F3">
        <w:rPr>
          <w:sz w:val="24"/>
          <w:szCs w:val="24"/>
        </w:rPr>
        <w:t>12</w:t>
      </w:r>
      <w:r w:rsidR="00B83073" w:rsidRPr="013B43F3">
        <w:rPr>
          <w:sz w:val="24"/>
          <w:szCs w:val="24"/>
        </w:rPr>
        <w:t xml:space="preserve"> </w:t>
      </w:r>
      <w:r w:rsidR="002F07BD" w:rsidRPr="013B43F3">
        <w:rPr>
          <w:sz w:val="24"/>
          <w:szCs w:val="24"/>
        </w:rPr>
        <w:t xml:space="preserve">total </w:t>
      </w:r>
      <w:r w:rsidR="00F306C7">
        <w:rPr>
          <w:sz w:val="24"/>
          <w:szCs w:val="24"/>
        </w:rPr>
        <w:t xml:space="preserve">ligature free </w:t>
      </w:r>
      <w:r w:rsidR="00B83073" w:rsidRPr="013B43F3">
        <w:rPr>
          <w:sz w:val="24"/>
          <w:szCs w:val="24"/>
        </w:rPr>
        <w:t xml:space="preserve">behavioral health </w:t>
      </w:r>
      <w:r w:rsidR="00177AC1">
        <w:rPr>
          <w:sz w:val="24"/>
          <w:szCs w:val="24"/>
        </w:rPr>
        <w:t>rooms</w:t>
      </w:r>
      <w:r w:rsidR="00B83073" w:rsidRPr="013B43F3">
        <w:rPr>
          <w:sz w:val="24"/>
          <w:szCs w:val="24"/>
        </w:rPr>
        <w:t xml:space="preserve"> would provide sufficient capacity </w:t>
      </w:r>
      <w:r w:rsidR="00737997" w:rsidRPr="013B43F3">
        <w:rPr>
          <w:sz w:val="24"/>
          <w:szCs w:val="24"/>
        </w:rPr>
        <w:t>based on staffing efficien</w:t>
      </w:r>
      <w:r w:rsidR="00D26DA6">
        <w:rPr>
          <w:sz w:val="24"/>
          <w:szCs w:val="24"/>
        </w:rPr>
        <w:t>cy</w:t>
      </w:r>
      <w:r w:rsidR="00737997" w:rsidRPr="013B43F3">
        <w:rPr>
          <w:sz w:val="24"/>
          <w:szCs w:val="24"/>
        </w:rPr>
        <w:t xml:space="preserve">. </w:t>
      </w:r>
      <w:r w:rsidR="00E42D80" w:rsidRPr="013B43F3">
        <w:rPr>
          <w:sz w:val="24"/>
          <w:szCs w:val="24"/>
        </w:rPr>
        <w:t>A</w:t>
      </w:r>
      <w:r w:rsidR="00737997" w:rsidRPr="013B43F3">
        <w:rPr>
          <w:sz w:val="24"/>
          <w:szCs w:val="24"/>
        </w:rPr>
        <w:t xml:space="preserve"> 12-bed unit </w:t>
      </w:r>
      <w:r w:rsidR="00E42D80" w:rsidRPr="013B43F3">
        <w:rPr>
          <w:sz w:val="24"/>
          <w:szCs w:val="24"/>
        </w:rPr>
        <w:t xml:space="preserve">will </w:t>
      </w:r>
      <w:r w:rsidR="00737997" w:rsidRPr="013B43F3">
        <w:rPr>
          <w:sz w:val="24"/>
          <w:szCs w:val="24"/>
        </w:rPr>
        <w:t xml:space="preserve">accommodate higher than average census days while also allowing for </w:t>
      </w:r>
      <w:r w:rsidR="00D152BA" w:rsidRPr="013B43F3">
        <w:rPr>
          <w:sz w:val="24"/>
          <w:szCs w:val="24"/>
        </w:rPr>
        <w:t>the most</w:t>
      </w:r>
      <w:r w:rsidR="00737997" w:rsidRPr="013B43F3">
        <w:rPr>
          <w:sz w:val="24"/>
          <w:szCs w:val="24"/>
        </w:rPr>
        <w:t xml:space="preserve"> efficient staffing levels and utilization (of up to 6 patients per RN). </w:t>
      </w:r>
      <w:r w:rsidR="00C370B9" w:rsidRPr="004B3C98">
        <w:rPr>
          <w:rFonts w:cs="Arial"/>
          <w:sz w:val="24"/>
          <w:szCs w:val="24"/>
        </w:rPr>
        <w:t xml:space="preserve">The unit will be staffed by </w:t>
      </w:r>
      <w:r w:rsidR="00C370B9">
        <w:rPr>
          <w:rFonts w:cs="Arial"/>
          <w:sz w:val="24"/>
          <w:szCs w:val="24"/>
        </w:rPr>
        <w:t>nurses and mental health technicians to</w:t>
      </w:r>
      <w:r w:rsidR="00C370B9" w:rsidRPr="004B3C98">
        <w:rPr>
          <w:rFonts w:cs="Arial"/>
          <w:sz w:val="24"/>
          <w:szCs w:val="24"/>
        </w:rPr>
        <w:t xml:space="preserve"> treat, and care for patients with behavioral health needs. </w:t>
      </w:r>
      <w:r w:rsidR="00C370B9">
        <w:rPr>
          <w:rFonts w:cs="Arial"/>
          <w:sz w:val="24"/>
          <w:szCs w:val="24"/>
        </w:rPr>
        <w:t xml:space="preserve">Staffing planned for the behavioral health unit supports 2 dedicated RNs staffing the behavioral health area at all times (8.4 dedicated RN FTEs) </w:t>
      </w:r>
      <w:r w:rsidR="00C370B9" w:rsidRPr="004B3C98">
        <w:rPr>
          <w:rFonts w:cs="Arial"/>
          <w:sz w:val="24"/>
          <w:szCs w:val="24"/>
        </w:rPr>
        <w:t xml:space="preserve">. Actual daily staffing would depend on volume in the unit and those positions can be covered with cross-trained ED RNs. In addition to the RNs, the behavioral health unit will be staffed </w:t>
      </w:r>
      <w:r w:rsidR="009A7975">
        <w:rPr>
          <w:rFonts w:cs="Arial"/>
          <w:sz w:val="24"/>
          <w:szCs w:val="24"/>
        </w:rPr>
        <w:t>at all times</w:t>
      </w:r>
      <w:r w:rsidR="00C370B9" w:rsidRPr="004B3C98">
        <w:rPr>
          <w:rFonts w:cs="Arial"/>
          <w:sz w:val="24"/>
          <w:szCs w:val="24"/>
        </w:rPr>
        <w:t xml:space="preserve"> with </w:t>
      </w:r>
      <w:r w:rsidR="00BC4D52">
        <w:rPr>
          <w:rFonts w:cs="Arial"/>
          <w:sz w:val="24"/>
          <w:szCs w:val="24"/>
        </w:rPr>
        <w:t>2</w:t>
      </w:r>
      <w:r w:rsidR="003571C6">
        <w:rPr>
          <w:rFonts w:cs="Arial"/>
          <w:sz w:val="24"/>
          <w:szCs w:val="24"/>
        </w:rPr>
        <w:t xml:space="preserve"> </w:t>
      </w:r>
      <w:r w:rsidR="00C370B9" w:rsidRPr="004B3C98">
        <w:rPr>
          <w:rFonts w:cs="Arial"/>
          <w:sz w:val="24"/>
          <w:szCs w:val="24"/>
        </w:rPr>
        <w:t xml:space="preserve">behavioral health/mental health technicians (up to 8.4 FTEs) who can also be crossed trained to cover the </w:t>
      </w:r>
      <w:r w:rsidR="00C370B9">
        <w:rPr>
          <w:rFonts w:cs="Arial"/>
          <w:sz w:val="24"/>
          <w:szCs w:val="24"/>
        </w:rPr>
        <w:t>behavioral health</w:t>
      </w:r>
      <w:r w:rsidR="00C370B9" w:rsidRPr="004B3C98">
        <w:rPr>
          <w:rFonts w:cs="Arial"/>
          <w:sz w:val="24"/>
          <w:szCs w:val="24"/>
        </w:rPr>
        <w:t xml:space="preserve"> unit or main ED and would staff the </w:t>
      </w:r>
      <w:r w:rsidR="00C370B9">
        <w:rPr>
          <w:rFonts w:cs="Arial"/>
          <w:sz w:val="24"/>
          <w:szCs w:val="24"/>
        </w:rPr>
        <w:t>behavioral</w:t>
      </w:r>
      <w:r w:rsidR="00C370B9" w:rsidRPr="004B3C98">
        <w:rPr>
          <w:rFonts w:cs="Arial"/>
          <w:sz w:val="24"/>
          <w:szCs w:val="24"/>
        </w:rPr>
        <w:t xml:space="preserve"> unit based on actual census. One security officer (4.2 FTEs) would also </w:t>
      </w:r>
      <w:r w:rsidR="00C370B9">
        <w:rPr>
          <w:rFonts w:cs="Arial"/>
          <w:sz w:val="24"/>
          <w:szCs w:val="24"/>
        </w:rPr>
        <w:t xml:space="preserve">be </w:t>
      </w:r>
      <w:r w:rsidR="00C370B9" w:rsidRPr="004B3C98">
        <w:rPr>
          <w:rFonts w:cs="Arial"/>
          <w:sz w:val="24"/>
          <w:szCs w:val="24"/>
        </w:rPr>
        <w:t>located within the unit</w:t>
      </w:r>
      <w:r w:rsidR="00C370B9">
        <w:rPr>
          <w:rFonts w:cs="Arial"/>
          <w:sz w:val="24"/>
          <w:szCs w:val="24"/>
        </w:rPr>
        <w:t xml:space="preserve"> 24/7</w:t>
      </w:r>
      <w:r w:rsidR="00C370B9" w:rsidRPr="004B3C98">
        <w:rPr>
          <w:rFonts w:cs="Arial"/>
          <w:sz w:val="24"/>
          <w:szCs w:val="24"/>
        </w:rPr>
        <w:t xml:space="preserve">. </w:t>
      </w:r>
    </w:p>
    <w:p w14:paraId="70F0D9A0" w14:textId="77777777" w:rsidR="00885D3B" w:rsidRDefault="00885D3B" w:rsidP="00A662DF">
      <w:pPr>
        <w:pStyle w:val="HBblj"/>
        <w:spacing w:after="0"/>
        <w:jc w:val="left"/>
        <w:rPr>
          <w:rFonts w:cs="Arial"/>
          <w:sz w:val="24"/>
          <w:szCs w:val="24"/>
        </w:rPr>
      </w:pPr>
    </w:p>
    <w:p w14:paraId="4A50586C" w14:textId="0A2ACCD7" w:rsidR="00723EE2" w:rsidRPr="00BC1709" w:rsidRDefault="00F5009C" w:rsidP="00A662DF">
      <w:pPr>
        <w:pStyle w:val="HBblj"/>
        <w:spacing w:after="0"/>
        <w:jc w:val="left"/>
        <w:rPr>
          <w:sz w:val="24"/>
          <w:szCs w:val="24"/>
        </w:rPr>
      </w:pPr>
      <w:r w:rsidRPr="013B43F3">
        <w:rPr>
          <w:sz w:val="24"/>
          <w:szCs w:val="24"/>
        </w:rPr>
        <w:t xml:space="preserve">In response to whether </w:t>
      </w:r>
      <w:r w:rsidR="00E42D80" w:rsidRPr="013B43F3">
        <w:rPr>
          <w:sz w:val="24"/>
          <w:szCs w:val="24"/>
        </w:rPr>
        <w:t>the Hospital</w:t>
      </w:r>
      <w:r w:rsidR="0026091C" w:rsidRPr="013B43F3">
        <w:rPr>
          <w:sz w:val="24"/>
          <w:szCs w:val="24"/>
        </w:rPr>
        <w:t xml:space="preserve"> would have the ability to serve </w:t>
      </w:r>
      <w:r w:rsidR="008927BB" w:rsidRPr="013B43F3">
        <w:rPr>
          <w:sz w:val="24"/>
          <w:szCs w:val="24"/>
        </w:rPr>
        <w:t xml:space="preserve">the increased volume of </w:t>
      </w:r>
      <w:r w:rsidR="008415D0">
        <w:rPr>
          <w:sz w:val="24"/>
          <w:szCs w:val="24"/>
        </w:rPr>
        <w:t>b</w:t>
      </w:r>
      <w:r w:rsidR="008927BB" w:rsidRPr="013B43F3">
        <w:rPr>
          <w:sz w:val="24"/>
          <w:szCs w:val="24"/>
        </w:rPr>
        <w:t xml:space="preserve">ehavioral </w:t>
      </w:r>
      <w:r w:rsidR="008415D0">
        <w:rPr>
          <w:sz w:val="24"/>
          <w:szCs w:val="24"/>
        </w:rPr>
        <w:t>h</w:t>
      </w:r>
      <w:r w:rsidR="008927BB" w:rsidRPr="013B43F3">
        <w:rPr>
          <w:sz w:val="24"/>
          <w:szCs w:val="24"/>
        </w:rPr>
        <w:t xml:space="preserve">ealth patients through their inpatient </w:t>
      </w:r>
      <w:r w:rsidR="00140A97" w:rsidRPr="013B43F3">
        <w:rPr>
          <w:sz w:val="24"/>
          <w:szCs w:val="24"/>
        </w:rPr>
        <w:t xml:space="preserve">beds, the Applicant stated that </w:t>
      </w:r>
      <w:r w:rsidR="004B3C98" w:rsidRPr="013B43F3">
        <w:rPr>
          <w:sz w:val="24"/>
          <w:szCs w:val="24"/>
        </w:rPr>
        <w:t>the Hospital does not currently offer inpatient psychiatric care, but works with other hospitals and providers to find inpatient placements in the community when needed.</w:t>
      </w:r>
    </w:p>
    <w:p w14:paraId="433E9DF2" w14:textId="77777777" w:rsidR="00885D3B" w:rsidRPr="00BC1709" w:rsidRDefault="00885D3B" w:rsidP="00A662DF">
      <w:pPr>
        <w:pStyle w:val="HBblj"/>
        <w:spacing w:after="0"/>
        <w:jc w:val="left"/>
        <w:rPr>
          <w:sz w:val="24"/>
          <w:szCs w:val="24"/>
        </w:rPr>
      </w:pPr>
    </w:p>
    <w:p w14:paraId="168EC11C" w14:textId="7676A216" w:rsidR="00723EE2" w:rsidRPr="00D179EB" w:rsidRDefault="00723EE2" w:rsidP="00A662DF">
      <w:pPr>
        <w:pStyle w:val="HBblj"/>
        <w:spacing w:after="0"/>
        <w:jc w:val="left"/>
        <w:rPr>
          <w:rFonts w:cs="Arial"/>
          <w:sz w:val="24"/>
          <w:szCs w:val="24"/>
        </w:rPr>
      </w:pPr>
      <w:r w:rsidRPr="00723EE2">
        <w:rPr>
          <w:rFonts w:cs="Arial"/>
          <w:sz w:val="24"/>
          <w:szCs w:val="24"/>
        </w:rPr>
        <w:t xml:space="preserve">The new behavioral health area </w:t>
      </w:r>
      <w:r w:rsidR="00791CBC">
        <w:rPr>
          <w:rFonts w:cs="Arial"/>
          <w:sz w:val="24"/>
          <w:szCs w:val="24"/>
        </w:rPr>
        <w:t xml:space="preserve">will be </w:t>
      </w:r>
      <w:r w:rsidR="00453282">
        <w:rPr>
          <w:rFonts w:cs="Arial"/>
          <w:sz w:val="24"/>
          <w:szCs w:val="24"/>
        </w:rPr>
        <w:t xml:space="preserve">physically </w:t>
      </w:r>
      <w:r w:rsidR="00791CBC">
        <w:rPr>
          <w:rFonts w:cs="Arial"/>
          <w:sz w:val="24"/>
          <w:szCs w:val="24"/>
        </w:rPr>
        <w:t xml:space="preserve">separate from the </w:t>
      </w:r>
      <w:r w:rsidR="00453282">
        <w:rPr>
          <w:rFonts w:cs="Arial"/>
          <w:sz w:val="24"/>
          <w:szCs w:val="24"/>
        </w:rPr>
        <w:t xml:space="preserve">main ED </w:t>
      </w:r>
      <w:r w:rsidRPr="00723EE2">
        <w:rPr>
          <w:rFonts w:cs="Arial"/>
          <w:sz w:val="24"/>
          <w:szCs w:val="24"/>
        </w:rPr>
        <w:t>in the Proposed Project</w:t>
      </w:r>
      <w:r w:rsidR="00453282">
        <w:rPr>
          <w:rFonts w:cs="Arial"/>
          <w:sz w:val="24"/>
          <w:szCs w:val="24"/>
        </w:rPr>
        <w:t xml:space="preserve">, which </w:t>
      </w:r>
      <w:r w:rsidRPr="00723EE2">
        <w:rPr>
          <w:rFonts w:cs="Arial"/>
          <w:sz w:val="24"/>
          <w:szCs w:val="24"/>
        </w:rPr>
        <w:t xml:space="preserve">will allow </w:t>
      </w:r>
      <w:r w:rsidR="00453282">
        <w:rPr>
          <w:rFonts w:cs="Arial"/>
          <w:sz w:val="24"/>
          <w:szCs w:val="24"/>
        </w:rPr>
        <w:t xml:space="preserve">for both privacy and </w:t>
      </w:r>
      <w:r w:rsidR="00CB1160">
        <w:rPr>
          <w:rFonts w:cs="Arial"/>
          <w:sz w:val="24"/>
          <w:szCs w:val="24"/>
        </w:rPr>
        <w:t>a less chaotic environment for treatment</w:t>
      </w:r>
      <w:r w:rsidRPr="00723EE2">
        <w:rPr>
          <w:rFonts w:cs="Arial"/>
          <w:sz w:val="24"/>
          <w:szCs w:val="24"/>
        </w:rPr>
        <w:t xml:space="preserve">. </w:t>
      </w:r>
      <w:r w:rsidR="00AB128F">
        <w:rPr>
          <w:rFonts w:cs="Arial"/>
          <w:sz w:val="24"/>
          <w:szCs w:val="24"/>
        </w:rPr>
        <w:t>The Applicant anticipates that lo</w:t>
      </w:r>
      <w:r w:rsidR="005B6188">
        <w:rPr>
          <w:rFonts w:cs="Arial"/>
          <w:sz w:val="24"/>
          <w:szCs w:val="24"/>
        </w:rPr>
        <w:t xml:space="preserve">wer environmental agitation could lead to a reduction in </w:t>
      </w:r>
      <w:r w:rsidR="00B81600">
        <w:rPr>
          <w:rFonts w:cs="Arial"/>
          <w:sz w:val="24"/>
          <w:szCs w:val="24"/>
        </w:rPr>
        <w:t xml:space="preserve">physical </w:t>
      </w:r>
      <w:r w:rsidR="005B6188">
        <w:rPr>
          <w:rFonts w:cs="Arial"/>
          <w:sz w:val="24"/>
          <w:szCs w:val="24"/>
        </w:rPr>
        <w:t>restraints</w:t>
      </w:r>
      <w:r w:rsidR="00B81600">
        <w:rPr>
          <w:rFonts w:cs="Arial"/>
          <w:sz w:val="24"/>
          <w:szCs w:val="24"/>
        </w:rPr>
        <w:t xml:space="preserve"> and employee assaults or injuries.</w:t>
      </w:r>
      <w:r w:rsidR="005B6188">
        <w:rPr>
          <w:rFonts w:cs="Arial"/>
          <w:sz w:val="24"/>
          <w:szCs w:val="24"/>
        </w:rPr>
        <w:t xml:space="preserve"> </w:t>
      </w:r>
      <w:r w:rsidRPr="00723EE2">
        <w:rPr>
          <w:rFonts w:cs="Arial"/>
          <w:sz w:val="24"/>
          <w:szCs w:val="24"/>
        </w:rPr>
        <w:t xml:space="preserve">The </w:t>
      </w:r>
      <w:r w:rsidR="00D179EB">
        <w:rPr>
          <w:rFonts w:cs="Arial"/>
          <w:sz w:val="24"/>
          <w:szCs w:val="24"/>
        </w:rPr>
        <w:t xml:space="preserve">Applicant asserts that the Proposed Project </w:t>
      </w:r>
      <w:r w:rsidRPr="00723EE2">
        <w:rPr>
          <w:rFonts w:cs="Arial"/>
          <w:sz w:val="24"/>
          <w:szCs w:val="24"/>
        </w:rPr>
        <w:t xml:space="preserve">will create a safer, more therapeutic environment that will also reduce operational costs associated with the use of one-to-one observation aides. </w:t>
      </w:r>
    </w:p>
    <w:p w14:paraId="1CB89288" w14:textId="77777777" w:rsidR="00EC2A16" w:rsidRPr="00EC2A16" w:rsidRDefault="00EC2A16" w:rsidP="00EC2A16">
      <w:pPr>
        <w:pStyle w:val="HBblj"/>
        <w:spacing w:after="0"/>
        <w:jc w:val="left"/>
        <w:rPr>
          <w:rFonts w:cs="Arial"/>
          <w:sz w:val="24"/>
          <w:szCs w:val="24"/>
        </w:rPr>
      </w:pPr>
    </w:p>
    <w:p w14:paraId="3AA4B38B" w14:textId="107807C6" w:rsidR="00036AB0" w:rsidRPr="00BC1709" w:rsidRDefault="00637D90" w:rsidP="00A662DF">
      <w:pPr>
        <w:pStyle w:val="ListParagraph"/>
        <w:numPr>
          <w:ilvl w:val="0"/>
          <w:numId w:val="6"/>
        </w:numPr>
        <w:spacing w:after="0" w:line="240" w:lineRule="auto"/>
        <w:rPr>
          <w:rFonts w:cstheme="minorHAnsi"/>
          <w:b/>
          <w:bCs/>
          <w:i/>
          <w:iCs/>
          <w:sz w:val="24"/>
          <w:szCs w:val="24"/>
        </w:rPr>
      </w:pPr>
      <w:r w:rsidRPr="00BC1709">
        <w:rPr>
          <w:rFonts w:cstheme="minorHAnsi"/>
          <w:b/>
          <w:bCs/>
          <w:i/>
          <w:iCs/>
          <w:sz w:val="24"/>
          <w:szCs w:val="24"/>
        </w:rPr>
        <w:t>Projected Increases in ED Utilization</w:t>
      </w:r>
    </w:p>
    <w:p w14:paraId="19526472" w14:textId="2C1451A4" w:rsidR="00EC2A16" w:rsidRDefault="00590313" w:rsidP="00A662DF">
      <w:pPr>
        <w:spacing w:after="0" w:line="240" w:lineRule="auto"/>
        <w:ind w:left="90"/>
        <w:rPr>
          <w:sz w:val="24"/>
          <w:szCs w:val="24"/>
        </w:rPr>
      </w:pPr>
      <w:r>
        <w:rPr>
          <w:rFonts w:cs="Arial"/>
          <w:sz w:val="24"/>
          <w:szCs w:val="24"/>
        </w:rPr>
        <w:t>T</w:t>
      </w:r>
      <w:r w:rsidRPr="00590313">
        <w:rPr>
          <w:rFonts w:cs="Arial"/>
          <w:sz w:val="24"/>
          <w:szCs w:val="24"/>
        </w:rPr>
        <w:t xml:space="preserve">he Hospital has experienced significant growth across emergency services. </w:t>
      </w:r>
      <w:r w:rsidR="00AB7073">
        <w:rPr>
          <w:rFonts w:cs="Arial"/>
          <w:sz w:val="24"/>
          <w:szCs w:val="24"/>
        </w:rPr>
        <w:t xml:space="preserve">Given that the </w:t>
      </w:r>
      <w:r w:rsidR="004303B9">
        <w:rPr>
          <w:rFonts w:cs="Arial"/>
          <w:sz w:val="24"/>
          <w:szCs w:val="24"/>
        </w:rPr>
        <w:t xml:space="preserve">ED has been operating beyond the intended capacity for the past three years with the </w:t>
      </w:r>
      <w:r w:rsidR="0078606C">
        <w:rPr>
          <w:rFonts w:cs="Arial"/>
          <w:sz w:val="24"/>
          <w:szCs w:val="24"/>
        </w:rPr>
        <w:t xml:space="preserve">expectation </w:t>
      </w:r>
      <w:r w:rsidR="0078606C">
        <w:rPr>
          <w:rFonts w:cs="Arial"/>
          <w:sz w:val="24"/>
          <w:szCs w:val="24"/>
        </w:rPr>
        <w:lastRenderedPageBreak/>
        <w:t>that the volume will continue to increase, t</w:t>
      </w:r>
      <w:r w:rsidRPr="00590313">
        <w:rPr>
          <w:rFonts w:cs="Arial"/>
          <w:sz w:val="24"/>
          <w:szCs w:val="24"/>
        </w:rPr>
        <w:t>he Proposed Project seeks to right-size the Hospital’s ED to meet the current need for emergency care in the community while allowing for modest growth in future years.</w:t>
      </w:r>
      <w:r w:rsidRPr="00A87D82">
        <w:rPr>
          <w:rFonts w:cs="Arial"/>
        </w:rPr>
        <w:t xml:space="preserve"> </w:t>
      </w:r>
      <w:r w:rsidR="006A0458" w:rsidRPr="00804C70">
        <w:rPr>
          <w:sz w:val="24"/>
          <w:szCs w:val="24"/>
        </w:rPr>
        <w:t xml:space="preserve">Table </w:t>
      </w:r>
      <w:r w:rsidR="001B0396" w:rsidRPr="00804C70">
        <w:rPr>
          <w:sz w:val="24"/>
          <w:szCs w:val="24"/>
        </w:rPr>
        <w:t>7</w:t>
      </w:r>
      <w:r w:rsidR="005B57C6" w:rsidRPr="00804C70">
        <w:rPr>
          <w:sz w:val="24"/>
          <w:szCs w:val="24"/>
        </w:rPr>
        <w:t xml:space="preserve"> provides </w:t>
      </w:r>
      <w:r w:rsidR="008A653A" w:rsidRPr="00804C70">
        <w:rPr>
          <w:sz w:val="24"/>
          <w:szCs w:val="24"/>
        </w:rPr>
        <w:t xml:space="preserve">volume projections </w:t>
      </w:r>
      <w:r w:rsidR="008C0D95" w:rsidRPr="00804C70">
        <w:rPr>
          <w:sz w:val="24"/>
          <w:szCs w:val="24"/>
        </w:rPr>
        <w:t>for the first five years following the opening of the new ED</w:t>
      </w:r>
      <w:r w:rsidR="003A004B" w:rsidRPr="00804C70">
        <w:rPr>
          <w:sz w:val="24"/>
          <w:szCs w:val="24"/>
        </w:rPr>
        <w:t>.</w:t>
      </w:r>
    </w:p>
    <w:p w14:paraId="1281FD73" w14:textId="77777777" w:rsidR="00AB7578" w:rsidRPr="00EC2A16" w:rsidRDefault="00AB7578" w:rsidP="00A662DF">
      <w:pPr>
        <w:spacing w:after="0" w:line="240" w:lineRule="auto"/>
        <w:ind w:left="90"/>
        <w:rPr>
          <w:sz w:val="24"/>
          <w:szCs w:val="24"/>
        </w:rPr>
      </w:pPr>
    </w:p>
    <w:p w14:paraId="1B425195" w14:textId="605D84B8" w:rsidR="008C0D95" w:rsidRPr="00804C70" w:rsidRDefault="00862362" w:rsidP="00A662DF">
      <w:pPr>
        <w:pStyle w:val="Caption"/>
        <w:spacing w:after="0"/>
        <w:jc w:val="center"/>
        <w:rPr>
          <w:color w:val="2F5496" w:themeColor="accent1" w:themeShade="BF"/>
          <w:sz w:val="24"/>
          <w:szCs w:val="24"/>
        </w:rPr>
      </w:pPr>
      <w:r w:rsidRPr="00804C70">
        <w:rPr>
          <w:color w:val="2F5496" w:themeColor="accent1" w:themeShade="BF"/>
          <w:sz w:val="24"/>
          <w:szCs w:val="24"/>
          <w:u w:val="single"/>
        </w:rPr>
        <w:t xml:space="preserve">Table </w:t>
      </w:r>
      <w:r w:rsidR="001B0396" w:rsidRPr="00BC1709">
        <w:rPr>
          <w:color w:val="2F5496" w:themeColor="accent1" w:themeShade="BF"/>
          <w:sz w:val="24"/>
          <w:szCs w:val="24"/>
          <w:u w:val="single"/>
        </w:rPr>
        <w:t>7</w:t>
      </w:r>
      <w:r w:rsidRPr="00BC1709">
        <w:rPr>
          <w:color w:val="2F5496" w:themeColor="accent1" w:themeShade="BF"/>
          <w:sz w:val="24"/>
          <w:szCs w:val="24"/>
        </w:rPr>
        <w:t xml:space="preserve"> </w:t>
      </w:r>
      <w:r w:rsidRPr="00804C70">
        <w:rPr>
          <w:color w:val="2F5496" w:themeColor="accent1" w:themeShade="BF"/>
          <w:sz w:val="24"/>
          <w:szCs w:val="24"/>
        </w:rPr>
        <w:t xml:space="preserve">– Projected </w:t>
      </w:r>
      <w:r w:rsidR="00804C70" w:rsidRPr="00804C70">
        <w:rPr>
          <w:color w:val="2F5496" w:themeColor="accent1" w:themeShade="BF"/>
          <w:sz w:val="24"/>
          <w:szCs w:val="24"/>
        </w:rPr>
        <w:t xml:space="preserve">Sturdy Memorial Hospital </w:t>
      </w:r>
      <w:r w:rsidRPr="00804C70">
        <w:rPr>
          <w:color w:val="2F5496" w:themeColor="accent1" w:themeShade="BF"/>
          <w:sz w:val="24"/>
          <w:szCs w:val="24"/>
        </w:rPr>
        <w:t>Emergency Department Volume</w:t>
      </w:r>
    </w:p>
    <w:tbl>
      <w:tblPr>
        <w:tblStyle w:val="TableGrid"/>
        <w:tblW w:w="9535" w:type="dxa"/>
        <w:tblLook w:val="04A0" w:firstRow="1" w:lastRow="0" w:firstColumn="1" w:lastColumn="0" w:noHBand="0" w:noVBand="1"/>
      </w:tblPr>
      <w:tblGrid>
        <w:gridCol w:w="2637"/>
        <w:gridCol w:w="1666"/>
        <w:gridCol w:w="1308"/>
        <w:gridCol w:w="1308"/>
        <w:gridCol w:w="1308"/>
        <w:gridCol w:w="1308"/>
      </w:tblGrid>
      <w:tr w:rsidR="00804C70" w:rsidRPr="00E20DEA" w14:paraId="7F02BFA5" w14:textId="77777777" w:rsidTr="0C8BC4C9">
        <w:tc>
          <w:tcPr>
            <w:tcW w:w="2637" w:type="dxa"/>
            <w:shd w:val="clear" w:color="auto" w:fill="DEEAF6" w:themeFill="accent5" w:themeFillTint="33"/>
          </w:tcPr>
          <w:p w14:paraId="5A40767A" w14:textId="7D71F486" w:rsidR="00804C70" w:rsidRPr="00804C70" w:rsidRDefault="00804C70" w:rsidP="00804C70">
            <w:pPr>
              <w:rPr>
                <w:b/>
                <w:bCs/>
              </w:rPr>
            </w:pPr>
            <w:r w:rsidRPr="00804C70">
              <w:rPr>
                <w:b/>
                <w:bCs/>
              </w:rPr>
              <w:t xml:space="preserve">Projected Volume </w:t>
            </w:r>
          </w:p>
        </w:tc>
        <w:tc>
          <w:tcPr>
            <w:tcW w:w="1666" w:type="dxa"/>
            <w:shd w:val="clear" w:color="auto" w:fill="DEEAF6" w:themeFill="accent5" w:themeFillTint="33"/>
          </w:tcPr>
          <w:p w14:paraId="760E0CBF" w14:textId="5C0DFA54" w:rsidR="00804C70" w:rsidRPr="00E20DEA" w:rsidRDefault="00804C70" w:rsidP="00804C70">
            <w:pPr>
              <w:jc w:val="center"/>
              <w:rPr>
                <w:b/>
                <w:bCs/>
                <w:highlight w:val="yellow"/>
              </w:rPr>
            </w:pPr>
            <w:r w:rsidRPr="00A87D82">
              <w:rPr>
                <w:rFonts w:cs="Arial"/>
                <w:b/>
                <w:bCs/>
              </w:rPr>
              <w:t>FY2028</w:t>
            </w:r>
          </w:p>
        </w:tc>
        <w:tc>
          <w:tcPr>
            <w:tcW w:w="1308" w:type="dxa"/>
            <w:shd w:val="clear" w:color="auto" w:fill="DEEAF6" w:themeFill="accent5" w:themeFillTint="33"/>
          </w:tcPr>
          <w:p w14:paraId="140BE0D8" w14:textId="5C91200B" w:rsidR="00804C70" w:rsidRPr="00E20DEA" w:rsidRDefault="00804C70" w:rsidP="00804C70">
            <w:pPr>
              <w:jc w:val="center"/>
              <w:rPr>
                <w:b/>
                <w:bCs/>
                <w:highlight w:val="yellow"/>
              </w:rPr>
            </w:pPr>
            <w:r w:rsidRPr="00A87D82">
              <w:rPr>
                <w:rFonts w:cs="Arial"/>
                <w:b/>
                <w:bCs/>
              </w:rPr>
              <w:t>FY2029</w:t>
            </w:r>
          </w:p>
        </w:tc>
        <w:tc>
          <w:tcPr>
            <w:tcW w:w="1308" w:type="dxa"/>
            <w:shd w:val="clear" w:color="auto" w:fill="DEEAF6" w:themeFill="accent5" w:themeFillTint="33"/>
          </w:tcPr>
          <w:p w14:paraId="26BD6FD9" w14:textId="4A10B893" w:rsidR="00804C70" w:rsidRPr="00E20DEA" w:rsidRDefault="00804C70" w:rsidP="00804C70">
            <w:pPr>
              <w:jc w:val="center"/>
              <w:rPr>
                <w:b/>
                <w:bCs/>
                <w:highlight w:val="yellow"/>
              </w:rPr>
            </w:pPr>
            <w:r w:rsidRPr="00A87D82">
              <w:rPr>
                <w:rFonts w:cs="Arial"/>
                <w:b/>
                <w:bCs/>
              </w:rPr>
              <w:t>FY2030</w:t>
            </w:r>
          </w:p>
        </w:tc>
        <w:tc>
          <w:tcPr>
            <w:tcW w:w="1308" w:type="dxa"/>
            <w:shd w:val="clear" w:color="auto" w:fill="DEEAF6" w:themeFill="accent5" w:themeFillTint="33"/>
          </w:tcPr>
          <w:p w14:paraId="4C78A635" w14:textId="6DF79079" w:rsidR="00804C70" w:rsidRPr="00E20DEA" w:rsidRDefault="00804C70" w:rsidP="00804C70">
            <w:pPr>
              <w:jc w:val="center"/>
              <w:rPr>
                <w:b/>
                <w:bCs/>
                <w:highlight w:val="yellow"/>
              </w:rPr>
            </w:pPr>
            <w:r w:rsidRPr="00A87D82">
              <w:rPr>
                <w:rFonts w:cs="Arial"/>
                <w:b/>
                <w:bCs/>
              </w:rPr>
              <w:t>FY2031</w:t>
            </w:r>
          </w:p>
        </w:tc>
        <w:tc>
          <w:tcPr>
            <w:tcW w:w="1308" w:type="dxa"/>
            <w:shd w:val="clear" w:color="auto" w:fill="DEEAF6" w:themeFill="accent5" w:themeFillTint="33"/>
          </w:tcPr>
          <w:p w14:paraId="4B8D18F1" w14:textId="200A6D0F" w:rsidR="00804C70" w:rsidRPr="00E20DEA" w:rsidRDefault="00804C70" w:rsidP="00804C70">
            <w:pPr>
              <w:jc w:val="center"/>
              <w:rPr>
                <w:b/>
                <w:bCs/>
                <w:highlight w:val="yellow"/>
              </w:rPr>
            </w:pPr>
            <w:r>
              <w:rPr>
                <w:rFonts w:cs="Arial"/>
                <w:b/>
                <w:bCs/>
              </w:rPr>
              <w:t>FY2032</w:t>
            </w:r>
          </w:p>
        </w:tc>
      </w:tr>
      <w:tr w:rsidR="00804C70" w:rsidRPr="00E20DEA" w14:paraId="26418D98" w14:textId="77777777" w:rsidTr="0C8BC4C9">
        <w:tc>
          <w:tcPr>
            <w:tcW w:w="2637" w:type="dxa"/>
          </w:tcPr>
          <w:p w14:paraId="277F24F0" w14:textId="77777777" w:rsidR="00804C70" w:rsidRPr="00804C70" w:rsidRDefault="00804C70" w:rsidP="00804C70">
            <w:r>
              <w:t xml:space="preserve">ED Visits </w:t>
            </w:r>
          </w:p>
        </w:tc>
        <w:tc>
          <w:tcPr>
            <w:tcW w:w="1666" w:type="dxa"/>
            <w:vAlign w:val="center"/>
          </w:tcPr>
          <w:p w14:paraId="53B8D8BD" w14:textId="57F8D4D3" w:rsidR="00804C70" w:rsidRPr="00E20DEA" w:rsidRDefault="00804C70" w:rsidP="00804C70">
            <w:pPr>
              <w:jc w:val="center"/>
              <w:rPr>
                <w:highlight w:val="yellow"/>
              </w:rPr>
            </w:pPr>
            <w:r w:rsidRPr="00A87D82">
              <w:rPr>
                <w:rFonts w:cs="Arial"/>
              </w:rPr>
              <w:t>5</w:t>
            </w:r>
            <w:r>
              <w:rPr>
                <w:rFonts w:cs="Arial"/>
              </w:rPr>
              <w:t>3,160</w:t>
            </w:r>
          </w:p>
        </w:tc>
        <w:tc>
          <w:tcPr>
            <w:tcW w:w="1308" w:type="dxa"/>
            <w:vAlign w:val="center"/>
          </w:tcPr>
          <w:p w14:paraId="755FA46C" w14:textId="09978151" w:rsidR="00804C70" w:rsidRPr="00E20DEA" w:rsidRDefault="00804C70" w:rsidP="00804C70">
            <w:pPr>
              <w:jc w:val="center"/>
              <w:rPr>
                <w:highlight w:val="yellow"/>
              </w:rPr>
            </w:pPr>
            <w:r>
              <w:rPr>
                <w:rFonts w:cs="Arial"/>
              </w:rPr>
              <w:t>53,410</w:t>
            </w:r>
          </w:p>
        </w:tc>
        <w:tc>
          <w:tcPr>
            <w:tcW w:w="1308" w:type="dxa"/>
            <w:vAlign w:val="center"/>
          </w:tcPr>
          <w:p w14:paraId="7133B44C" w14:textId="43EE26F6" w:rsidR="00804C70" w:rsidRPr="00E20DEA" w:rsidRDefault="00804C70" w:rsidP="00804C70">
            <w:pPr>
              <w:jc w:val="center"/>
              <w:rPr>
                <w:highlight w:val="yellow"/>
              </w:rPr>
            </w:pPr>
            <w:r>
              <w:rPr>
                <w:rFonts w:cs="Arial"/>
              </w:rPr>
              <w:t>53,660</w:t>
            </w:r>
          </w:p>
        </w:tc>
        <w:tc>
          <w:tcPr>
            <w:tcW w:w="1308" w:type="dxa"/>
            <w:vAlign w:val="center"/>
          </w:tcPr>
          <w:p w14:paraId="6798CB8E" w14:textId="5FE88568" w:rsidR="00804C70" w:rsidRPr="00E20DEA" w:rsidRDefault="00804C70" w:rsidP="00804C70">
            <w:pPr>
              <w:jc w:val="center"/>
              <w:rPr>
                <w:highlight w:val="yellow"/>
              </w:rPr>
            </w:pPr>
            <w:r>
              <w:rPr>
                <w:rFonts w:cs="Arial"/>
              </w:rPr>
              <w:t>53,910</w:t>
            </w:r>
          </w:p>
        </w:tc>
        <w:tc>
          <w:tcPr>
            <w:tcW w:w="1308" w:type="dxa"/>
            <w:vAlign w:val="center"/>
          </w:tcPr>
          <w:p w14:paraId="6BC601D7" w14:textId="62D6615A" w:rsidR="00804C70" w:rsidRPr="00E20DEA" w:rsidRDefault="00804C70" w:rsidP="00804C70">
            <w:pPr>
              <w:jc w:val="center"/>
              <w:rPr>
                <w:highlight w:val="yellow"/>
              </w:rPr>
            </w:pPr>
            <w:r w:rsidRPr="0C8BC4C9">
              <w:rPr>
                <w:rFonts w:cs="Arial"/>
              </w:rPr>
              <w:t>54,160</w:t>
            </w:r>
          </w:p>
        </w:tc>
      </w:tr>
    </w:tbl>
    <w:p w14:paraId="2A3E67D2" w14:textId="77777777" w:rsidR="00F8553B" w:rsidRDefault="00F8553B" w:rsidP="00A662DF">
      <w:pPr>
        <w:spacing w:after="0" w:line="240" w:lineRule="auto"/>
        <w:rPr>
          <w:rFonts w:cs="Arial"/>
          <w:sz w:val="24"/>
          <w:szCs w:val="24"/>
        </w:rPr>
      </w:pPr>
    </w:p>
    <w:p w14:paraId="13170F13" w14:textId="282E82B4" w:rsidR="006D7741" w:rsidRDefault="00D6491E" w:rsidP="00A662DF">
      <w:pPr>
        <w:spacing w:after="0" w:line="240" w:lineRule="auto"/>
        <w:rPr>
          <w:rFonts w:cs="Arial"/>
          <w:sz w:val="24"/>
          <w:szCs w:val="24"/>
        </w:rPr>
      </w:pPr>
      <w:r w:rsidRPr="00F8553B">
        <w:rPr>
          <w:rFonts w:cs="Arial"/>
          <w:sz w:val="24"/>
          <w:szCs w:val="24"/>
        </w:rPr>
        <w:t xml:space="preserve">In order to meet the community’s current and projected need for emergency services, the Hospital determined that a total of </w:t>
      </w:r>
      <w:r w:rsidR="003B424F" w:rsidRPr="00F8553B">
        <w:rPr>
          <w:rFonts w:cs="Arial"/>
          <w:sz w:val="24"/>
          <w:szCs w:val="24"/>
        </w:rPr>
        <w:t>50</w:t>
      </w:r>
      <w:r w:rsidRPr="00F8553B">
        <w:rPr>
          <w:rFonts w:cs="Arial"/>
          <w:sz w:val="24"/>
          <w:szCs w:val="24"/>
        </w:rPr>
        <w:t xml:space="preserve"> treatment </w:t>
      </w:r>
      <w:r w:rsidR="003B636E">
        <w:rPr>
          <w:rFonts w:cs="Arial"/>
          <w:sz w:val="24"/>
          <w:szCs w:val="24"/>
        </w:rPr>
        <w:t xml:space="preserve">rooms </w:t>
      </w:r>
      <w:r w:rsidRPr="00F8553B">
        <w:rPr>
          <w:rFonts w:cs="Arial"/>
          <w:sz w:val="24"/>
          <w:szCs w:val="24"/>
        </w:rPr>
        <w:t>would be need</w:t>
      </w:r>
      <w:r w:rsidR="00014C9E" w:rsidRPr="00F8553B">
        <w:rPr>
          <w:rFonts w:cs="Arial"/>
          <w:sz w:val="24"/>
          <w:szCs w:val="24"/>
        </w:rPr>
        <w:t>ed</w:t>
      </w:r>
      <w:r w:rsidR="005156E3" w:rsidRPr="00F8553B">
        <w:rPr>
          <w:rFonts w:cs="Arial"/>
          <w:sz w:val="24"/>
          <w:szCs w:val="24"/>
        </w:rPr>
        <w:t xml:space="preserve"> (36 private rooms, 12 behavioral health </w:t>
      </w:r>
      <w:r w:rsidR="003B636E">
        <w:rPr>
          <w:rFonts w:cs="Arial"/>
          <w:sz w:val="24"/>
          <w:szCs w:val="24"/>
        </w:rPr>
        <w:t>rooms</w:t>
      </w:r>
      <w:r w:rsidR="00AF640C" w:rsidRPr="00F8553B">
        <w:rPr>
          <w:rFonts w:cs="Arial"/>
          <w:sz w:val="24"/>
          <w:szCs w:val="24"/>
        </w:rPr>
        <w:t xml:space="preserve">, and 2 trauma </w:t>
      </w:r>
      <w:r w:rsidR="003B636E">
        <w:rPr>
          <w:rFonts w:cs="Arial"/>
          <w:sz w:val="24"/>
          <w:szCs w:val="24"/>
        </w:rPr>
        <w:t>rooms</w:t>
      </w:r>
      <w:r w:rsidR="00AF640C" w:rsidRPr="00F8553B">
        <w:rPr>
          <w:rFonts w:cs="Arial"/>
          <w:sz w:val="24"/>
          <w:szCs w:val="24"/>
        </w:rPr>
        <w:t>)</w:t>
      </w:r>
      <w:r w:rsidRPr="00F8553B">
        <w:rPr>
          <w:rFonts w:cs="Arial"/>
          <w:sz w:val="24"/>
          <w:szCs w:val="24"/>
        </w:rPr>
        <w:t xml:space="preserve">. </w:t>
      </w:r>
      <w:r w:rsidR="00BC1709" w:rsidRPr="00F8553B">
        <w:rPr>
          <w:rFonts w:cs="Arial"/>
          <w:sz w:val="24"/>
          <w:szCs w:val="24"/>
        </w:rPr>
        <w:t>To determine this, the Applicant leveraged the healthcare clinical and capital planning consulting services of The Innova Group</w:t>
      </w:r>
      <w:r w:rsidR="00BC1709" w:rsidRPr="00F8553B">
        <w:rPr>
          <w:rFonts w:cs="Arial"/>
        </w:rPr>
        <w:footnoteReference w:id="11"/>
      </w:r>
      <w:r w:rsidR="00BC1709" w:rsidRPr="00F8553B">
        <w:rPr>
          <w:rFonts w:cs="Arial"/>
          <w:sz w:val="24"/>
          <w:szCs w:val="24"/>
        </w:rPr>
        <w:t>. Following an in-depth analys</w:t>
      </w:r>
      <w:r w:rsidR="001C791A" w:rsidRPr="00F8553B">
        <w:rPr>
          <w:rFonts w:cs="Arial"/>
          <w:sz w:val="24"/>
          <w:szCs w:val="24"/>
        </w:rPr>
        <w:t>i</w:t>
      </w:r>
      <w:r w:rsidR="00BC1709" w:rsidRPr="00F8553B">
        <w:rPr>
          <w:rFonts w:cs="Arial"/>
          <w:sz w:val="24"/>
          <w:szCs w:val="24"/>
        </w:rPr>
        <w:t xml:space="preserve">s of Sturdy Health’s current state, future market share capture and growth projections from various data sources, The Innova Group leveraged their proprietary analytics process and the Emergency Department Benchmarking Alliance formulas to arrive at the appropriate number of </w:t>
      </w:r>
      <w:r w:rsidR="00885D3B">
        <w:rPr>
          <w:rFonts w:cs="Arial"/>
          <w:sz w:val="24"/>
          <w:szCs w:val="24"/>
        </w:rPr>
        <w:t>private rooms</w:t>
      </w:r>
      <w:r w:rsidR="00BC1709" w:rsidRPr="00F8553B">
        <w:rPr>
          <w:rFonts w:cs="Arial"/>
          <w:sz w:val="24"/>
          <w:szCs w:val="24"/>
        </w:rPr>
        <w:t xml:space="preserve"> for the Proposed Project.</w:t>
      </w:r>
      <w:r w:rsidR="00EC2A16" w:rsidRPr="00F8553B">
        <w:rPr>
          <w:rFonts w:cs="Arial"/>
          <w:sz w:val="24"/>
          <w:szCs w:val="24"/>
        </w:rPr>
        <w:t xml:space="preserve"> </w:t>
      </w:r>
    </w:p>
    <w:p w14:paraId="73B6D266" w14:textId="77777777" w:rsidR="006D7741" w:rsidRDefault="006D7741" w:rsidP="00A662DF">
      <w:pPr>
        <w:spacing w:after="0" w:line="240" w:lineRule="auto"/>
        <w:rPr>
          <w:rFonts w:cs="Arial"/>
          <w:sz w:val="24"/>
          <w:szCs w:val="24"/>
        </w:rPr>
      </w:pPr>
    </w:p>
    <w:p w14:paraId="40095BB2" w14:textId="51E763DD" w:rsidR="00BC1709" w:rsidRPr="00DC5BC2" w:rsidRDefault="00BC1709" w:rsidP="00A662DF">
      <w:pPr>
        <w:spacing w:after="0" w:line="240" w:lineRule="auto"/>
        <w:rPr>
          <w:color w:val="000000" w:themeColor="text1"/>
          <w:sz w:val="24"/>
          <w:szCs w:val="24"/>
        </w:rPr>
      </w:pPr>
      <w:r w:rsidRPr="00F8553B">
        <w:rPr>
          <w:rFonts w:cs="Arial"/>
          <w:sz w:val="24"/>
          <w:szCs w:val="24"/>
        </w:rPr>
        <w:t>The Applicant plans to staff the expanded ED with</w:t>
      </w:r>
      <w:r w:rsidR="0008062F" w:rsidRPr="00F8553B">
        <w:rPr>
          <w:rFonts w:cs="Arial"/>
          <w:sz w:val="24"/>
          <w:szCs w:val="24"/>
        </w:rPr>
        <w:t xml:space="preserve"> 96 FTE’s that include RNs, behavioral health technicians, and support staff</w:t>
      </w:r>
      <w:r w:rsidR="00DC5BC2" w:rsidRPr="00F8553B">
        <w:rPr>
          <w:rFonts w:cs="Arial"/>
          <w:sz w:val="24"/>
          <w:szCs w:val="24"/>
        </w:rPr>
        <w:t>.</w:t>
      </w:r>
      <w:r w:rsidR="00501F81" w:rsidRPr="00F8553B">
        <w:rPr>
          <w:rFonts w:cs="Arial"/>
          <w:sz w:val="24"/>
          <w:szCs w:val="24"/>
        </w:rPr>
        <w:t xml:space="preserve"> </w:t>
      </w:r>
      <w:r w:rsidR="00DC5BC2" w:rsidRPr="00F8553B">
        <w:rPr>
          <w:rFonts w:cs="Arial"/>
          <w:sz w:val="24"/>
          <w:szCs w:val="24"/>
        </w:rPr>
        <w:t>The Applicant has established recruitment efforts to attract qualified staff to new positions</w:t>
      </w:r>
      <w:r w:rsidR="004908BC">
        <w:rPr>
          <w:rFonts w:cs="Arial"/>
          <w:sz w:val="24"/>
          <w:szCs w:val="24"/>
        </w:rPr>
        <w:t xml:space="preserve"> that include a </w:t>
      </w:r>
      <w:r w:rsidR="00F8553B" w:rsidRPr="00F8553B">
        <w:rPr>
          <w:rFonts w:cs="Arial"/>
          <w:sz w:val="24"/>
          <w:szCs w:val="24"/>
        </w:rPr>
        <w:t>dedicated Recruitment Manager (RM)</w:t>
      </w:r>
      <w:r w:rsidR="004908BC">
        <w:rPr>
          <w:rFonts w:cs="Arial"/>
          <w:sz w:val="24"/>
          <w:szCs w:val="24"/>
        </w:rPr>
        <w:t xml:space="preserve"> </w:t>
      </w:r>
      <w:r w:rsidR="00F8553B" w:rsidRPr="00F8553B">
        <w:rPr>
          <w:rFonts w:cs="Arial"/>
          <w:sz w:val="24"/>
          <w:szCs w:val="24"/>
        </w:rPr>
        <w:t xml:space="preserve">for the Emergency Department who sources candidates for all ED positions via Indeed and </w:t>
      </w:r>
      <w:r w:rsidR="00AF3DD9" w:rsidRPr="00F8553B">
        <w:rPr>
          <w:rFonts w:cs="Arial"/>
          <w:sz w:val="24"/>
          <w:szCs w:val="24"/>
        </w:rPr>
        <w:t xml:space="preserve">LinkedIn, </w:t>
      </w:r>
      <w:r w:rsidR="00AF3DD9">
        <w:rPr>
          <w:rFonts w:cs="Arial"/>
          <w:sz w:val="24"/>
          <w:szCs w:val="24"/>
        </w:rPr>
        <w:t>ongoing</w:t>
      </w:r>
      <w:r w:rsidR="0016697C">
        <w:rPr>
          <w:rFonts w:cs="Arial"/>
          <w:sz w:val="24"/>
          <w:szCs w:val="24"/>
        </w:rPr>
        <w:t xml:space="preserve"> </w:t>
      </w:r>
      <w:r w:rsidR="00F8553B" w:rsidRPr="00F8553B">
        <w:rPr>
          <w:rFonts w:cs="Arial"/>
          <w:sz w:val="24"/>
          <w:szCs w:val="24"/>
        </w:rPr>
        <w:t>career fairs focused on nursing students at local colleges within Massachusetts and Rhode Island, including the Community College of Rhode Island, Wheaton College, Curry College, and Bristol Community College. The RM also meets with clinical students on these campuses to review Sturdy Health’s new graduate programs, compensation</w:t>
      </w:r>
      <w:r w:rsidR="6DC1CA40" w:rsidRPr="47AB7E01">
        <w:rPr>
          <w:rFonts w:cs="Arial"/>
          <w:sz w:val="24"/>
          <w:szCs w:val="24"/>
        </w:rPr>
        <w:t>,</w:t>
      </w:r>
      <w:r w:rsidR="00F8553B" w:rsidRPr="00F8553B">
        <w:rPr>
          <w:rFonts w:cs="Arial"/>
          <w:sz w:val="24"/>
          <w:szCs w:val="24"/>
        </w:rPr>
        <w:t xml:space="preserve"> and benefits</w:t>
      </w:r>
      <w:r w:rsidR="0016697C">
        <w:rPr>
          <w:rFonts w:cs="Arial"/>
          <w:sz w:val="24"/>
          <w:szCs w:val="24"/>
        </w:rPr>
        <w:t xml:space="preserve">. </w:t>
      </w:r>
      <w:r w:rsidR="00F8553B" w:rsidRPr="00F8553B">
        <w:rPr>
          <w:rFonts w:cs="Arial"/>
          <w:sz w:val="24"/>
          <w:szCs w:val="24"/>
        </w:rPr>
        <w:t xml:space="preserve">For existing employees, Sturdy Health offers recruitment and retention bonuses to nurses. There is also a referral bonus program for Sturdy Health employees who refer nurses for open positions which has helped with recruitment. Furthermore, Sturdy Health offers a special program for the internal growth of current employees interested in transitioning to the ED. The ED Bridge Program trains existing nurses for a position within the ED and will be an instrumental recruitment tool as additional staffing is needed for the new ED. </w:t>
      </w:r>
    </w:p>
    <w:p w14:paraId="1B2AF520" w14:textId="77777777" w:rsidR="00E7110D" w:rsidRPr="00E20DEA" w:rsidRDefault="00E7110D" w:rsidP="00A662DF">
      <w:pPr>
        <w:spacing w:after="0" w:line="240" w:lineRule="auto"/>
        <w:rPr>
          <w:rFonts w:cstheme="minorHAnsi"/>
          <w:sz w:val="24"/>
          <w:szCs w:val="24"/>
          <w:highlight w:val="yellow"/>
        </w:rPr>
      </w:pPr>
    </w:p>
    <w:p w14:paraId="3037DAF8" w14:textId="6C354CDA" w:rsidR="00BC1709" w:rsidRPr="00BC1709" w:rsidRDefault="00694615" w:rsidP="00A662DF">
      <w:pPr>
        <w:spacing w:after="0" w:line="240" w:lineRule="auto"/>
        <w:rPr>
          <w:rFonts w:cstheme="minorHAnsi"/>
          <w:color w:val="000000" w:themeColor="text1"/>
          <w:sz w:val="24"/>
          <w:szCs w:val="24"/>
        </w:rPr>
      </w:pPr>
      <w:r w:rsidRPr="00BC1709">
        <w:rPr>
          <w:rFonts w:cstheme="minorHAnsi"/>
          <w:color w:val="000000" w:themeColor="text1"/>
          <w:sz w:val="24"/>
          <w:szCs w:val="24"/>
        </w:rPr>
        <w:t>Given that the Proposed Project is not expected to achieve completion until 202</w:t>
      </w:r>
      <w:r w:rsidR="00E07B98">
        <w:rPr>
          <w:rFonts w:cstheme="minorHAnsi"/>
          <w:color w:val="000000" w:themeColor="text1"/>
          <w:sz w:val="24"/>
          <w:szCs w:val="24"/>
        </w:rPr>
        <w:t>8</w:t>
      </w:r>
      <w:r w:rsidRPr="00BC1709">
        <w:rPr>
          <w:rFonts w:cstheme="minorHAnsi"/>
          <w:color w:val="000000" w:themeColor="text1"/>
          <w:sz w:val="24"/>
          <w:szCs w:val="24"/>
        </w:rPr>
        <w:t xml:space="preserve">, the Hospital </w:t>
      </w:r>
      <w:r w:rsidR="00E07B98">
        <w:rPr>
          <w:rFonts w:cstheme="minorHAnsi"/>
          <w:color w:val="000000" w:themeColor="text1"/>
          <w:sz w:val="24"/>
          <w:szCs w:val="24"/>
        </w:rPr>
        <w:t xml:space="preserve">shared its </w:t>
      </w:r>
      <w:r w:rsidR="00285EB3">
        <w:rPr>
          <w:rFonts w:cstheme="minorHAnsi"/>
          <w:color w:val="000000" w:themeColor="text1"/>
          <w:sz w:val="24"/>
          <w:szCs w:val="24"/>
        </w:rPr>
        <w:t>strategies</w:t>
      </w:r>
      <w:r w:rsidR="00A943DE" w:rsidRPr="00BC1709">
        <w:rPr>
          <w:rFonts w:cstheme="minorHAnsi"/>
          <w:color w:val="000000" w:themeColor="text1"/>
          <w:sz w:val="24"/>
          <w:szCs w:val="24"/>
        </w:rPr>
        <w:t xml:space="preserve"> to manage capacity in the interim.</w:t>
      </w:r>
      <w:r w:rsidR="009642B5" w:rsidRPr="00BC1709">
        <w:rPr>
          <w:rFonts w:cstheme="minorHAnsi"/>
          <w:color w:val="000000" w:themeColor="text1"/>
          <w:sz w:val="24"/>
          <w:szCs w:val="24"/>
        </w:rPr>
        <w:t xml:space="preserve"> </w:t>
      </w:r>
      <w:r w:rsidR="00BC1709">
        <w:rPr>
          <w:rFonts w:cstheme="minorHAnsi"/>
          <w:color w:val="000000" w:themeColor="text1"/>
          <w:sz w:val="24"/>
          <w:szCs w:val="24"/>
        </w:rPr>
        <w:t xml:space="preserve">The Applicant will </w:t>
      </w:r>
      <w:r w:rsidR="00BC1709" w:rsidRPr="00BC1709">
        <w:rPr>
          <w:rFonts w:cstheme="minorHAnsi"/>
          <w:color w:val="000000" w:themeColor="text1"/>
          <w:sz w:val="24"/>
          <w:szCs w:val="24"/>
        </w:rPr>
        <w:t>continue to provide education to patients, providers and the community on when to seek emergency care and when to use primary and/or urgent care</w:t>
      </w:r>
      <w:r w:rsidR="00BC1709">
        <w:rPr>
          <w:rFonts w:cstheme="minorHAnsi"/>
          <w:color w:val="000000" w:themeColor="text1"/>
          <w:sz w:val="24"/>
          <w:szCs w:val="24"/>
        </w:rPr>
        <w:t xml:space="preserve">, as mentioned previously. </w:t>
      </w:r>
      <w:r w:rsidR="00BC1709" w:rsidRPr="00BC1709">
        <w:rPr>
          <w:rFonts w:cstheme="minorHAnsi"/>
          <w:color w:val="000000" w:themeColor="text1"/>
          <w:sz w:val="24"/>
          <w:szCs w:val="24"/>
        </w:rPr>
        <w:t xml:space="preserve">In February 2024, the Hospital opened a vertical treatment space to treat patients needing minimal interventions quickly. This has helped move more low-acuity patients through the ED, freeing up resources for higher-acuity patients. </w:t>
      </w:r>
      <w:r w:rsidR="00285EB3">
        <w:rPr>
          <w:rFonts w:cstheme="minorHAnsi"/>
          <w:color w:val="000000" w:themeColor="text1"/>
          <w:sz w:val="24"/>
          <w:szCs w:val="24"/>
        </w:rPr>
        <w:t>T</w:t>
      </w:r>
      <w:r w:rsidR="00BC1709" w:rsidRPr="00BC1709">
        <w:rPr>
          <w:rFonts w:cstheme="minorHAnsi"/>
          <w:color w:val="000000" w:themeColor="text1"/>
          <w:sz w:val="24"/>
          <w:szCs w:val="24"/>
        </w:rPr>
        <w:t>he Hospital</w:t>
      </w:r>
      <w:r w:rsidR="00285EB3">
        <w:rPr>
          <w:rFonts w:cstheme="minorHAnsi"/>
          <w:color w:val="000000" w:themeColor="text1"/>
          <w:sz w:val="24"/>
          <w:szCs w:val="24"/>
        </w:rPr>
        <w:t xml:space="preserve"> also</w:t>
      </w:r>
      <w:r w:rsidR="00BC1709" w:rsidRPr="00BC1709">
        <w:rPr>
          <w:rFonts w:cstheme="minorHAnsi"/>
          <w:color w:val="000000" w:themeColor="text1"/>
          <w:sz w:val="24"/>
          <w:szCs w:val="24"/>
        </w:rPr>
        <w:t xml:space="preserve"> implemented point of care testing in the ED for COVID in order to improve diagnosis, treatment, and discharge times.  </w:t>
      </w:r>
    </w:p>
    <w:p w14:paraId="3B367F95" w14:textId="77777777" w:rsidR="00C53F46" w:rsidRPr="00E90E2E" w:rsidRDefault="00C53F46" w:rsidP="00A662DF">
      <w:pPr>
        <w:spacing w:after="0" w:line="240" w:lineRule="auto"/>
        <w:rPr>
          <w:rFonts w:cstheme="minorHAnsi"/>
          <w:sz w:val="24"/>
          <w:szCs w:val="24"/>
        </w:rPr>
      </w:pPr>
    </w:p>
    <w:p w14:paraId="1624366B" w14:textId="70637EA6" w:rsidR="00827F92" w:rsidRDefault="00D6491E" w:rsidP="00A662DF">
      <w:pPr>
        <w:spacing w:after="0" w:line="240" w:lineRule="auto"/>
        <w:rPr>
          <w:sz w:val="24"/>
          <w:szCs w:val="24"/>
        </w:rPr>
      </w:pPr>
      <w:r w:rsidRPr="00E90E2E">
        <w:rPr>
          <w:sz w:val="24"/>
          <w:szCs w:val="24"/>
        </w:rPr>
        <w:lastRenderedPageBreak/>
        <w:t xml:space="preserve">The addition of </w:t>
      </w:r>
      <w:r w:rsidR="00885D3B">
        <w:rPr>
          <w:sz w:val="24"/>
          <w:szCs w:val="24"/>
        </w:rPr>
        <w:t xml:space="preserve">private </w:t>
      </w:r>
      <w:r w:rsidRPr="00E90E2E">
        <w:rPr>
          <w:sz w:val="24"/>
          <w:szCs w:val="24"/>
        </w:rPr>
        <w:t xml:space="preserve">treatment </w:t>
      </w:r>
      <w:r w:rsidR="00885D3B">
        <w:rPr>
          <w:sz w:val="24"/>
          <w:szCs w:val="24"/>
        </w:rPr>
        <w:t>rooms</w:t>
      </w:r>
      <w:r w:rsidRPr="00E90E2E">
        <w:rPr>
          <w:sz w:val="24"/>
          <w:szCs w:val="24"/>
        </w:rPr>
        <w:t xml:space="preserve"> </w:t>
      </w:r>
      <w:r w:rsidR="003D70CE" w:rsidRPr="00E90E2E">
        <w:rPr>
          <w:sz w:val="24"/>
          <w:szCs w:val="24"/>
        </w:rPr>
        <w:t xml:space="preserve">is </w:t>
      </w:r>
      <w:r w:rsidR="00E90E2E" w:rsidRPr="00E90E2E">
        <w:rPr>
          <w:sz w:val="24"/>
          <w:szCs w:val="24"/>
        </w:rPr>
        <w:t xml:space="preserve">expected </w:t>
      </w:r>
      <w:r w:rsidR="003D70CE" w:rsidRPr="00E90E2E">
        <w:rPr>
          <w:sz w:val="24"/>
          <w:szCs w:val="24"/>
        </w:rPr>
        <w:t>to</w:t>
      </w:r>
      <w:r w:rsidRPr="00E90E2E">
        <w:rPr>
          <w:sz w:val="24"/>
          <w:szCs w:val="24"/>
        </w:rPr>
        <w:t xml:space="preserve"> allow for the timely movement of patients to treatment rooms from the waiting room, </w:t>
      </w:r>
      <w:r w:rsidR="00361911" w:rsidRPr="00E90E2E">
        <w:rPr>
          <w:sz w:val="24"/>
          <w:szCs w:val="24"/>
        </w:rPr>
        <w:t>which is likely to</w:t>
      </w:r>
      <w:r w:rsidRPr="00E90E2E">
        <w:rPr>
          <w:sz w:val="24"/>
          <w:szCs w:val="24"/>
        </w:rPr>
        <w:t xml:space="preserve"> reduc</w:t>
      </w:r>
      <w:r w:rsidR="00361911" w:rsidRPr="00E90E2E">
        <w:rPr>
          <w:sz w:val="24"/>
          <w:szCs w:val="24"/>
        </w:rPr>
        <w:t xml:space="preserve">e </w:t>
      </w:r>
      <w:r w:rsidRPr="00E90E2E">
        <w:rPr>
          <w:sz w:val="24"/>
          <w:szCs w:val="24"/>
        </w:rPr>
        <w:t xml:space="preserve">delays in treatment. The ability to move patients from the waiting room to a treatment room </w:t>
      </w:r>
      <w:r w:rsidR="00007A08" w:rsidRPr="00E90E2E">
        <w:rPr>
          <w:sz w:val="24"/>
          <w:szCs w:val="24"/>
        </w:rPr>
        <w:t xml:space="preserve">in a timely manner </w:t>
      </w:r>
      <w:r w:rsidR="00DE16B1">
        <w:rPr>
          <w:sz w:val="24"/>
          <w:szCs w:val="24"/>
        </w:rPr>
        <w:t xml:space="preserve">is </w:t>
      </w:r>
      <w:r w:rsidRPr="00E90E2E">
        <w:rPr>
          <w:sz w:val="24"/>
          <w:szCs w:val="24"/>
        </w:rPr>
        <w:t xml:space="preserve">not only </w:t>
      </w:r>
      <w:r w:rsidR="00DE16B1">
        <w:rPr>
          <w:sz w:val="24"/>
          <w:szCs w:val="24"/>
        </w:rPr>
        <w:t xml:space="preserve">likely to </w:t>
      </w:r>
      <w:r w:rsidRPr="00E90E2E">
        <w:rPr>
          <w:sz w:val="24"/>
          <w:szCs w:val="24"/>
        </w:rPr>
        <w:t xml:space="preserve">improve care delivery, but </w:t>
      </w:r>
      <w:r w:rsidR="00DE16B1">
        <w:rPr>
          <w:sz w:val="24"/>
          <w:szCs w:val="24"/>
        </w:rPr>
        <w:t xml:space="preserve">to </w:t>
      </w:r>
      <w:r w:rsidRPr="00E90E2E">
        <w:rPr>
          <w:sz w:val="24"/>
          <w:szCs w:val="24"/>
        </w:rPr>
        <w:t xml:space="preserve">improve the patient experience by providing a private, more comfortable environment during what is usually a stressful time for patients experiencing a medical emergency. Through the addition of the requested </w:t>
      </w:r>
      <w:r w:rsidR="00885D3B">
        <w:rPr>
          <w:sz w:val="24"/>
          <w:szCs w:val="24"/>
        </w:rPr>
        <w:t>rooms</w:t>
      </w:r>
      <w:r w:rsidRPr="00E90E2E">
        <w:rPr>
          <w:sz w:val="24"/>
          <w:szCs w:val="24"/>
        </w:rPr>
        <w:t xml:space="preserve">, the ED will be able to accommodate </w:t>
      </w:r>
      <w:r w:rsidR="006B2752" w:rsidRPr="00E90E2E">
        <w:rPr>
          <w:sz w:val="24"/>
          <w:szCs w:val="24"/>
        </w:rPr>
        <w:t>current community needs</w:t>
      </w:r>
      <w:r w:rsidRPr="00E90E2E">
        <w:rPr>
          <w:sz w:val="24"/>
          <w:szCs w:val="24"/>
        </w:rPr>
        <w:t xml:space="preserve"> and projected growth in volume consistent with population projections. </w:t>
      </w:r>
    </w:p>
    <w:p w14:paraId="60E35183" w14:textId="77777777" w:rsidR="00EC2A16" w:rsidRPr="00EC2A16" w:rsidRDefault="00EC2A16" w:rsidP="00A662DF">
      <w:pPr>
        <w:spacing w:after="0" w:line="240" w:lineRule="auto"/>
        <w:rPr>
          <w:sz w:val="24"/>
          <w:szCs w:val="24"/>
        </w:rPr>
      </w:pPr>
    </w:p>
    <w:p w14:paraId="33A3B623" w14:textId="404DE572" w:rsidR="00827F92" w:rsidRPr="00827F92" w:rsidRDefault="00827F92" w:rsidP="00A662DF">
      <w:pPr>
        <w:pStyle w:val="ListParagraph"/>
        <w:numPr>
          <w:ilvl w:val="0"/>
          <w:numId w:val="6"/>
        </w:numPr>
        <w:spacing w:after="0" w:line="240" w:lineRule="auto"/>
        <w:rPr>
          <w:rFonts w:cstheme="minorHAnsi"/>
          <w:b/>
          <w:bCs/>
          <w:sz w:val="24"/>
          <w:szCs w:val="24"/>
        </w:rPr>
      </w:pPr>
      <w:r w:rsidRPr="00827F92">
        <w:rPr>
          <w:rFonts w:cstheme="minorHAnsi"/>
          <w:b/>
          <w:bCs/>
          <w:sz w:val="24"/>
          <w:szCs w:val="24"/>
        </w:rPr>
        <w:t>Limitations of Current ED Layout</w:t>
      </w:r>
    </w:p>
    <w:p w14:paraId="47505F6C" w14:textId="197D27D2" w:rsidR="00AB0FCA" w:rsidRDefault="003C5F94" w:rsidP="00A662DF">
      <w:pPr>
        <w:pStyle w:val="HBblj"/>
        <w:spacing w:after="0"/>
        <w:jc w:val="left"/>
        <w:rPr>
          <w:sz w:val="24"/>
          <w:szCs w:val="24"/>
        </w:rPr>
      </w:pPr>
      <w:r w:rsidRPr="003C5F94">
        <w:rPr>
          <w:sz w:val="24"/>
          <w:szCs w:val="24"/>
        </w:rPr>
        <w:t xml:space="preserve">First built in 1979 and last renovated in 2003, the Hospital’s ED is approximately 15,000 square feet. It contains two triage bays, 31 treatment bays (mostly curtained), and five ligature free behavioral health rooms. </w:t>
      </w:r>
      <w:r w:rsidR="002F4EC3">
        <w:rPr>
          <w:sz w:val="24"/>
          <w:szCs w:val="24"/>
        </w:rPr>
        <w:t>The</w:t>
      </w:r>
      <w:r w:rsidR="003F2B2B">
        <w:rPr>
          <w:sz w:val="24"/>
          <w:szCs w:val="24"/>
        </w:rPr>
        <w:t xml:space="preserve"> current ED layout </w:t>
      </w:r>
      <w:r w:rsidR="000E4131">
        <w:rPr>
          <w:sz w:val="24"/>
          <w:szCs w:val="24"/>
        </w:rPr>
        <w:t xml:space="preserve">has issues with adequate space, patient flow, and efficiency. </w:t>
      </w:r>
    </w:p>
    <w:p w14:paraId="1A126635" w14:textId="01FD5F2F" w:rsidR="002B7FCE" w:rsidRPr="00A90DD8" w:rsidRDefault="00A90DD8" w:rsidP="00A662DF">
      <w:pPr>
        <w:pStyle w:val="HBblj"/>
        <w:numPr>
          <w:ilvl w:val="0"/>
          <w:numId w:val="28"/>
        </w:numPr>
        <w:spacing w:after="0"/>
        <w:jc w:val="left"/>
        <w:rPr>
          <w:sz w:val="24"/>
          <w:szCs w:val="24"/>
        </w:rPr>
      </w:pPr>
      <w:r w:rsidRPr="00A90DD8">
        <w:rPr>
          <w:b/>
          <w:bCs/>
          <w:sz w:val="24"/>
          <w:szCs w:val="24"/>
        </w:rPr>
        <w:t>Inadequate Space:</w:t>
      </w:r>
      <w:r>
        <w:rPr>
          <w:sz w:val="24"/>
          <w:szCs w:val="24"/>
        </w:rPr>
        <w:t xml:space="preserve"> </w:t>
      </w:r>
      <w:r w:rsidR="00AB0FCA" w:rsidRPr="00AB0FCA">
        <w:rPr>
          <w:sz w:val="24"/>
          <w:szCs w:val="24"/>
        </w:rPr>
        <w:t xml:space="preserve">The </w:t>
      </w:r>
      <w:r w:rsidR="00DE408E">
        <w:rPr>
          <w:sz w:val="24"/>
          <w:szCs w:val="24"/>
        </w:rPr>
        <w:t>current space is</w:t>
      </w:r>
      <w:r w:rsidR="00AB0FCA" w:rsidRPr="00AB0FCA">
        <w:rPr>
          <w:sz w:val="24"/>
          <w:szCs w:val="24"/>
        </w:rPr>
        <w:t xml:space="preserve"> inadequate for the number of patients that are waiting to </w:t>
      </w:r>
      <w:r w:rsidR="00BF1F28">
        <w:rPr>
          <w:sz w:val="24"/>
          <w:szCs w:val="24"/>
        </w:rPr>
        <w:t>be</w:t>
      </w:r>
      <w:r w:rsidR="00AB0FCA" w:rsidRPr="00AB0FCA">
        <w:rPr>
          <w:sz w:val="24"/>
          <w:szCs w:val="24"/>
        </w:rPr>
        <w:t xml:space="preserve"> triaged</w:t>
      </w:r>
      <w:r w:rsidR="00DE408E">
        <w:rPr>
          <w:sz w:val="24"/>
          <w:szCs w:val="24"/>
        </w:rPr>
        <w:t xml:space="preserve">. </w:t>
      </w:r>
      <w:r w:rsidR="00AB0FCA" w:rsidRPr="00AB0FCA">
        <w:rPr>
          <w:sz w:val="24"/>
          <w:szCs w:val="24"/>
        </w:rPr>
        <w:t>The current ED does not have the space needed for a care team to perform any patient evaluations or provide any initial care, such as vitals, specimen collection, electrocardiograms, medication administration, and other services needed to treat and discharge Level 5 acuity patients who do not require a treatment room.</w:t>
      </w:r>
      <w:r w:rsidR="003134EE">
        <w:rPr>
          <w:sz w:val="24"/>
          <w:szCs w:val="24"/>
        </w:rPr>
        <w:t xml:space="preserve"> </w:t>
      </w:r>
      <w:r w:rsidR="003134EE" w:rsidRPr="003134EE">
        <w:rPr>
          <w:sz w:val="24"/>
          <w:szCs w:val="24"/>
        </w:rPr>
        <w:t xml:space="preserve">The current ED features only 36 treatment spaces across a combination of private, double, and curtained spaces. Without fully walled private rooms, the majority of patients are not </w:t>
      </w:r>
      <w:r w:rsidR="00AF3DD9" w:rsidRPr="003134EE">
        <w:rPr>
          <w:sz w:val="24"/>
          <w:szCs w:val="24"/>
        </w:rPr>
        <w:t>provided with</w:t>
      </w:r>
      <w:r w:rsidR="003134EE" w:rsidRPr="003134EE">
        <w:rPr>
          <w:sz w:val="24"/>
          <w:szCs w:val="24"/>
        </w:rPr>
        <w:t xml:space="preserve"> adequate privacy during their evaluation, treatment, and discharge.</w:t>
      </w:r>
      <w:r>
        <w:rPr>
          <w:sz w:val="24"/>
          <w:szCs w:val="24"/>
        </w:rPr>
        <w:t xml:space="preserve"> </w:t>
      </w:r>
      <w:r w:rsidR="003C5F94" w:rsidRPr="00A90DD8">
        <w:rPr>
          <w:sz w:val="24"/>
          <w:szCs w:val="24"/>
        </w:rPr>
        <w:t xml:space="preserve">Space in the ED has also become limited due to the need for ancillary departments to be embedded within the ED. </w:t>
      </w:r>
      <w:r w:rsidR="008516AA" w:rsidRPr="00A90DD8">
        <w:rPr>
          <w:sz w:val="24"/>
          <w:szCs w:val="24"/>
        </w:rPr>
        <w:t>These ancillary staff</w:t>
      </w:r>
      <w:r w:rsidR="003C5F94" w:rsidRPr="00A90DD8">
        <w:rPr>
          <w:sz w:val="24"/>
          <w:szCs w:val="24"/>
        </w:rPr>
        <w:t xml:space="preserve"> do not have permanent office space, so conversations with patients and families are often conducted in front of others. </w:t>
      </w:r>
      <w:r w:rsidR="00A220AD" w:rsidRPr="002278B7">
        <w:rPr>
          <w:rFonts w:cs="Arial"/>
          <w:sz w:val="24"/>
          <w:szCs w:val="24"/>
        </w:rPr>
        <w:t xml:space="preserve">The Proposed Project will address the current ED’s insufficient space for </w:t>
      </w:r>
      <w:r w:rsidR="00B346FC">
        <w:rPr>
          <w:rFonts w:cs="Arial"/>
          <w:sz w:val="24"/>
          <w:szCs w:val="24"/>
        </w:rPr>
        <w:t xml:space="preserve">triage, as well as for </w:t>
      </w:r>
      <w:r w:rsidR="00A220AD" w:rsidRPr="002278B7">
        <w:rPr>
          <w:rFonts w:cs="Arial"/>
          <w:sz w:val="24"/>
          <w:szCs w:val="24"/>
        </w:rPr>
        <w:t>providers and ancillary staff to work. The proposed care team stations will be located in enclosed areas, ensuring adequate privacy as well as adequate space for necessary staff.</w:t>
      </w:r>
    </w:p>
    <w:p w14:paraId="36518923" w14:textId="36A8B5FC" w:rsidR="00C717FF" w:rsidRPr="0000184C" w:rsidRDefault="00E72821" w:rsidP="00A662DF">
      <w:pPr>
        <w:pStyle w:val="HBblj"/>
        <w:numPr>
          <w:ilvl w:val="0"/>
          <w:numId w:val="28"/>
        </w:numPr>
        <w:spacing w:after="0"/>
        <w:jc w:val="left"/>
        <w:rPr>
          <w:sz w:val="24"/>
          <w:szCs w:val="24"/>
        </w:rPr>
      </w:pPr>
      <w:r w:rsidRPr="00011A55">
        <w:rPr>
          <w:b/>
          <w:bCs/>
          <w:sz w:val="24"/>
          <w:szCs w:val="24"/>
        </w:rPr>
        <w:t>Patient Flow:</w:t>
      </w:r>
      <w:r>
        <w:rPr>
          <w:sz w:val="24"/>
          <w:szCs w:val="24"/>
        </w:rPr>
        <w:t xml:space="preserve"> Currently, </w:t>
      </w:r>
      <w:r w:rsidR="0000184C" w:rsidRPr="003C5F94">
        <w:rPr>
          <w:sz w:val="24"/>
          <w:szCs w:val="24"/>
        </w:rPr>
        <w:t>the Hospital’s main registration is located within the ED</w:t>
      </w:r>
      <w:r w:rsidR="000D3280">
        <w:rPr>
          <w:sz w:val="24"/>
          <w:szCs w:val="24"/>
        </w:rPr>
        <w:t>,</w:t>
      </w:r>
      <w:r w:rsidR="0000184C" w:rsidRPr="003C5F94">
        <w:rPr>
          <w:sz w:val="24"/>
          <w:szCs w:val="24"/>
        </w:rPr>
        <w:t xml:space="preserve"> which not only causes confusion for patients and visitors, but also brings more traffic and congestion to the ED than necessary. </w:t>
      </w:r>
      <w:r w:rsidR="00D21FBE">
        <w:rPr>
          <w:sz w:val="24"/>
          <w:szCs w:val="24"/>
        </w:rPr>
        <w:t xml:space="preserve">The </w:t>
      </w:r>
      <w:r w:rsidR="000D3280">
        <w:rPr>
          <w:sz w:val="24"/>
          <w:szCs w:val="24"/>
        </w:rPr>
        <w:t>A</w:t>
      </w:r>
      <w:r w:rsidR="00292F51" w:rsidRPr="0000184C">
        <w:rPr>
          <w:sz w:val="24"/>
          <w:szCs w:val="24"/>
        </w:rPr>
        <w:t xml:space="preserve">pplicant states that </w:t>
      </w:r>
      <w:r w:rsidR="00AF3DD9" w:rsidRPr="0000184C">
        <w:rPr>
          <w:sz w:val="24"/>
          <w:szCs w:val="24"/>
        </w:rPr>
        <w:t>the Proposed</w:t>
      </w:r>
      <w:r w:rsidR="00292F51" w:rsidRPr="0000184C">
        <w:rPr>
          <w:sz w:val="24"/>
          <w:szCs w:val="24"/>
        </w:rPr>
        <w:t xml:space="preserve"> Project will improve front-end flow via a large waiting area for both patients and visitors. The entrance will be dedicated to ED patients</w:t>
      </w:r>
      <w:r w:rsidR="00C24BD6" w:rsidRPr="0000184C">
        <w:rPr>
          <w:sz w:val="24"/>
          <w:szCs w:val="24"/>
        </w:rPr>
        <w:t xml:space="preserve"> </w:t>
      </w:r>
      <w:r w:rsidR="00292F51" w:rsidRPr="0000184C">
        <w:rPr>
          <w:sz w:val="24"/>
          <w:szCs w:val="24"/>
        </w:rPr>
        <w:t>and will no longer be shared with the Hospital’s main registration.</w:t>
      </w:r>
      <w:r w:rsidR="00AE765A" w:rsidRPr="0000184C">
        <w:rPr>
          <w:sz w:val="24"/>
          <w:szCs w:val="24"/>
        </w:rPr>
        <w:t xml:space="preserve"> Patients of the ED will be greeted by a Registered Nurse and a registration coordinator to ensure the immediate management of critical complaints. The expanded triage area will include a front-end team of clinical staff members, including an Advanced Practice Nurse (“AP</w:t>
      </w:r>
      <w:r w:rsidR="00BF1F28">
        <w:rPr>
          <w:sz w:val="24"/>
          <w:szCs w:val="24"/>
        </w:rPr>
        <w:t>R</w:t>
      </w:r>
      <w:r w:rsidR="00AE765A" w:rsidRPr="0000184C">
        <w:rPr>
          <w:sz w:val="24"/>
          <w:szCs w:val="24"/>
        </w:rPr>
        <w:t xml:space="preserve">N”), a Registered Nurse (“RN”), and ED Technician (“EDT”) who will be available to triage, manage, and treat lower acuity patients immediately, as well as begin work-ups on higher acuity patients. </w:t>
      </w:r>
    </w:p>
    <w:p w14:paraId="54F5E5B5" w14:textId="03D4B81E" w:rsidR="00DC5BC2" w:rsidRDefault="00D21FBE" w:rsidP="00A662DF">
      <w:pPr>
        <w:pStyle w:val="HBblj"/>
        <w:numPr>
          <w:ilvl w:val="0"/>
          <w:numId w:val="28"/>
        </w:numPr>
        <w:spacing w:after="0"/>
        <w:jc w:val="left"/>
        <w:rPr>
          <w:rFonts w:cs="Arial"/>
          <w:sz w:val="24"/>
          <w:szCs w:val="24"/>
        </w:rPr>
      </w:pPr>
      <w:r w:rsidRPr="00011A55">
        <w:rPr>
          <w:rFonts w:cs="Arial"/>
          <w:b/>
          <w:bCs/>
          <w:sz w:val="24"/>
          <w:szCs w:val="24"/>
        </w:rPr>
        <w:t>Efficiency:</w:t>
      </w:r>
      <w:r>
        <w:rPr>
          <w:rFonts w:cs="Arial"/>
          <w:sz w:val="24"/>
          <w:szCs w:val="24"/>
        </w:rPr>
        <w:t xml:space="preserve"> </w:t>
      </w:r>
      <w:r w:rsidR="00C717FF" w:rsidRPr="00D83CE2">
        <w:rPr>
          <w:rFonts w:cs="Arial"/>
          <w:sz w:val="24"/>
          <w:szCs w:val="24"/>
        </w:rPr>
        <w:t xml:space="preserve">The </w:t>
      </w:r>
      <w:r w:rsidR="00D933AF" w:rsidRPr="00D83CE2">
        <w:rPr>
          <w:rFonts w:cs="Arial"/>
          <w:sz w:val="24"/>
          <w:szCs w:val="24"/>
        </w:rPr>
        <w:t>two trauma rooms</w:t>
      </w:r>
      <w:r w:rsidR="00567FD5">
        <w:rPr>
          <w:rFonts w:cs="Arial"/>
          <w:sz w:val="24"/>
          <w:szCs w:val="24"/>
        </w:rPr>
        <w:t xml:space="preserve"> </w:t>
      </w:r>
      <w:r w:rsidR="00D933AF" w:rsidRPr="00D83CE2">
        <w:rPr>
          <w:rFonts w:cs="Arial"/>
          <w:sz w:val="24"/>
          <w:szCs w:val="24"/>
        </w:rPr>
        <w:t>within the ED</w:t>
      </w:r>
      <w:r w:rsidR="00D83CE2" w:rsidRPr="00D83CE2">
        <w:rPr>
          <w:rFonts w:cs="Arial"/>
          <w:sz w:val="24"/>
          <w:szCs w:val="24"/>
        </w:rPr>
        <w:t xml:space="preserve"> </w:t>
      </w:r>
      <w:r w:rsidR="00567FD5">
        <w:rPr>
          <w:rFonts w:cs="Arial"/>
          <w:sz w:val="24"/>
          <w:szCs w:val="24"/>
        </w:rPr>
        <w:t>in</w:t>
      </w:r>
      <w:r w:rsidR="00D83CE2" w:rsidRPr="00D83CE2">
        <w:rPr>
          <w:rFonts w:cs="Arial"/>
          <w:sz w:val="24"/>
          <w:szCs w:val="24"/>
        </w:rPr>
        <w:t xml:space="preserve"> the Proposed Project </w:t>
      </w:r>
      <w:r w:rsidR="00C717FF" w:rsidRPr="00D83CE2">
        <w:rPr>
          <w:rFonts w:cs="Arial"/>
          <w:sz w:val="24"/>
          <w:szCs w:val="24"/>
        </w:rPr>
        <w:t xml:space="preserve">will be located near the ambulance bay and the elevators to the helipad, </w:t>
      </w:r>
      <w:r w:rsidR="00567FD5">
        <w:rPr>
          <w:rFonts w:cs="Arial"/>
          <w:sz w:val="24"/>
          <w:szCs w:val="24"/>
        </w:rPr>
        <w:t>eliminating the need for</w:t>
      </w:r>
      <w:r w:rsidR="00C717FF" w:rsidRPr="00D83CE2">
        <w:rPr>
          <w:rFonts w:cs="Arial"/>
          <w:sz w:val="24"/>
          <w:szCs w:val="24"/>
        </w:rPr>
        <w:t xml:space="preserve"> trauma patients to transverse the entire ED.</w:t>
      </w:r>
      <w:r w:rsidR="00A16CC5">
        <w:rPr>
          <w:rFonts w:cs="Arial"/>
          <w:sz w:val="24"/>
          <w:szCs w:val="24"/>
        </w:rPr>
        <w:t xml:space="preserve"> </w:t>
      </w:r>
      <w:r w:rsidR="00A16CC5" w:rsidRPr="00D83CE2">
        <w:rPr>
          <w:rFonts w:cs="Arial"/>
          <w:sz w:val="24"/>
          <w:szCs w:val="24"/>
        </w:rPr>
        <w:t xml:space="preserve">Currently, </w:t>
      </w:r>
      <w:r w:rsidR="00A16CC5">
        <w:rPr>
          <w:rFonts w:cs="Arial"/>
          <w:sz w:val="24"/>
          <w:szCs w:val="24"/>
        </w:rPr>
        <w:t xml:space="preserve">ED </w:t>
      </w:r>
      <w:r w:rsidR="00A16CC5" w:rsidRPr="00D83CE2">
        <w:rPr>
          <w:rFonts w:cs="Arial"/>
          <w:sz w:val="24"/>
          <w:szCs w:val="24"/>
        </w:rPr>
        <w:t>patients who require x-rays or CT must be transported out of the ED and through the hospital, which requires additional staffing resources and delays diagnosis and treatment.</w:t>
      </w:r>
      <w:r w:rsidR="00A16CC5">
        <w:rPr>
          <w:rFonts w:cs="Arial"/>
          <w:sz w:val="24"/>
          <w:szCs w:val="24"/>
        </w:rPr>
        <w:t xml:space="preserve"> </w:t>
      </w:r>
      <w:r w:rsidR="00C717FF" w:rsidRPr="00D83CE2">
        <w:rPr>
          <w:rFonts w:cs="Arial"/>
          <w:sz w:val="24"/>
          <w:szCs w:val="24"/>
        </w:rPr>
        <w:t xml:space="preserve">Another design </w:t>
      </w:r>
      <w:r w:rsidR="00C717FF" w:rsidRPr="00D83CE2">
        <w:rPr>
          <w:rFonts w:cs="Arial"/>
          <w:sz w:val="24"/>
          <w:szCs w:val="24"/>
        </w:rPr>
        <w:lastRenderedPageBreak/>
        <w:t>feature of the new ED will be the addition of an imaging suite</w:t>
      </w:r>
      <w:r w:rsidR="009C6174">
        <w:rPr>
          <w:rFonts w:cs="Arial"/>
          <w:sz w:val="24"/>
          <w:szCs w:val="24"/>
        </w:rPr>
        <w:t xml:space="preserve"> </w:t>
      </w:r>
      <w:r w:rsidR="002B7FCE">
        <w:rPr>
          <w:rFonts w:cs="Arial"/>
          <w:sz w:val="24"/>
          <w:szCs w:val="24"/>
        </w:rPr>
        <w:t>within the ED</w:t>
      </w:r>
      <w:r w:rsidR="00C717FF" w:rsidRPr="00D83CE2">
        <w:rPr>
          <w:rFonts w:cs="Arial"/>
          <w:sz w:val="24"/>
          <w:szCs w:val="24"/>
        </w:rPr>
        <w:t xml:space="preserve">. Embedding imaging within the ED will contribute to expedited diagnosis and care pathway </w:t>
      </w:r>
      <w:r w:rsidR="00CC4DB3" w:rsidRPr="00D83CE2">
        <w:rPr>
          <w:rFonts w:cs="Arial"/>
          <w:sz w:val="24"/>
          <w:szCs w:val="24"/>
        </w:rPr>
        <w:t>determination,</w:t>
      </w:r>
      <w:r w:rsidR="00C717FF" w:rsidRPr="00D83CE2">
        <w:rPr>
          <w:rFonts w:cs="Arial"/>
          <w:sz w:val="24"/>
          <w:szCs w:val="24"/>
        </w:rPr>
        <w:t xml:space="preserve"> contributing to </w:t>
      </w:r>
      <w:r w:rsidR="00C717FF" w:rsidRPr="002278B7">
        <w:rPr>
          <w:rFonts w:cs="Arial"/>
          <w:sz w:val="24"/>
          <w:szCs w:val="24"/>
        </w:rPr>
        <w:t>better throughput.</w:t>
      </w:r>
      <w:r w:rsidR="00A220AD">
        <w:rPr>
          <w:rFonts w:cs="Arial"/>
          <w:sz w:val="24"/>
          <w:szCs w:val="24"/>
        </w:rPr>
        <w:t xml:space="preserve"> </w:t>
      </w:r>
      <w:r w:rsidR="002278B7" w:rsidRPr="00A220AD">
        <w:rPr>
          <w:rFonts w:cs="Arial"/>
          <w:sz w:val="24"/>
          <w:szCs w:val="24"/>
        </w:rPr>
        <w:t>Additionally, the new space will provide for improved co-location of hospitalists, ED providers, and nursing alongside case management and the ED pharmacist to facilitate better communications regarding patient care, including medication management, diagnosis, and disposition, and will improve time to determination of appropriate disposition and discharge.</w:t>
      </w:r>
    </w:p>
    <w:p w14:paraId="27ED36EF" w14:textId="77777777" w:rsidR="00AB7578" w:rsidRPr="00A220AD" w:rsidRDefault="00AB7578" w:rsidP="00AB7578">
      <w:pPr>
        <w:pStyle w:val="HBblj"/>
        <w:spacing w:after="0"/>
        <w:ind w:left="360"/>
        <w:jc w:val="left"/>
        <w:rPr>
          <w:rFonts w:cs="Arial"/>
          <w:sz w:val="24"/>
          <w:szCs w:val="24"/>
        </w:rPr>
      </w:pPr>
    </w:p>
    <w:p w14:paraId="304038D1" w14:textId="535AE7FE" w:rsidR="00C717FF" w:rsidRPr="003360E2" w:rsidRDefault="00FF6443" w:rsidP="00A662DF">
      <w:pPr>
        <w:pStyle w:val="HBblj"/>
        <w:spacing w:after="0"/>
        <w:jc w:val="left"/>
        <w:rPr>
          <w:rFonts w:cs="Arial"/>
          <w:sz w:val="24"/>
          <w:szCs w:val="24"/>
        </w:rPr>
      </w:pPr>
      <w:r w:rsidRPr="0C8BC4C9">
        <w:rPr>
          <w:rFonts w:cs="Arial"/>
          <w:sz w:val="24"/>
          <w:szCs w:val="24"/>
        </w:rPr>
        <w:t xml:space="preserve">The Applicant asserts that the ED expansion will not only enhance patient privacy and safety but will also streamline operations and reduce wait times. </w:t>
      </w:r>
      <w:r w:rsidR="00011A55">
        <w:rPr>
          <w:rFonts w:cs="Arial"/>
          <w:sz w:val="24"/>
          <w:szCs w:val="24"/>
        </w:rPr>
        <w:t>T</w:t>
      </w:r>
      <w:r w:rsidRPr="0C8BC4C9">
        <w:rPr>
          <w:rFonts w:cs="Arial"/>
          <w:sz w:val="24"/>
          <w:szCs w:val="24"/>
        </w:rPr>
        <w:t>he new ED will significantly enhance patient experience and operational efficiency.</w:t>
      </w:r>
    </w:p>
    <w:p w14:paraId="28E8D26F" w14:textId="77777777" w:rsidR="00D276EB" w:rsidRPr="00DC5BC2" w:rsidRDefault="00D276EB" w:rsidP="00D276EB">
      <w:pPr>
        <w:spacing w:after="0" w:line="240" w:lineRule="auto"/>
        <w:rPr>
          <w:sz w:val="24"/>
          <w:szCs w:val="24"/>
        </w:rPr>
      </w:pPr>
    </w:p>
    <w:p w14:paraId="7616FFA7" w14:textId="77777777" w:rsidR="00D276EB" w:rsidRPr="00DC5BC2" w:rsidRDefault="00D276EB" w:rsidP="00D276EB">
      <w:pPr>
        <w:spacing w:after="0" w:line="240" w:lineRule="auto"/>
        <w:rPr>
          <w:b/>
          <w:bCs/>
          <w:i/>
          <w:iCs/>
          <w:sz w:val="24"/>
          <w:szCs w:val="24"/>
        </w:rPr>
      </w:pPr>
      <w:r w:rsidRPr="00DC5BC2">
        <w:rPr>
          <w:b/>
          <w:bCs/>
          <w:i/>
          <w:iCs/>
          <w:sz w:val="24"/>
          <w:szCs w:val="24"/>
        </w:rPr>
        <w:t>Analysis</w:t>
      </w:r>
    </w:p>
    <w:p w14:paraId="605AA552" w14:textId="3DD05F2E" w:rsidR="001135C3" w:rsidRPr="00DC5BC2" w:rsidRDefault="006C52C8" w:rsidP="00A662DF">
      <w:pPr>
        <w:spacing w:after="0" w:line="240" w:lineRule="auto"/>
        <w:rPr>
          <w:rFonts w:eastAsia="Calibri" w:cstheme="minorHAnsi"/>
          <w:sz w:val="24"/>
          <w:szCs w:val="24"/>
        </w:rPr>
      </w:pPr>
      <w:r w:rsidRPr="00DC5BC2">
        <w:rPr>
          <w:rFonts w:eastAsia="Calibri" w:cstheme="minorHAnsi"/>
          <w:sz w:val="24"/>
          <w:szCs w:val="24"/>
        </w:rPr>
        <w:t xml:space="preserve">Staff finds that the Applicant has demonstrated sufficient need for </w:t>
      </w:r>
      <w:r w:rsidR="00862D58" w:rsidRPr="00DC5BC2">
        <w:rPr>
          <w:rFonts w:eastAsia="Calibri" w:cstheme="minorHAnsi"/>
          <w:sz w:val="24"/>
          <w:szCs w:val="24"/>
        </w:rPr>
        <w:t xml:space="preserve">ED expansion </w:t>
      </w:r>
      <w:r w:rsidRPr="00DC5BC2">
        <w:rPr>
          <w:rFonts w:eastAsia="Calibri" w:cstheme="minorHAnsi"/>
          <w:sz w:val="24"/>
          <w:szCs w:val="24"/>
        </w:rPr>
        <w:t xml:space="preserve">to address the </w:t>
      </w:r>
      <w:r w:rsidR="00862D58" w:rsidRPr="00DC5BC2">
        <w:rPr>
          <w:rFonts w:eastAsia="Calibri" w:cstheme="minorHAnsi"/>
          <w:sz w:val="24"/>
          <w:szCs w:val="24"/>
        </w:rPr>
        <w:t xml:space="preserve">growing </w:t>
      </w:r>
      <w:r w:rsidR="00946892" w:rsidRPr="00DC5BC2">
        <w:rPr>
          <w:rFonts w:eastAsia="Calibri" w:cstheme="minorHAnsi"/>
          <w:sz w:val="24"/>
          <w:szCs w:val="24"/>
        </w:rPr>
        <w:t>volume of annual visits to the ED</w:t>
      </w:r>
      <w:r w:rsidR="00473AEB" w:rsidRPr="00DC5BC2">
        <w:rPr>
          <w:rFonts w:eastAsia="Calibri" w:cstheme="minorHAnsi"/>
          <w:sz w:val="24"/>
          <w:szCs w:val="24"/>
        </w:rPr>
        <w:t xml:space="preserve">. </w:t>
      </w:r>
      <w:r w:rsidR="00D1042B" w:rsidRPr="00DC5BC2">
        <w:rPr>
          <w:rFonts w:eastAsia="Calibri" w:cstheme="minorHAnsi"/>
          <w:sz w:val="24"/>
          <w:szCs w:val="24"/>
        </w:rPr>
        <w:t>The</w:t>
      </w:r>
      <w:r w:rsidRPr="00DC5BC2">
        <w:rPr>
          <w:rFonts w:eastAsia="Calibri" w:cstheme="minorHAnsi"/>
          <w:sz w:val="24"/>
          <w:szCs w:val="24"/>
        </w:rPr>
        <w:t xml:space="preserve"> Proposed Project will </w:t>
      </w:r>
      <w:r w:rsidR="00AC0839" w:rsidRPr="00DC5BC2">
        <w:rPr>
          <w:rFonts w:eastAsia="Calibri" w:cstheme="minorHAnsi"/>
          <w:sz w:val="24"/>
          <w:szCs w:val="24"/>
        </w:rPr>
        <w:t xml:space="preserve">allow </w:t>
      </w:r>
      <w:r w:rsidRPr="00DC5BC2">
        <w:rPr>
          <w:rFonts w:eastAsia="Calibri" w:cstheme="minorHAnsi"/>
          <w:sz w:val="24"/>
          <w:szCs w:val="24"/>
        </w:rPr>
        <w:t xml:space="preserve">the Applicant to meet the current and future </w:t>
      </w:r>
      <w:r w:rsidR="00473AEB" w:rsidRPr="00DC5BC2">
        <w:rPr>
          <w:rFonts w:eastAsia="Calibri" w:cstheme="minorHAnsi"/>
          <w:sz w:val="24"/>
          <w:szCs w:val="24"/>
        </w:rPr>
        <w:t>increase in the number of patients seeking moderate to high acuity care that can</w:t>
      </w:r>
      <w:r w:rsidR="00357045" w:rsidRPr="00DC5BC2">
        <w:rPr>
          <w:rFonts w:eastAsia="Calibri" w:cstheme="minorHAnsi"/>
          <w:sz w:val="24"/>
          <w:szCs w:val="24"/>
        </w:rPr>
        <w:t>not be diverted to lower acuity settings</w:t>
      </w:r>
      <w:r w:rsidRPr="00DC5BC2">
        <w:rPr>
          <w:rFonts w:eastAsia="Calibri" w:cstheme="minorHAnsi"/>
          <w:sz w:val="24"/>
          <w:szCs w:val="24"/>
        </w:rPr>
        <w:t xml:space="preserve">. </w:t>
      </w:r>
      <w:r w:rsidR="00357045" w:rsidRPr="00DC5BC2">
        <w:rPr>
          <w:rFonts w:eastAsia="Calibri" w:cstheme="minorHAnsi"/>
          <w:sz w:val="24"/>
          <w:szCs w:val="24"/>
        </w:rPr>
        <w:t xml:space="preserve">The </w:t>
      </w:r>
      <w:r w:rsidR="00F31194" w:rsidRPr="00DC5BC2">
        <w:rPr>
          <w:rFonts w:eastAsia="Calibri" w:cstheme="minorHAnsi"/>
          <w:sz w:val="24"/>
          <w:szCs w:val="24"/>
        </w:rPr>
        <w:t>expansion would allow for greater access to emergency Behavioral Health assessment and treatment in the region</w:t>
      </w:r>
      <w:r w:rsidR="000A1751" w:rsidRPr="00DC5BC2">
        <w:rPr>
          <w:rFonts w:eastAsia="Calibri" w:cstheme="minorHAnsi"/>
          <w:sz w:val="24"/>
          <w:szCs w:val="24"/>
        </w:rPr>
        <w:t>,</w:t>
      </w:r>
      <w:r w:rsidR="006E2A42" w:rsidRPr="00DC5BC2">
        <w:rPr>
          <w:rFonts w:eastAsia="Calibri" w:cstheme="minorHAnsi"/>
          <w:sz w:val="24"/>
          <w:szCs w:val="24"/>
        </w:rPr>
        <w:t xml:space="preserve"> and has the potential to reduce wait times for all ED patients.</w:t>
      </w:r>
      <w:r w:rsidR="007C5B2D" w:rsidRPr="00DC5BC2">
        <w:rPr>
          <w:rFonts w:eastAsia="Calibri" w:cstheme="minorHAnsi"/>
          <w:sz w:val="24"/>
          <w:szCs w:val="24"/>
        </w:rPr>
        <w:t xml:space="preserve"> </w:t>
      </w:r>
      <w:r w:rsidR="0096085D" w:rsidRPr="00DC5BC2">
        <w:rPr>
          <w:rFonts w:eastAsia="Calibri" w:cstheme="minorHAnsi"/>
          <w:sz w:val="24"/>
          <w:szCs w:val="24"/>
        </w:rPr>
        <w:t xml:space="preserve">As </w:t>
      </w:r>
      <w:r w:rsidR="005E2209" w:rsidRPr="00DC5BC2">
        <w:rPr>
          <w:rFonts w:eastAsia="Calibri" w:cstheme="minorHAnsi"/>
          <w:sz w:val="24"/>
          <w:szCs w:val="24"/>
        </w:rPr>
        <w:t>a result, Staff finds that the Proposed Project meets the requirements of Factor 1a.</w:t>
      </w:r>
    </w:p>
    <w:p w14:paraId="726F8F0D" w14:textId="77777777" w:rsidR="006E2A42" w:rsidRPr="00E20DEA" w:rsidRDefault="006E2A42" w:rsidP="00A662DF">
      <w:pPr>
        <w:spacing w:after="0" w:line="240" w:lineRule="auto"/>
        <w:rPr>
          <w:rFonts w:eastAsia="Calibri" w:cstheme="minorHAnsi"/>
          <w:sz w:val="24"/>
          <w:szCs w:val="24"/>
          <w:highlight w:val="yellow"/>
        </w:rPr>
      </w:pPr>
    </w:p>
    <w:p w14:paraId="55B52D9C" w14:textId="76D37FEB" w:rsidR="003E1CDA" w:rsidRPr="00122B7A" w:rsidRDefault="007D6615" w:rsidP="00A662DF">
      <w:pPr>
        <w:pStyle w:val="Heading1"/>
        <w:spacing w:before="0" w:line="240" w:lineRule="auto"/>
      </w:pPr>
      <w:bookmarkStart w:id="8" w:name="_Toc192247630"/>
      <w:r w:rsidRPr="00122B7A">
        <w:t>F</w:t>
      </w:r>
      <w:r w:rsidR="003E1CDA" w:rsidRPr="00122B7A">
        <w:t>actor 1: b) Public Health Value</w:t>
      </w:r>
      <w:r w:rsidR="006F12E9" w:rsidRPr="00122B7A">
        <w:t xml:space="preserve"> through</w:t>
      </w:r>
      <w:r w:rsidR="003E1CDA" w:rsidRPr="00122B7A">
        <w:t xml:space="preserve"> Improved Health Outcomes </w:t>
      </w:r>
      <w:r w:rsidR="007D602B" w:rsidRPr="00122B7A">
        <w:t>and</w:t>
      </w:r>
      <w:r w:rsidR="003E1CDA" w:rsidRPr="00122B7A">
        <w:t xml:space="preserve"> Quality Of Life; Assurances Of Health Equity</w:t>
      </w:r>
      <w:bookmarkEnd w:id="8"/>
    </w:p>
    <w:p w14:paraId="2128ACF9" w14:textId="1A9D9AA2" w:rsidR="003568F4" w:rsidRPr="00122B7A" w:rsidRDefault="00477A2E" w:rsidP="00A662DF">
      <w:pPr>
        <w:autoSpaceDE w:val="0"/>
        <w:autoSpaceDN w:val="0"/>
        <w:adjustRightInd w:val="0"/>
        <w:spacing w:after="0" w:line="240" w:lineRule="auto"/>
        <w:rPr>
          <w:rFonts w:cstheme="minorHAnsi"/>
          <w:color w:val="000000"/>
          <w:sz w:val="24"/>
          <w:szCs w:val="24"/>
        </w:rPr>
      </w:pPr>
      <w:r w:rsidRPr="00122B7A">
        <w:rPr>
          <w:rFonts w:cstheme="minorHAnsi"/>
          <w:color w:val="000000"/>
          <w:sz w:val="24"/>
          <w:szCs w:val="24"/>
        </w:rPr>
        <w:t>In</w:t>
      </w:r>
      <w:r w:rsidRPr="00122B7A">
        <w:rPr>
          <w:rFonts w:cstheme="minorHAnsi"/>
          <w:sz w:val="24"/>
          <w:szCs w:val="24"/>
        </w:rPr>
        <w:t xml:space="preserve"> this section</w:t>
      </w:r>
      <w:r w:rsidR="006B437E" w:rsidRPr="00122B7A">
        <w:rPr>
          <w:rFonts w:cstheme="minorHAnsi"/>
          <w:sz w:val="24"/>
          <w:szCs w:val="24"/>
        </w:rPr>
        <w:t>,</w:t>
      </w:r>
      <w:r w:rsidRPr="00122B7A">
        <w:rPr>
          <w:rFonts w:cstheme="minorHAnsi"/>
          <w:sz w:val="24"/>
          <w:szCs w:val="24"/>
        </w:rPr>
        <w:t xml:space="preserve"> staff will assess if the Proposed Project </w:t>
      </w:r>
      <w:r w:rsidRPr="00122B7A">
        <w:rPr>
          <w:rFonts w:cstheme="minorHAnsi"/>
          <w:color w:val="000000"/>
          <w:sz w:val="24"/>
          <w:szCs w:val="24"/>
        </w:rPr>
        <w:t xml:space="preserve">adds measurable public health value in terms of improved health outcomes and quality of life for the Applicant’s existing Patient Panel, while providing reasonable assurances of health equity. </w:t>
      </w:r>
    </w:p>
    <w:p w14:paraId="6B9128E9" w14:textId="77777777" w:rsidR="00A662DF" w:rsidRPr="00122B7A" w:rsidRDefault="00A662DF" w:rsidP="00A662DF">
      <w:pPr>
        <w:autoSpaceDE w:val="0"/>
        <w:autoSpaceDN w:val="0"/>
        <w:adjustRightInd w:val="0"/>
        <w:spacing w:after="0" w:line="240" w:lineRule="auto"/>
        <w:rPr>
          <w:rFonts w:cstheme="minorHAnsi"/>
          <w:color w:val="000000"/>
          <w:sz w:val="24"/>
          <w:szCs w:val="24"/>
        </w:rPr>
      </w:pPr>
    </w:p>
    <w:p w14:paraId="4A8C41CF" w14:textId="2CB20374" w:rsidR="005259F8" w:rsidRPr="00122B7A" w:rsidRDefault="004B6352" w:rsidP="00A662DF">
      <w:pPr>
        <w:spacing w:after="0" w:line="240" w:lineRule="auto"/>
        <w:rPr>
          <w:sz w:val="24"/>
          <w:szCs w:val="24"/>
        </w:rPr>
      </w:pPr>
      <w:r w:rsidRPr="00122B7A">
        <w:rPr>
          <w:b/>
          <w:bCs/>
          <w:sz w:val="24"/>
          <w:szCs w:val="24"/>
        </w:rPr>
        <w:t>Health</w:t>
      </w:r>
      <w:r w:rsidR="005259F8" w:rsidRPr="00122B7A">
        <w:rPr>
          <w:b/>
          <w:bCs/>
          <w:sz w:val="24"/>
          <w:szCs w:val="24"/>
        </w:rPr>
        <w:t xml:space="preserve"> outcomes and quality of life</w:t>
      </w:r>
    </w:p>
    <w:p w14:paraId="48EB6A6F" w14:textId="3007932B" w:rsidR="003568F4" w:rsidRPr="00122B7A" w:rsidRDefault="006E42B6" w:rsidP="0002054A">
      <w:pPr>
        <w:pStyle w:val="BodyText"/>
        <w:widowControl/>
        <w:spacing w:before="0"/>
        <w:ind w:left="14"/>
        <w:rPr>
          <w:rFonts w:asciiTheme="minorHAnsi" w:hAnsiTheme="minorHAnsi" w:cstheme="minorHAnsi"/>
          <w:bCs/>
          <w:kern w:val="2"/>
          <w:sz w:val="24"/>
          <w:szCs w:val="24"/>
        </w:rPr>
      </w:pPr>
      <w:r w:rsidRPr="00122B7A">
        <w:rPr>
          <w:rFonts w:asciiTheme="minorHAnsi" w:hAnsiTheme="minorHAnsi" w:cstheme="minorHAnsi"/>
          <w:bCs/>
          <w:kern w:val="2"/>
          <w:sz w:val="24"/>
          <w:szCs w:val="24"/>
        </w:rPr>
        <w:t>By expanding the ED, t</w:t>
      </w:r>
      <w:r w:rsidR="003568F4" w:rsidRPr="00122B7A">
        <w:rPr>
          <w:rFonts w:asciiTheme="minorHAnsi" w:hAnsiTheme="minorHAnsi" w:cstheme="minorHAnsi"/>
          <w:bCs/>
          <w:kern w:val="2"/>
          <w:sz w:val="24"/>
          <w:szCs w:val="24"/>
        </w:rPr>
        <w:t xml:space="preserve">he Proposed Project </w:t>
      </w:r>
      <w:r w:rsidR="000B06A1" w:rsidRPr="00122B7A">
        <w:rPr>
          <w:rFonts w:asciiTheme="minorHAnsi" w:hAnsiTheme="minorHAnsi" w:cstheme="minorHAnsi"/>
          <w:bCs/>
          <w:kern w:val="2"/>
          <w:sz w:val="24"/>
          <w:szCs w:val="24"/>
        </w:rPr>
        <w:t xml:space="preserve">will allow </w:t>
      </w:r>
      <w:r w:rsidR="00122B7A" w:rsidRPr="00122B7A">
        <w:rPr>
          <w:rFonts w:asciiTheme="minorHAnsi" w:hAnsiTheme="minorHAnsi" w:cstheme="minorHAnsi"/>
          <w:bCs/>
          <w:kern w:val="2"/>
          <w:sz w:val="24"/>
          <w:szCs w:val="24"/>
        </w:rPr>
        <w:t>the Hospital</w:t>
      </w:r>
      <w:r w:rsidR="000B06A1" w:rsidRPr="00122B7A">
        <w:rPr>
          <w:rFonts w:asciiTheme="minorHAnsi" w:hAnsiTheme="minorHAnsi" w:cstheme="minorHAnsi"/>
          <w:bCs/>
          <w:kern w:val="2"/>
          <w:sz w:val="24"/>
          <w:szCs w:val="24"/>
        </w:rPr>
        <w:t xml:space="preserve"> </w:t>
      </w:r>
      <w:r w:rsidR="00122B7A" w:rsidRPr="00122B7A">
        <w:rPr>
          <w:rFonts w:asciiTheme="minorHAnsi" w:hAnsiTheme="minorHAnsi" w:cstheme="minorHAnsi"/>
          <w:bCs/>
          <w:kern w:val="2"/>
          <w:sz w:val="24"/>
          <w:szCs w:val="24"/>
        </w:rPr>
        <w:t xml:space="preserve">to </w:t>
      </w:r>
      <w:r w:rsidR="00D11FC3" w:rsidRPr="00122B7A">
        <w:rPr>
          <w:rFonts w:asciiTheme="minorHAnsi" w:hAnsiTheme="minorHAnsi" w:cstheme="minorHAnsi"/>
          <w:bCs/>
          <w:kern w:val="2"/>
          <w:sz w:val="24"/>
          <w:szCs w:val="24"/>
        </w:rPr>
        <w:t>provide</w:t>
      </w:r>
      <w:r w:rsidR="00D1265B">
        <w:rPr>
          <w:rFonts w:asciiTheme="minorHAnsi" w:hAnsiTheme="minorHAnsi" w:cstheme="minorHAnsi"/>
          <w:bCs/>
          <w:kern w:val="2"/>
          <w:sz w:val="24"/>
          <w:szCs w:val="24"/>
        </w:rPr>
        <w:t xml:space="preserve"> a </w:t>
      </w:r>
      <w:r w:rsidR="00D11FC3" w:rsidRPr="00122B7A">
        <w:rPr>
          <w:rFonts w:asciiTheme="minorHAnsi" w:hAnsiTheme="minorHAnsi" w:cstheme="minorHAnsi"/>
          <w:bCs/>
          <w:kern w:val="2"/>
          <w:sz w:val="24"/>
          <w:szCs w:val="24"/>
        </w:rPr>
        <w:t>dedicated Behavioral Health unit within the ED</w:t>
      </w:r>
      <w:r w:rsidR="00122B7A" w:rsidRPr="00122B7A">
        <w:rPr>
          <w:rFonts w:asciiTheme="minorHAnsi" w:hAnsiTheme="minorHAnsi" w:cstheme="minorHAnsi"/>
          <w:bCs/>
          <w:kern w:val="2"/>
          <w:sz w:val="24"/>
          <w:szCs w:val="24"/>
        </w:rPr>
        <w:t>, and to improve health outcomes associated with overcrowding</w:t>
      </w:r>
      <w:r w:rsidR="006A4E02" w:rsidRPr="00122B7A">
        <w:rPr>
          <w:rFonts w:asciiTheme="minorHAnsi" w:hAnsiTheme="minorHAnsi" w:cstheme="minorHAnsi"/>
          <w:bCs/>
          <w:kern w:val="2"/>
          <w:sz w:val="24"/>
          <w:szCs w:val="24"/>
        </w:rPr>
        <w:t>.</w:t>
      </w:r>
      <w:r w:rsidR="00F3687E" w:rsidRPr="00122B7A">
        <w:rPr>
          <w:rFonts w:asciiTheme="minorHAnsi" w:hAnsiTheme="minorHAnsi" w:cstheme="minorHAnsi"/>
          <w:bCs/>
          <w:kern w:val="2"/>
          <w:sz w:val="24"/>
          <w:szCs w:val="24"/>
        </w:rPr>
        <w:t xml:space="preserve"> </w:t>
      </w:r>
    </w:p>
    <w:p w14:paraId="60A65E91" w14:textId="77777777" w:rsidR="00122B7A" w:rsidRPr="00B62B50" w:rsidRDefault="00122B7A" w:rsidP="00122B7A">
      <w:pPr>
        <w:widowControl w:val="0"/>
        <w:spacing w:after="0" w:line="240" w:lineRule="auto"/>
        <w:rPr>
          <w:rFonts w:eastAsia="Times New Roman" w:cstheme="minorHAnsi"/>
          <w:bCs/>
          <w:sz w:val="24"/>
          <w:szCs w:val="24"/>
        </w:rPr>
      </w:pPr>
    </w:p>
    <w:p w14:paraId="6986B8B7" w14:textId="77777777" w:rsidR="00122B7A" w:rsidRPr="00B62B50" w:rsidRDefault="00122B7A" w:rsidP="00122B7A">
      <w:pPr>
        <w:pStyle w:val="ListParagraph"/>
        <w:widowControl w:val="0"/>
        <w:numPr>
          <w:ilvl w:val="0"/>
          <w:numId w:val="5"/>
        </w:numPr>
        <w:spacing w:after="0" w:line="240" w:lineRule="auto"/>
        <w:rPr>
          <w:rFonts w:eastAsia="Times New Roman" w:cstheme="minorHAnsi"/>
          <w:b/>
          <w:i/>
          <w:iCs/>
          <w:sz w:val="24"/>
          <w:szCs w:val="24"/>
        </w:rPr>
      </w:pPr>
      <w:r w:rsidRPr="00B62B50">
        <w:rPr>
          <w:rFonts w:eastAsia="Times New Roman" w:cstheme="minorHAnsi"/>
          <w:b/>
          <w:i/>
          <w:iCs/>
          <w:sz w:val="24"/>
          <w:szCs w:val="24"/>
        </w:rPr>
        <w:t>Dedicated Behavioral Health Unit</w:t>
      </w:r>
    </w:p>
    <w:p w14:paraId="70692EBA" w14:textId="3A6E385A" w:rsidR="00122B7A" w:rsidRPr="00B62B50" w:rsidRDefault="00122B7A" w:rsidP="00122B7A">
      <w:pPr>
        <w:tabs>
          <w:tab w:val="left" w:pos="2073"/>
        </w:tabs>
        <w:spacing w:after="0" w:line="240" w:lineRule="auto"/>
        <w:ind w:left="360"/>
        <w:rPr>
          <w:sz w:val="24"/>
          <w:szCs w:val="24"/>
        </w:rPr>
      </w:pPr>
      <w:r w:rsidRPr="00B62B50">
        <w:rPr>
          <w:sz w:val="24"/>
          <w:szCs w:val="24"/>
        </w:rPr>
        <w:t>The Applicant cites literature stating that traditional EDs are not designed for the treatment of patients experiencing acute behavioral health emergencies. The chaos and confined spaces of an ED can be distressing, contribute to a patient’s anxiety, and may worsen the psychiatric symptoms for which the patient is seeking treatment.</w:t>
      </w:r>
      <w:r w:rsidRPr="00B62B50">
        <w:rPr>
          <w:rStyle w:val="EndnoteReference"/>
          <w:sz w:val="24"/>
          <w:szCs w:val="24"/>
        </w:rPr>
        <w:endnoteReference w:id="3"/>
      </w:r>
      <w:r w:rsidRPr="00B62B50">
        <w:rPr>
          <w:sz w:val="24"/>
          <w:szCs w:val="24"/>
        </w:rPr>
        <w:t xml:space="preserve"> Compounding the stressors of the ED’s physical environment, the loss of control many patients feel in the ED can result in an escalation of symptoms.</w:t>
      </w:r>
      <w:r w:rsidRPr="00B62B50">
        <w:rPr>
          <w:rStyle w:val="EndnoteReference"/>
          <w:sz w:val="24"/>
          <w:szCs w:val="24"/>
        </w:rPr>
        <w:endnoteReference w:id="4"/>
      </w:r>
      <w:r w:rsidRPr="00B62B50">
        <w:rPr>
          <w:sz w:val="24"/>
          <w:szCs w:val="24"/>
        </w:rPr>
        <w:t xml:space="preserve"> As a result, these patients may actually experience worsening symptoms and health outcomes. For behavioral health patients who seek care at the ED, the Applicant noted studies about best practices for EDs to promote a more beneficial experience and improve health outcomes. The first best practice is to create a quiet, calming, dedicated space separate from the main ED.</w:t>
      </w:r>
      <w:r w:rsidRPr="00B62B50">
        <w:rPr>
          <w:rStyle w:val="EndnoteReference"/>
          <w:sz w:val="24"/>
          <w:szCs w:val="24"/>
        </w:rPr>
        <w:endnoteReference w:id="5"/>
      </w:r>
      <w:r w:rsidRPr="00B62B50">
        <w:rPr>
          <w:sz w:val="24"/>
          <w:szCs w:val="24"/>
        </w:rPr>
        <w:t xml:space="preserve"> When the goal is to calm the </w:t>
      </w:r>
      <w:r w:rsidRPr="00B62B50">
        <w:rPr>
          <w:sz w:val="24"/>
          <w:szCs w:val="24"/>
        </w:rPr>
        <w:lastRenderedPageBreak/>
        <w:t>patient, the result is more likely to be a patient who can participate in their immediate treatment.</w:t>
      </w:r>
      <w:r w:rsidRPr="00B62B50">
        <w:rPr>
          <w:rStyle w:val="EndnoteReference"/>
          <w:sz w:val="24"/>
          <w:szCs w:val="24"/>
        </w:rPr>
        <w:endnoteReference w:id="6"/>
      </w:r>
      <w:r w:rsidRPr="00B62B50">
        <w:rPr>
          <w:sz w:val="24"/>
          <w:szCs w:val="24"/>
        </w:rPr>
        <w:t xml:space="preserve"> </w:t>
      </w:r>
      <w:r w:rsidR="00845BB9" w:rsidRPr="00B62B50">
        <w:rPr>
          <w:sz w:val="24"/>
          <w:szCs w:val="24"/>
        </w:rPr>
        <w:t xml:space="preserve">With the </w:t>
      </w:r>
      <w:r w:rsidR="00AD72F5" w:rsidRPr="00B62B50">
        <w:rPr>
          <w:sz w:val="24"/>
          <w:szCs w:val="24"/>
        </w:rPr>
        <w:t xml:space="preserve">expansion of </w:t>
      </w:r>
      <w:r w:rsidR="00845BB9" w:rsidRPr="00B62B50">
        <w:rPr>
          <w:sz w:val="24"/>
          <w:szCs w:val="24"/>
        </w:rPr>
        <w:t xml:space="preserve">ED </w:t>
      </w:r>
      <w:r w:rsidR="00F20279">
        <w:rPr>
          <w:sz w:val="24"/>
          <w:szCs w:val="24"/>
        </w:rPr>
        <w:t>b</w:t>
      </w:r>
      <w:r w:rsidR="00845BB9" w:rsidRPr="00B62B50">
        <w:rPr>
          <w:sz w:val="24"/>
          <w:szCs w:val="24"/>
        </w:rPr>
        <w:t xml:space="preserve">ehavioral </w:t>
      </w:r>
      <w:r w:rsidR="00F20279">
        <w:rPr>
          <w:sz w:val="24"/>
          <w:szCs w:val="24"/>
        </w:rPr>
        <w:t>h</w:t>
      </w:r>
      <w:r w:rsidR="00845BB9" w:rsidRPr="00B62B50">
        <w:rPr>
          <w:sz w:val="24"/>
          <w:szCs w:val="24"/>
        </w:rPr>
        <w:t xml:space="preserve">ealth </w:t>
      </w:r>
      <w:r w:rsidR="00885D3B">
        <w:rPr>
          <w:sz w:val="24"/>
          <w:szCs w:val="24"/>
        </w:rPr>
        <w:t>rooms</w:t>
      </w:r>
      <w:r w:rsidR="00AD72F5" w:rsidRPr="00B62B50">
        <w:rPr>
          <w:sz w:val="24"/>
          <w:szCs w:val="24"/>
        </w:rPr>
        <w:t xml:space="preserve"> and space</w:t>
      </w:r>
      <w:r w:rsidRPr="00B62B50">
        <w:rPr>
          <w:sz w:val="24"/>
          <w:szCs w:val="24"/>
        </w:rPr>
        <w:t xml:space="preserve"> </w:t>
      </w:r>
      <w:r w:rsidR="00845BB9" w:rsidRPr="00B62B50">
        <w:rPr>
          <w:sz w:val="24"/>
          <w:szCs w:val="24"/>
        </w:rPr>
        <w:t xml:space="preserve">described </w:t>
      </w:r>
      <w:r w:rsidRPr="00B62B50">
        <w:rPr>
          <w:sz w:val="24"/>
          <w:szCs w:val="24"/>
        </w:rPr>
        <w:t>in the Proposed Project</w:t>
      </w:r>
      <w:r w:rsidR="00845BB9" w:rsidRPr="00B62B50">
        <w:rPr>
          <w:sz w:val="24"/>
          <w:szCs w:val="24"/>
        </w:rPr>
        <w:t>,</w:t>
      </w:r>
      <w:r w:rsidRPr="00B62B50">
        <w:rPr>
          <w:sz w:val="24"/>
          <w:szCs w:val="24"/>
        </w:rPr>
        <w:t xml:space="preserve"> the Applicant anticipates </w:t>
      </w:r>
      <w:r w:rsidR="00845BB9" w:rsidRPr="00B62B50">
        <w:rPr>
          <w:sz w:val="24"/>
          <w:szCs w:val="24"/>
        </w:rPr>
        <w:t>improvement</w:t>
      </w:r>
      <w:r w:rsidR="00B62B50" w:rsidRPr="00B62B50">
        <w:rPr>
          <w:sz w:val="24"/>
          <w:szCs w:val="24"/>
        </w:rPr>
        <w:t xml:space="preserve"> in</w:t>
      </w:r>
      <w:r w:rsidRPr="00B62B50">
        <w:rPr>
          <w:sz w:val="24"/>
          <w:szCs w:val="24"/>
        </w:rPr>
        <w:t xml:space="preserve"> outcomes </w:t>
      </w:r>
      <w:r w:rsidR="00B62B50" w:rsidRPr="00B62B50">
        <w:rPr>
          <w:sz w:val="24"/>
          <w:szCs w:val="24"/>
        </w:rPr>
        <w:t xml:space="preserve">and overall patient experience </w:t>
      </w:r>
      <w:r w:rsidRPr="00B62B50">
        <w:rPr>
          <w:sz w:val="24"/>
          <w:szCs w:val="24"/>
        </w:rPr>
        <w:t xml:space="preserve">for </w:t>
      </w:r>
      <w:r w:rsidR="00B62B50" w:rsidRPr="00B62B50">
        <w:rPr>
          <w:sz w:val="24"/>
          <w:szCs w:val="24"/>
        </w:rPr>
        <w:t>those</w:t>
      </w:r>
      <w:r w:rsidRPr="00B62B50">
        <w:rPr>
          <w:sz w:val="24"/>
          <w:szCs w:val="24"/>
        </w:rPr>
        <w:t xml:space="preserve"> seeking assistance at the ED.</w:t>
      </w:r>
    </w:p>
    <w:p w14:paraId="7F93B57C" w14:textId="77777777" w:rsidR="00122B7A" w:rsidRPr="00B62B50" w:rsidRDefault="00122B7A" w:rsidP="0002054A">
      <w:pPr>
        <w:pStyle w:val="BodyText"/>
        <w:widowControl/>
        <w:spacing w:before="0"/>
        <w:ind w:left="14"/>
        <w:rPr>
          <w:rFonts w:asciiTheme="minorHAnsi" w:hAnsiTheme="minorHAnsi" w:cstheme="minorHAnsi"/>
          <w:bCs/>
          <w:kern w:val="2"/>
          <w:sz w:val="24"/>
          <w:szCs w:val="24"/>
        </w:rPr>
      </w:pPr>
    </w:p>
    <w:p w14:paraId="72F00901" w14:textId="41F47C75" w:rsidR="00E53A48" w:rsidRPr="00684CCC" w:rsidRDefault="00BC47CF" w:rsidP="00082D4A">
      <w:pPr>
        <w:pStyle w:val="ListParagraph"/>
        <w:widowControl w:val="0"/>
        <w:numPr>
          <w:ilvl w:val="0"/>
          <w:numId w:val="5"/>
        </w:numPr>
        <w:spacing w:after="0" w:line="240" w:lineRule="auto"/>
        <w:rPr>
          <w:rFonts w:cstheme="minorHAnsi"/>
          <w:b/>
          <w:i/>
          <w:iCs/>
          <w:kern w:val="2"/>
          <w:sz w:val="24"/>
          <w:szCs w:val="24"/>
        </w:rPr>
      </w:pPr>
      <w:r w:rsidRPr="00684CCC">
        <w:rPr>
          <w:rFonts w:cstheme="minorHAnsi"/>
          <w:b/>
          <w:i/>
          <w:iCs/>
          <w:kern w:val="2"/>
          <w:sz w:val="24"/>
          <w:szCs w:val="24"/>
        </w:rPr>
        <w:t xml:space="preserve">Impact of Overcrowding on </w:t>
      </w:r>
      <w:r w:rsidR="00854F8C" w:rsidRPr="00684CCC">
        <w:rPr>
          <w:rFonts w:cstheme="minorHAnsi"/>
          <w:b/>
          <w:i/>
          <w:iCs/>
          <w:kern w:val="2"/>
          <w:sz w:val="24"/>
          <w:szCs w:val="24"/>
        </w:rPr>
        <w:t>Health Outcomes</w:t>
      </w:r>
    </w:p>
    <w:p w14:paraId="78EC83BA" w14:textId="46E1E3BA" w:rsidR="008E20CD" w:rsidRPr="00E20DEA" w:rsidRDefault="001E0367" w:rsidP="00A662DF">
      <w:pPr>
        <w:autoSpaceDE w:val="0"/>
        <w:autoSpaceDN w:val="0"/>
        <w:adjustRightInd w:val="0"/>
        <w:spacing w:after="0" w:line="240" w:lineRule="auto"/>
        <w:ind w:left="360"/>
        <w:rPr>
          <w:rFonts w:eastAsia="Times New Roman"/>
          <w:sz w:val="24"/>
          <w:szCs w:val="24"/>
          <w:highlight w:val="yellow"/>
        </w:rPr>
      </w:pPr>
      <w:r w:rsidRPr="00684CCC">
        <w:rPr>
          <w:rFonts w:eastAsia="Times New Roman"/>
          <w:sz w:val="24"/>
          <w:szCs w:val="24"/>
        </w:rPr>
        <w:t xml:space="preserve">Overcrowding is defined by a high volume of patients compromising </w:t>
      </w:r>
      <w:r w:rsidR="1B727931" w:rsidRPr="00684CCC">
        <w:rPr>
          <w:rFonts w:eastAsia="Times New Roman"/>
          <w:sz w:val="24"/>
          <w:szCs w:val="24"/>
        </w:rPr>
        <w:t xml:space="preserve">the </w:t>
      </w:r>
      <w:r w:rsidR="00B61621" w:rsidRPr="00684CCC">
        <w:rPr>
          <w:rFonts w:eastAsia="Times New Roman"/>
          <w:sz w:val="24"/>
          <w:szCs w:val="24"/>
        </w:rPr>
        <w:t>ED’s</w:t>
      </w:r>
      <w:r w:rsidRPr="00684CCC">
        <w:rPr>
          <w:rFonts w:eastAsia="Times New Roman"/>
          <w:sz w:val="24"/>
          <w:szCs w:val="24"/>
        </w:rPr>
        <w:t xml:space="preserve"> ability to efficiently manage patient flow because of insufficient resources</w:t>
      </w:r>
      <w:r w:rsidR="00176CEF" w:rsidRPr="00684CCC">
        <w:rPr>
          <w:rFonts w:eastAsia="Times New Roman"/>
          <w:sz w:val="24"/>
          <w:szCs w:val="24"/>
        </w:rPr>
        <w:t>, with</w:t>
      </w:r>
      <w:r w:rsidR="004B589A" w:rsidRPr="00684CCC">
        <w:rPr>
          <w:rFonts w:eastAsia="Times New Roman"/>
          <w:sz w:val="24"/>
          <w:szCs w:val="24"/>
        </w:rPr>
        <w:t xml:space="preserve"> t</w:t>
      </w:r>
      <w:r w:rsidRPr="00684CCC">
        <w:rPr>
          <w:rFonts w:eastAsia="Times New Roman"/>
          <w:sz w:val="24"/>
          <w:szCs w:val="24"/>
        </w:rPr>
        <w:t xml:space="preserve">he first and most obvious consequence </w:t>
      </w:r>
      <w:r w:rsidR="004B589A" w:rsidRPr="00684CCC">
        <w:rPr>
          <w:rFonts w:eastAsia="Times New Roman"/>
          <w:sz w:val="24"/>
          <w:szCs w:val="24"/>
        </w:rPr>
        <w:t xml:space="preserve">being </w:t>
      </w:r>
      <w:r w:rsidRPr="00684CCC">
        <w:rPr>
          <w:rFonts w:eastAsia="Times New Roman"/>
          <w:sz w:val="24"/>
          <w:szCs w:val="24"/>
        </w:rPr>
        <w:t>an increase in patient wait times.</w:t>
      </w:r>
      <w:r w:rsidR="008E20CD" w:rsidRPr="00684CCC">
        <w:rPr>
          <w:rStyle w:val="EndnoteReference"/>
          <w:rFonts w:eastAsia="Times New Roman"/>
          <w:sz w:val="24"/>
          <w:szCs w:val="24"/>
        </w:rPr>
        <w:endnoteReference w:id="7"/>
      </w:r>
      <w:r w:rsidR="008E20CD" w:rsidRPr="00684CCC">
        <w:rPr>
          <w:rFonts w:eastAsia="Times New Roman"/>
          <w:sz w:val="24"/>
          <w:szCs w:val="24"/>
        </w:rPr>
        <w:t xml:space="preserve"> Significant wait times from the time a patient registers to when they are seen can reduce the quality of care provided, increase patient discomfort and dissatisfaction, increase the risk of hospital-acquired infections, and lead to more patients leaving before being seen by a physician. All of these factors contribute to reduced health outcomes.</w:t>
      </w:r>
      <w:r w:rsidR="008E20CD" w:rsidRPr="00684CCC">
        <w:rPr>
          <w:rStyle w:val="EndnoteReference"/>
          <w:rFonts w:eastAsia="Times New Roman"/>
          <w:sz w:val="24"/>
          <w:szCs w:val="24"/>
        </w:rPr>
        <w:endnoteReference w:id="8"/>
      </w:r>
      <w:r w:rsidR="008E20CD" w:rsidRPr="00684CCC">
        <w:rPr>
          <w:rFonts w:eastAsia="Times New Roman"/>
          <w:sz w:val="24"/>
          <w:szCs w:val="24"/>
        </w:rPr>
        <w:t xml:space="preserve"> The Applicant cited research showing that patients who leave without being seen are more likely to experience worsening health conditions that result in a subsequent ED visit and hospitalization.</w:t>
      </w:r>
      <w:r w:rsidR="008E20CD" w:rsidRPr="00684CCC">
        <w:rPr>
          <w:rStyle w:val="EndnoteReference"/>
          <w:rFonts w:eastAsia="Times New Roman"/>
          <w:sz w:val="24"/>
          <w:szCs w:val="24"/>
        </w:rPr>
        <w:endnoteReference w:id="9"/>
      </w:r>
      <w:r w:rsidR="008E20CD" w:rsidRPr="00684CCC">
        <w:rPr>
          <w:rFonts w:eastAsia="Times New Roman"/>
          <w:sz w:val="24"/>
          <w:szCs w:val="24"/>
        </w:rPr>
        <w:t xml:space="preserve"> Overcrowding frequently results in care being provided in ED hallways, which is associated with higher levels of patient morbidity and mortality.</w:t>
      </w:r>
      <w:r w:rsidR="00362072" w:rsidRPr="00F76869">
        <w:rPr>
          <w:vertAlign w:val="superscript"/>
        </w:rPr>
        <w:endnoteReference w:id="10"/>
      </w:r>
      <w:r w:rsidR="008E20CD" w:rsidRPr="00684CCC">
        <w:rPr>
          <w:rFonts w:eastAsia="Times New Roman"/>
          <w:sz w:val="24"/>
          <w:szCs w:val="24"/>
        </w:rPr>
        <w:t xml:space="preserve"> </w:t>
      </w:r>
      <w:r w:rsidR="008E20CD" w:rsidRPr="00F76869">
        <w:rPr>
          <w:rFonts w:eastAsia="Times New Roman"/>
          <w:sz w:val="24"/>
          <w:szCs w:val="24"/>
        </w:rPr>
        <w:t xml:space="preserve">These negative health outcomes are likely a result of monitoring that may not be as consistent or reliable as what is provided in permanent ED beds. The </w:t>
      </w:r>
      <w:r w:rsidR="00F76869" w:rsidRPr="00F76869">
        <w:rPr>
          <w:rFonts w:eastAsia="Times New Roman"/>
          <w:sz w:val="24"/>
          <w:szCs w:val="24"/>
        </w:rPr>
        <w:t xml:space="preserve">increased capacity described in the </w:t>
      </w:r>
      <w:r w:rsidR="008E20CD" w:rsidRPr="00F76869">
        <w:rPr>
          <w:rFonts w:eastAsia="Times New Roman"/>
          <w:sz w:val="24"/>
          <w:szCs w:val="24"/>
        </w:rPr>
        <w:t xml:space="preserve">Proposed Project will provide </w:t>
      </w:r>
      <w:r w:rsidR="00F76869" w:rsidRPr="00F76869">
        <w:rPr>
          <w:rFonts w:eastAsia="Times New Roman"/>
          <w:sz w:val="24"/>
          <w:szCs w:val="24"/>
        </w:rPr>
        <w:t>the necessary space to allow clinical staff to facilitate ED patients more efficiently from registration to treatment to discharge</w:t>
      </w:r>
      <w:r w:rsidR="008E20CD" w:rsidRPr="00F76869">
        <w:rPr>
          <w:rFonts w:eastAsia="Times New Roman"/>
          <w:sz w:val="24"/>
          <w:szCs w:val="24"/>
        </w:rPr>
        <w:t>, which the Applicant asserts will ease overcrowding and improve health outcomes.</w:t>
      </w:r>
      <w:r w:rsidR="00F23EB0" w:rsidRPr="00F76869">
        <w:rPr>
          <w:rFonts w:eastAsia="Times New Roman"/>
          <w:sz w:val="24"/>
          <w:szCs w:val="24"/>
        </w:rPr>
        <w:t xml:space="preserve"> </w:t>
      </w:r>
    </w:p>
    <w:p w14:paraId="023B6913" w14:textId="7B411543" w:rsidR="00EA2BCE" w:rsidRPr="00410C6A" w:rsidRDefault="00B107F8" w:rsidP="00B107F8">
      <w:pPr>
        <w:tabs>
          <w:tab w:val="left" w:pos="2073"/>
        </w:tabs>
        <w:spacing w:after="0" w:line="240" w:lineRule="auto"/>
        <w:ind w:left="360" w:right="720"/>
        <w:rPr>
          <w:rFonts w:cstheme="minorHAnsi"/>
          <w:sz w:val="24"/>
          <w:szCs w:val="24"/>
        </w:rPr>
      </w:pPr>
      <w:r w:rsidRPr="00410C6A">
        <w:rPr>
          <w:rFonts w:cstheme="minorHAnsi"/>
          <w:sz w:val="24"/>
          <w:szCs w:val="24"/>
        </w:rPr>
        <w:tab/>
      </w:r>
    </w:p>
    <w:p w14:paraId="70074471" w14:textId="6A8411C6" w:rsidR="00B107F8" w:rsidRPr="00410C6A" w:rsidRDefault="006C4E66" w:rsidP="00A662DF">
      <w:pPr>
        <w:spacing w:after="0" w:line="240" w:lineRule="auto"/>
        <w:rPr>
          <w:rFonts w:cstheme="minorHAnsi"/>
          <w:sz w:val="24"/>
          <w:szCs w:val="24"/>
        </w:rPr>
      </w:pPr>
      <w:r w:rsidRPr="00410C6A">
        <w:rPr>
          <w:rFonts w:cstheme="minorHAnsi"/>
          <w:sz w:val="24"/>
          <w:szCs w:val="24"/>
        </w:rPr>
        <w:t xml:space="preserve">To assess the impact of the Proposed Project, the Applicant proposed metrics, as well as metric projections for quality indicators that will measure </w:t>
      </w:r>
      <w:r w:rsidR="00173986" w:rsidRPr="00410C6A">
        <w:rPr>
          <w:rFonts w:cstheme="minorHAnsi"/>
          <w:sz w:val="24"/>
          <w:szCs w:val="24"/>
        </w:rPr>
        <w:t>the impact of the Proposed Project</w:t>
      </w:r>
      <w:r w:rsidRPr="00410C6A">
        <w:rPr>
          <w:rFonts w:cstheme="minorHAnsi"/>
          <w:sz w:val="24"/>
          <w:szCs w:val="24"/>
        </w:rPr>
        <w:t xml:space="preserve">. </w:t>
      </w:r>
      <w:r w:rsidR="00AB0E39" w:rsidRPr="00410C6A">
        <w:rPr>
          <w:rFonts w:cstheme="minorHAnsi"/>
          <w:sz w:val="24"/>
          <w:szCs w:val="24"/>
        </w:rPr>
        <w:t xml:space="preserve">The measures include </w:t>
      </w:r>
      <w:r w:rsidR="007E16E5" w:rsidRPr="00410C6A">
        <w:rPr>
          <w:rFonts w:cstheme="minorHAnsi"/>
          <w:sz w:val="24"/>
          <w:szCs w:val="24"/>
        </w:rPr>
        <w:t xml:space="preserve">patient wait times, </w:t>
      </w:r>
      <w:r w:rsidR="00614766">
        <w:rPr>
          <w:rFonts w:cstheme="minorHAnsi"/>
          <w:sz w:val="24"/>
          <w:szCs w:val="24"/>
        </w:rPr>
        <w:t>left without being seen (“</w:t>
      </w:r>
      <w:r w:rsidR="007E16E5" w:rsidRPr="00410C6A">
        <w:rPr>
          <w:rFonts w:cstheme="minorHAnsi"/>
          <w:sz w:val="24"/>
          <w:szCs w:val="24"/>
        </w:rPr>
        <w:t>LWBS</w:t>
      </w:r>
      <w:r w:rsidR="00614766">
        <w:rPr>
          <w:rFonts w:cstheme="minorHAnsi"/>
          <w:sz w:val="24"/>
          <w:szCs w:val="24"/>
        </w:rPr>
        <w:t>”)</w:t>
      </w:r>
      <w:r w:rsidR="007E16E5" w:rsidRPr="00410C6A">
        <w:rPr>
          <w:rFonts w:cstheme="minorHAnsi"/>
          <w:sz w:val="24"/>
          <w:szCs w:val="24"/>
        </w:rPr>
        <w:t xml:space="preserve"> data</w:t>
      </w:r>
      <w:r w:rsidR="00F20395" w:rsidRPr="00410C6A">
        <w:rPr>
          <w:rFonts w:cstheme="minorHAnsi"/>
          <w:sz w:val="24"/>
          <w:szCs w:val="24"/>
        </w:rPr>
        <w:t>, and overall lengths of stay</w:t>
      </w:r>
      <w:r w:rsidR="007E16E5" w:rsidRPr="00410C6A">
        <w:rPr>
          <w:rFonts w:cstheme="minorHAnsi"/>
          <w:sz w:val="24"/>
          <w:szCs w:val="24"/>
        </w:rPr>
        <w:t xml:space="preserve">. </w:t>
      </w:r>
      <w:r w:rsidRPr="00410C6A">
        <w:rPr>
          <w:rFonts w:cstheme="minorHAnsi"/>
          <w:sz w:val="24"/>
          <w:szCs w:val="24"/>
        </w:rPr>
        <w:t xml:space="preserve">The measures are presented in Appendix I and will be reported to DPH on an annual basis following implementation of the Proposed Project. </w:t>
      </w:r>
    </w:p>
    <w:p w14:paraId="70ACFC28" w14:textId="77777777" w:rsidR="00B107F8" w:rsidRPr="00DC5BC2" w:rsidRDefault="00B107F8" w:rsidP="00B107F8">
      <w:pPr>
        <w:tabs>
          <w:tab w:val="left" w:pos="2073"/>
        </w:tabs>
        <w:spacing w:after="0" w:line="240" w:lineRule="auto"/>
        <w:ind w:left="360" w:right="720"/>
        <w:rPr>
          <w:rFonts w:cstheme="minorHAnsi"/>
          <w:sz w:val="24"/>
          <w:szCs w:val="24"/>
        </w:rPr>
      </w:pPr>
    </w:p>
    <w:p w14:paraId="79C2F9BE" w14:textId="2886DB9A" w:rsidR="00E45334" w:rsidRPr="00DC5BC2" w:rsidRDefault="00E45334" w:rsidP="00A662DF">
      <w:pPr>
        <w:spacing w:after="0" w:line="240" w:lineRule="auto"/>
        <w:rPr>
          <w:rFonts w:cstheme="minorHAnsi"/>
          <w:b/>
          <w:i/>
        </w:rPr>
      </w:pPr>
      <w:r w:rsidRPr="00DC5BC2">
        <w:rPr>
          <w:rFonts w:cstheme="minorHAnsi"/>
          <w:b/>
          <w:i/>
        </w:rPr>
        <w:t>Analysis: Public Health Value</w:t>
      </w:r>
      <w:r w:rsidR="00955295" w:rsidRPr="00DC5BC2">
        <w:rPr>
          <w:rFonts w:cstheme="minorHAnsi"/>
          <w:b/>
          <w:i/>
        </w:rPr>
        <w:t>:</w:t>
      </w:r>
      <w:r w:rsidRPr="00DC5BC2">
        <w:rPr>
          <w:rFonts w:cstheme="minorHAnsi"/>
          <w:b/>
          <w:i/>
        </w:rPr>
        <w:t xml:space="preserve"> Health Outcomes and Quality of Life</w:t>
      </w:r>
    </w:p>
    <w:p w14:paraId="26F38E8D" w14:textId="011650A4" w:rsidR="00A151C6" w:rsidRPr="00DC5BC2" w:rsidRDefault="00A151C6" w:rsidP="00A662DF">
      <w:pPr>
        <w:spacing w:after="0" w:line="240" w:lineRule="auto"/>
        <w:rPr>
          <w:rFonts w:cstheme="minorHAnsi"/>
          <w:bCs/>
          <w:sz w:val="24"/>
          <w:szCs w:val="24"/>
        </w:rPr>
      </w:pPr>
      <w:r w:rsidRPr="00DC5BC2">
        <w:rPr>
          <w:rFonts w:cstheme="minorHAnsi"/>
          <w:bCs/>
          <w:sz w:val="24"/>
          <w:szCs w:val="24"/>
        </w:rPr>
        <w:t xml:space="preserve">Staff finds that adding capacity </w:t>
      </w:r>
      <w:r w:rsidR="00385FE2" w:rsidRPr="00DC5BC2">
        <w:rPr>
          <w:rFonts w:cstheme="minorHAnsi"/>
          <w:bCs/>
          <w:sz w:val="24"/>
          <w:szCs w:val="24"/>
        </w:rPr>
        <w:t>to the ED</w:t>
      </w:r>
      <w:r w:rsidR="002545A8" w:rsidRPr="00DC5BC2">
        <w:rPr>
          <w:rFonts w:cstheme="minorHAnsi"/>
          <w:bCs/>
          <w:sz w:val="24"/>
          <w:szCs w:val="24"/>
        </w:rPr>
        <w:t xml:space="preserve"> h</w:t>
      </w:r>
      <w:r w:rsidRPr="00DC5BC2">
        <w:rPr>
          <w:rFonts w:cstheme="minorHAnsi"/>
          <w:bCs/>
          <w:sz w:val="24"/>
          <w:szCs w:val="24"/>
        </w:rPr>
        <w:t>as the potential to improve health outcomes for the Patient Panel and the greater community.</w:t>
      </w:r>
      <w:r w:rsidRPr="00DC5BC2">
        <w:rPr>
          <w:rFonts w:cstheme="minorHAnsi"/>
          <w:sz w:val="24"/>
          <w:szCs w:val="24"/>
        </w:rPr>
        <w:t xml:space="preserve"> </w:t>
      </w:r>
      <w:r w:rsidR="001E3A34" w:rsidRPr="00DC5BC2">
        <w:rPr>
          <w:rFonts w:cstheme="minorHAnsi"/>
          <w:sz w:val="24"/>
          <w:szCs w:val="24"/>
        </w:rPr>
        <w:t xml:space="preserve">When insufficient </w:t>
      </w:r>
      <w:r w:rsidR="00105566" w:rsidRPr="00DC5BC2">
        <w:rPr>
          <w:rFonts w:cstheme="minorHAnsi"/>
          <w:sz w:val="24"/>
          <w:szCs w:val="24"/>
        </w:rPr>
        <w:t>ED capacity leads to overcrowding, t</w:t>
      </w:r>
      <w:r w:rsidRPr="00DC5BC2">
        <w:rPr>
          <w:rFonts w:cstheme="minorHAnsi"/>
          <w:sz w:val="24"/>
          <w:szCs w:val="24"/>
        </w:rPr>
        <w:t>he</w:t>
      </w:r>
      <w:r w:rsidR="007D190F" w:rsidRPr="00DC5BC2">
        <w:rPr>
          <w:rFonts w:cstheme="minorHAnsi"/>
          <w:sz w:val="24"/>
          <w:szCs w:val="24"/>
        </w:rPr>
        <w:t xml:space="preserve"> relevant</w:t>
      </w:r>
      <w:r w:rsidRPr="00DC5BC2">
        <w:rPr>
          <w:rFonts w:cstheme="minorHAnsi"/>
          <w:sz w:val="24"/>
          <w:szCs w:val="24"/>
        </w:rPr>
        <w:t xml:space="preserve"> literature suggests </w:t>
      </w:r>
      <w:r w:rsidR="0067623E" w:rsidRPr="00DC5BC2">
        <w:rPr>
          <w:rFonts w:cstheme="minorHAnsi"/>
          <w:sz w:val="24"/>
          <w:szCs w:val="24"/>
        </w:rPr>
        <w:t>treatment outcomes</w:t>
      </w:r>
      <w:r w:rsidR="00105566" w:rsidRPr="00DC5BC2">
        <w:rPr>
          <w:rFonts w:cstheme="minorHAnsi"/>
          <w:sz w:val="24"/>
          <w:szCs w:val="24"/>
        </w:rPr>
        <w:t xml:space="preserve"> suffer</w:t>
      </w:r>
      <w:r w:rsidRPr="00DC5BC2">
        <w:rPr>
          <w:rFonts w:cstheme="minorHAnsi"/>
          <w:sz w:val="24"/>
          <w:szCs w:val="24"/>
        </w:rPr>
        <w:t>.</w:t>
      </w:r>
      <w:r w:rsidR="00A07ECB" w:rsidRPr="00DC5BC2">
        <w:rPr>
          <w:rStyle w:val="EndnoteReference"/>
          <w:rFonts w:cstheme="minorHAnsi"/>
          <w:sz w:val="24"/>
          <w:szCs w:val="24"/>
        </w:rPr>
        <w:endnoteReference w:id="11"/>
      </w:r>
      <w:r w:rsidR="00A07ECB" w:rsidRPr="00DC5BC2">
        <w:rPr>
          <w:rFonts w:cstheme="minorHAnsi"/>
          <w:sz w:val="24"/>
          <w:szCs w:val="24"/>
          <w:vertAlign w:val="superscript"/>
        </w:rPr>
        <w:t>,</w:t>
      </w:r>
      <w:r w:rsidR="00A07ECB" w:rsidRPr="00DC5BC2">
        <w:rPr>
          <w:rStyle w:val="EndnoteReference"/>
          <w:rFonts w:cstheme="minorHAnsi"/>
          <w:sz w:val="24"/>
          <w:szCs w:val="24"/>
        </w:rPr>
        <w:endnoteReference w:id="12"/>
      </w:r>
      <w:r w:rsidRPr="00DC5BC2">
        <w:rPr>
          <w:rFonts w:cstheme="minorHAnsi"/>
          <w:sz w:val="24"/>
          <w:szCs w:val="24"/>
        </w:rPr>
        <w:t xml:space="preserve"> </w:t>
      </w:r>
      <w:r w:rsidR="00356D23" w:rsidRPr="00DC5BC2">
        <w:rPr>
          <w:rFonts w:cstheme="minorHAnsi"/>
          <w:sz w:val="24"/>
          <w:szCs w:val="24"/>
        </w:rPr>
        <w:t xml:space="preserve">The </w:t>
      </w:r>
      <w:r w:rsidR="00202906" w:rsidRPr="00DC5BC2">
        <w:rPr>
          <w:rFonts w:cstheme="minorHAnsi"/>
          <w:sz w:val="24"/>
          <w:szCs w:val="24"/>
        </w:rPr>
        <w:t>Proposed Project</w:t>
      </w:r>
      <w:r w:rsidR="00347BCB" w:rsidRPr="00DC5BC2">
        <w:rPr>
          <w:rFonts w:cstheme="minorHAnsi"/>
          <w:sz w:val="24"/>
          <w:szCs w:val="24"/>
        </w:rPr>
        <w:t xml:space="preserve"> will have a </w:t>
      </w:r>
      <w:r w:rsidR="00CE3C34" w:rsidRPr="00DC5BC2">
        <w:rPr>
          <w:rFonts w:cstheme="minorHAnsi"/>
          <w:sz w:val="24"/>
          <w:szCs w:val="24"/>
        </w:rPr>
        <w:t xml:space="preserve">dedicated </w:t>
      </w:r>
      <w:r w:rsidR="001602E9">
        <w:rPr>
          <w:rFonts w:cstheme="minorHAnsi"/>
          <w:sz w:val="24"/>
          <w:szCs w:val="24"/>
        </w:rPr>
        <w:t>b</w:t>
      </w:r>
      <w:r w:rsidR="00CE3C34" w:rsidRPr="00DC5BC2">
        <w:rPr>
          <w:rFonts w:cstheme="minorHAnsi"/>
          <w:sz w:val="24"/>
          <w:szCs w:val="24"/>
        </w:rPr>
        <w:t xml:space="preserve">ehavioral </w:t>
      </w:r>
      <w:r w:rsidR="001602E9">
        <w:rPr>
          <w:rFonts w:cstheme="minorHAnsi"/>
          <w:sz w:val="24"/>
          <w:szCs w:val="24"/>
        </w:rPr>
        <w:t>h</w:t>
      </w:r>
      <w:r w:rsidR="00CE3C34" w:rsidRPr="00DC5BC2">
        <w:rPr>
          <w:rFonts w:cstheme="minorHAnsi"/>
          <w:sz w:val="24"/>
          <w:szCs w:val="24"/>
        </w:rPr>
        <w:t xml:space="preserve">ealth unit </w:t>
      </w:r>
      <w:r w:rsidR="004D35FA" w:rsidRPr="00DC5BC2">
        <w:rPr>
          <w:rFonts w:cstheme="minorHAnsi"/>
          <w:sz w:val="24"/>
          <w:szCs w:val="24"/>
        </w:rPr>
        <w:t>wit</w:t>
      </w:r>
      <w:r w:rsidR="00F366BD" w:rsidRPr="00DC5BC2">
        <w:rPr>
          <w:rFonts w:cstheme="minorHAnsi"/>
          <w:sz w:val="24"/>
          <w:szCs w:val="24"/>
        </w:rPr>
        <w:t xml:space="preserve">h greater bed capacity </w:t>
      </w:r>
      <w:r w:rsidR="00CE3C34" w:rsidRPr="00DC5BC2">
        <w:rPr>
          <w:rFonts w:cstheme="minorHAnsi"/>
          <w:sz w:val="24"/>
          <w:szCs w:val="24"/>
        </w:rPr>
        <w:t>within the ED</w:t>
      </w:r>
      <w:r w:rsidR="00347BCB" w:rsidRPr="00DC5BC2">
        <w:rPr>
          <w:rFonts w:cstheme="minorHAnsi"/>
          <w:sz w:val="24"/>
          <w:szCs w:val="24"/>
        </w:rPr>
        <w:t>, which</w:t>
      </w:r>
      <w:r w:rsidR="00F366BD" w:rsidRPr="00DC5BC2">
        <w:rPr>
          <w:rFonts w:cstheme="minorHAnsi"/>
          <w:sz w:val="24"/>
          <w:szCs w:val="24"/>
        </w:rPr>
        <w:t xml:space="preserve"> has the potential</w:t>
      </w:r>
      <w:r w:rsidR="007332FA" w:rsidRPr="00DC5BC2">
        <w:rPr>
          <w:rFonts w:cstheme="minorHAnsi"/>
          <w:sz w:val="24"/>
          <w:szCs w:val="24"/>
        </w:rPr>
        <w:t xml:space="preserve"> </w:t>
      </w:r>
      <w:r w:rsidR="00CE3C34" w:rsidRPr="00DC5BC2">
        <w:rPr>
          <w:rFonts w:cstheme="minorHAnsi"/>
          <w:sz w:val="24"/>
          <w:szCs w:val="24"/>
        </w:rPr>
        <w:t xml:space="preserve">to </w:t>
      </w:r>
      <w:r w:rsidR="00347BCB" w:rsidRPr="00DC5BC2">
        <w:rPr>
          <w:rFonts w:cstheme="minorHAnsi"/>
          <w:sz w:val="24"/>
          <w:szCs w:val="24"/>
        </w:rPr>
        <w:t>improve the patient experience</w:t>
      </w:r>
      <w:r w:rsidR="007332FA" w:rsidRPr="00DC5BC2">
        <w:rPr>
          <w:rFonts w:cstheme="minorHAnsi"/>
          <w:sz w:val="24"/>
          <w:szCs w:val="24"/>
        </w:rPr>
        <w:t xml:space="preserve"> by providing treatment in a more </w:t>
      </w:r>
      <w:r w:rsidR="00DC5BC2" w:rsidRPr="00DC5BC2">
        <w:rPr>
          <w:rFonts w:cstheme="minorHAnsi"/>
          <w:sz w:val="24"/>
          <w:szCs w:val="24"/>
        </w:rPr>
        <w:t>secure and confidential environment</w:t>
      </w:r>
      <w:r w:rsidR="00347BCB" w:rsidRPr="00DC5BC2">
        <w:rPr>
          <w:rFonts w:cstheme="minorHAnsi"/>
          <w:sz w:val="24"/>
          <w:szCs w:val="24"/>
        </w:rPr>
        <w:t xml:space="preserve"> and has the potential to ease congestion and wait times</w:t>
      </w:r>
      <w:r w:rsidR="00A3345D" w:rsidRPr="00DC5BC2">
        <w:rPr>
          <w:rFonts w:cstheme="minorHAnsi"/>
          <w:sz w:val="24"/>
          <w:szCs w:val="24"/>
        </w:rPr>
        <w:t xml:space="preserve"> in the ED.</w:t>
      </w:r>
      <w:r w:rsidR="00356D23" w:rsidRPr="00DC5BC2">
        <w:rPr>
          <w:rFonts w:cstheme="minorHAnsi"/>
          <w:sz w:val="24"/>
          <w:szCs w:val="24"/>
        </w:rPr>
        <w:t xml:space="preserve"> </w:t>
      </w:r>
      <w:r w:rsidRPr="00DC5BC2">
        <w:rPr>
          <w:rFonts w:cstheme="minorHAnsi"/>
          <w:sz w:val="24"/>
          <w:szCs w:val="24"/>
        </w:rPr>
        <w:t>As a result, Staff finds that the Applicant meets the requirements of the Public Health Value: Health Outcomes</w:t>
      </w:r>
      <w:r w:rsidR="004B6352" w:rsidRPr="00DC5BC2">
        <w:rPr>
          <w:rFonts w:cstheme="minorHAnsi"/>
          <w:sz w:val="24"/>
          <w:szCs w:val="24"/>
        </w:rPr>
        <w:t xml:space="preserve"> and Quality of Life</w:t>
      </w:r>
      <w:r w:rsidRPr="00DC5BC2">
        <w:rPr>
          <w:rFonts w:cstheme="minorHAnsi"/>
          <w:sz w:val="24"/>
          <w:szCs w:val="24"/>
        </w:rPr>
        <w:t xml:space="preserve"> part of Factor 1b.</w:t>
      </w:r>
    </w:p>
    <w:p w14:paraId="27240D88" w14:textId="77777777" w:rsidR="006C4E66" w:rsidRPr="00E20DEA" w:rsidRDefault="006C4E66" w:rsidP="00A662DF">
      <w:pPr>
        <w:spacing w:after="0" w:line="240" w:lineRule="auto"/>
        <w:rPr>
          <w:rFonts w:cstheme="minorHAnsi"/>
          <w:sz w:val="24"/>
          <w:szCs w:val="24"/>
          <w:highlight w:val="yellow"/>
        </w:rPr>
      </w:pPr>
    </w:p>
    <w:p w14:paraId="49E69667" w14:textId="1B3C93BB" w:rsidR="003E1CDA" w:rsidRPr="000A4738" w:rsidRDefault="003E1CDA" w:rsidP="006C4E66">
      <w:pPr>
        <w:spacing w:after="0" w:line="240" w:lineRule="auto"/>
        <w:rPr>
          <w:b/>
          <w:bCs/>
          <w:i/>
          <w:iCs/>
          <w:sz w:val="24"/>
          <w:szCs w:val="24"/>
        </w:rPr>
      </w:pPr>
      <w:r w:rsidRPr="000A4738">
        <w:rPr>
          <w:b/>
          <w:bCs/>
          <w:i/>
          <w:iCs/>
          <w:sz w:val="24"/>
          <w:szCs w:val="24"/>
        </w:rPr>
        <w:t>Health Equity and Social Determinants of Health (</w:t>
      </w:r>
      <w:r w:rsidRPr="58140045">
        <w:rPr>
          <w:b/>
          <w:bCs/>
          <w:i/>
          <w:iCs/>
          <w:sz w:val="24"/>
          <w:szCs w:val="24"/>
        </w:rPr>
        <w:t>SD</w:t>
      </w:r>
      <w:r w:rsidR="2AD30C41" w:rsidRPr="58140045">
        <w:rPr>
          <w:b/>
          <w:bCs/>
          <w:i/>
          <w:iCs/>
          <w:sz w:val="24"/>
          <w:szCs w:val="24"/>
        </w:rPr>
        <w:t>o</w:t>
      </w:r>
      <w:r w:rsidRPr="000A4738">
        <w:rPr>
          <w:b/>
          <w:bCs/>
          <w:i/>
          <w:iCs/>
          <w:sz w:val="24"/>
          <w:szCs w:val="24"/>
        </w:rPr>
        <w:t>H)</w:t>
      </w:r>
    </w:p>
    <w:p w14:paraId="4079A031" w14:textId="62DE3CBB" w:rsidR="0094745B" w:rsidRDefault="0034708C" w:rsidP="00A662DF">
      <w:pPr>
        <w:pStyle w:val="HBblj"/>
        <w:spacing w:after="0"/>
        <w:jc w:val="left"/>
        <w:rPr>
          <w:rFonts w:cstheme="minorHAnsi"/>
          <w:sz w:val="24"/>
          <w:szCs w:val="24"/>
        </w:rPr>
      </w:pPr>
      <w:r w:rsidRPr="000A4738">
        <w:rPr>
          <w:rFonts w:cstheme="minorHAnsi"/>
          <w:sz w:val="24"/>
          <w:szCs w:val="24"/>
        </w:rPr>
        <w:t xml:space="preserve">The Applicant states that </w:t>
      </w:r>
      <w:r w:rsidR="00932AB0" w:rsidRPr="000A4738">
        <w:rPr>
          <w:rFonts w:cstheme="minorHAnsi"/>
          <w:sz w:val="24"/>
          <w:szCs w:val="24"/>
        </w:rPr>
        <w:t>the Proposed</w:t>
      </w:r>
      <w:r w:rsidRPr="000A4738">
        <w:rPr>
          <w:rFonts w:cstheme="minorHAnsi"/>
          <w:sz w:val="24"/>
          <w:szCs w:val="24"/>
        </w:rPr>
        <w:t xml:space="preserve"> Project will work to reduce health inequity</w:t>
      </w:r>
      <w:r w:rsidR="00C53963">
        <w:rPr>
          <w:rFonts w:cstheme="minorHAnsi"/>
          <w:sz w:val="24"/>
          <w:szCs w:val="24"/>
        </w:rPr>
        <w:t xml:space="preserve"> by</w:t>
      </w:r>
      <w:r w:rsidRPr="000A4738">
        <w:rPr>
          <w:rFonts w:cstheme="minorHAnsi"/>
          <w:sz w:val="24"/>
          <w:szCs w:val="24"/>
        </w:rPr>
        <w:t xml:space="preserve"> increasing and improving access to emergency services </w:t>
      </w:r>
      <w:r w:rsidR="000A4738" w:rsidRPr="000A4738">
        <w:rPr>
          <w:rFonts w:cstheme="minorHAnsi"/>
          <w:sz w:val="24"/>
          <w:szCs w:val="24"/>
        </w:rPr>
        <w:t>in the</w:t>
      </w:r>
      <w:r w:rsidRPr="000A4738">
        <w:rPr>
          <w:rFonts w:cstheme="minorHAnsi"/>
          <w:sz w:val="24"/>
          <w:szCs w:val="24"/>
        </w:rPr>
        <w:t xml:space="preserve"> community. </w:t>
      </w:r>
      <w:r w:rsidR="00292C75">
        <w:rPr>
          <w:rFonts w:cstheme="minorHAnsi"/>
          <w:sz w:val="24"/>
          <w:szCs w:val="24"/>
        </w:rPr>
        <w:t>The Applicant stated that “</w:t>
      </w:r>
      <w:r w:rsidR="00292C75" w:rsidRPr="00292C75">
        <w:rPr>
          <w:rFonts w:cstheme="minorHAnsi"/>
          <w:sz w:val="24"/>
          <w:szCs w:val="24"/>
        </w:rPr>
        <w:t xml:space="preserve">Sturdy Health respects each patient’s right to receive information in a manner that the patient </w:t>
      </w:r>
      <w:r w:rsidR="00292C75" w:rsidRPr="00292C75">
        <w:rPr>
          <w:rFonts w:cstheme="minorHAnsi"/>
          <w:sz w:val="24"/>
          <w:szCs w:val="24"/>
        </w:rPr>
        <w:lastRenderedPageBreak/>
        <w:t>understands.</w:t>
      </w:r>
      <w:r w:rsidR="00292C75">
        <w:rPr>
          <w:rFonts w:cstheme="minorHAnsi"/>
          <w:sz w:val="24"/>
          <w:szCs w:val="24"/>
        </w:rPr>
        <w:t>”</w:t>
      </w:r>
      <w:r w:rsidR="00292C75" w:rsidRPr="00292C75">
        <w:rPr>
          <w:rFonts w:cstheme="minorHAnsi"/>
          <w:sz w:val="24"/>
          <w:szCs w:val="24"/>
        </w:rPr>
        <w:t xml:space="preserve"> </w:t>
      </w:r>
      <w:r w:rsidR="00292C75">
        <w:rPr>
          <w:rFonts w:cstheme="minorHAnsi"/>
          <w:sz w:val="24"/>
          <w:szCs w:val="24"/>
        </w:rPr>
        <w:t xml:space="preserve">The </w:t>
      </w:r>
      <w:r w:rsidR="00292C75" w:rsidRPr="00292C75">
        <w:rPr>
          <w:rFonts w:cstheme="minorHAnsi"/>
          <w:sz w:val="24"/>
          <w:szCs w:val="24"/>
        </w:rPr>
        <w:t xml:space="preserve">Hospital </w:t>
      </w:r>
      <w:r w:rsidRPr="00292C75">
        <w:rPr>
          <w:rFonts w:cstheme="minorHAnsi"/>
          <w:sz w:val="24"/>
          <w:szCs w:val="24"/>
        </w:rPr>
        <w:t xml:space="preserve">has implemented the following initiatives to facilitate </w:t>
      </w:r>
      <w:r w:rsidRPr="00724130">
        <w:rPr>
          <w:rFonts w:cstheme="minorHAnsi"/>
          <w:sz w:val="24"/>
          <w:szCs w:val="24"/>
        </w:rPr>
        <w:t>equitable access to its services:</w:t>
      </w:r>
    </w:p>
    <w:p w14:paraId="79195455" w14:textId="77777777" w:rsidR="00AB7578" w:rsidRPr="00724130" w:rsidRDefault="00AB7578" w:rsidP="00A662DF">
      <w:pPr>
        <w:pStyle w:val="HBblj"/>
        <w:spacing w:after="0"/>
        <w:jc w:val="left"/>
        <w:rPr>
          <w:rFonts w:cstheme="minorHAnsi"/>
          <w:sz w:val="24"/>
          <w:szCs w:val="24"/>
        </w:rPr>
      </w:pPr>
    </w:p>
    <w:p w14:paraId="17758AEC" w14:textId="742B3BA1" w:rsidR="005A5610" w:rsidRDefault="0094745B" w:rsidP="00A662DF">
      <w:pPr>
        <w:widowControl w:val="0"/>
        <w:tabs>
          <w:tab w:val="left" w:pos="839"/>
          <w:tab w:val="left" w:pos="840"/>
        </w:tabs>
        <w:autoSpaceDE w:val="0"/>
        <w:autoSpaceDN w:val="0"/>
        <w:spacing w:after="0" w:line="240" w:lineRule="auto"/>
        <w:ind w:left="720" w:right="191"/>
        <w:rPr>
          <w:sz w:val="24"/>
          <w:szCs w:val="24"/>
        </w:rPr>
      </w:pPr>
      <w:r w:rsidRPr="00724130">
        <w:rPr>
          <w:b/>
          <w:bCs/>
          <w:sz w:val="24"/>
          <w:szCs w:val="24"/>
        </w:rPr>
        <w:t>Language Accessibility:</w:t>
      </w:r>
      <w:r w:rsidR="005A5610" w:rsidRPr="00724130">
        <w:rPr>
          <w:sz w:val="24"/>
          <w:szCs w:val="24"/>
        </w:rPr>
        <w:t xml:space="preserve"> The Hospital </w:t>
      </w:r>
      <w:r w:rsidR="00724130" w:rsidRPr="00724130">
        <w:rPr>
          <w:rFonts w:eastAsia="Times New Roman" w:cs="Arial"/>
          <w:sz w:val="24"/>
          <w:szCs w:val="24"/>
        </w:rPr>
        <w:t xml:space="preserve">starts with screening all patients at registration to collect their race, ethnicity, and language preference. </w:t>
      </w:r>
      <w:r w:rsidR="005A5610" w:rsidRPr="00724130">
        <w:rPr>
          <w:sz w:val="24"/>
          <w:szCs w:val="24"/>
        </w:rPr>
        <w:t>Interpreter services are available 24/7 to all patients using iPad virtual, telephone, and in-person interpreters. Sturdy Health contracts with external organizations (Cyracom, Partners Interpreter Services and AMN) to provide interpreter services within the Hospital and medical offices. The Hospital has identified the top languages accessed via the interpreter services as Haitian Creole, Spanish, Arabic, and Portuguese. The interpreter services partners also provide ASL services for hearing-impaired patients. Sturdy Health currently screens for visual and hearing impairment and provides hearing augmentation devices as needed.</w:t>
      </w:r>
      <w:r w:rsidR="00F82424">
        <w:rPr>
          <w:sz w:val="24"/>
          <w:szCs w:val="24"/>
        </w:rPr>
        <w:t xml:space="preserve"> </w:t>
      </w:r>
      <w:bookmarkStart w:id="9" w:name="_Hlk183077284"/>
      <w:r w:rsidR="00F82424" w:rsidRPr="00F82424">
        <w:rPr>
          <w:sz w:val="24"/>
          <w:szCs w:val="24"/>
        </w:rPr>
        <w:t xml:space="preserve">Sturdy Health has translated key healthcare documents </w:t>
      </w:r>
      <w:bookmarkEnd w:id="9"/>
      <w:r w:rsidR="00F82424" w:rsidRPr="00F82424">
        <w:rPr>
          <w:sz w:val="24"/>
          <w:szCs w:val="24"/>
        </w:rPr>
        <w:t xml:space="preserve">to the most requested languages to better serve its patients and community. </w:t>
      </w:r>
      <w:r w:rsidR="004277FE">
        <w:rPr>
          <w:sz w:val="24"/>
          <w:szCs w:val="24"/>
        </w:rPr>
        <w:t xml:space="preserve">The Applicant also states that </w:t>
      </w:r>
      <w:r w:rsidR="00224D8B">
        <w:rPr>
          <w:sz w:val="24"/>
          <w:szCs w:val="24"/>
        </w:rPr>
        <w:t>they</w:t>
      </w:r>
      <w:r w:rsidR="00F82424" w:rsidRPr="00F82424">
        <w:rPr>
          <w:sz w:val="24"/>
          <w:szCs w:val="24"/>
        </w:rPr>
        <w:t xml:space="preserve"> utilize patient experience feedback surveys to collect data regarding interpreter services, implement improvements and provide feedback to patients.</w:t>
      </w:r>
    </w:p>
    <w:p w14:paraId="6D87BCAE" w14:textId="77777777" w:rsidR="00AA3565" w:rsidRDefault="00AA3565" w:rsidP="00A662DF">
      <w:pPr>
        <w:widowControl w:val="0"/>
        <w:tabs>
          <w:tab w:val="left" w:pos="839"/>
          <w:tab w:val="left" w:pos="840"/>
        </w:tabs>
        <w:autoSpaceDE w:val="0"/>
        <w:autoSpaceDN w:val="0"/>
        <w:spacing w:after="0" w:line="240" w:lineRule="auto"/>
        <w:ind w:left="720" w:right="191"/>
        <w:rPr>
          <w:sz w:val="24"/>
          <w:szCs w:val="24"/>
        </w:rPr>
      </w:pPr>
    </w:p>
    <w:p w14:paraId="0679B09D" w14:textId="27D3A8F9" w:rsidR="000F057A" w:rsidRPr="00F86285" w:rsidRDefault="000F057A" w:rsidP="00A662DF">
      <w:pPr>
        <w:widowControl w:val="0"/>
        <w:tabs>
          <w:tab w:val="left" w:pos="839"/>
          <w:tab w:val="left" w:pos="840"/>
        </w:tabs>
        <w:autoSpaceDE w:val="0"/>
        <w:autoSpaceDN w:val="0"/>
        <w:spacing w:after="0" w:line="240" w:lineRule="auto"/>
        <w:ind w:left="720" w:right="191"/>
        <w:rPr>
          <w:sz w:val="24"/>
          <w:szCs w:val="24"/>
        </w:rPr>
      </w:pPr>
      <w:r>
        <w:rPr>
          <w:b/>
          <w:bCs/>
          <w:sz w:val="24"/>
          <w:szCs w:val="24"/>
        </w:rPr>
        <w:t xml:space="preserve">Staff </w:t>
      </w:r>
      <w:r w:rsidR="007F5BC7">
        <w:rPr>
          <w:b/>
          <w:bCs/>
          <w:sz w:val="24"/>
          <w:szCs w:val="24"/>
        </w:rPr>
        <w:t xml:space="preserve">Development: </w:t>
      </w:r>
      <w:r w:rsidR="00D04813" w:rsidRPr="00F86285">
        <w:rPr>
          <w:sz w:val="24"/>
          <w:szCs w:val="24"/>
        </w:rPr>
        <w:t xml:space="preserve">All </w:t>
      </w:r>
      <w:r w:rsidR="00B0249D" w:rsidRPr="00F86285">
        <w:rPr>
          <w:sz w:val="24"/>
          <w:szCs w:val="24"/>
        </w:rPr>
        <w:t xml:space="preserve">staff </w:t>
      </w:r>
      <w:r w:rsidR="00D03AAF" w:rsidRPr="00F86285">
        <w:rPr>
          <w:sz w:val="24"/>
          <w:szCs w:val="24"/>
        </w:rPr>
        <w:t xml:space="preserve">members who </w:t>
      </w:r>
      <w:r w:rsidR="00467AE4" w:rsidRPr="00F86285">
        <w:rPr>
          <w:sz w:val="24"/>
          <w:szCs w:val="24"/>
        </w:rPr>
        <w:t>interact with patients</w:t>
      </w:r>
      <w:r w:rsidR="0077474A" w:rsidRPr="00F86285">
        <w:rPr>
          <w:sz w:val="24"/>
          <w:szCs w:val="24"/>
        </w:rPr>
        <w:t xml:space="preserve"> take courses focusing on </w:t>
      </w:r>
      <w:r w:rsidR="00C0139F" w:rsidRPr="00F86285">
        <w:rPr>
          <w:sz w:val="24"/>
          <w:szCs w:val="24"/>
        </w:rPr>
        <w:t xml:space="preserve">language accessibility and diversity issues. The </w:t>
      </w:r>
      <w:r w:rsidR="00373234" w:rsidRPr="00F86285">
        <w:rPr>
          <w:sz w:val="24"/>
          <w:szCs w:val="24"/>
        </w:rPr>
        <w:t xml:space="preserve">trainings include: </w:t>
      </w:r>
    </w:p>
    <w:p w14:paraId="6B62500A" w14:textId="35A5826D" w:rsidR="00A93325" w:rsidRPr="00F86285" w:rsidRDefault="00A93325" w:rsidP="00A662DF">
      <w:pPr>
        <w:pStyle w:val="ListParagraph"/>
        <w:widowControl w:val="0"/>
        <w:numPr>
          <w:ilvl w:val="0"/>
          <w:numId w:val="23"/>
        </w:numPr>
        <w:tabs>
          <w:tab w:val="left" w:pos="839"/>
          <w:tab w:val="left" w:pos="840"/>
        </w:tabs>
        <w:autoSpaceDE w:val="0"/>
        <w:autoSpaceDN w:val="0"/>
        <w:spacing w:after="0" w:line="240" w:lineRule="auto"/>
        <w:ind w:right="191"/>
        <w:rPr>
          <w:rFonts w:eastAsia="Times New Roman" w:cs="Arial"/>
          <w:sz w:val="24"/>
          <w:szCs w:val="24"/>
        </w:rPr>
      </w:pPr>
      <w:r w:rsidRPr="00F86285">
        <w:rPr>
          <w:rFonts w:eastAsia="Times New Roman" w:cs="Arial"/>
          <w:sz w:val="24"/>
          <w:szCs w:val="24"/>
        </w:rPr>
        <w:t>Diversity in Healthcare Training</w:t>
      </w:r>
    </w:p>
    <w:p w14:paraId="174FA395" w14:textId="66CA57E9" w:rsidR="00174C6E" w:rsidRPr="00F86285" w:rsidRDefault="00F86285" w:rsidP="00A662DF">
      <w:pPr>
        <w:pStyle w:val="ListParagraph"/>
        <w:widowControl w:val="0"/>
        <w:numPr>
          <w:ilvl w:val="0"/>
          <w:numId w:val="23"/>
        </w:numPr>
        <w:tabs>
          <w:tab w:val="left" w:pos="839"/>
          <w:tab w:val="left" w:pos="840"/>
        </w:tabs>
        <w:autoSpaceDE w:val="0"/>
        <w:autoSpaceDN w:val="0"/>
        <w:spacing w:after="0" w:line="240" w:lineRule="auto"/>
        <w:ind w:right="191"/>
        <w:rPr>
          <w:rFonts w:eastAsia="Times New Roman" w:cs="Arial"/>
          <w:sz w:val="24"/>
          <w:szCs w:val="24"/>
        </w:rPr>
      </w:pPr>
      <w:r>
        <w:rPr>
          <w:rFonts w:eastAsia="Times New Roman" w:cs="Arial"/>
          <w:sz w:val="24"/>
          <w:szCs w:val="24"/>
        </w:rPr>
        <w:t>H</w:t>
      </w:r>
      <w:r w:rsidR="00174C6E" w:rsidRPr="00F86285">
        <w:rPr>
          <w:rFonts w:eastAsia="Times New Roman" w:cs="Arial"/>
          <w:sz w:val="24"/>
          <w:szCs w:val="24"/>
        </w:rPr>
        <w:t>ow to Build a Foundation for Sexual Orientation and Gender Identity Empathy and Communication</w:t>
      </w:r>
    </w:p>
    <w:p w14:paraId="7DE95E4A" w14:textId="17CF6E7E" w:rsidR="0048741D" w:rsidRPr="00F86285" w:rsidRDefault="00F86285" w:rsidP="00A662DF">
      <w:pPr>
        <w:pStyle w:val="ListParagraph"/>
        <w:widowControl w:val="0"/>
        <w:numPr>
          <w:ilvl w:val="0"/>
          <w:numId w:val="23"/>
        </w:numPr>
        <w:tabs>
          <w:tab w:val="left" w:pos="839"/>
          <w:tab w:val="left" w:pos="840"/>
        </w:tabs>
        <w:autoSpaceDE w:val="0"/>
        <w:autoSpaceDN w:val="0"/>
        <w:spacing w:after="0" w:line="240" w:lineRule="auto"/>
        <w:ind w:right="191"/>
        <w:rPr>
          <w:rFonts w:eastAsia="Times New Roman" w:cs="Arial"/>
          <w:sz w:val="24"/>
          <w:szCs w:val="24"/>
        </w:rPr>
      </w:pPr>
      <w:r>
        <w:rPr>
          <w:rFonts w:eastAsia="Times New Roman" w:cs="Arial"/>
          <w:sz w:val="24"/>
          <w:szCs w:val="24"/>
        </w:rPr>
        <w:t>H</w:t>
      </w:r>
      <w:r w:rsidR="0048741D" w:rsidRPr="00F86285">
        <w:rPr>
          <w:rFonts w:eastAsia="Times New Roman" w:cs="Arial"/>
          <w:sz w:val="24"/>
          <w:szCs w:val="24"/>
        </w:rPr>
        <w:t>ow to Build Language and Skills that Welcome and Affirm LGBT Patients.</w:t>
      </w:r>
    </w:p>
    <w:p w14:paraId="76DEE235" w14:textId="2642E1B3" w:rsidR="00F86285" w:rsidRDefault="00F86285" w:rsidP="00A662DF">
      <w:pPr>
        <w:widowControl w:val="0"/>
        <w:tabs>
          <w:tab w:val="left" w:pos="839"/>
          <w:tab w:val="left" w:pos="840"/>
        </w:tabs>
        <w:autoSpaceDE w:val="0"/>
        <w:autoSpaceDN w:val="0"/>
        <w:spacing w:after="0" w:line="240" w:lineRule="auto"/>
        <w:ind w:left="720" w:right="191"/>
        <w:rPr>
          <w:sz w:val="24"/>
          <w:szCs w:val="24"/>
        </w:rPr>
      </w:pPr>
      <w:r w:rsidRPr="0071291B">
        <w:rPr>
          <w:sz w:val="24"/>
          <w:szCs w:val="24"/>
        </w:rPr>
        <w:t>The Applicant also provides an in-person, training for management covering Unconscious Bias and Multicultural Communications Training</w:t>
      </w:r>
      <w:r w:rsidR="0071291B" w:rsidRPr="0071291B">
        <w:rPr>
          <w:sz w:val="24"/>
          <w:szCs w:val="24"/>
        </w:rPr>
        <w:t>.</w:t>
      </w:r>
    </w:p>
    <w:p w14:paraId="51FAC036" w14:textId="77777777" w:rsidR="00AA3565" w:rsidRPr="0071291B" w:rsidRDefault="00AA3565" w:rsidP="00A662DF">
      <w:pPr>
        <w:widowControl w:val="0"/>
        <w:tabs>
          <w:tab w:val="left" w:pos="839"/>
          <w:tab w:val="left" w:pos="840"/>
        </w:tabs>
        <w:autoSpaceDE w:val="0"/>
        <w:autoSpaceDN w:val="0"/>
        <w:spacing w:after="0" w:line="240" w:lineRule="auto"/>
        <w:ind w:left="720" w:right="191"/>
        <w:rPr>
          <w:sz w:val="24"/>
          <w:szCs w:val="24"/>
        </w:rPr>
      </w:pPr>
    </w:p>
    <w:p w14:paraId="74A12445" w14:textId="2571125C" w:rsidR="00B154CB" w:rsidRPr="00B154CB" w:rsidRDefault="00A82BE9" w:rsidP="00A662DF">
      <w:pPr>
        <w:widowControl w:val="0"/>
        <w:tabs>
          <w:tab w:val="left" w:pos="839"/>
          <w:tab w:val="left" w:pos="840"/>
        </w:tabs>
        <w:autoSpaceDE w:val="0"/>
        <w:autoSpaceDN w:val="0"/>
        <w:spacing w:after="0" w:line="240" w:lineRule="auto"/>
        <w:ind w:left="720" w:right="187"/>
        <w:rPr>
          <w:sz w:val="24"/>
          <w:szCs w:val="24"/>
        </w:rPr>
      </w:pPr>
      <w:r w:rsidRPr="00E576A7">
        <w:rPr>
          <w:b/>
          <w:bCs/>
          <w:sz w:val="24"/>
          <w:szCs w:val="24"/>
        </w:rPr>
        <w:t>Accessibility Needs:</w:t>
      </w:r>
      <w:r>
        <w:rPr>
          <w:sz w:val="24"/>
          <w:szCs w:val="24"/>
        </w:rPr>
        <w:t xml:space="preserve"> </w:t>
      </w:r>
      <w:r w:rsidR="00B154CB">
        <w:rPr>
          <w:sz w:val="24"/>
          <w:szCs w:val="24"/>
        </w:rPr>
        <w:t xml:space="preserve">The </w:t>
      </w:r>
      <w:r w:rsidR="00B154CB" w:rsidRPr="00B154CB">
        <w:rPr>
          <w:sz w:val="24"/>
          <w:szCs w:val="24"/>
        </w:rPr>
        <w:t xml:space="preserve">Hospital </w:t>
      </w:r>
      <w:r w:rsidR="00B154CB">
        <w:rPr>
          <w:sz w:val="24"/>
          <w:szCs w:val="24"/>
        </w:rPr>
        <w:t>plans to</w:t>
      </w:r>
      <w:r w:rsidR="00B154CB" w:rsidRPr="00B154CB">
        <w:rPr>
          <w:sz w:val="24"/>
          <w:szCs w:val="24"/>
        </w:rPr>
        <w:t xml:space="preserve"> implement a screening for disability needs in the ED within the next year to provide patients with the most appropriate accommodations during their treatment.</w:t>
      </w:r>
      <w:r w:rsidR="00EE67EF">
        <w:rPr>
          <w:sz w:val="24"/>
          <w:szCs w:val="24"/>
        </w:rPr>
        <w:t xml:space="preserve"> Currently, the Applicant </w:t>
      </w:r>
      <w:r w:rsidR="00EE67EF" w:rsidRPr="00EE67EF">
        <w:rPr>
          <w:sz w:val="24"/>
          <w:szCs w:val="24"/>
        </w:rPr>
        <w:t xml:space="preserve">screens patients at risk for falls and implements assistive devices, physical therapy in the ED, bed alarms, and bedside equipment </w:t>
      </w:r>
      <w:r w:rsidR="00E576A7">
        <w:rPr>
          <w:sz w:val="24"/>
          <w:szCs w:val="24"/>
        </w:rPr>
        <w:t>such as commodes and tables.</w:t>
      </w:r>
    </w:p>
    <w:p w14:paraId="4465223A" w14:textId="64F9613A" w:rsidR="00F86285" w:rsidRPr="00724130" w:rsidRDefault="00F86285" w:rsidP="00A662DF">
      <w:pPr>
        <w:widowControl w:val="0"/>
        <w:tabs>
          <w:tab w:val="left" w:pos="839"/>
          <w:tab w:val="left" w:pos="840"/>
        </w:tabs>
        <w:autoSpaceDE w:val="0"/>
        <w:autoSpaceDN w:val="0"/>
        <w:spacing w:after="0" w:line="240" w:lineRule="auto"/>
        <w:ind w:left="720" w:right="191"/>
        <w:rPr>
          <w:sz w:val="24"/>
          <w:szCs w:val="24"/>
        </w:rPr>
      </w:pPr>
    </w:p>
    <w:p w14:paraId="23F9B7A0" w14:textId="35F57E92" w:rsidR="003D4FB2" w:rsidRPr="00DC5BC2" w:rsidRDefault="00014974" w:rsidP="00A662DF">
      <w:pPr>
        <w:widowControl w:val="0"/>
        <w:tabs>
          <w:tab w:val="left" w:pos="839"/>
          <w:tab w:val="left" w:pos="840"/>
        </w:tabs>
        <w:autoSpaceDE w:val="0"/>
        <w:autoSpaceDN w:val="0"/>
        <w:spacing w:after="0" w:line="240" w:lineRule="auto"/>
        <w:ind w:left="720" w:right="191"/>
        <w:rPr>
          <w:sz w:val="24"/>
          <w:szCs w:val="24"/>
        </w:rPr>
      </w:pPr>
      <w:r w:rsidRPr="09A548EB">
        <w:rPr>
          <w:b/>
          <w:bCs/>
          <w:sz w:val="24"/>
          <w:szCs w:val="24"/>
        </w:rPr>
        <w:t>Connection to Local Resources:</w:t>
      </w:r>
      <w:r w:rsidRPr="09A548EB">
        <w:rPr>
          <w:sz w:val="24"/>
          <w:szCs w:val="24"/>
        </w:rPr>
        <w:t xml:space="preserve"> </w:t>
      </w:r>
      <w:r w:rsidR="00BF3523">
        <w:rPr>
          <w:sz w:val="24"/>
          <w:szCs w:val="24"/>
        </w:rPr>
        <w:t xml:space="preserve">If a patient discloses </w:t>
      </w:r>
      <w:r w:rsidR="00790DC9">
        <w:rPr>
          <w:sz w:val="24"/>
          <w:szCs w:val="24"/>
        </w:rPr>
        <w:t>a need for assistance during their ED visit or</w:t>
      </w:r>
      <w:r w:rsidR="00DC5BC2" w:rsidRPr="09A548EB">
        <w:rPr>
          <w:sz w:val="24"/>
          <w:szCs w:val="24"/>
        </w:rPr>
        <w:t xml:space="preserve"> routine nursing assessments</w:t>
      </w:r>
      <w:r w:rsidR="00903424" w:rsidRPr="09A548EB">
        <w:rPr>
          <w:sz w:val="24"/>
          <w:szCs w:val="24"/>
        </w:rPr>
        <w:t xml:space="preserve"> suggest a </w:t>
      </w:r>
      <w:r w:rsidR="00DC5BC2" w:rsidRPr="09A548EB">
        <w:rPr>
          <w:sz w:val="24"/>
          <w:szCs w:val="24"/>
        </w:rPr>
        <w:t xml:space="preserve">patient should be screened, </w:t>
      </w:r>
      <w:r w:rsidR="00790DC9">
        <w:rPr>
          <w:sz w:val="24"/>
          <w:szCs w:val="24"/>
        </w:rPr>
        <w:t>patients are</w:t>
      </w:r>
      <w:r w:rsidR="00DC5BC2" w:rsidRPr="09A548EB">
        <w:rPr>
          <w:sz w:val="24"/>
          <w:szCs w:val="24"/>
        </w:rPr>
        <w:t xml:space="preserve"> screened using the Protocol for Responding to and Assessing Patients’ Assets, Risks and Experiences (PRAPARE) tool during the visit</w:t>
      </w:r>
      <w:r w:rsidR="00C42879" w:rsidRPr="09A548EB">
        <w:rPr>
          <w:sz w:val="24"/>
          <w:szCs w:val="24"/>
        </w:rPr>
        <w:t xml:space="preserve">. All patients admitted for inpatient or observation stays are screened for </w:t>
      </w:r>
      <w:r w:rsidR="00BE0D85">
        <w:rPr>
          <w:sz w:val="24"/>
          <w:szCs w:val="24"/>
        </w:rPr>
        <w:t>SD</w:t>
      </w:r>
      <w:r w:rsidR="00A662DF">
        <w:rPr>
          <w:sz w:val="24"/>
          <w:szCs w:val="24"/>
        </w:rPr>
        <w:t>o</w:t>
      </w:r>
      <w:r w:rsidR="00BE0D85">
        <w:rPr>
          <w:sz w:val="24"/>
          <w:szCs w:val="24"/>
        </w:rPr>
        <w:t>H</w:t>
      </w:r>
      <w:r w:rsidR="00B564CD" w:rsidRPr="09A548EB">
        <w:rPr>
          <w:sz w:val="24"/>
          <w:szCs w:val="24"/>
        </w:rPr>
        <w:t>,</w:t>
      </w:r>
      <w:r w:rsidR="006508AC" w:rsidRPr="09A548EB">
        <w:rPr>
          <w:sz w:val="24"/>
          <w:szCs w:val="24"/>
        </w:rPr>
        <w:t xml:space="preserve"> </w:t>
      </w:r>
      <w:r w:rsidR="00B564CD" w:rsidRPr="09A548EB">
        <w:rPr>
          <w:sz w:val="24"/>
          <w:szCs w:val="24"/>
        </w:rPr>
        <w:t xml:space="preserve">and patients are provided </w:t>
      </w:r>
      <w:r w:rsidR="00D2758F" w:rsidRPr="09A548EB">
        <w:rPr>
          <w:sz w:val="24"/>
          <w:szCs w:val="24"/>
        </w:rPr>
        <w:t>with</w:t>
      </w:r>
      <w:r w:rsidR="00B564CD" w:rsidRPr="09A548EB">
        <w:rPr>
          <w:sz w:val="24"/>
          <w:szCs w:val="24"/>
        </w:rPr>
        <w:t xml:space="preserve"> resources to help address their identified social needs. Any immediate needs that prevent safe discharge from the Hospital are addressed prior to a patient’s discharge.</w:t>
      </w:r>
      <w:r w:rsidR="006100F5" w:rsidRPr="09A548EB">
        <w:rPr>
          <w:sz w:val="24"/>
          <w:szCs w:val="24"/>
        </w:rPr>
        <w:t xml:space="preserve"> Sturdy Health also performs the Identified Seniors at Risk (ISAR) assessment </w:t>
      </w:r>
      <w:r w:rsidR="00DC5BC2" w:rsidRPr="09A548EB">
        <w:rPr>
          <w:sz w:val="24"/>
          <w:szCs w:val="24"/>
        </w:rPr>
        <w:t xml:space="preserve">with all patients aged 65 or older </w:t>
      </w:r>
      <w:r w:rsidR="006100F5" w:rsidRPr="09A548EB">
        <w:rPr>
          <w:sz w:val="24"/>
          <w:szCs w:val="24"/>
        </w:rPr>
        <w:t>and provides case management consultation to those who screen positive for home safety evaluations, visiting nurse or other services, as needed.</w:t>
      </w:r>
    </w:p>
    <w:p w14:paraId="60787DF4" w14:textId="56C70D56" w:rsidR="003A6616" w:rsidRPr="00DC5BC2" w:rsidRDefault="003A6616" w:rsidP="00A662DF">
      <w:pPr>
        <w:spacing w:after="0" w:line="240" w:lineRule="auto"/>
        <w:contextualSpacing/>
        <w:rPr>
          <w:rFonts w:cstheme="minorHAnsi"/>
          <w:b/>
          <w:i/>
          <w:sz w:val="24"/>
          <w:szCs w:val="24"/>
        </w:rPr>
      </w:pPr>
      <w:r w:rsidRPr="00DC5BC2">
        <w:rPr>
          <w:rFonts w:cstheme="minorHAnsi"/>
          <w:b/>
          <w:i/>
          <w:sz w:val="24"/>
          <w:szCs w:val="24"/>
        </w:rPr>
        <w:lastRenderedPageBreak/>
        <w:t xml:space="preserve">Analysis: Health Equity and </w:t>
      </w:r>
      <w:r w:rsidR="002E357F">
        <w:rPr>
          <w:rFonts w:cstheme="minorHAnsi"/>
          <w:b/>
          <w:i/>
          <w:sz w:val="24"/>
          <w:szCs w:val="24"/>
        </w:rPr>
        <w:t>SDoH</w:t>
      </w:r>
    </w:p>
    <w:p w14:paraId="228842D4" w14:textId="2D154111" w:rsidR="003A6616" w:rsidRDefault="006D73BA" w:rsidP="00A662DF">
      <w:pPr>
        <w:spacing w:after="0" w:line="240" w:lineRule="auto"/>
        <w:rPr>
          <w:rFonts w:cstheme="minorHAnsi"/>
          <w:sz w:val="24"/>
          <w:szCs w:val="24"/>
        </w:rPr>
      </w:pPr>
      <w:r w:rsidRPr="00DC5BC2">
        <w:rPr>
          <w:rFonts w:cstheme="minorHAnsi"/>
          <w:color w:val="000000"/>
          <w:sz w:val="24"/>
          <w:szCs w:val="24"/>
        </w:rPr>
        <w:t xml:space="preserve">The DoN Staff reviewed the Applicant’s efforts to ensure equitable care. The Applicant demonstrates efforts to achieve health equity through language accessibility, connection to local resources, and </w:t>
      </w:r>
      <w:r w:rsidR="00684A75">
        <w:rPr>
          <w:rFonts w:cstheme="minorHAnsi"/>
          <w:color w:val="000000"/>
          <w:sz w:val="24"/>
          <w:szCs w:val="24"/>
        </w:rPr>
        <w:t>specialized staff training</w:t>
      </w:r>
      <w:r w:rsidRPr="00DC5BC2">
        <w:rPr>
          <w:rFonts w:cstheme="minorHAnsi"/>
          <w:color w:val="000000"/>
          <w:sz w:val="24"/>
          <w:szCs w:val="24"/>
        </w:rPr>
        <w:t xml:space="preserve">. Staff finds that the Applicant has sufficiently outlined ongoing efforts to achieve health equity. </w:t>
      </w:r>
      <w:r w:rsidRPr="00DC5BC2">
        <w:rPr>
          <w:rFonts w:cstheme="minorHAnsi"/>
          <w:sz w:val="24"/>
          <w:szCs w:val="24"/>
        </w:rPr>
        <w:t>As a result, Staff finds that the Applicant meets the requirements of the Public Health Value: Health Equity part of Factor 1b.</w:t>
      </w:r>
    </w:p>
    <w:p w14:paraId="52330980" w14:textId="77777777" w:rsidR="00C353B8" w:rsidRPr="00C353B8" w:rsidRDefault="00C353B8" w:rsidP="00A662DF">
      <w:pPr>
        <w:spacing w:after="0" w:line="240" w:lineRule="auto"/>
        <w:rPr>
          <w:rFonts w:cstheme="minorHAnsi"/>
          <w:bCs/>
          <w:sz w:val="24"/>
          <w:szCs w:val="24"/>
        </w:rPr>
      </w:pPr>
    </w:p>
    <w:p w14:paraId="41ED1AEB" w14:textId="5898B75C" w:rsidR="003E1CDA" w:rsidRPr="000B2C26" w:rsidRDefault="003E1CDA" w:rsidP="00A662DF">
      <w:pPr>
        <w:pStyle w:val="Heading1"/>
        <w:spacing w:before="0" w:line="240" w:lineRule="auto"/>
      </w:pPr>
      <w:bookmarkStart w:id="10" w:name="_Toc192247631"/>
      <w:r w:rsidRPr="000B2C26">
        <w:t>Factor 1: c) Efficiency, Continuity of Care, Coordination of Care</w:t>
      </w:r>
      <w:bookmarkEnd w:id="10"/>
    </w:p>
    <w:p w14:paraId="5E392FF1" w14:textId="318E736C" w:rsidR="00F45407" w:rsidRDefault="00C67247" w:rsidP="00A662DF">
      <w:pPr>
        <w:pStyle w:val="HBblj"/>
        <w:spacing w:after="0"/>
        <w:jc w:val="left"/>
        <w:rPr>
          <w:rFonts w:eastAsia="Times New Roman" w:cs="Arial"/>
          <w:sz w:val="24"/>
          <w:szCs w:val="24"/>
        </w:rPr>
      </w:pPr>
      <w:r w:rsidRPr="008C37E9">
        <w:rPr>
          <w:bCs/>
          <w:sz w:val="24"/>
          <w:szCs w:val="24"/>
        </w:rPr>
        <w:t xml:space="preserve">The Applicant asserts the </w:t>
      </w:r>
      <w:r w:rsidR="00AD36F0" w:rsidRPr="008C37E9">
        <w:rPr>
          <w:bCs/>
          <w:sz w:val="24"/>
          <w:szCs w:val="24"/>
        </w:rPr>
        <w:t>Proposed Project will promote</w:t>
      </w:r>
      <w:r w:rsidRPr="008C37E9">
        <w:rPr>
          <w:bCs/>
          <w:sz w:val="24"/>
          <w:szCs w:val="24"/>
        </w:rPr>
        <w:t xml:space="preserve"> continuity of care, improved </w:t>
      </w:r>
      <w:r w:rsidR="003A5696" w:rsidRPr="008C37E9">
        <w:rPr>
          <w:bCs/>
          <w:sz w:val="24"/>
          <w:szCs w:val="24"/>
        </w:rPr>
        <w:t>health outcomes</w:t>
      </w:r>
      <w:r w:rsidRPr="008C37E9">
        <w:rPr>
          <w:bCs/>
          <w:sz w:val="24"/>
          <w:szCs w:val="24"/>
        </w:rPr>
        <w:t>, and enhanced quality of lif</w:t>
      </w:r>
      <w:r w:rsidR="00043B60" w:rsidRPr="008C37E9">
        <w:rPr>
          <w:bCs/>
          <w:sz w:val="24"/>
          <w:szCs w:val="24"/>
        </w:rPr>
        <w:t>e through</w:t>
      </w:r>
      <w:r w:rsidR="006A4A62" w:rsidRPr="008C37E9">
        <w:rPr>
          <w:bCs/>
          <w:sz w:val="24"/>
          <w:szCs w:val="24"/>
        </w:rPr>
        <w:t xml:space="preserve"> its</w:t>
      </w:r>
      <w:r w:rsidR="00043B60" w:rsidRPr="008C37E9">
        <w:rPr>
          <w:bCs/>
          <w:sz w:val="24"/>
          <w:szCs w:val="24"/>
        </w:rPr>
        <w:t xml:space="preserve"> </w:t>
      </w:r>
      <w:r w:rsidR="00A34B2B">
        <w:rPr>
          <w:bCs/>
          <w:sz w:val="24"/>
          <w:szCs w:val="24"/>
        </w:rPr>
        <w:t>e</w:t>
      </w:r>
      <w:r w:rsidR="00AD36F0" w:rsidRPr="008C37E9">
        <w:rPr>
          <w:bCs/>
          <w:sz w:val="24"/>
          <w:szCs w:val="24"/>
        </w:rPr>
        <w:t xml:space="preserve">fficient </w:t>
      </w:r>
      <w:r w:rsidR="00A34B2B">
        <w:rPr>
          <w:bCs/>
          <w:sz w:val="24"/>
          <w:szCs w:val="24"/>
        </w:rPr>
        <w:t>u</w:t>
      </w:r>
      <w:r w:rsidR="00AD36F0" w:rsidRPr="008C37E9">
        <w:rPr>
          <w:bCs/>
          <w:sz w:val="24"/>
          <w:szCs w:val="24"/>
        </w:rPr>
        <w:t xml:space="preserve">se of </w:t>
      </w:r>
      <w:r w:rsidR="00A34B2B">
        <w:rPr>
          <w:bCs/>
          <w:sz w:val="24"/>
          <w:szCs w:val="24"/>
        </w:rPr>
        <w:t>s</w:t>
      </w:r>
      <w:r w:rsidR="00AD36F0" w:rsidRPr="008C37E9">
        <w:rPr>
          <w:bCs/>
          <w:sz w:val="24"/>
          <w:szCs w:val="24"/>
        </w:rPr>
        <w:t xml:space="preserve">pace to </w:t>
      </w:r>
      <w:r w:rsidR="00A34B2B">
        <w:rPr>
          <w:bCs/>
          <w:sz w:val="24"/>
          <w:szCs w:val="24"/>
        </w:rPr>
        <w:t>s</w:t>
      </w:r>
      <w:r w:rsidR="00AD36F0" w:rsidRPr="008C37E9">
        <w:rPr>
          <w:bCs/>
          <w:sz w:val="24"/>
          <w:szCs w:val="24"/>
        </w:rPr>
        <w:t xml:space="preserve">upport </w:t>
      </w:r>
      <w:r w:rsidR="00A34B2B">
        <w:rPr>
          <w:bCs/>
          <w:sz w:val="24"/>
          <w:szCs w:val="24"/>
        </w:rPr>
        <w:t>t</w:t>
      </w:r>
      <w:r w:rsidR="00AD36F0" w:rsidRPr="008C37E9">
        <w:rPr>
          <w:bCs/>
          <w:sz w:val="24"/>
          <w:szCs w:val="24"/>
        </w:rPr>
        <w:t>reatment</w:t>
      </w:r>
      <w:r w:rsidR="007B5788" w:rsidRPr="008C37E9">
        <w:rPr>
          <w:bCs/>
          <w:sz w:val="24"/>
          <w:szCs w:val="24"/>
        </w:rPr>
        <w:t xml:space="preserve">. As discussed in detail in Factor 1a, the current ED </w:t>
      </w:r>
      <w:r w:rsidR="00BB3B36" w:rsidRPr="008C37E9">
        <w:rPr>
          <w:bCs/>
          <w:sz w:val="24"/>
          <w:szCs w:val="24"/>
        </w:rPr>
        <w:t xml:space="preserve">struggles with both spatial inefficiencies as well as limited </w:t>
      </w:r>
      <w:r w:rsidR="00553007" w:rsidRPr="008C37E9">
        <w:rPr>
          <w:bCs/>
          <w:sz w:val="24"/>
          <w:szCs w:val="24"/>
        </w:rPr>
        <w:t xml:space="preserve">room for </w:t>
      </w:r>
      <w:r w:rsidR="000B2C26" w:rsidRPr="008C37E9">
        <w:rPr>
          <w:bCs/>
          <w:sz w:val="24"/>
          <w:szCs w:val="24"/>
        </w:rPr>
        <w:t>both treatment and p</w:t>
      </w:r>
      <w:r w:rsidR="00F258F7">
        <w:rPr>
          <w:bCs/>
          <w:sz w:val="24"/>
          <w:szCs w:val="24"/>
        </w:rPr>
        <w:t>atient privacy</w:t>
      </w:r>
      <w:r w:rsidR="000B2C26" w:rsidRPr="008C37E9">
        <w:rPr>
          <w:bCs/>
          <w:sz w:val="24"/>
          <w:szCs w:val="24"/>
        </w:rPr>
        <w:t xml:space="preserve">. </w:t>
      </w:r>
      <w:r w:rsidR="004548BA" w:rsidRPr="008C37E9">
        <w:rPr>
          <w:rFonts w:eastAsia="Times New Roman" w:cs="Arial"/>
          <w:sz w:val="24"/>
          <w:szCs w:val="24"/>
        </w:rPr>
        <w:t xml:space="preserve">The new design </w:t>
      </w:r>
      <w:r w:rsidR="00F258F7">
        <w:rPr>
          <w:rFonts w:eastAsia="Times New Roman" w:cs="Arial"/>
          <w:sz w:val="24"/>
          <w:szCs w:val="24"/>
        </w:rPr>
        <w:t xml:space="preserve">in the Proposed Project </w:t>
      </w:r>
      <w:r w:rsidR="004548BA" w:rsidRPr="008C37E9">
        <w:rPr>
          <w:rFonts w:eastAsia="Times New Roman" w:cs="Arial"/>
          <w:sz w:val="24"/>
          <w:szCs w:val="24"/>
        </w:rPr>
        <w:t xml:space="preserve">will allow colocation of hospitalists and ED providers with case management and ED pharmacists, greatly improving communications and patient care coordination, reducing the risk of </w:t>
      </w:r>
      <w:r w:rsidR="004548BA" w:rsidRPr="008C37E9">
        <w:rPr>
          <w:rFonts w:cs="Arial"/>
          <w:sz w:val="24"/>
          <w:szCs w:val="24"/>
        </w:rPr>
        <w:t>medication</w:t>
      </w:r>
      <w:r w:rsidR="004548BA" w:rsidRPr="008C37E9">
        <w:rPr>
          <w:rFonts w:eastAsia="Times New Roman" w:cs="Arial"/>
          <w:sz w:val="24"/>
          <w:szCs w:val="24"/>
        </w:rPr>
        <w:t xml:space="preserve"> errors, and improving the determination of appropriate disposition and time to discharge. </w:t>
      </w:r>
      <w:r w:rsidR="00A71CA3">
        <w:rPr>
          <w:rFonts w:eastAsia="Times New Roman" w:cs="Arial"/>
          <w:sz w:val="24"/>
          <w:szCs w:val="24"/>
        </w:rPr>
        <w:t>ED p</w:t>
      </w:r>
      <w:r w:rsidR="004548BA" w:rsidRPr="008C37E9">
        <w:rPr>
          <w:rFonts w:eastAsia="Times New Roman" w:cs="Arial"/>
          <w:sz w:val="24"/>
          <w:szCs w:val="24"/>
        </w:rPr>
        <w:t xml:space="preserve">roviders will also be located within pods with </w:t>
      </w:r>
      <w:r w:rsidR="006F2A2E">
        <w:rPr>
          <w:rFonts w:eastAsia="Times New Roman" w:cs="Arial"/>
          <w:sz w:val="24"/>
          <w:szCs w:val="24"/>
        </w:rPr>
        <w:t>ED nurses</w:t>
      </w:r>
      <w:r w:rsidR="00E1669C">
        <w:rPr>
          <w:rFonts w:eastAsia="Times New Roman" w:cs="Arial"/>
          <w:sz w:val="24"/>
          <w:szCs w:val="24"/>
        </w:rPr>
        <w:t xml:space="preserve">, </w:t>
      </w:r>
      <w:r w:rsidR="004548BA" w:rsidRPr="008C37E9">
        <w:rPr>
          <w:rFonts w:eastAsia="Times New Roman" w:cs="Arial"/>
          <w:sz w:val="24"/>
          <w:szCs w:val="24"/>
        </w:rPr>
        <w:t xml:space="preserve">which will allow for improved communication between the nurse and provider staff. </w:t>
      </w:r>
      <w:r w:rsidR="008649EB">
        <w:rPr>
          <w:rFonts w:eastAsia="Times New Roman" w:cs="Arial"/>
          <w:sz w:val="24"/>
          <w:szCs w:val="24"/>
        </w:rPr>
        <w:t>T</w:t>
      </w:r>
      <w:r w:rsidR="004708D5" w:rsidRPr="008C37E9">
        <w:rPr>
          <w:rFonts w:eastAsia="Times New Roman" w:cs="Arial"/>
          <w:sz w:val="24"/>
          <w:szCs w:val="24"/>
        </w:rPr>
        <w:t xml:space="preserve">he </w:t>
      </w:r>
      <w:r w:rsidR="008649EB">
        <w:rPr>
          <w:rFonts w:eastAsia="Times New Roman" w:cs="Arial"/>
          <w:sz w:val="24"/>
          <w:szCs w:val="24"/>
        </w:rPr>
        <w:t>Proposed Project also includes</w:t>
      </w:r>
      <w:r w:rsidR="004708D5" w:rsidRPr="008C37E9">
        <w:rPr>
          <w:rFonts w:eastAsia="Times New Roman" w:cs="Arial"/>
          <w:sz w:val="24"/>
          <w:szCs w:val="24"/>
        </w:rPr>
        <w:t xml:space="preserve"> a </w:t>
      </w:r>
      <w:r w:rsidR="004708D5" w:rsidRPr="008C37E9">
        <w:rPr>
          <w:rFonts w:cs="Arial"/>
          <w:sz w:val="24"/>
          <w:szCs w:val="24"/>
        </w:rPr>
        <w:t>dedicated</w:t>
      </w:r>
      <w:r w:rsidR="004708D5" w:rsidRPr="008C37E9">
        <w:rPr>
          <w:rFonts w:eastAsia="Times New Roman" w:cs="Arial"/>
          <w:sz w:val="24"/>
          <w:szCs w:val="24"/>
        </w:rPr>
        <w:t xml:space="preserve"> radiology suite with CT scan and x-ray imaging</w:t>
      </w:r>
      <w:r w:rsidR="008649EB">
        <w:rPr>
          <w:rFonts w:eastAsia="Times New Roman" w:cs="Arial"/>
          <w:sz w:val="24"/>
          <w:szCs w:val="24"/>
        </w:rPr>
        <w:t>,</w:t>
      </w:r>
      <w:r w:rsidR="004708D5" w:rsidRPr="008C37E9">
        <w:rPr>
          <w:rFonts w:eastAsia="Times New Roman" w:cs="Arial"/>
          <w:sz w:val="24"/>
          <w:szCs w:val="24"/>
        </w:rPr>
        <w:t xml:space="preserve"> which will allow acutely ill patients to receive diagnostic imaging more quickly without being transported outside of the ED, </w:t>
      </w:r>
      <w:r w:rsidR="008649EB">
        <w:rPr>
          <w:rFonts w:eastAsia="Times New Roman" w:cs="Arial"/>
          <w:sz w:val="24"/>
          <w:szCs w:val="24"/>
        </w:rPr>
        <w:t xml:space="preserve">both </w:t>
      </w:r>
      <w:r w:rsidR="004708D5" w:rsidRPr="008C37E9">
        <w:rPr>
          <w:rFonts w:eastAsia="Times New Roman" w:cs="Arial"/>
          <w:sz w:val="24"/>
          <w:szCs w:val="24"/>
        </w:rPr>
        <w:t>reducing the time to diagnosis, and improving the time to treatment.</w:t>
      </w:r>
      <w:r w:rsidR="00A34B2B">
        <w:rPr>
          <w:rFonts w:eastAsia="Times New Roman" w:cs="Arial"/>
          <w:sz w:val="24"/>
          <w:szCs w:val="24"/>
        </w:rPr>
        <w:t xml:space="preserve"> </w:t>
      </w:r>
      <w:r w:rsidR="00782566" w:rsidRPr="00A34B2B">
        <w:rPr>
          <w:rFonts w:eastAsia="Times New Roman" w:cs="Arial"/>
          <w:sz w:val="24"/>
          <w:szCs w:val="24"/>
        </w:rPr>
        <w:t xml:space="preserve">The Proposed Project </w:t>
      </w:r>
      <w:r w:rsidR="00E1669C">
        <w:rPr>
          <w:rFonts w:eastAsia="Times New Roman" w:cs="Arial"/>
          <w:sz w:val="24"/>
          <w:szCs w:val="24"/>
        </w:rPr>
        <w:t xml:space="preserve">will </w:t>
      </w:r>
      <w:r w:rsidR="00782566" w:rsidRPr="00A34B2B">
        <w:rPr>
          <w:rFonts w:eastAsia="Times New Roman" w:cs="Arial"/>
          <w:sz w:val="24"/>
          <w:szCs w:val="24"/>
        </w:rPr>
        <w:t>provide</w:t>
      </w:r>
      <w:r w:rsidR="00E1669C">
        <w:rPr>
          <w:rFonts w:eastAsia="Times New Roman" w:cs="Arial"/>
          <w:sz w:val="24"/>
          <w:szCs w:val="24"/>
        </w:rPr>
        <w:t xml:space="preserve"> </w:t>
      </w:r>
      <w:r w:rsidR="006C780C" w:rsidRPr="00A34B2B">
        <w:rPr>
          <w:rFonts w:eastAsia="Times New Roman" w:cs="Arial"/>
          <w:sz w:val="24"/>
          <w:szCs w:val="24"/>
        </w:rPr>
        <w:t>a private</w:t>
      </w:r>
      <w:r w:rsidR="00827045" w:rsidRPr="00A34B2B">
        <w:rPr>
          <w:rFonts w:eastAsia="Times New Roman" w:cs="Arial"/>
          <w:sz w:val="24"/>
          <w:szCs w:val="24"/>
        </w:rPr>
        <w:t>, secure, and calm environment</w:t>
      </w:r>
      <w:r w:rsidR="00E1669C">
        <w:rPr>
          <w:rFonts w:eastAsia="Times New Roman" w:cs="Arial"/>
          <w:sz w:val="24"/>
          <w:szCs w:val="24"/>
        </w:rPr>
        <w:t xml:space="preserve"> for behavioral health needs</w:t>
      </w:r>
      <w:r w:rsidR="00827045" w:rsidRPr="00A34B2B">
        <w:rPr>
          <w:rFonts w:eastAsia="Times New Roman" w:cs="Arial"/>
          <w:sz w:val="24"/>
          <w:szCs w:val="24"/>
        </w:rPr>
        <w:t xml:space="preserve">, which the Applicant </w:t>
      </w:r>
      <w:r w:rsidR="00A34B2B" w:rsidRPr="00A34B2B">
        <w:rPr>
          <w:rFonts w:eastAsia="Times New Roman" w:cs="Arial"/>
          <w:sz w:val="24"/>
          <w:szCs w:val="24"/>
        </w:rPr>
        <w:t xml:space="preserve">believes </w:t>
      </w:r>
      <w:r w:rsidR="006C38D3" w:rsidRPr="00A34B2B">
        <w:rPr>
          <w:rFonts w:eastAsia="Times New Roman" w:cs="Arial"/>
          <w:sz w:val="24"/>
          <w:szCs w:val="24"/>
        </w:rPr>
        <w:t xml:space="preserve">will contribute to reduced episodes of agitated behavior and will lead to </w:t>
      </w:r>
      <w:r w:rsidR="006C38D3" w:rsidRPr="00E1669C">
        <w:rPr>
          <w:rFonts w:eastAsia="Times New Roman" w:cs="Arial"/>
          <w:sz w:val="24"/>
          <w:szCs w:val="24"/>
        </w:rPr>
        <w:t>a reduction in use of physical restraints and employee assaults/injury.</w:t>
      </w:r>
    </w:p>
    <w:p w14:paraId="37E045A7" w14:textId="77777777" w:rsidR="00AB7578" w:rsidRPr="00E1669C" w:rsidRDefault="00AB7578" w:rsidP="00A662DF">
      <w:pPr>
        <w:pStyle w:val="HBblj"/>
        <w:spacing w:after="0"/>
        <w:jc w:val="left"/>
        <w:rPr>
          <w:rFonts w:eastAsia="Times New Roman" w:cs="Arial"/>
          <w:sz w:val="24"/>
          <w:szCs w:val="24"/>
        </w:rPr>
      </w:pPr>
    </w:p>
    <w:p w14:paraId="7CE10DB2" w14:textId="73563019" w:rsidR="00C67247" w:rsidRPr="00556222" w:rsidRDefault="00C67247" w:rsidP="00A662DF">
      <w:pPr>
        <w:spacing w:after="0" w:line="240" w:lineRule="auto"/>
        <w:rPr>
          <w:b/>
          <w:bCs/>
          <w:i/>
          <w:iCs/>
          <w:color w:val="FF0000"/>
          <w:sz w:val="24"/>
          <w:szCs w:val="24"/>
        </w:rPr>
      </w:pPr>
      <w:r w:rsidRPr="00556222">
        <w:rPr>
          <w:b/>
          <w:bCs/>
          <w:i/>
          <w:iCs/>
          <w:sz w:val="24"/>
          <w:szCs w:val="24"/>
        </w:rPr>
        <w:t>A</w:t>
      </w:r>
      <w:r w:rsidR="00656FAD" w:rsidRPr="00556222">
        <w:rPr>
          <w:b/>
          <w:bCs/>
          <w:i/>
          <w:iCs/>
          <w:sz w:val="24"/>
          <w:szCs w:val="24"/>
        </w:rPr>
        <w:t>nalysis</w:t>
      </w:r>
    </w:p>
    <w:p w14:paraId="288D8350" w14:textId="48459BBD" w:rsidR="00C87188" w:rsidRPr="00E1669C" w:rsidRDefault="000325FE" w:rsidP="00A662DF">
      <w:pPr>
        <w:autoSpaceDE w:val="0"/>
        <w:autoSpaceDN w:val="0"/>
        <w:adjustRightInd w:val="0"/>
        <w:spacing w:after="0" w:line="240" w:lineRule="auto"/>
        <w:rPr>
          <w:rFonts w:ascii="Calibri" w:hAnsi="Calibri" w:cs="Calibri"/>
          <w:color w:val="FF0000"/>
          <w:sz w:val="24"/>
          <w:szCs w:val="24"/>
        </w:rPr>
      </w:pPr>
      <w:r w:rsidRPr="00E1669C">
        <w:rPr>
          <w:sz w:val="24"/>
          <w:szCs w:val="24"/>
        </w:rPr>
        <w:t xml:space="preserve">Staff </w:t>
      </w:r>
      <w:r w:rsidR="00BA0CD7" w:rsidRPr="00E1669C">
        <w:rPr>
          <w:sz w:val="24"/>
          <w:szCs w:val="24"/>
        </w:rPr>
        <w:t xml:space="preserve">finds </w:t>
      </w:r>
      <w:r w:rsidR="00BA0CD7" w:rsidRPr="00E1669C">
        <w:rPr>
          <w:rFonts w:ascii="Calibri" w:hAnsi="Calibri" w:cs="Calibri"/>
          <w:color w:val="000000"/>
          <w:sz w:val="24"/>
          <w:szCs w:val="24"/>
        </w:rPr>
        <w:t xml:space="preserve">that the </w:t>
      </w:r>
      <w:r w:rsidR="00CF03AB" w:rsidRPr="00E1669C">
        <w:rPr>
          <w:rFonts w:ascii="Calibri" w:hAnsi="Calibri" w:cs="Calibri"/>
          <w:color w:val="000000"/>
          <w:sz w:val="24"/>
          <w:szCs w:val="24"/>
        </w:rPr>
        <w:t xml:space="preserve">Proposed Project’s </w:t>
      </w:r>
      <w:r w:rsidR="00C90E78" w:rsidRPr="00E1669C">
        <w:rPr>
          <w:rFonts w:ascii="Calibri" w:hAnsi="Calibri" w:cs="Calibri"/>
          <w:color w:val="000000"/>
          <w:sz w:val="24"/>
          <w:szCs w:val="24"/>
        </w:rPr>
        <w:t xml:space="preserve">expanded and redesigned </w:t>
      </w:r>
      <w:r w:rsidR="0089714E" w:rsidRPr="00E1669C">
        <w:rPr>
          <w:rFonts w:ascii="Calibri" w:hAnsi="Calibri" w:cs="Calibri"/>
          <w:color w:val="000000"/>
          <w:sz w:val="24"/>
          <w:szCs w:val="24"/>
        </w:rPr>
        <w:t xml:space="preserve">physical space will allow for </w:t>
      </w:r>
      <w:r w:rsidR="00E1669C" w:rsidRPr="00E1669C">
        <w:rPr>
          <w:rFonts w:ascii="Calibri" w:hAnsi="Calibri" w:cs="Calibri"/>
          <w:color w:val="000000"/>
          <w:sz w:val="24"/>
          <w:szCs w:val="24"/>
        </w:rPr>
        <w:t>the colocation of both clinical and case management providers</w:t>
      </w:r>
      <w:r w:rsidR="0089714E" w:rsidRPr="00E1669C">
        <w:rPr>
          <w:rFonts w:ascii="Calibri" w:hAnsi="Calibri" w:cs="Calibri"/>
          <w:color w:val="000000"/>
          <w:sz w:val="24"/>
          <w:szCs w:val="24"/>
        </w:rPr>
        <w:t xml:space="preserve">, which </w:t>
      </w:r>
      <w:r w:rsidR="00BA0CD7" w:rsidRPr="00E1669C">
        <w:rPr>
          <w:rFonts w:ascii="Calibri" w:hAnsi="Calibri" w:cs="Calibri"/>
          <w:color w:val="000000"/>
          <w:sz w:val="24"/>
          <w:szCs w:val="24"/>
        </w:rPr>
        <w:t>will contribute positively to efficiency, continuity, and coordination of care.</w:t>
      </w:r>
      <w:r w:rsidR="00C87188" w:rsidRPr="00E1669C">
        <w:rPr>
          <w:rFonts w:ascii="Calibri" w:hAnsi="Calibri" w:cs="Calibri"/>
          <w:color w:val="000000"/>
          <w:sz w:val="24"/>
          <w:szCs w:val="24"/>
        </w:rPr>
        <w:t xml:space="preserve"> </w:t>
      </w:r>
      <w:r w:rsidR="00E1669C" w:rsidRPr="00E1669C">
        <w:rPr>
          <w:rFonts w:ascii="Calibri" w:hAnsi="Calibri" w:cs="Calibri"/>
          <w:color w:val="000000"/>
          <w:sz w:val="24"/>
          <w:szCs w:val="24"/>
        </w:rPr>
        <w:t>Improving the physical layout of the ED, which includes improvements to the atmosphere of the behavioral health unit, will likely improve the efficiency of the ED setting.</w:t>
      </w:r>
      <w:r w:rsidR="00696E87" w:rsidRPr="00E1669C">
        <w:rPr>
          <w:rFonts w:ascii="Calibri" w:hAnsi="Calibri" w:cs="Calibri"/>
          <w:color w:val="000000"/>
          <w:sz w:val="24"/>
          <w:szCs w:val="24"/>
        </w:rPr>
        <w:t xml:space="preserve"> </w:t>
      </w:r>
      <w:r w:rsidR="00C87188" w:rsidRPr="00E1669C">
        <w:rPr>
          <w:rFonts w:cstheme="minorHAnsi"/>
          <w:sz w:val="24"/>
          <w:szCs w:val="24"/>
        </w:rPr>
        <w:t>As a result, Staff finds that the Proposed Project meets the requirements of Factor 1c</w:t>
      </w:r>
      <w:r w:rsidR="005B06AF" w:rsidRPr="00E1669C">
        <w:rPr>
          <w:rFonts w:cstheme="minorHAnsi"/>
          <w:sz w:val="24"/>
          <w:szCs w:val="24"/>
        </w:rPr>
        <w:t>.</w:t>
      </w:r>
    </w:p>
    <w:p w14:paraId="691B5040" w14:textId="57F36608" w:rsidR="004A5F26" w:rsidRPr="00E20DEA" w:rsidRDefault="004A5F26" w:rsidP="00A662DF">
      <w:pPr>
        <w:spacing w:after="0" w:line="240" w:lineRule="auto"/>
        <w:rPr>
          <w:sz w:val="24"/>
          <w:szCs w:val="24"/>
          <w:highlight w:val="yellow"/>
        </w:rPr>
      </w:pPr>
    </w:p>
    <w:p w14:paraId="57E2886E" w14:textId="5DA7694D" w:rsidR="004A5F26" w:rsidRPr="002668B1" w:rsidRDefault="004A5F26" w:rsidP="00A662DF">
      <w:pPr>
        <w:pStyle w:val="Heading1"/>
        <w:spacing w:before="0" w:line="240" w:lineRule="auto"/>
      </w:pPr>
      <w:bookmarkStart w:id="11" w:name="_Toc192247632"/>
      <w:r w:rsidRPr="002668B1">
        <w:t>Factor 1: d) Consultation</w:t>
      </w:r>
      <w:bookmarkEnd w:id="11"/>
    </w:p>
    <w:p w14:paraId="55E98F5A" w14:textId="77777777" w:rsidR="00EF6D82" w:rsidRPr="002668B1" w:rsidRDefault="00EF6D82" w:rsidP="00A662DF">
      <w:pPr>
        <w:autoSpaceDE w:val="0"/>
        <w:autoSpaceDN w:val="0"/>
        <w:adjustRightInd w:val="0"/>
        <w:spacing w:after="0" w:line="240" w:lineRule="auto"/>
        <w:rPr>
          <w:rFonts w:cstheme="minorHAnsi"/>
          <w:sz w:val="24"/>
          <w:szCs w:val="24"/>
        </w:rPr>
      </w:pPr>
      <w:r w:rsidRPr="002668B1">
        <w:rPr>
          <w:rFonts w:cstheme="minorHAnsi"/>
          <w:sz w:val="24"/>
          <w:szCs w:val="24"/>
        </w:rPr>
        <w:t>The Applicant has provided evidence of consultation, both prior to and after the Filing Date, with all government agencies that have licensure, certification, or other regulatory oversight, which has been done and will not be addressed further in this report. As a result, Staff finds that the Proposed Project meets the requirements of Factor 1d.</w:t>
      </w:r>
    </w:p>
    <w:p w14:paraId="077BABD1" w14:textId="77777777" w:rsidR="00B74C6F" w:rsidRPr="008649EB" w:rsidRDefault="00B74C6F" w:rsidP="00A662DF">
      <w:pPr>
        <w:autoSpaceDE w:val="0"/>
        <w:autoSpaceDN w:val="0"/>
        <w:adjustRightInd w:val="0"/>
        <w:spacing w:after="0" w:line="240" w:lineRule="auto"/>
        <w:rPr>
          <w:rStyle w:val="Heading1Char"/>
          <w:rFonts w:eastAsiaTheme="minorHAnsi" w:cstheme="minorHAnsi"/>
          <w:b w:val="0"/>
          <w:color w:val="000000"/>
          <w:sz w:val="24"/>
          <w:szCs w:val="24"/>
        </w:rPr>
      </w:pPr>
    </w:p>
    <w:p w14:paraId="5B905C39" w14:textId="624EB39B" w:rsidR="00B700D1" w:rsidRPr="008649EB" w:rsidRDefault="003E1CDA" w:rsidP="00A662DF">
      <w:pPr>
        <w:pStyle w:val="Heading1"/>
        <w:spacing w:before="0" w:line="240" w:lineRule="auto"/>
      </w:pPr>
      <w:bookmarkStart w:id="12" w:name="_Toc192247633"/>
      <w:r w:rsidRPr="008649EB">
        <w:t>Factor 1: e) Evidence of Sound Community Engagement</w:t>
      </w:r>
      <w:bookmarkEnd w:id="12"/>
    </w:p>
    <w:p w14:paraId="1E6DE275" w14:textId="264E0A48" w:rsidR="008D7CB9" w:rsidRPr="008649EB" w:rsidRDefault="003E1CDA" w:rsidP="008D7CB9">
      <w:pPr>
        <w:spacing w:after="0" w:line="240" w:lineRule="auto"/>
        <w:rPr>
          <w:sz w:val="24"/>
          <w:szCs w:val="24"/>
        </w:rPr>
      </w:pPr>
      <w:r w:rsidRPr="008649EB">
        <w:rPr>
          <w:sz w:val="24"/>
          <w:szCs w:val="24"/>
        </w:rPr>
        <w:t>The Department’s Guideline</w:t>
      </w:r>
      <w:r w:rsidRPr="008649EB">
        <w:rPr>
          <w:sz w:val="24"/>
          <w:szCs w:val="24"/>
          <w:vertAlign w:val="superscript"/>
        </w:rPr>
        <w:footnoteReference w:id="12"/>
      </w:r>
      <w:r w:rsidRPr="008649EB">
        <w:rPr>
          <w:sz w:val="24"/>
          <w:szCs w:val="24"/>
        </w:rPr>
        <w:t xml:space="preserve"> for community engagement defines “community” as the Patient Panel, and requires that at minimum, the Applicant must “consult” with groups representative </w:t>
      </w:r>
      <w:r w:rsidRPr="008649EB">
        <w:rPr>
          <w:sz w:val="24"/>
          <w:szCs w:val="24"/>
        </w:rPr>
        <w:lastRenderedPageBreak/>
        <w:t>of the Applicant's Patient Panel. Regulations state that efforts in such consultation should consist of engaging “community coalitions statistically representative of the Patient Panel.”</w:t>
      </w:r>
      <w:r w:rsidRPr="008649EB">
        <w:rPr>
          <w:sz w:val="24"/>
          <w:szCs w:val="24"/>
          <w:vertAlign w:val="superscript"/>
        </w:rPr>
        <w:footnoteReference w:id="13"/>
      </w:r>
      <w:bookmarkStart w:id="13" w:name="_Hlk140505850"/>
    </w:p>
    <w:p w14:paraId="1AED331E" w14:textId="77777777" w:rsidR="008D7CB9" w:rsidRPr="00C45A0D" w:rsidRDefault="008D7CB9" w:rsidP="008D7CB9">
      <w:pPr>
        <w:spacing w:after="0" w:line="240" w:lineRule="auto"/>
        <w:rPr>
          <w:sz w:val="24"/>
          <w:szCs w:val="24"/>
        </w:rPr>
      </w:pPr>
    </w:p>
    <w:p w14:paraId="662B319A" w14:textId="5F6AF1CB" w:rsidR="002052AB" w:rsidRPr="00C45A0D" w:rsidRDefault="002052AB" w:rsidP="008D7CB9">
      <w:pPr>
        <w:spacing w:after="0" w:line="240" w:lineRule="auto"/>
        <w:rPr>
          <w:sz w:val="24"/>
          <w:szCs w:val="24"/>
        </w:rPr>
      </w:pPr>
      <w:r w:rsidRPr="00C45A0D">
        <w:rPr>
          <w:sz w:val="24"/>
          <w:szCs w:val="24"/>
        </w:rPr>
        <w:t>The Applicant presented the Proposed Project to the following groups:</w:t>
      </w:r>
    </w:p>
    <w:p w14:paraId="431BC4BD" w14:textId="258C0839" w:rsidR="002052AB" w:rsidRPr="00C45A0D" w:rsidRDefault="002052AB" w:rsidP="00082D4A">
      <w:pPr>
        <w:pStyle w:val="ListParagraph"/>
        <w:numPr>
          <w:ilvl w:val="0"/>
          <w:numId w:val="3"/>
        </w:numPr>
        <w:spacing w:after="0" w:line="240" w:lineRule="auto"/>
        <w:jc w:val="both"/>
        <w:rPr>
          <w:rFonts w:eastAsia="Arial" w:cstheme="minorHAnsi"/>
          <w:sz w:val="24"/>
          <w:szCs w:val="24"/>
        </w:rPr>
      </w:pPr>
      <w:r w:rsidRPr="00C45A0D">
        <w:rPr>
          <w:rFonts w:eastAsia="Arial" w:cstheme="minorHAnsi"/>
          <w:sz w:val="24"/>
          <w:szCs w:val="24"/>
        </w:rPr>
        <w:t>Hospital’s Patient and Family Advisory Committee</w:t>
      </w:r>
      <w:r w:rsidR="008D7CB9" w:rsidRPr="00C45A0D">
        <w:rPr>
          <w:rFonts w:eastAsia="Arial" w:cstheme="minorHAnsi"/>
          <w:sz w:val="24"/>
          <w:szCs w:val="24"/>
        </w:rPr>
        <w:t xml:space="preserve"> (PFAC)</w:t>
      </w:r>
    </w:p>
    <w:p w14:paraId="17C61BD9" w14:textId="09E18430" w:rsidR="00716319" w:rsidRPr="00C45A0D" w:rsidRDefault="002A51AD" w:rsidP="00082D4A">
      <w:pPr>
        <w:pStyle w:val="ListParagraph"/>
        <w:numPr>
          <w:ilvl w:val="0"/>
          <w:numId w:val="3"/>
        </w:numPr>
        <w:spacing w:after="0" w:line="240" w:lineRule="auto"/>
        <w:jc w:val="both"/>
        <w:rPr>
          <w:rFonts w:eastAsia="Arial" w:cstheme="minorHAnsi"/>
          <w:sz w:val="24"/>
          <w:szCs w:val="24"/>
        </w:rPr>
      </w:pPr>
      <w:r w:rsidRPr="00C45A0D">
        <w:rPr>
          <w:rFonts w:eastAsia="Arial" w:cstheme="minorHAnsi"/>
          <w:sz w:val="24"/>
          <w:szCs w:val="24"/>
        </w:rPr>
        <w:t>Public Community Meeting</w:t>
      </w:r>
      <w:r w:rsidR="00C45A0D" w:rsidRPr="00C45A0D">
        <w:rPr>
          <w:rFonts w:eastAsia="Arial" w:cstheme="minorHAnsi"/>
          <w:sz w:val="24"/>
          <w:szCs w:val="24"/>
        </w:rPr>
        <w:t>s</w:t>
      </w:r>
    </w:p>
    <w:p w14:paraId="53477F96" w14:textId="77777777" w:rsidR="00B402C8" w:rsidRPr="00E20DEA" w:rsidRDefault="00B402C8" w:rsidP="006F55A0">
      <w:pPr>
        <w:spacing w:after="0" w:line="240" w:lineRule="auto"/>
        <w:ind w:left="1080"/>
        <w:rPr>
          <w:rFonts w:eastAsia="Arial" w:cstheme="minorHAnsi"/>
          <w:sz w:val="24"/>
          <w:szCs w:val="24"/>
          <w:highlight w:val="yellow"/>
        </w:rPr>
      </w:pPr>
    </w:p>
    <w:p w14:paraId="01E462C3" w14:textId="363F47E8" w:rsidR="002052AB" w:rsidRDefault="000B41C2" w:rsidP="00A662DF">
      <w:pPr>
        <w:pStyle w:val="HBblj"/>
        <w:spacing w:after="0"/>
        <w:rPr>
          <w:rFonts w:eastAsia="Arial" w:cstheme="minorHAnsi"/>
          <w:kern w:val="2"/>
          <w:sz w:val="24"/>
          <w:szCs w:val="24"/>
        </w:rPr>
      </w:pPr>
      <w:r w:rsidRPr="00C85A2E">
        <w:rPr>
          <w:rFonts w:eastAsia="Arial" w:cstheme="minorHAnsi"/>
          <w:kern w:val="2"/>
          <w:sz w:val="24"/>
          <w:szCs w:val="24"/>
        </w:rPr>
        <w:t xml:space="preserve">During each of the presentations described below, attendees were educated on the Applicant’s proposed plans, including how the Proposed Project will benefit the Hospital’s Patient Panel. Following the presentation, attendees were able to share feedback and ask the presenters </w:t>
      </w:r>
      <w:r w:rsidRPr="0050315B">
        <w:rPr>
          <w:rFonts w:eastAsia="Arial" w:cstheme="minorHAnsi"/>
          <w:kern w:val="2"/>
          <w:sz w:val="24"/>
          <w:szCs w:val="24"/>
        </w:rPr>
        <w:t>questions.</w:t>
      </w:r>
      <w:r w:rsidRPr="0042094C">
        <w:rPr>
          <w:rFonts w:eastAsia="Arial" w:cstheme="minorHAnsi"/>
          <w:kern w:val="2"/>
          <w:sz w:val="24"/>
          <w:szCs w:val="24"/>
        </w:rPr>
        <w:t xml:space="preserve"> </w:t>
      </w:r>
      <w:r w:rsidR="0042094C" w:rsidRPr="0042094C">
        <w:rPr>
          <w:rFonts w:eastAsia="Arial" w:cstheme="minorHAnsi"/>
          <w:kern w:val="2"/>
          <w:sz w:val="24"/>
          <w:szCs w:val="24"/>
        </w:rPr>
        <w:t>At each of these events, community members evaluated the Proposed Project and expressed their generally supportive thoughts and feedback.</w:t>
      </w:r>
    </w:p>
    <w:p w14:paraId="021611D4" w14:textId="77777777" w:rsidR="00AB7578" w:rsidRPr="0042094C" w:rsidRDefault="00AB7578" w:rsidP="00A662DF">
      <w:pPr>
        <w:pStyle w:val="HBblj"/>
        <w:spacing w:after="0"/>
        <w:rPr>
          <w:rFonts w:eastAsia="Arial" w:cs="Arial"/>
          <w:kern w:val="2"/>
        </w:rPr>
      </w:pPr>
    </w:p>
    <w:p w14:paraId="701FC6C3" w14:textId="35A002F7" w:rsidR="006674E1" w:rsidRPr="005C778C" w:rsidRDefault="005670A8" w:rsidP="005C778C">
      <w:pPr>
        <w:pStyle w:val="Default"/>
        <w:numPr>
          <w:ilvl w:val="0"/>
          <w:numId w:val="4"/>
        </w:numPr>
        <w:rPr>
          <w:rFonts w:asciiTheme="minorHAnsi" w:hAnsiTheme="minorHAnsi" w:cstheme="minorHAnsi"/>
        </w:rPr>
      </w:pPr>
      <w:r w:rsidRPr="0050315B">
        <w:rPr>
          <w:rFonts w:asciiTheme="minorHAnsi" w:eastAsia="Arial" w:hAnsiTheme="minorHAnsi" w:cstheme="minorHAnsi"/>
          <w:b/>
          <w:bCs/>
        </w:rPr>
        <w:t>Hospital’s Patient and Family Advisory Committee (PFAC)</w:t>
      </w:r>
      <w:r w:rsidRPr="0050315B">
        <w:rPr>
          <w:rFonts w:asciiTheme="minorHAnsi" w:eastAsia="Arial" w:hAnsiTheme="minorHAnsi" w:cstheme="minorHAnsi"/>
          <w:b/>
          <w:bCs/>
          <w:kern w:val="2"/>
        </w:rPr>
        <w:t xml:space="preserve">: </w:t>
      </w:r>
      <w:r w:rsidR="006674E1" w:rsidRPr="0050315B">
        <w:rPr>
          <w:rFonts w:asciiTheme="minorHAnsi" w:eastAsia="Arial" w:hAnsiTheme="minorHAnsi" w:cstheme="minorHAnsi"/>
          <w:kern w:val="2"/>
        </w:rPr>
        <w:t xml:space="preserve">The Proposed Project was presented to the PFAC in </w:t>
      </w:r>
      <w:r w:rsidR="002F0B65" w:rsidRPr="0050315B">
        <w:rPr>
          <w:rFonts w:asciiTheme="minorHAnsi" w:eastAsia="Arial" w:hAnsiTheme="minorHAnsi" w:cstheme="minorHAnsi"/>
          <w:kern w:val="2"/>
        </w:rPr>
        <w:t xml:space="preserve">March and December 2023 as well as March and June 2024 </w:t>
      </w:r>
      <w:r w:rsidR="002F0B65" w:rsidRPr="005C778C">
        <w:rPr>
          <w:rFonts w:asciiTheme="minorHAnsi" w:eastAsia="Arial" w:hAnsiTheme="minorHAnsi" w:cstheme="minorHAnsi"/>
          <w:kern w:val="2"/>
        </w:rPr>
        <w:t>meetings</w:t>
      </w:r>
      <w:r w:rsidR="006674E1" w:rsidRPr="005C778C">
        <w:rPr>
          <w:rFonts w:asciiTheme="minorHAnsi" w:eastAsia="Arial" w:hAnsiTheme="minorHAnsi" w:cstheme="minorHAnsi"/>
          <w:kern w:val="2"/>
        </w:rPr>
        <w:t xml:space="preserve">. </w:t>
      </w:r>
    </w:p>
    <w:p w14:paraId="2EB4DB5C" w14:textId="4DCC6049" w:rsidR="00261637" w:rsidRPr="0042094C" w:rsidRDefault="00233D71" w:rsidP="00A662DF">
      <w:pPr>
        <w:pStyle w:val="HBblj"/>
        <w:numPr>
          <w:ilvl w:val="0"/>
          <w:numId w:val="4"/>
        </w:numPr>
        <w:spacing w:after="0"/>
        <w:jc w:val="left"/>
        <w:rPr>
          <w:rFonts w:eastAsia="Arial" w:cs="Arial"/>
          <w:kern w:val="2"/>
          <w:sz w:val="24"/>
          <w:szCs w:val="24"/>
        </w:rPr>
      </w:pPr>
      <w:r w:rsidRPr="005C778C">
        <w:rPr>
          <w:rFonts w:eastAsia="Arial" w:cstheme="minorHAnsi"/>
          <w:b/>
          <w:bCs/>
          <w:kern w:val="2"/>
          <w:sz w:val="24"/>
          <w:szCs w:val="24"/>
        </w:rPr>
        <w:t>Presentation</w:t>
      </w:r>
      <w:r w:rsidR="00BF62EC" w:rsidRPr="005C778C">
        <w:rPr>
          <w:rFonts w:eastAsia="Arial" w:cstheme="minorHAnsi"/>
          <w:b/>
          <w:bCs/>
          <w:kern w:val="2"/>
          <w:sz w:val="24"/>
          <w:szCs w:val="24"/>
        </w:rPr>
        <w:t>s</w:t>
      </w:r>
      <w:r w:rsidRPr="005C778C">
        <w:rPr>
          <w:rFonts w:eastAsia="Arial" w:cstheme="minorHAnsi"/>
          <w:b/>
          <w:bCs/>
          <w:kern w:val="2"/>
          <w:sz w:val="24"/>
          <w:szCs w:val="24"/>
        </w:rPr>
        <w:t xml:space="preserve"> to the Community</w:t>
      </w:r>
      <w:r w:rsidR="00B662A0" w:rsidRPr="005C778C">
        <w:rPr>
          <w:rFonts w:eastAsia="Arial" w:cstheme="minorHAnsi"/>
          <w:b/>
          <w:bCs/>
          <w:kern w:val="2"/>
          <w:sz w:val="24"/>
          <w:szCs w:val="24"/>
        </w:rPr>
        <w:t>:</w:t>
      </w:r>
      <w:r w:rsidR="00E90538" w:rsidRPr="005C778C">
        <w:rPr>
          <w:rFonts w:eastAsia="Arial" w:cstheme="minorHAnsi"/>
          <w:kern w:val="2"/>
          <w:sz w:val="24"/>
          <w:szCs w:val="24"/>
        </w:rPr>
        <w:t xml:space="preserve"> </w:t>
      </w:r>
      <w:bookmarkEnd w:id="13"/>
      <w:r w:rsidR="00D32784" w:rsidRPr="005C778C">
        <w:rPr>
          <w:rFonts w:eastAsia="Arial" w:cstheme="minorHAnsi"/>
          <w:kern w:val="2"/>
          <w:sz w:val="24"/>
          <w:szCs w:val="24"/>
        </w:rPr>
        <w:t>T</w:t>
      </w:r>
      <w:r w:rsidR="002B4EB9" w:rsidRPr="005C778C">
        <w:rPr>
          <w:rFonts w:eastAsia="Arial" w:cstheme="minorHAnsi"/>
          <w:color w:val="000000"/>
          <w:kern w:val="2"/>
          <w:sz w:val="24"/>
          <w:szCs w:val="24"/>
        </w:rPr>
        <w:t xml:space="preserve">he Hospital hosted </w:t>
      </w:r>
      <w:r w:rsidR="005C778C">
        <w:rPr>
          <w:rFonts w:eastAsia="Arial" w:cstheme="minorHAnsi"/>
          <w:color w:val="000000"/>
          <w:kern w:val="2"/>
          <w:sz w:val="24"/>
          <w:szCs w:val="24"/>
        </w:rPr>
        <w:t>a variety of</w:t>
      </w:r>
      <w:r w:rsidR="00BF62EC" w:rsidRPr="005C778C">
        <w:rPr>
          <w:rFonts w:eastAsia="Arial" w:cstheme="minorHAnsi"/>
          <w:color w:val="000000"/>
          <w:kern w:val="2"/>
          <w:sz w:val="24"/>
          <w:szCs w:val="24"/>
        </w:rPr>
        <w:t xml:space="preserve"> </w:t>
      </w:r>
      <w:r w:rsidR="002B4EB9" w:rsidRPr="005C778C">
        <w:rPr>
          <w:rFonts w:eastAsia="Arial" w:cstheme="minorHAnsi"/>
          <w:color w:val="000000"/>
          <w:kern w:val="2"/>
          <w:sz w:val="24"/>
          <w:szCs w:val="24"/>
        </w:rPr>
        <w:t>public meeting</w:t>
      </w:r>
      <w:r w:rsidR="00BF62EC" w:rsidRPr="005C778C">
        <w:rPr>
          <w:rFonts w:eastAsia="Arial" w:cstheme="minorHAnsi"/>
          <w:color w:val="000000"/>
          <w:kern w:val="2"/>
          <w:sz w:val="24"/>
          <w:szCs w:val="24"/>
        </w:rPr>
        <w:t>s</w:t>
      </w:r>
      <w:r w:rsidR="005C778C">
        <w:rPr>
          <w:rFonts w:eastAsia="Arial" w:cstheme="minorHAnsi"/>
          <w:color w:val="000000"/>
          <w:kern w:val="2"/>
          <w:sz w:val="24"/>
          <w:szCs w:val="24"/>
        </w:rPr>
        <w:t xml:space="preserve"> to </w:t>
      </w:r>
      <w:r w:rsidR="00AA3BCA">
        <w:rPr>
          <w:rFonts w:eastAsia="Arial" w:cstheme="minorHAnsi"/>
          <w:color w:val="000000"/>
          <w:kern w:val="2"/>
          <w:sz w:val="24"/>
          <w:szCs w:val="24"/>
        </w:rPr>
        <w:t xml:space="preserve">inform </w:t>
      </w:r>
      <w:r w:rsidR="005C778C">
        <w:rPr>
          <w:rFonts w:eastAsia="Arial" w:cstheme="minorHAnsi"/>
          <w:color w:val="000000"/>
          <w:kern w:val="2"/>
          <w:sz w:val="24"/>
          <w:szCs w:val="24"/>
        </w:rPr>
        <w:t>the larger community</w:t>
      </w:r>
      <w:r w:rsidR="00AA3BCA">
        <w:rPr>
          <w:rFonts w:eastAsia="Arial" w:cstheme="minorHAnsi"/>
          <w:color w:val="000000"/>
          <w:kern w:val="2"/>
          <w:sz w:val="24"/>
          <w:szCs w:val="24"/>
        </w:rPr>
        <w:t xml:space="preserve"> about the Proposed Project</w:t>
      </w:r>
      <w:r w:rsidR="00261637" w:rsidRPr="005C778C">
        <w:rPr>
          <w:rFonts w:eastAsia="Arial" w:cstheme="minorHAnsi"/>
          <w:color w:val="000000"/>
          <w:kern w:val="2"/>
          <w:sz w:val="24"/>
          <w:szCs w:val="24"/>
        </w:rPr>
        <w:t xml:space="preserve">. </w:t>
      </w:r>
      <w:r w:rsidR="00AA3BCA">
        <w:rPr>
          <w:rFonts w:eastAsia="Arial" w:cstheme="minorHAnsi"/>
          <w:color w:val="000000"/>
          <w:kern w:val="2"/>
          <w:sz w:val="24"/>
          <w:szCs w:val="24"/>
        </w:rPr>
        <w:t>T</w:t>
      </w:r>
      <w:r w:rsidR="00261637" w:rsidRPr="005C778C">
        <w:rPr>
          <w:rFonts w:eastAsia="Arial" w:cstheme="minorHAnsi"/>
          <w:color w:val="000000"/>
          <w:kern w:val="2"/>
          <w:sz w:val="24"/>
          <w:szCs w:val="24"/>
        </w:rPr>
        <w:t xml:space="preserve">he Hospital put on a “Community Coffee and Conversation” event </w:t>
      </w:r>
      <w:r w:rsidR="00325193" w:rsidRPr="005C778C">
        <w:rPr>
          <w:rFonts w:eastAsia="Arial" w:cstheme="minorHAnsi"/>
          <w:color w:val="000000"/>
          <w:kern w:val="2"/>
          <w:sz w:val="24"/>
          <w:szCs w:val="24"/>
        </w:rPr>
        <w:t>in</w:t>
      </w:r>
      <w:r w:rsidR="00261637" w:rsidRPr="005C778C">
        <w:rPr>
          <w:rFonts w:eastAsia="Arial" w:cstheme="minorHAnsi"/>
          <w:color w:val="000000"/>
          <w:kern w:val="2"/>
          <w:sz w:val="24"/>
          <w:szCs w:val="24"/>
        </w:rPr>
        <w:t xml:space="preserve"> May 2023</w:t>
      </w:r>
      <w:r w:rsidR="00325193" w:rsidRPr="005C778C">
        <w:rPr>
          <w:rFonts w:eastAsia="Arial" w:cstheme="minorHAnsi"/>
          <w:color w:val="000000"/>
          <w:kern w:val="2"/>
          <w:sz w:val="24"/>
          <w:szCs w:val="24"/>
        </w:rPr>
        <w:t xml:space="preserve">. </w:t>
      </w:r>
      <w:r w:rsidR="00D20757" w:rsidRPr="005C778C">
        <w:rPr>
          <w:rFonts w:eastAsia="Arial" w:cstheme="minorHAnsi"/>
          <w:color w:val="000000"/>
          <w:kern w:val="2"/>
          <w:sz w:val="24"/>
          <w:szCs w:val="24"/>
        </w:rPr>
        <w:t xml:space="preserve">The </w:t>
      </w:r>
      <w:r w:rsidR="00261637" w:rsidRPr="005C778C">
        <w:rPr>
          <w:rFonts w:eastAsia="Arial" w:cstheme="minorHAnsi"/>
          <w:color w:val="000000"/>
          <w:kern w:val="2"/>
          <w:sz w:val="24"/>
          <w:szCs w:val="24"/>
        </w:rPr>
        <w:t xml:space="preserve">Proposed Project was presented to community members at two separate Attleboro Movie Nights at Capron Park </w:t>
      </w:r>
      <w:r w:rsidR="00D20757" w:rsidRPr="005C778C">
        <w:rPr>
          <w:rFonts w:eastAsia="Arial" w:cstheme="minorHAnsi"/>
          <w:color w:val="000000"/>
          <w:kern w:val="2"/>
          <w:sz w:val="24"/>
          <w:szCs w:val="24"/>
        </w:rPr>
        <w:t>in September</w:t>
      </w:r>
      <w:r w:rsidR="00261637" w:rsidRPr="005C778C">
        <w:rPr>
          <w:rFonts w:eastAsia="Arial" w:cstheme="minorHAnsi"/>
          <w:color w:val="000000"/>
          <w:kern w:val="2"/>
          <w:sz w:val="24"/>
          <w:szCs w:val="24"/>
        </w:rPr>
        <w:t xml:space="preserve"> 2023, and </w:t>
      </w:r>
      <w:r w:rsidR="00D20757" w:rsidRPr="005C778C">
        <w:rPr>
          <w:rFonts w:eastAsia="Arial" w:cstheme="minorHAnsi"/>
          <w:color w:val="000000"/>
          <w:kern w:val="2"/>
          <w:sz w:val="24"/>
          <w:szCs w:val="24"/>
        </w:rPr>
        <w:t>August</w:t>
      </w:r>
      <w:r w:rsidR="00261637" w:rsidRPr="005C778C">
        <w:rPr>
          <w:rFonts w:eastAsia="Arial" w:cstheme="minorHAnsi"/>
          <w:color w:val="000000"/>
          <w:kern w:val="2"/>
          <w:sz w:val="24"/>
          <w:szCs w:val="24"/>
        </w:rPr>
        <w:t xml:space="preserve"> 2024. </w:t>
      </w:r>
      <w:r w:rsidR="00AA3BCA">
        <w:rPr>
          <w:rFonts w:eastAsia="Arial" w:cstheme="minorHAnsi"/>
          <w:color w:val="000000"/>
          <w:kern w:val="2"/>
          <w:sz w:val="24"/>
          <w:szCs w:val="24"/>
        </w:rPr>
        <w:t>A</w:t>
      </w:r>
      <w:r w:rsidR="00261637" w:rsidRPr="005C778C">
        <w:rPr>
          <w:rFonts w:eastAsia="Arial" w:cstheme="minorHAnsi"/>
          <w:color w:val="000000"/>
          <w:kern w:val="2"/>
          <w:sz w:val="24"/>
          <w:szCs w:val="24"/>
        </w:rPr>
        <w:t xml:space="preserve">ttendees of the Sturdy Health Vaccination Community Clinic event </w:t>
      </w:r>
      <w:r w:rsidR="00AA3BCA">
        <w:rPr>
          <w:rFonts w:eastAsia="Arial" w:cstheme="minorHAnsi"/>
          <w:color w:val="000000"/>
          <w:kern w:val="2"/>
          <w:sz w:val="24"/>
          <w:szCs w:val="24"/>
        </w:rPr>
        <w:t>i</w:t>
      </w:r>
      <w:r w:rsidR="00261637" w:rsidRPr="005C778C">
        <w:rPr>
          <w:rFonts w:eastAsia="Arial" w:cstheme="minorHAnsi"/>
          <w:color w:val="000000"/>
          <w:kern w:val="2"/>
          <w:sz w:val="24"/>
          <w:szCs w:val="24"/>
        </w:rPr>
        <w:t>n October 2023, were provided information on the Proposed Project and encouraged to share their thoughts and feedback.</w:t>
      </w:r>
      <w:r w:rsidR="005C778C" w:rsidRPr="005C778C">
        <w:rPr>
          <w:rFonts w:eastAsia="Arial" w:cstheme="minorHAnsi"/>
          <w:color w:val="000000"/>
          <w:kern w:val="2"/>
          <w:sz w:val="24"/>
          <w:szCs w:val="24"/>
        </w:rPr>
        <w:t xml:space="preserve"> </w:t>
      </w:r>
      <w:r w:rsidR="00AA3BCA">
        <w:rPr>
          <w:rFonts w:eastAsia="Arial" w:cstheme="minorHAnsi"/>
          <w:color w:val="000000"/>
          <w:kern w:val="2"/>
          <w:sz w:val="24"/>
          <w:szCs w:val="24"/>
        </w:rPr>
        <w:t>T</w:t>
      </w:r>
      <w:r w:rsidR="005C778C" w:rsidRPr="005C778C">
        <w:rPr>
          <w:rFonts w:eastAsia="Arial" w:cstheme="minorHAnsi"/>
          <w:color w:val="000000"/>
          <w:kern w:val="2"/>
          <w:sz w:val="24"/>
          <w:szCs w:val="24"/>
        </w:rPr>
        <w:t xml:space="preserve">he Proposed Project was presented to the public at the Attleboro Spring Fling 2024 event </w:t>
      </w:r>
      <w:r w:rsidR="00AA3BCA">
        <w:rPr>
          <w:rFonts w:eastAsia="Arial" w:cstheme="minorHAnsi"/>
          <w:color w:val="000000"/>
          <w:kern w:val="2"/>
          <w:sz w:val="24"/>
          <w:szCs w:val="24"/>
        </w:rPr>
        <w:t>i</w:t>
      </w:r>
      <w:r w:rsidR="005C778C" w:rsidRPr="005C778C">
        <w:rPr>
          <w:rFonts w:eastAsia="Arial" w:cstheme="minorHAnsi"/>
          <w:color w:val="000000"/>
          <w:kern w:val="2"/>
          <w:sz w:val="24"/>
          <w:szCs w:val="24"/>
        </w:rPr>
        <w:t xml:space="preserve">n April 2024, the Downtown North Attleborough Collaborative Block Party </w:t>
      </w:r>
      <w:r w:rsidR="00AA3BCA">
        <w:rPr>
          <w:rFonts w:eastAsia="Arial" w:cstheme="minorHAnsi"/>
          <w:color w:val="000000"/>
          <w:kern w:val="2"/>
          <w:sz w:val="24"/>
          <w:szCs w:val="24"/>
        </w:rPr>
        <w:t>i</w:t>
      </w:r>
      <w:r w:rsidR="005C778C" w:rsidRPr="005C778C">
        <w:rPr>
          <w:rFonts w:eastAsia="Arial" w:cstheme="minorHAnsi"/>
          <w:color w:val="000000"/>
          <w:kern w:val="2"/>
          <w:sz w:val="24"/>
          <w:szCs w:val="24"/>
        </w:rPr>
        <w:t xml:space="preserve">n September 2024, and the Fall Meeting of the Sturdy Health Foundation </w:t>
      </w:r>
      <w:r w:rsidR="00AA3BCA">
        <w:rPr>
          <w:rFonts w:eastAsia="Arial" w:cstheme="minorHAnsi"/>
          <w:color w:val="000000"/>
          <w:kern w:val="2"/>
          <w:sz w:val="24"/>
          <w:szCs w:val="24"/>
        </w:rPr>
        <w:t>i</w:t>
      </w:r>
      <w:r w:rsidR="005C778C" w:rsidRPr="005C778C">
        <w:rPr>
          <w:rFonts w:eastAsia="Arial" w:cstheme="minorHAnsi"/>
          <w:color w:val="000000"/>
          <w:kern w:val="2"/>
          <w:sz w:val="24"/>
          <w:szCs w:val="24"/>
        </w:rPr>
        <w:t>n September 2024.</w:t>
      </w:r>
    </w:p>
    <w:p w14:paraId="01A433D5" w14:textId="1B7BA297" w:rsidR="00233D71" w:rsidRPr="00780BDC" w:rsidRDefault="00233D71" w:rsidP="001B6CE8">
      <w:pPr>
        <w:spacing w:after="0" w:line="240" w:lineRule="auto"/>
        <w:rPr>
          <w:b/>
          <w:bCs/>
          <w:i/>
          <w:iCs/>
          <w:sz w:val="24"/>
          <w:szCs w:val="24"/>
        </w:rPr>
      </w:pPr>
    </w:p>
    <w:p w14:paraId="351C8F1D" w14:textId="48E12DBB" w:rsidR="003E1CDA" w:rsidRPr="00780BDC" w:rsidRDefault="003E1CDA" w:rsidP="00233D71">
      <w:pPr>
        <w:spacing w:after="0" w:line="240" w:lineRule="auto"/>
        <w:rPr>
          <w:b/>
          <w:bCs/>
          <w:i/>
          <w:iCs/>
          <w:sz w:val="24"/>
          <w:szCs w:val="24"/>
        </w:rPr>
      </w:pPr>
      <w:r w:rsidRPr="00780BDC">
        <w:rPr>
          <w:b/>
          <w:bCs/>
          <w:i/>
          <w:iCs/>
          <w:sz w:val="24"/>
          <w:szCs w:val="24"/>
        </w:rPr>
        <w:t xml:space="preserve">Analysis </w:t>
      </w:r>
    </w:p>
    <w:p w14:paraId="4F343094" w14:textId="7FE45149" w:rsidR="003E1CDA" w:rsidRPr="00780BDC" w:rsidRDefault="003E1CDA" w:rsidP="003A5696">
      <w:pPr>
        <w:spacing w:after="0" w:line="240" w:lineRule="auto"/>
        <w:rPr>
          <w:sz w:val="24"/>
          <w:szCs w:val="24"/>
        </w:rPr>
      </w:pPr>
      <w:r w:rsidRPr="00780BDC">
        <w:rPr>
          <w:sz w:val="24"/>
          <w:szCs w:val="24"/>
        </w:rPr>
        <w:t>Staff finds that the</w:t>
      </w:r>
      <w:r w:rsidR="005B68F6" w:rsidRPr="00780BDC">
        <w:rPr>
          <w:sz w:val="24"/>
          <w:szCs w:val="24"/>
        </w:rPr>
        <w:t xml:space="preserve"> Applicant sought to engage the community to elicit feedback from patients and families regarding the Proposed Project and thereby the </w:t>
      </w:r>
      <w:r w:rsidRPr="00780BDC">
        <w:rPr>
          <w:sz w:val="24"/>
          <w:szCs w:val="24"/>
        </w:rPr>
        <w:t xml:space="preserve">Applicant </w:t>
      </w:r>
      <w:r w:rsidR="005B68F6" w:rsidRPr="00780BDC">
        <w:rPr>
          <w:sz w:val="24"/>
          <w:szCs w:val="24"/>
        </w:rPr>
        <w:t xml:space="preserve">has </w:t>
      </w:r>
      <w:r w:rsidRPr="00780BDC">
        <w:rPr>
          <w:sz w:val="24"/>
          <w:szCs w:val="24"/>
        </w:rPr>
        <w:t>met the minimum required community engagement standard of Consult in the planning phase of the Proposed Project.</w:t>
      </w:r>
    </w:p>
    <w:p w14:paraId="750F636A" w14:textId="77777777" w:rsidR="00C16731" w:rsidRPr="00E20DEA" w:rsidRDefault="00C16731" w:rsidP="003A5696">
      <w:pPr>
        <w:spacing w:after="0" w:line="240" w:lineRule="auto"/>
        <w:rPr>
          <w:sz w:val="24"/>
          <w:szCs w:val="24"/>
          <w:highlight w:val="yellow"/>
        </w:rPr>
      </w:pPr>
    </w:p>
    <w:p w14:paraId="75C893D6" w14:textId="76DB5DBC" w:rsidR="00F3518F" w:rsidRPr="0097451E" w:rsidRDefault="003E1CDA" w:rsidP="00A662DF">
      <w:pPr>
        <w:pStyle w:val="Heading1"/>
        <w:spacing w:before="0" w:line="240" w:lineRule="auto"/>
      </w:pPr>
      <w:bookmarkStart w:id="14" w:name="_Toc192247634"/>
      <w:r w:rsidRPr="0097451E">
        <w:t>Factor 1: f) Competition On Price, Total Medical Expenses (TME), Costs And Other Measures Of Health Care Spending</w:t>
      </w:r>
      <w:bookmarkEnd w:id="14"/>
      <w:r w:rsidR="009C6041" w:rsidRPr="0097451E">
        <w:t xml:space="preserve"> </w:t>
      </w:r>
    </w:p>
    <w:p w14:paraId="0050146C" w14:textId="7C76F62D" w:rsidR="00C7592A" w:rsidRPr="00E20DEA" w:rsidRDefault="00655AC6" w:rsidP="00A662DF">
      <w:pPr>
        <w:pStyle w:val="Default"/>
        <w:rPr>
          <w:rFonts w:asciiTheme="minorHAnsi" w:hAnsiTheme="minorHAnsi" w:cstheme="minorHAnsi"/>
          <w:highlight w:val="yellow"/>
        </w:rPr>
      </w:pPr>
      <w:r w:rsidRPr="0097451E">
        <w:rPr>
          <w:rFonts w:asciiTheme="minorHAnsi" w:hAnsiTheme="minorHAnsi" w:cstheme="minorHAnsi"/>
        </w:rPr>
        <w:t xml:space="preserve">The Applicant asserts that the Proposed Project </w:t>
      </w:r>
      <w:r w:rsidR="001C02E9" w:rsidRPr="0097451E">
        <w:rPr>
          <w:rFonts w:asciiTheme="minorHAnsi" w:hAnsiTheme="minorHAnsi" w:cstheme="minorHAnsi"/>
        </w:rPr>
        <w:t xml:space="preserve">will compete on the basis of price, total medical expenses, provider costs, and other recognized measures of health care spending by improving access to </w:t>
      </w:r>
      <w:r w:rsidR="001C02E9" w:rsidRPr="00C1716E">
        <w:rPr>
          <w:rFonts w:asciiTheme="minorHAnsi" w:hAnsiTheme="minorHAnsi" w:cstheme="minorHAnsi"/>
        </w:rPr>
        <w:t>emergency care without negatively impacting health care spending.</w:t>
      </w:r>
      <w:r w:rsidR="00C7592A" w:rsidRPr="00C1716E">
        <w:rPr>
          <w:rFonts w:asciiTheme="minorHAnsi" w:hAnsiTheme="minorHAnsi" w:cstheme="minorHAnsi"/>
        </w:rPr>
        <w:t xml:space="preserve"> The Proposed Project </w:t>
      </w:r>
      <w:r w:rsidR="00C92055" w:rsidRPr="00C1716E">
        <w:rPr>
          <w:rFonts w:asciiTheme="minorHAnsi" w:hAnsiTheme="minorHAnsi" w:cstheme="minorHAnsi"/>
        </w:rPr>
        <w:t>seeks to ensure th</w:t>
      </w:r>
      <w:r w:rsidR="00F853DF" w:rsidRPr="00C1716E">
        <w:rPr>
          <w:rFonts w:asciiTheme="minorHAnsi" w:hAnsiTheme="minorHAnsi" w:cstheme="minorHAnsi"/>
        </w:rPr>
        <w:t xml:space="preserve">at the </w:t>
      </w:r>
      <w:r w:rsidR="00C92055" w:rsidRPr="00C1716E">
        <w:rPr>
          <w:rFonts w:asciiTheme="minorHAnsi" w:hAnsiTheme="minorHAnsi" w:cstheme="minorHAnsi"/>
        </w:rPr>
        <w:t>Hospital</w:t>
      </w:r>
      <w:r w:rsidR="00F853DF" w:rsidRPr="00C1716E">
        <w:rPr>
          <w:rFonts w:asciiTheme="minorHAnsi" w:hAnsiTheme="minorHAnsi" w:cstheme="minorHAnsi"/>
        </w:rPr>
        <w:t xml:space="preserve"> </w:t>
      </w:r>
      <w:r w:rsidR="00C92055" w:rsidRPr="00C1716E">
        <w:rPr>
          <w:rFonts w:asciiTheme="minorHAnsi" w:hAnsiTheme="minorHAnsi" w:cstheme="minorHAnsi"/>
        </w:rPr>
        <w:t xml:space="preserve">ED </w:t>
      </w:r>
      <w:r w:rsidR="00F853DF" w:rsidRPr="00C1716E">
        <w:rPr>
          <w:rFonts w:asciiTheme="minorHAnsi" w:hAnsiTheme="minorHAnsi" w:cstheme="minorHAnsi"/>
        </w:rPr>
        <w:t xml:space="preserve">is </w:t>
      </w:r>
      <w:r w:rsidR="00C1716E" w:rsidRPr="00C1716E">
        <w:rPr>
          <w:rFonts w:asciiTheme="minorHAnsi" w:hAnsiTheme="minorHAnsi" w:cstheme="minorHAnsi"/>
        </w:rPr>
        <w:t>equipped to</w:t>
      </w:r>
      <w:r w:rsidR="00C7592A" w:rsidRPr="00C1716E">
        <w:rPr>
          <w:rFonts w:asciiTheme="minorHAnsi" w:hAnsiTheme="minorHAnsi" w:cstheme="minorHAnsi"/>
        </w:rPr>
        <w:t xml:space="preserve"> accommodate </w:t>
      </w:r>
      <w:r w:rsidR="00C1716E" w:rsidRPr="00C1716E">
        <w:rPr>
          <w:rFonts w:asciiTheme="minorHAnsi" w:hAnsiTheme="minorHAnsi" w:cstheme="minorHAnsi"/>
        </w:rPr>
        <w:t xml:space="preserve">the community’s </w:t>
      </w:r>
      <w:r w:rsidR="00C7592A" w:rsidRPr="00C1716E">
        <w:rPr>
          <w:rFonts w:asciiTheme="minorHAnsi" w:hAnsiTheme="minorHAnsi" w:cstheme="minorHAnsi"/>
        </w:rPr>
        <w:t xml:space="preserve">current and projected </w:t>
      </w:r>
      <w:r w:rsidR="00C1716E" w:rsidRPr="00C1716E">
        <w:rPr>
          <w:rFonts w:asciiTheme="minorHAnsi" w:hAnsiTheme="minorHAnsi" w:cstheme="minorHAnsi"/>
        </w:rPr>
        <w:t>needs</w:t>
      </w:r>
      <w:r w:rsidR="00C7592A" w:rsidRPr="00C1716E">
        <w:rPr>
          <w:rFonts w:asciiTheme="minorHAnsi" w:hAnsiTheme="minorHAnsi" w:cstheme="minorHAnsi"/>
        </w:rPr>
        <w:t xml:space="preserve">. </w:t>
      </w:r>
      <w:r w:rsidR="008F5DAF" w:rsidRPr="00C1716E">
        <w:rPr>
          <w:rFonts w:asciiTheme="minorHAnsi" w:hAnsiTheme="minorHAnsi" w:cstheme="minorHAnsi"/>
        </w:rPr>
        <w:t xml:space="preserve">The Applicant asserts that the </w:t>
      </w:r>
      <w:r w:rsidR="006408CA" w:rsidRPr="00C1716E">
        <w:rPr>
          <w:rFonts w:asciiTheme="minorHAnsi" w:hAnsiTheme="minorHAnsi" w:cstheme="minorHAnsi"/>
        </w:rPr>
        <w:t>expansion will</w:t>
      </w:r>
      <w:r w:rsidR="00C7592A" w:rsidRPr="00C1716E">
        <w:rPr>
          <w:rFonts w:asciiTheme="minorHAnsi" w:hAnsiTheme="minorHAnsi" w:cstheme="minorHAnsi"/>
        </w:rPr>
        <w:t xml:space="preserve"> create a physical environment that enhances care delivery and promotes positive health outcomes. </w:t>
      </w:r>
      <w:r w:rsidR="00367033" w:rsidRPr="00C1716E">
        <w:rPr>
          <w:rFonts w:asciiTheme="minorHAnsi" w:hAnsiTheme="minorHAnsi" w:cstheme="minorHAnsi"/>
        </w:rPr>
        <w:t>The</w:t>
      </w:r>
      <w:r w:rsidR="00C7592A" w:rsidRPr="00C1716E">
        <w:rPr>
          <w:rFonts w:asciiTheme="minorHAnsi" w:hAnsiTheme="minorHAnsi" w:cstheme="minorHAnsi"/>
        </w:rPr>
        <w:t xml:space="preserve"> Hospital </w:t>
      </w:r>
      <w:r w:rsidR="00367033" w:rsidRPr="00C1716E">
        <w:rPr>
          <w:rFonts w:asciiTheme="minorHAnsi" w:hAnsiTheme="minorHAnsi" w:cstheme="minorHAnsi"/>
        </w:rPr>
        <w:lastRenderedPageBreak/>
        <w:t>aims to ensure</w:t>
      </w:r>
      <w:r w:rsidR="00C7592A" w:rsidRPr="00C1716E">
        <w:rPr>
          <w:rFonts w:asciiTheme="minorHAnsi" w:hAnsiTheme="minorHAnsi" w:cstheme="minorHAnsi"/>
        </w:rPr>
        <w:t xml:space="preserve"> timely access </w:t>
      </w:r>
      <w:r w:rsidR="00367033" w:rsidRPr="00C1716E">
        <w:rPr>
          <w:rFonts w:asciiTheme="minorHAnsi" w:hAnsiTheme="minorHAnsi" w:cstheme="minorHAnsi"/>
        </w:rPr>
        <w:t xml:space="preserve">to emergency services in </w:t>
      </w:r>
      <w:r w:rsidR="00C7592A" w:rsidRPr="00C1716E">
        <w:rPr>
          <w:rFonts w:asciiTheme="minorHAnsi" w:hAnsiTheme="minorHAnsi" w:cstheme="minorHAnsi"/>
        </w:rPr>
        <w:t xml:space="preserve">appropriate care settings to best serve </w:t>
      </w:r>
      <w:r w:rsidR="00367033" w:rsidRPr="00C1716E">
        <w:rPr>
          <w:rFonts w:asciiTheme="minorHAnsi" w:hAnsiTheme="minorHAnsi" w:cstheme="minorHAnsi"/>
        </w:rPr>
        <w:t xml:space="preserve">its </w:t>
      </w:r>
      <w:r w:rsidR="00C7592A" w:rsidRPr="00C1716E">
        <w:rPr>
          <w:rFonts w:asciiTheme="minorHAnsi" w:hAnsiTheme="minorHAnsi" w:cstheme="minorHAnsi"/>
        </w:rPr>
        <w:t xml:space="preserve">Patient Panel without negatively impacting health care costs. </w:t>
      </w:r>
    </w:p>
    <w:p w14:paraId="7EB3C11E" w14:textId="77777777" w:rsidR="003C1C47" w:rsidRPr="00E20DEA" w:rsidRDefault="003C1C47" w:rsidP="00A662DF">
      <w:pPr>
        <w:pStyle w:val="Default"/>
        <w:rPr>
          <w:rFonts w:asciiTheme="minorHAnsi" w:hAnsiTheme="minorHAnsi" w:cstheme="minorHAnsi"/>
          <w:highlight w:val="yellow"/>
        </w:rPr>
      </w:pPr>
    </w:p>
    <w:p w14:paraId="233C5170" w14:textId="3260768F" w:rsidR="00E85C24" w:rsidRPr="00E20DEA" w:rsidRDefault="00E85C24" w:rsidP="00A662DF">
      <w:pPr>
        <w:pStyle w:val="Default"/>
        <w:rPr>
          <w:rFonts w:asciiTheme="minorHAnsi" w:hAnsiTheme="minorHAnsi" w:cstheme="minorHAnsi"/>
          <w:i/>
          <w:iCs/>
          <w:highlight w:val="yellow"/>
        </w:rPr>
      </w:pPr>
      <w:r w:rsidRPr="003E4122">
        <w:rPr>
          <w:rFonts w:asciiTheme="minorHAnsi" w:hAnsiTheme="minorHAnsi" w:cstheme="minorHAnsi"/>
        </w:rPr>
        <w:t xml:space="preserve">The </w:t>
      </w:r>
      <w:r w:rsidR="003C1C47" w:rsidRPr="003E4122">
        <w:rPr>
          <w:rFonts w:asciiTheme="minorHAnsi" w:hAnsiTheme="minorHAnsi" w:cstheme="minorHAnsi"/>
        </w:rPr>
        <w:t xml:space="preserve">Proposed Project is expected to reduce overcrowding, which the </w:t>
      </w:r>
      <w:r w:rsidRPr="003E4122">
        <w:rPr>
          <w:rFonts w:asciiTheme="minorHAnsi" w:hAnsiTheme="minorHAnsi" w:cstheme="minorHAnsi"/>
        </w:rPr>
        <w:t>Applicant anticipates will reduce</w:t>
      </w:r>
      <w:r w:rsidR="000812F0" w:rsidRPr="003E4122">
        <w:rPr>
          <w:rFonts w:asciiTheme="minorHAnsi" w:hAnsiTheme="minorHAnsi" w:cstheme="minorHAnsi"/>
        </w:rPr>
        <w:t xml:space="preserve"> the Hospital’s</w:t>
      </w:r>
      <w:r w:rsidRPr="003E4122">
        <w:rPr>
          <w:rFonts w:asciiTheme="minorHAnsi" w:hAnsiTheme="minorHAnsi" w:cstheme="minorHAnsi"/>
        </w:rPr>
        <w:t xml:space="preserve"> unnecessary spending. </w:t>
      </w:r>
      <w:r w:rsidR="003C1C47" w:rsidRPr="003E4122">
        <w:rPr>
          <w:rFonts w:asciiTheme="minorHAnsi" w:hAnsiTheme="minorHAnsi" w:cstheme="minorHAnsi"/>
        </w:rPr>
        <w:t>The Applicant cites studies showing that w</w:t>
      </w:r>
      <w:r w:rsidRPr="003E4122">
        <w:rPr>
          <w:rFonts w:asciiTheme="minorHAnsi" w:hAnsiTheme="minorHAnsi" w:cstheme="minorHAnsi"/>
        </w:rPr>
        <w:t>ait times in the ED have a significant impact on the total cost of care for patients.</w:t>
      </w:r>
      <w:r w:rsidR="00D43A61" w:rsidRPr="003E4122">
        <w:rPr>
          <w:rStyle w:val="EndnoteReference"/>
          <w:rFonts w:asciiTheme="minorHAnsi" w:hAnsiTheme="minorHAnsi" w:cstheme="minorHAnsi"/>
        </w:rPr>
        <w:endnoteReference w:id="13"/>
      </w:r>
      <w:r w:rsidR="00D43A61" w:rsidRPr="003E4122">
        <w:rPr>
          <w:rFonts w:asciiTheme="minorHAnsi" w:hAnsiTheme="minorHAnsi" w:cstheme="minorHAnsi"/>
        </w:rPr>
        <w:t xml:space="preserve"> </w:t>
      </w:r>
      <w:r w:rsidRPr="003E4122">
        <w:rPr>
          <w:rFonts w:asciiTheme="minorHAnsi" w:hAnsiTheme="minorHAnsi" w:cstheme="minorHAnsi"/>
        </w:rPr>
        <w:t>For patients with the most acute conditions, a 60-minute increase in wait time increases the hospital's cost to care for the patient by an average of 30%. For those with moderately acute conditions, a 60-minute increase in wait time increases the hospital's cost to care for the patient by an average of 21 %.</w:t>
      </w:r>
      <w:r w:rsidR="00FF0C5D" w:rsidRPr="003E4122">
        <w:rPr>
          <w:rStyle w:val="EndnoteReference"/>
          <w:rFonts w:asciiTheme="minorHAnsi" w:hAnsiTheme="minorHAnsi" w:cstheme="minorHAnsi"/>
        </w:rPr>
        <w:endnoteReference w:id="14"/>
      </w:r>
      <w:r w:rsidRPr="003E4122">
        <w:rPr>
          <w:rFonts w:asciiTheme="minorHAnsi" w:hAnsiTheme="minorHAnsi" w:cstheme="minorHAnsi"/>
        </w:rPr>
        <w:t xml:space="preserve"> </w:t>
      </w:r>
      <w:r w:rsidR="0094710B" w:rsidRPr="003E4122">
        <w:rPr>
          <w:rFonts w:asciiTheme="minorHAnsi" w:hAnsiTheme="minorHAnsi" w:cstheme="minorHAnsi"/>
        </w:rPr>
        <w:t>D</w:t>
      </w:r>
      <w:r w:rsidRPr="003E4122">
        <w:rPr>
          <w:rFonts w:asciiTheme="minorHAnsi" w:hAnsiTheme="minorHAnsi" w:cstheme="minorHAnsi"/>
        </w:rPr>
        <w:t>uring times of high volume, including Code Help</w:t>
      </w:r>
      <w:r w:rsidRPr="003E4122">
        <w:rPr>
          <w:rStyle w:val="FootnoteReference"/>
          <w:rFonts w:asciiTheme="minorHAnsi" w:hAnsiTheme="minorHAnsi" w:cstheme="minorHAnsi"/>
        </w:rPr>
        <w:footnoteReference w:id="14"/>
      </w:r>
      <w:r w:rsidRPr="003E4122">
        <w:rPr>
          <w:rFonts w:asciiTheme="minorHAnsi" w:hAnsiTheme="minorHAnsi" w:cstheme="minorHAnsi"/>
        </w:rPr>
        <w:t xml:space="preserve">, the ED must bring on additional staff, relying on per diem staff or overtime staff. </w:t>
      </w:r>
      <w:r w:rsidR="007071CB" w:rsidRPr="003E4122">
        <w:rPr>
          <w:rFonts w:asciiTheme="minorHAnsi" w:hAnsiTheme="minorHAnsi" w:cstheme="minorHAnsi"/>
        </w:rPr>
        <w:t xml:space="preserve">The research suggests </w:t>
      </w:r>
      <w:r w:rsidR="007071CB" w:rsidRPr="005304F2">
        <w:rPr>
          <w:rFonts w:asciiTheme="minorHAnsi" w:hAnsiTheme="minorHAnsi" w:cstheme="minorHAnsi"/>
        </w:rPr>
        <w:t>that r</w:t>
      </w:r>
      <w:r w:rsidRPr="005304F2">
        <w:rPr>
          <w:rFonts w:asciiTheme="minorHAnsi" w:hAnsiTheme="minorHAnsi" w:cstheme="minorHAnsi"/>
        </w:rPr>
        <w:t xml:space="preserve">educing waiting times by 60 minutes after will likely reduce the overall cost of care for ED patients by a significant portion, thereby reducing TME. </w:t>
      </w:r>
      <w:r w:rsidR="007A0E2F" w:rsidRPr="005304F2">
        <w:rPr>
          <w:rFonts w:asciiTheme="minorHAnsi" w:hAnsiTheme="minorHAnsi" w:cstheme="minorHAnsi"/>
        </w:rPr>
        <w:t>T</w:t>
      </w:r>
      <w:r w:rsidRPr="005304F2">
        <w:rPr>
          <w:rFonts w:asciiTheme="minorHAnsi" w:hAnsiTheme="minorHAnsi" w:cstheme="minorHAnsi"/>
        </w:rPr>
        <w:t xml:space="preserve">he </w:t>
      </w:r>
      <w:r w:rsidR="0016497D" w:rsidRPr="005304F2">
        <w:rPr>
          <w:rFonts w:asciiTheme="minorHAnsi" w:hAnsiTheme="minorHAnsi" w:cstheme="minorHAnsi"/>
        </w:rPr>
        <w:t xml:space="preserve">Applicant asserts that the </w:t>
      </w:r>
      <w:r w:rsidRPr="005304F2">
        <w:rPr>
          <w:rFonts w:asciiTheme="minorHAnsi" w:hAnsiTheme="minorHAnsi" w:cstheme="minorHAnsi"/>
        </w:rPr>
        <w:t>reduction of wait times through the Proposed Project’s expansion of more appropriate care settings will reduce health care spending resulting from greater throughput and more expeditious care.</w:t>
      </w:r>
    </w:p>
    <w:p w14:paraId="3462CB17" w14:textId="77777777" w:rsidR="003A5696" w:rsidRPr="00E1669C" w:rsidRDefault="003A5696" w:rsidP="003A5696">
      <w:pPr>
        <w:spacing w:after="0" w:line="240" w:lineRule="auto"/>
        <w:rPr>
          <w:sz w:val="24"/>
          <w:szCs w:val="24"/>
        </w:rPr>
      </w:pPr>
    </w:p>
    <w:p w14:paraId="59650E2A" w14:textId="7D85E5B4" w:rsidR="003E1CDA" w:rsidRPr="00E1669C" w:rsidRDefault="003E1CDA" w:rsidP="00D850AF">
      <w:pPr>
        <w:spacing w:after="0" w:line="240" w:lineRule="auto"/>
        <w:rPr>
          <w:b/>
          <w:bCs/>
          <w:i/>
          <w:iCs/>
          <w:sz w:val="24"/>
          <w:szCs w:val="24"/>
        </w:rPr>
      </w:pPr>
      <w:r w:rsidRPr="00E1669C">
        <w:rPr>
          <w:b/>
          <w:bCs/>
          <w:i/>
          <w:iCs/>
          <w:sz w:val="24"/>
          <w:szCs w:val="24"/>
        </w:rPr>
        <w:t>Analysis</w:t>
      </w:r>
      <w:r w:rsidR="00A62447" w:rsidRPr="00E1669C">
        <w:rPr>
          <w:b/>
          <w:bCs/>
          <w:i/>
          <w:iCs/>
          <w:sz w:val="24"/>
          <w:szCs w:val="24"/>
        </w:rPr>
        <w:t xml:space="preserve"> </w:t>
      </w:r>
    </w:p>
    <w:p w14:paraId="0E1C4893" w14:textId="15239505" w:rsidR="00716282" w:rsidRPr="00E1669C" w:rsidRDefault="00F5041A" w:rsidP="00A662DF">
      <w:pPr>
        <w:spacing w:after="0" w:line="240" w:lineRule="auto"/>
        <w:ind w:right="114"/>
        <w:rPr>
          <w:rFonts w:cstheme="minorHAnsi"/>
          <w:sz w:val="24"/>
          <w:szCs w:val="24"/>
        </w:rPr>
      </w:pPr>
      <w:r w:rsidRPr="00E1669C">
        <w:rPr>
          <w:rFonts w:cstheme="minorHAnsi"/>
          <w:sz w:val="24"/>
          <w:szCs w:val="24"/>
        </w:rPr>
        <w:t xml:space="preserve">Staff </w:t>
      </w:r>
      <w:r w:rsidR="001F0639" w:rsidRPr="00E1669C">
        <w:rPr>
          <w:rFonts w:cstheme="minorHAnsi"/>
          <w:sz w:val="24"/>
          <w:szCs w:val="24"/>
        </w:rPr>
        <w:t>finds that the</w:t>
      </w:r>
      <w:r w:rsidR="00F804E0" w:rsidRPr="00E1669C">
        <w:rPr>
          <w:rFonts w:cstheme="minorHAnsi"/>
          <w:sz w:val="24"/>
          <w:szCs w:val="24"/>
        </w:rPr>
        <w:t xml:space="preserve"> Proposed Project</w:t>
      </w:r>
      <w:r w:rsidRPr="00E1669C">
        <w:rPr>
          <w:rFonts w:cstheme="minorHAnsi"/>
          <w:sz w:val="24"/>
          <w:szCs w:val="24"/>
        </w:rPr>
        <w:t xml:space="preserve"> </w:t>
      </w:r>
      <w:r w:rsidR="00F804E0" w:rsidRPr="00E1669C">
        <w:rPr>
          <w:rFonts w:cstheme="minorHAnsi"/>
          <w:sz w:val="24"/>
          <w:szCs w:val="24"/>
        </w:rPr>
        <w:t xml:space="preserve">will </w:t>
      </w:r>
      <w:r w:rsidRPr="00E1669C">
        <w:rPr>
          <w:rFonts w:cstheme="minorHAnsi"/>
          <w:sz w:val="24"/>
          <w:szCs w:val="24"/>
        </w:rPr>
        <w:t>improve</w:t>
      </w:r>
      <w:r w:rsidR="00D9319C">
        <w:rPr>
          <w:rFonts w:cstheme="minorHAnsi"/>
          <w:sz w:val="24"/>
          <w:szCs w:val="24"/>
        </w:rPr>
        <w:t xml:space="preserve"> timely</w:t>
      </w:r>
      <w:r w:rsidRPr="00E1669C">
        <w:rPr>
          <w:rFonts w:cstheme="minorHAnsi"/>
          <w:sz w:val="24"/>
          <w:szCs w:val="24"/>
        </w:rPr>
        <w:t xml:space="preserve"> access to </w:t>
      </w:r>
      <w:r w:rsidR="00D85968" w:rsidRPr="00E1669C">
        <w:rPr>
          <w:rFonts w:cstheme="minorHAnsi"/>
          <w:sz w:val="24"/>
          <w:szCs w:val="24"/>
        </w:rPr>
        <w:t>emergency services</w:t>
      </w:r>
      <w:r w:rsidR="00B81600">
        <w:rPr>
          <w:rFonts w:cstheme="minorHAnsi"/>
          <w:sz w:val="24"/>
          <w:szCs w:val="24"/>
        </w:rPr>
        <w:t xml:space="preserve"> due</w:t>
      </w:r>
      <w:r w:rsidR="0088047C">
        <w:rPr>
          <w:rFonts w:cstheme="minorHAnsi"/>
          <w:sz w:val="24"/>
          <w:szCs w:val="24"/>
        </w:rPr>
        <w:t xml:space="preserve"> to </w:t>
      </w:r>
      <w:r w:rsidR="008354C8" w:rsidRPr="00E1669C">
        <w:rPr>
          <w:rFonts w:cstheme="minorHAnsi"/>
          <w:sz w:val="24"/>
          <w:szCs w:val="24"/>
        </w:rPr>
        <w:t>anticipate</w:t>
      </w:r>
      <w:r w:rsidR="0088047C">
        <w:rPr>
          <w:rFonts w:cstheme="minorHAnsi"/>
          <w:sz w:val="24"/>
          <w:szCs w:val="24"/>
        </w:rPr>
        <w:t>d</w:t>
      </w:r>
      <w:r w:rsidR="008354C8" w:rsidRPr="00E1669C">
        <w:rPr>
          <w:rFonts w:cstheme="minorHAnsi"/>
          <w:sz w:val="24"/>
          <w:szCs w:val="24"/>
        </w:rPr>
        <w:t xml:space="preserve"> </w:t>
      </w:r>
      <w:r w:rsidR="00C54114" w:rsidRPr="00E1669C">
        <w:rPr>
          <w:rFonts w:cstheme="minorHAnsi"/>
          <w:sz w:val="24"/>
          <w:szCs w:val="24"/>
        </w:rPr>
        <w:t>reduction in wait times and overcrowding</w:t>
      </w:r>
      <w:r w:rsidR="0088047C">
        <w:rPr>
          <w:rFonts w:cstheme="minorHAnsi"/>
          <w:sz w:val="24"/>
          <w:szCs w:val="24"/>
        </w:rPr>
        <w:t xml:space="preserve">. These reductions </w:t>
      </w:r>
      <w:r w:rsidR="0061377B" w:rsidRPr="00E1669C">
        <w:rPr>
          <w:rFonts w:cstheme="minorHAnsi"/>
          <w:sz w:val="24"/>
          <w:szCs w:val="24"/>
        </w:rPr>
        <w:t>can result in an overall reduction in healthcare costs.</w:t>
      </w:r>
      <w:r w:rsidR="00716282" w:rsidRPr="00E1669C">
        <w:rPr>
          <w:rFonts w:cstheme="minorHAnsi"/>
          <w:sz w:val="24"/>
          <w:szCs w:val="24"/>
        </w:rPr>
        <w:t xml:space="preserve"> Staff finds that the Proposed Project will likely compete on the basis of price, TME provider costs, and other measures of health care spending.</w:t>
      </w:r>
    </w:p>
    <w:p w14:paraId="00F42AD4" w14:textId="3FB99874" w:rsidR="00BD178D" w:rsidRPr="00E1669C" w:rsidRDefault="00BD178D" w:rsidP="003A5696">
      <w:pPr>
        <w:spacing w:after="0" w:line="240" w:lineRule="auto"/>
        <w:rPr>
          <w:sz w:val="24"/>
          <w:szCs w:val="24"/>
        </w:rPr>
      </w:pPr>
    </w:p>
    <w:p w14:paraId="69F11E0F" w14:textId="77777777" w:rsidR="00841236" w:rsidRPr="00E1669C" w:rsidRDefault="00841236" w:rsidP="00841236">
      <w:pPr>
        <w:pStyle w:val="Heading2"/>
        <w:spacing w:before="0" w:line="240" w:lineRule="auto"/>
        <w:ind w:left="180"/>
        <w:contextualSpacing/>
        <w:rPr>
          <w:rFonts w:asciiTheme="minorHAnsi" w:hAnsiTheme="minorHAnsi" w:cstheme="minorHAnsi"/>
          <w:i/>
          <w:iCs/>
          <w:sz w:val="24"/>
          <w:szCs w:val="24"/>
        </w:rPr>
      </w:pPr>
      <w:bookmarkStart w:id="15" w:name="_Toc99993058"/>
      <w:bookmarkStart w:id="16" w:name="_Toc144207774"/>
      <w:bookmarkStart w:id="17" w:name="_Toc192247635"/>
      <w:r w:rsidRPr="00E1669C">
        <w:rPr>
          <w:rFonts w:asciiTheme="minorHAnsi" w:hAnsiTheme="minorHAnsi" w:cstheme="minorHAnsi"/>
          <w:i/>
          <w:iCs/>
          <w:sz w:val="24"/>
          <w:szCs w:val="24"/>
        </w:rPr>
        <w:t>Summary, FACTOR 1</w:t>
      </w:r>
      <w:bookmarkEnd w:id="15"/>
      <w:bookmarkEnd w:id="16"/>
      <w:bookmarkEnd w:id="17"/>
      <w:r w:rsidRPr="00E1669C">
        <w:rPr>
          <w:rFonts w:asciiTheme="minorHAnsi" w:hAnsiTheme="minorHAnsi" w:cstheme="minorHAnsi"/>
          <w:i/>
          <w:iCs/>
          <w:sz w:val="24"/>
          <w:szCs w:val="24"/>
        </w:rPr>
        <w:t xml:space="preserve"> </w:t>
      </w:r>
    </w:p>
    <w:p w14:paraId="621B07D4" w14:textId="6A10C226" w:rsidR="00841236" w:rsidRPr="00E1669C" w:rsidRDefault="00841236" w:rsidP="00A662DF">
      <w:pPr>
        <w:spacing w:after="0" w:line="240" w:lineRule="auto"/>
        <w:ind w:left="180"/>
        <w:rPr>
          <w:rFonts w:cstheme="minorHAnsi"/>
          <w:sz w:val="24"/>
          <w:szCs w:val="24"/>
        </w:rPr>
      </w:pPr>
      <w:r w:rsidRPr="00E1669C">
        <w:rPr>
          <w:rFonts w:cstheme="minorHAnsi"/>
          <w:sz w:val="24"/>
          <w:szCs w:val="24"/>
        </w:rPr>
        <w:t xml:space="preserve">As a result of the information provided by the Applicant and additional analysis, staff finds that the Applicant has demonstrated that the Proposed Project meets Factor 1. </w:t>
      </w:r>
    </w:p>
    <w:p w14:paraId="1FF517A1" w14:textId="77777777" w:rsidR="000E6F21" w:rsidRPr="00E20DEA" w:rsidRDefault="000E6F21" w:rsidP="00A662DF">
      <w:pPr>
        <w:spacing w:after="0" w:line="240" w:lineRule="auto"/>
        <w:ind w:left="180"/>
        <w:rPr>
          <w:rFonts w:cstheme="minorHAnsi"/>
          <w:sz w:val="24"/>
          <w:szCs w:val="24"/>
          <w:highlight w:val="yellow"/>
        </w:rPr>
      </w:pPr>
    </w:p>
    <w:p w14:paraId="0ADE0888" w14:textId="0D74C428" w:rsidR="003E1CDA" w:rsidRPr="00E1669C" w:rsidRDefault="003E1CDA" w:rsidP="00A662DF">
      <w:pPr>
        <w:pStyle w:val="Heading1"/>
        <w:spacing w:before="0" w:line="240" w:lineRule="auto"/>
      </w:pPr>
      <w:bookmarkStart w:id="18" w:name="_Toc192247636"/>
      <w:r w:rsidRPr="00E1669C">
        <w:t xml:space="preserve">Factor 2: Cost </w:t>
      </w:r>
      <w:r w:rsidR="00B675A1" w:rsidRPr="00E1669C">
        <w:t>C</w:t>
      </w:r>
      <w:r w:rsidRPr="00E1669C">
        <w:t>ontainment, Improved Public Health Outcomes and Delivery System Transformation</w:t>
      </w:r>
      <w:bookmarkEnd w:id="18"/>
    </w:p>
    <w:p w14:paraId="3717ACFE" w14:textId="77777777" w:rsidR="0022028B" w:rsidRPr="00E20DEA" w:rsidRDefault="0022028B" w:rsidP="00A662DF">
      <w:pPr>
        <w:spacing w:after="0" w:line="240" w:lineRule="auto"/>
        <w:rPr>
          <w:highlight w:val="yellow"/>
        </w:rPr>
      </w:pPr>
    </w:p>
    <w:p w14:paraId="02F9F013" w14:textId="77777777" w:rsidR="003E1CDA" w:rsidRPr="00934DBB" w:rsidRDefault="003E1CDA" w:rsidP="00656FAD">
      <w:pPr>
        <w:spacing w:after="0" w:line="240" w:lineRule="auto"/>
        <w:rPr>
          <w:b/>
          <w:bCs/>
          <w:sz w:val="24"/>
          <w:szCs w:val="24"/>
        </w:rPr>
      </w:pPr>
      <w:r w:rsidRPr="00934DBB">
        <w:rPr>
          <w:b/>
          <w:bCs/>
          <w:sz w:val="24"/>
          <w:szCs w:val="24"/>
        </w:rPr>
        <w:t>Cost Containment</w:t>
      </w:r>
    </w:p>
    <w:p w14:paraId="628C7592" w14:textId="06A7D6F7" w:rsidR="00CD77DD" w:rsidRPr="00E1669C" w:rsidRDefault="006D7347" w:rsidP="00A662DF">
      <w:pPr>
        <w:autoSpaceDE w:val="0"/>
        <w:autoSpaceDN w:val="0"/>
        <w:adjustRightInd w:val="0"/>
        <w:spacing w:after="0" w:line="240" w:lineRule="auto"/>
        <w:rPr>
          <w:rFonts w:cstheme="minorHAnsi"/>
          <w:sz w:val="24"/>
          <w:szCs w:val="24"/>
        </w:rPr>
      </w:pPr>
      <w:r w:rsidRPr="00934DBB">
        <w:rPr>
          <w:rFonts w:cstheme="minorHAnsi"/>
          <w:sz w:val="24"/>
          <w:szCs w:val="24"/>
        </w:rPr>
        <w:t>The Applicant states that t</w:t>
      </w:r>
      <w:r w:rsidRPr="00934DBB">
        <w:rPr>
          <w:rFonts w:cstheme="minorHAnsi"/>
          <w:bCs/>
          <w:sz w:val="24"/>
          <w:szCs w:val="24"/>
        </w:rPr>
        <w:t xml:space="preserve">he Proposed Project will meaningfully contribute to the Commonwealth’s goals for cost containment </w:t>
      </w:r>
      <w:r w:rsidR="00CD77DD" w:rsidRPr="00934DBB">
        <w:rPr>
          <w:rFonts w:cstheme="minorHAnsi"/>
          <w:sz w:val="24"/>
          <w:szCs w:val="24"/>
        </w:rPr>
        <w:t>by ensuring timely and equitable access to emergency services</w:t>
      </w:r>
      <w:r w:rsidR="00743051" w:rsidRPr="00934DBB">
        <w:rPr>
          <w:rFonts w:cstheme="minorHAnsi"/>
          <w:sz w:val="24"/>
          <w:szCs w:val="24"/>
        </w:rPr>
        <w:t xml:space="preserve">. </w:t>
      </w:r>
      <w:r w:rsidR="00CB4F73" w:rsidRPr="00934DBB">
        <w:rPr>
          <w:rFonts w:cstheme="minorHAnsi"/>
          <w:sz w:val="24"/>
          <w:szCs w:val="24"/>
        </w:rPr>
        <w:t>T</w:t>
      </w:r>
      <w:r w:rsidR="00CD77DD" w:rsidRPr="00934DBB">
        <w:rPr>
          <w:rFonts w:cstheme="minorHAnsi"/>
          <w:sz w:val="24"/>
          <w:szCs w:val="24"/>
        </w:rPr>
        <w:t xml:space="preserve">he Proposed Project seeks to improve access to an essential component of health care that, when impacted by inefficiency, can negatively impact health outcomes and increase health care costs. </w:t>
      </w:r>
      <w:r w:rsidR="00CB4F73" w:rsidRPr="00934DBB">
        <w:rPr>
          <w:rFonts w:cstheme="minorHAnsi"/>
          <w:sz w:val="24"/>
          <w:szCs w:val="24"/>
        </w:rPr>
        <w:t>As previously noted in Factor 1</w:t>
      </w:r>
      <w:r w:rsidR="002D48C3">
        <w:rPr>
          <w:rFonts w:cstheme="minorHAnsi"/>
          <w:sz w:val="24"/>
          <w:szCs w:val="24"/>
        </w:rPr>
        <w:t>f</w:t>
      </w:r>
      <w:r w:rsidR="00CD77DD" w:rsidRPr="00934DBB">
        <w:rPr>
          <w:rFonts w:cstheme="minorHAnsi"/>
          <w:sz w:val="24"/>
          <w:szCs w:val="24"/>
        </w:rPr>
        <w:t xml:space="preserve">, timely access to emergency care can reduce the cost of </w:t>
      </w:r>
      <w:r w:rsidR="00CD77DD" w:rsidRPr="007E0650">
        <w:rPr>
          <w:rFonts w:cstheme="minorHAnsi"/>
          <w:sz w:val="24"/>
          <w:szCs w:val="24"/>
        </w:rPr>
        <w:t xml:space="preserve">care and improve health outcomes, </w:t>
      </w:r>
      <w:r w:rsidR="00CB4F73" w:rsidRPr="007E0650">
        <w:rPr>
          <w:rFonts w:cstheme="minorHAnsi"/>
          <w:sz w:val="24"/>
          <w:szCs w:val="24"/>
        </w:rPr>
        <w:t>resulting in a reduction of</w:t>
      </w:r>
      <w:r w:rsidR="00CD77DD" w:rsidRPr="007E0650">
        <w:rPr>
          <w:rFonts w:cstheme="minorHAnsi"/>
          <w:sz w:val="24"/>
          <w:szCs w:val="24"/>
        </w:rPr>
        <w:t xml:space="preserve"> health care spending.</w:t>
      </w:r>
      <w:r w:rsidR="00E74919" w:rsidRPr="007E0650">
        <w:rPr>
          <w:rStyle w:val="EndnoteReference"/>
          <w:rFonts w:cstheme="minorHAnsi"/>
          <w:sz w:val="24"/>
          <w:szCs w:val="24"/>
        </w:rPr>
        <w:endnoteReference w:id="15"/>
      </w:r>
      <w:r w:rsidR="00CD77DD" w:rsidRPr="007E0650">
        <w:rPr>
          <w:rFonts w:cstheme="minorHAnsi"/>
          <w:sz w:val="24"/>
          <w:szCs w:val="24"/>
        </w:rPr>
        <w:t xml:space="preserve"> </w:t>
      </w:r>
      <w:r w:rsidR="00E64937">
        <w:rPr>
          <w:rFonts w:cstheme="minorHAnsi"/>
          <w:sz w:val="24"/>
          <w:szCs w:val="24"/>
        </w:rPr>
        <w:t>The Applicant states that e</w:t>
      </w:r>
      <w:r w:rsidR="00E64937" w:rsidRPr="00E64937">
        <w:rPr>
          <w:rFonts w:cstheme="minorHAnsi"/>
          <w:sz w:val="24"/>
          <w:szCs w:val="24"/>
        </w:rPr>
        <w:t xml:space="preserve">nsuring timely access to emergency health services </w:t>
      </w:r>
      <w:r w:rsidR="00E64937">
        <w:rPr>
          <w:rFonts w:cstheme="minorHAnsi"/>
          <w:sz w:val="24"/>
          <w:szCs w:val="24"/>
        </w:rPr>
        <w:lastRenderedPageBreak/>
        <w:t xml:space="preserve">may </w:t>
      </w:r>
      <w:r w:rsidR="00E64937" w:rsidRPr="00E64937">
        <w:rPr>
          <w:rFonts w:cstheme="minorHAnsi"/>
          <w:sz w:val="24"/>
          <w:szCs w:val="24"/>
        </w:rPr>
        <w:t>hel</w:t>
      </w:r>
      <w:r w:rsidR="00E64937">
        <w:rPr>
          <w:rFonts w:cstheme="minorHAnsi"/>
          <w:sz w:val="24"/>
          <w:szCs w:val="24"/>
        </w:rPr>
        <w:t xml:space="preserve">p </w:t>
      </w:r>
      <w:r w:rsidR="00534F83">
        <w:rPr>
          <w:rFonts w:cstheme="minorHAnsi"/>
          <w:sz w:val="24"/>
          <w:szCs w:val="24"/>
        </w:rPr>
        <w:t>to</w:t>
      </w:r>
      <w:r w:rsidR="00E64937" w:rsidRPr="00E64937">
        <w:rPr>
          <w:rFonts w:cstheme="minorHAnsi"/>
          <w:sz w:val="24"/>
          <w:szCs w:val="24"/>
        </w:rPr>
        <w:t xml:space="preserve"> improve health outcomes and reduce the overall cost of care by eliminating costly </w:t>
      </w:r>
      <w:r w:rsidR="00E64937" w:rsidRPr="00E1669C">
        <w:rPr>
          <w:rFonts w:cstheme="minorHAnsi"/>
          <w:sz w:val="24"/>
          <w:szCs w:val="24"/>
        </w:rPr>
        <w:t>return visits and hospitalizations</w:t>
      </w:r>
      <w:r w:rsidR="00534F83" w:rsidRPr="00E1669C">
        <w:rPr>
          <w:rFonts w:cstheme="minorHAnsi"/>
          <w:sz w:val="24"/>
          <w:szCs w:val="24"/>
        </w:rPr>
        <w:t xml:space="preserve">. </w:t>
      </w:r>
    </w:p>
    <w:p w14:paraId="060E72A1" w14:textId="418748B1" w:rsidR="00BB7632" w:rsidRPr="00E1669C" w:rsidRDefault="00BB7632" w:rsidP="00CD77DD">
      <w:pPr>
        <w:widowControl w:val="0"/>
        <w:spacing w:after="0" w:line="240" w:lineRule="auto"/>
        <w:rPr>
          <w:sz w:val="24"/>
          <w:szCs w:val="24"/>
        </w:rPr>
      </w:pPr>
      <w:r w:rsidRPr="00E1669C">
        <w:rPr>
          <w:sz w:val="24"/>
          <w:szCs w:val="24"/>
        </w:rPr>
        <w:t xml:space="preserve"> </w:t>
      </w:r>
    </w:p>
    <w:p w14:paraId="4CB620D7" w14:textId="77777777" w:rsidR="00910898" w:rsidRPr="00E1669C" w:rsidRDefault="003E1CDA" w:rsidP="00910898">
      <w:pPr>
        <w:spacing w:after="0" w:line="240" w:lineRule="auto"/>
        <w:rPr>
          <w:b/>
          <w:bCs/>
          <w:i/>
          <w:iCs/>
          <w:sz w:val="24"/>
          <w:szCs w:val="24"/>
        </w:rPr>
      </w:pPr>
      <w:r w:rsidRPr="00E1669C">
        <w:rPr>
          <w:b/>
          <w:bCs/>
          <w:i/>
          <w:iCs/>
          <w:sz w:val="24"/>
          <w:szCs w:val="24"/>
        </w:rPr>
        <w:t>Analysis: Cost Containment</w:t>
      </w:r>
    </w:p>
    <w:p w14:paraId="60986E5C" w14:textId="79B547C6" w:rsidR="003E1CDA" w:rsidRPr="00E1669C" w:rsidRDefault="00D528B7" w:rsidP="003815A0">
      <w:pPr>
        <w:spacing w:after="0" w:line="240" w:lineRule="auto"/>
        <w:contextualSpacing/>
        <w:rPr>
          <w:rFonts w:cstheme="minorHAnsi"/>
          <w:sz w:val="24"/>
          <w:szCs w:val="24"/>
        </w:rPr>
      </w:pPr>
      <w:r w:rsidRPr="00E1669C">
        <w:rPr>
          <w:rFonts w:cstheme="minorHAnsi"/>
          <w:sz w:val="24"/>
          <w:szCs w:val="24"/>
        </w:rPr>
        <w:t xml:space="preserve">Through expedient and efficient </w:t>
      </w:r>
      <w:r w:rsidR="001665B1" w:rsidRPr="00E1669C">
        <w:rPr>
          <w:rFonts w:cstheme="minorHAnsi"/>
          <w:sz w:val="24"/>
          <w:szCs w:val="24"/>
        </w:rPr>
        <w:t>access to ED services, the Proposed Project has the potential to achieve cost containment goals</w:t>
      </w:r>
      <w:r w:rsidR="0057706F" w:rsidRPr="00E1669C">
        <w:rPr>
          <w:rFonts w:cstheme="minorHAnsi"/>
          <w:sz w:val="24"/>
          <w:szCs w:val="24"/>
        </w:rPr>
        <w:t xml:space="preserve"> by reducing wait time</w:t>
      </w:r>
      <w:r w:rsidR="00E73E91" w:rsidRPr="00E1669C">
        <w:rPr>
          <w:rFonts w:cstheme="minorHAnsi"/>
          <w:sz w:val="24"/>
          <w:szCs w:val="24"/>
        </w:rPr>
        <w:t>s and improving health outcomes</w:t>
      </w:r>
      <w:r w:rsidR="004E727C" w:rsidRPr="00E1669C">
        <w:rPr>
          <w:rFonts w:cstheme="minorHAnsi"/>
          <w:sz w:val="24"/>
          <w:szCs w:val="24"/>
        </w:rPr>
        <w:t xml:space="preserve">. </w:t>
      </w:r>
      <w:r w:rsidR="00E73E91" w:rsidRPr="00E1669C">
        <w:rPr>
          <w:sz w:val="24"/>
          <w:szCs w:val="24"/>
        </w:rPr>
        <w:t>As a result, s</w:t>
      </w:r>
      <w:r w:rsidR="00304DFB" w:rsidRPr="00E1669C">
        <w:rPr>
          <w:sz w:val="24"/>
          <w:szCs w:val="24"/>
        </w:rPr>
        <w:t xml:space="preserve">taff </w:t>
      </w:r>
      <w:r w:rsidR="000B5D27" w:rsidRPr="00E1669C">
        <w:rPr>
          <w:sz w:val="24"/>
          <w:szCs w:val="24"/>
        </w:rPr>
        <w:t xml:space="preserve">can </w:t>
      </w:r>
      <w:r w:rsidR="00C12878" w:rsidRPr="00E1669C">
        <w:rPr>
          <w:sz w:val="24"/>
          <w:szCs w:val="24"/>
        </w:rPr>
        <w:t xml:space="preserve">conclude that </w:t>
      </w:r>
      <w:r w:rsidR="000B5D27" w:rsidRPr="00E1669C">
        <w:rPr>
          <w:sz w:val="24"/>
          <w:szCs w:val="24"/>
        </w:rPr>
        <w:t xml:space="preserve">the </w:t>
      </w:r>
      <w:r w:rsidR="00C12878" w:rsidRPr="00E1669C">
        <w:rPr>
          <w:sz w:val="24"/>
          <w:szCs w:val="24"/>
        </w:rPr>
        <w:t xml:space="preserve">Proposed Project will likely meet the cost containment </w:t>
      </w:r>
      <w:r w:rsidR="0026798D" w:rsidRPr="00E1669C">
        <w:rPr>
          <w:sz w:val="24"/>
          <w:szCs w:val="24"/>
        </w:rPr>
        <w:t>elements of F</w:t>
      </w:r>
      <w:r w:rsidR="00C12878" w:rsidRPr="00E1669C">
        <w:rPr>
          <w:sz w:val="24"/>
          <w:szCs w:val="24"/>
        </w:rPr>
        <w:t>actor</w:t>
      </w:r>
      <w:r w:rsidR="0026798D" w:rsidRPr="00E1669C">
        <w:rPr>
          <w:sz w:val="24"/>
          <w:szCs w:val="24"/>
        </w:rPr>
        <w:t xml:space="preserve"> 2</w:t>
      </w:r>
      <w:r w:rsidR="00C12878" w:rsidRPr="00E1669C">
        <w:rPr>
          <w:sz w:val="24"/>
          <w:szCs w:val="24"/>
        </w:rPr>
        <w:t>.</w:t>
      </w:r>
    </w:p>
    <w:p w14:paraId="3C01249E" w14:textId="77777777" w:rsidR="00910898" w:rsidRPr="00E20DEA" w:rsidRDefault="00910898" w:rsidP="00A662DF">
      <w:pPr>
        <w:spacing w:after="0" w:line="240" w:lineRule="auto"/>
        <w:rPr>
          <w:rFonts w:cstheme="minorHAnsi"/>
          <w:sz w:val="24"/>
          <w:szCs w:val="24"/>
          <w:highlight w:val="yellow"/>
        </w:rPr>
      </w:pPr>
    </w:p>
    <w:p w14:paraId="60B81E73" w14:textId="53047A36" w:rsidR="003E1CDA" w:rsidRPr="007179D7" w:rsidRDefault="003E1CDA" w:rsidP="00151D86">
      <w:pPr>
        <w:spacing w:after="0" w:line="240" w:lineRule="auto"/>
        <w:rPr>
          <w:rFonts w:cstheme="minorHAnsi"/>
          <w:b/>
          <w:bCs/>
          <w:sz w:val="24"/>
          <w:szCs w:val="24"/>
        </w:rPr>
      </w:pPr>
      <w:r w:rsidRPr="007179D7">
        <w:rPr>
          <w:rFonts w:cstheme="minorHAnsi"/>
          <w:b/>
          <w:bCs/>
          <w:sz w:val="24"/>
          <w:szCs w:val="24"/>
        </w:rPr>
        <w:t>Improved Public Health Outcomes</w:t>
      </w:r>
      <w:r w:rsidR="008C3357" w:rsidRPr="007179D7">
        <w:rPr>
          <w:rFonts w:cstheme="minorHAnsi"/>
          <w:b/>
          <w:bCs/>
          <w:sz w:val="24"/>
          <w:szCs w:val="24"/>
        </w:rPr>
        <w:t xml:space="preserve"> </w:t>
      </w:r>
    </w:p>
    <w:p w14:paraId="33BA8217" w14:textId="49F2C0E2" w:rsidR="00151D86" w:rsidRPr="00E20DEA" w:rsidRDefault="00151D86" w:rsidP="00A662DF">
      <w:pPr>
        <w:autoSpaceDE w:val="0"/>
        <w:autoSpaceDN w:val="0"/>
        <w:adjustRightInd w:val="0"/>
        <w:spacing w:after="0" w:line="240" w:lineRule="auto"/>
        <w:rPr>
          <w:sz w:val="24"/>
          <w:szCs w:val="24"/>
          <w:highlight w:val="yellow"/>
        </w:rPr>
      </w:pPr>
      <w:bookmarkStart w:id="19" w:name="_Hlk101967270"/>
      <w:r w:rsidRPr="007179D7">
        <w:rPr>
          <w:sz w:val="24"/>
          <w:szCs w:val="24"/>
        </w:rPr>
        <w:t xml:space="preserve">The Proposed Project will improve public health outcomes by providing patients timely access to emergency care in the </w:t>
      </w:r>
      <w:r w:rsidRPr="00075169">
        <w:rPr>
          <w:sz w:val="24"/>
          <w:szCs w:val="24"/>
        </w:rPr>
        <w:t xml:space="preserve">most appropriate care environment for their condition, in turn reducing delays in diagnosis and treatment. </w:t>
      </w:r>
      <w:bookmarkEnd w:id="19"/>
      <w:r w:rsidRPr="00075169">
        <w:rPr>
          <w:sz w:val="24"/>
          <w:szCs w:val="24"/>
        </w:rPr>
        <w:t>Th</w:t>
      </w:r>
      <w:r w:rsidR="007179D7" w:rsidRPr="00075169">
        <w:rPr>
          <w:sz w:val="24"/>
          <w:szCs w:val="24"/>
        </w:rPr>
        <w:t>e current</w:t>
      </w:r>
      <w:r w:rsidRPr="00075169">
        <w:rPr>
          <w:sz w:val="24"/>
          <w:szCs w:val="24"/>
        </w:rPr>
        <w:t xml:space="preserve"> mismatch between capacity and volume </w:t>
      </w:r>
      <w:r w:rsidR="008537CB" w:rsidRPr="00075169">
        <w:rPr>
          <w:sz w:val="24"/>
          <w:szCs w:val="24"/>
        </w:rPr>
        <w:t>has</w:t>
      </w:r>
      <w:r w:rsidRPr="00075169">
        <w:rPr>
          <w:sz w:val="24"/>
          <w:szCs w:val="24"/>
        </w:rPr>
        <w:t xml:space="preserve"> increased</w:t>
      </w:r>
      <w:r w:rsidR="002C18C5" w:rsidRPr="00075169">
        <w:rPr>
          <w:sz w:val="24"/>
          <w:szCs w:val="24"/>
        </w:rPr>
        <w:t xml:space="preserve"> </w:t>
      </w:r>
      <w:r w:rsidRPr="00075169">
        <w:rPr>
          <w:sz w:val="24"/>
          <w:szCs w:val="24"/>
        </w:rPr>
        <w:t xml:space="preserve">wait times, </w:t>
      </w:r>
      <w:r w:rsidR="002C18C5" w:rsidRPr="00075169">
        <w:rPr>
          <w:sz w:val="24"/>
          <w:szCs w:val="24"/>
        </w:rPr>
        <w:t>the number of</w:t>
      </w:r>
      <w:r w:rsidRPr="00075169">
        <w:rPr>
          <w:sz w:val="24"/>
          <w:szCs w:val="24"/>
        </w:rPr>
        <w:t xml:space="preserve"> patients leaving without being seen, </w:t>
      </w:r>
      <w:r w:rsidR="008C017E">
        <w:rPr>
          <w:sz w:val="24"/>
          <w:szCs w:val="24"/>
        </w:rPr>
        <w:t>which can affect the</w:t>
      </w:r>
      <w:r w:rsidR="2349C83E" w:rsidRPr="00075169">
        <w:rPr>
          <w:sz w:val="24"/>
          <w:szCs w:val="24"/>
        </w:rPr>
        <w:t xml:space="preserve"> </w:t>
      </w:r>
      <w:r w:rsidRPr="00075169">
        <w:rPr>
          <w:sz w:val="24"/>
          <w:szCs w:val="24"/>
        </w:rPr>
        <w:t xml:space="preserve">level of patient dissatisfaction. </w:t>
      </w:r>
      <w:r w:rsidRPr="008549CD">
        <w:rPr>
          <w:sz w:val="24"/>
          <w:szCs w:val="24"/>
        </w:rPr>
        <w:t xml:space="preserve">Historical utilization trends coupled with population projections demonstrate a need for the Hospital to expand capacity in order to meet current and future demand for emergency care in the community. </w:t>
      </w:r>
      <w:r w:rsidR="00F62E1E" w:rsidRPr="00D56498">
        <w:rPr>
          <w:sz w:val="24"/>
          <w:szCs w:val="24"/>
        </w:rPr>
        <w:t xml:space="preserve">The efficiencies of the physical </w:t>
      </w:r>
      <w:r w:rsidR="00836C66" w:rsidRPr="00D56498">
        <w:rPr>
          <w:sz w:val="24"/>
          <w:szCs w:val="24"/>
        </w:rPr>
        <w:t xml:space="preserve">space in the Proposed Project, </w:t>
      </w:r>
      <w:r w:rsidR="00071CC7">
        <w:rPr>
          <w:sz w:val="24"/>
          <w:szCs w:val="24"/>
        </w:rPr>
        <w:t>which include</w:t>
      </w:r>
      <w:r w:rsidR="00443BD5">
        <w:rPr>
          <w:sz w:val="24"/>
          <w:szCs w:val="24"/>
        </w:rPr>
        <w:t>s</w:t>
      </w:r>
      <w:r w:rsidR="00071CC7">
        <w:rPr>
          <w:sz w:val="24"/>
          <w:szCs w:val="24"/>
        </w:rPr>
        <w:t xml:space="preserve"> </w:t>
      </w:r>
      <w:r w:rsidR="00071CC7" w:rsidRPr="00D56498">
        <w:rPr>
          <w:sz w:val="24"/>
          <w:szCs w:val="24"/>
        </w:rPr>
        <w:t xml:space="preserve">trauma rooms located adjacent to the ambulance bay and the elevators to the helipad, as well as </w:t>
      </w:r>
      <w:r w:rsidR="007836F1" w:rsidRPr="00D56498">
        <w:rPr>
          <w:sz w:val="24"/>
          <w:szCs w:val="24"/>
        </w:rPr>
        <w:t xml:space="preserve">embedding imaging within the ED, </w:t>
      </w:r>
      <w:r w:rsidR="004F2B7E" w:rsidRPr="00D56498">
        <w:rPr>
          <w:sz w:val="24"/>
          <w:szCs w:val="24"/>
        </w:rPr>
        <w:t xml:space="preserve">are expected to cut down patient transport </w:t>
      </w:r>
      <w:r w:rsidR="00AA3565" w:rsidRPr="00D56498">
        <w:rPr>
          <w:sz w:val="24"/>
          <w:szCs w:val="24"/>
        </w:rPr>
        <w:t>time</w:t>
      </w:r>
      <w:r w:rsidR="00AA3565">
        <w:rPr>
          <w:sz w:val="24"/>
          <w:szCs w:val="24"/>
        </w:rPr>
        <w:t>.</w:t>
      </w:r>
      <w:r w:rsidR="00770DF3">
        <w:rPr>
          <w:sz w:val="24"/>
          <w:szCs w:val="24"/>
        </w:rPr>
        <w:t xml:space="preserve"> </w:t>
      </w:r>
      <w:r w:rsidR="00443BD5">
        <w:rPr>
          <w:sz w:val="24"/>
          <w:szCs w:val="24"/>
        </w:rPr>
        <w:t>R</w:t>
      </w:r>
      <w:r w:rsidR="00770DF3" w:rsidRPr="007D4376">
        <w:rPr>
          <w:sz w:val="24"/>
          <w:szCs w:val="24"/>
        </w:rPr>
        <w:t xml:space="preserve">educing treatment delays </w:t>
      </w:r>
      <w:r w:rsidR="00443BD5">
        <w:rPr>
          <w:sz w:val="24"/>
          <w:szCs w:val="24"/>
        </w:rPr>
        <w:t xml:space="preserve">is anticipated to </w:t>
      </w:r>
      <w:r w:rsidR="00770DF3" w:rsidRPr="007D4376">
        <w:rPr>
          <w:sz w:val="24"/>
          <w:szCs w:val="24"/>
        </w:rPr>
        <w:t>contribute to improving overall health outcomes.</w:t>
      </w:r>
    </w:p>
    <w:p w14:paraId="09170416" w14:textId="151D7497" w:rsidR="00910898" w:rsidRPr="00CF443C" w:rsidRDefault="00910898" w:rsidP="00151D86">
      <w:pPr>
        <w:spacing w:after="0" w:line="240" w:lineRule="auto"/>
        <w:rPr>
          <w:b/>
          <w:bCs/>
          <w:sz w:val="24"/>
          <w:szCs w:val="24"/>
        </w:rPr>
      </w:pPr>
    </w:p>
    <w:p w14:paraId="1E443B61" w14:textId="264A3D1B" w:rsidR="003E1CDA" w:rsidRPr="00CF443C" w:rsidRDefault="0022028B" w:rsidP="000E6F21">
      <w:pPr>
        <w:spacing w:after="0" w:line="240" w:lineRule="auto"/>
        <w:rPr>
          <w:b/>
          <w:bCs/>
          <w:sz w:val="24"/>
          <w:szCs w:val="24"/>
        </w:rPr>
      </w:pPr>
      <w:r w:rsidRPr="00CF443C">
        <w:rPr>
          <w:b/>
          <w:bCs/>
          <w:sz w:val="24"/>
          <w:szCs w:val="24"/>
        </w:rPr>
        <w:t>A</w:t>
      </w:r>
      <w:r w:rsidR="003E1CDA" w:rsidRPr="00CF443C">
        <w:rPr>
          <w:b/>
          <w:bCs/>
          <w:sz w:val="24"/>
          <w:szCs w:val="24"/>
        </w:rPr>
        <w:t>nalysis: Public Health Outcomes</w:t>
      </w:r>
    </w:p>
    <w:p w14:paraId="24A46422" w14:textId="1934DEEE" w:rsidR="00F13A0C" w:rsidRPr="00CF443C" w:rsidRDefault="009F5D5A" w:rsidP="000E6F21">
      <w:pPr>
        <w:spacing w:after="0" w:line="240" w:lineRule="auto"/>
        <w:rPr>
          <w:rFonts w:cstheme="minorHAnsi"/>
          <w:sz w:val="24"/>
          <w:szCs w:val="24"/>
        </w:rPr>
      </w:pPr>
      <w:r w:rsidRPr="00CF443C">
        <w:rPr>
          <w:rFonts w:cstheme="minorHAnsi"/>
          <w:sz w:val="24"/>
          <w:szCs w:val="24"/>
        </w:rPr>
        <w:t xml:space="preserve">Staff finds </w:t>
      </w:r>
      <w:r w:rsidR="00322E89" w:rsidRPr="00CF443C">
        <w:rPr>
          <w:rFonts w:cstheme="minorHAnsi"/>
          <w:sz w:val="24"/>
          <w:szCs w:val="24"/>
        </w:rPr>
        <w:t>that</w:t>
      </w:r>
      <w:r w:rsidRPr="00CF443C">
        <w:rPr>
          <w:rFonts w:cstheme="minorHAnsi"/>
          <w:sz w:val="24"/>
          <w:szCs w:val="24"/>
        </w:rPr>
        <w:t xml:space="preserve"> </w:t>
      </w:r>
      <w:r w:rsidR="008358F8" w:rsidRPr="00CF443C">
        <w:rPr>
          <w:rFonts w:cstheme="minorHAnsi"/>
          <w:sz w:val="24"/>
          <w:szCs w:val="24"/>
        </w:rPr>
        <w:t>the expansion of the ED</w:t>
      </w:r>
      <w:r w:rsidR="00DE7810" w:rsidRPr="00CF443C">
        <w:rPr>
          <w:rFonts w:cstheme="minorHAnsi"/>
          <w:sz w:val="24"/>
          <w:szCs w:val="24"/>
        </w:rPr>
        <w:t xml:space="preserve"> will</w:t>
      </w:r>
      <w:r w:rsidR="00180871" w:rsidRPr="00CF443C">
        <w:rPr>
          <w:rFonts w:cstheme="minorHAnsi"/>
          <w:sz w:val="24"/>
          <w:szCs w:val="24"/>
        </w:rPr>
        <w:t xml:space="preserve"> help ensure timely access to care and</w:t>
      </w:r>
      <w:r w:rsidR="00F13A0C" w:rsidRPr="00CF443C">
        <w:rPr>
          <w:rFonts w:cstheme="minorHAnsi"/>
          <w:sz w:val="24"/>
          <w:szCs w:val="24"/>
        </w:rPr>
        <w:t xml:space="preserve"> avoid delays</w:t>
      </w:r>
      <w:r w:rsidR="00E644D7" w:rsidRPr="00CF443C">
        <w:rPr>
          <w:rFonts w:cstheme="minorHAnsi"/>
          <w:sz w:val="24"/>
          <w:szCs w:val="24"/>
        </w:rPr>
        <w:t xml:space="preserve"> in treatment that can adversely impact health outcomes</w:t>
      </w:r>
      <w:r w:rsidR="005B5F98" w:rsidRPr="00CF443C">
        <w:rPr>
          <w:rFonts w:cstheme="minorHAnsi"/>
          <w:sz w:val="24"/>
          <w:szCs w:val="24"/>
        </w:rPr>
        <w:t xml:space="preserve">. </w:t>
      </w:r>
      <w:r w:rsidR="00180871" w:rsidRPr="00CF443C">
        <w:rPr>
          <w:rFonts w:cstheme="minorHAnsi"/>
          <w:sz w:val="24"/>
          <w:szCs w:val="24"/>
        </w:rPr>
        <w:t xml:space="preserve">The </w:t>
      </w:r>
      <w:r w:rsidR="00E444A9" w:rsidRPr="00CF443C">
        <w:rPr>
          <w:rFonts w:cstheme="minorHAnsi"/>
          <w:sz w:val="24"/>
          <w:szCs w:val="24"/>
        </w:rPr>
        <w:t xml:space="preserve">additional </w:t>
      </w:r>
      <w:r w:rsidR="00C87568" w:rsidRPr="00CF443C">
        <w:rPr>
          <w:rFonts w:cstheme="minorHAnsi"/>
          <w:sz w:val="24"/>
          <w:szCs w:val="24"/>
        </w:rPr>
        <w:t xml:space="preserve">treatment areas will provide the Hospital with the ability to both serve the </w:t>
      </w:r>
      <w:r w:rsidR="00D42E68" w:rsidRPr="00CF443C">
        <w:rPr>
          <w:rFonts w:cstheme="minorHAnsi"/>
          <w:sz w:val="24"/>
          <w:szCs w:val="24"/>
        </w:rPr>
        <w:t xml:space="preserve">current volume of ED visits, </w:t>
      </w:r>
      <w:r w:rsidR="003B39F5" w:rsidRPr="00CF443C">
        <w:rPr>
          <w:rFonts w:cstheme="minorHAnsi"/>
          <w:sz w:val="24"/>
          <w:szCs w:val="24"/>
        </w:rPr>
        <w:t xml:space="preserve">as well as the growing needs of the community </w:t>
      </w:r>
      <w:r w:rsidR="00CF443C" w:rsidRPr="00CF443C">
        <w:rPr>
          <w:rFonts w:cstheme="minorHAnsi"/>
          <w:sz w:val="24"/>
          <w:szCs w:val="24"/>
        </w:rPr>
        <w:t>in the future</w:t>
      </w:r>
      <w:r w:rsidR="003B39F5" w:rsidRPr="00CF443C">
        <w:rPr>
          <w:rFonts w:cstheme="minorHAnsi"/>
          <w:sz w:val="24"/>
          <w:szCs w:val="24"/>
        </w:rPr>
        <w:t xml:space="preserve">. </w:t>
      </w:r>
      <w:r w:rsidR="00F13A0C" w:rsidRPr="00CF443C">
        <w:rPr>
          <w:rFonts w:cstheme="minorHAnsi"/>
          <w:sz w:val="24"/>
          <w:szCs w:val="24"/>
        </w:rPr>
        <w:t>Therefore, DoN Staff can conclude that the Proposed Project will likely meet the Public Health Outcomes component of Factor 2.</w:t>
      </w:r>
    </w:p>
    <w:p w14:paraId="2A24C433" w14:textId="77777777" w:rsidR="007D53F6" w:rsidRPr="00E20DEA" w:rsidRDefault="007D53F6" w:rsidP="00A662DF">
      <w:pPr>
        <w:spacing w:after="0" w:line="240" w:lineRule="auto"/>
        <w:rPr>
          <w:b/>
          <w:bCs/>
          <w:sz w:val="24"/>
          <w:szCs w:val="24"/>
          <w:highlight w:val="yellow"/>
        </w:rPr>
      </w:pPr>
    </w:p>
    <w:p w14:paraId="3B0953A6" w14:textId="647641F7" w:rsidR="0022028B" w:rsidRPr="00604FCE" w:rsidRDefault="00B134DF" w:rsidP="000E6F21">
      <w:pPr>
        <w:spacing w:after="0" w:line="240" w:lineRule="auto"/>
        <w:rPr>
          <w:b/>
          <w:bCs/>
          <w:sz w:val="24"/>
          <w:szCs w:val="24"/>
        </w:rPr>
      </w:pPr>
      <w:r w:rsidRPr="00604FCE">
        <w:rPr>
          <w:b/>
          <w:bCs/>
          <w:sz w:val="24"/>
          <w:szCs w:val="24"/>
        </w:rPr>
        <w:t>D</w:t>
      </w:r>
      <w:r w:rsidR="003E1CDA" w:rsidRPr="00604FCE">
        <w:rPr>
          <w:b/>
          <w:bCs/>
          <w:sz w:val="24"/>
          <w:szCs w:val="24"/>
        </w:rPr>
        <w:t>elivery System Transformation</w:t>
      </w:r>
    </w:p>
    <w:p w14:paraId="3EE848FB" w14:textId="4F9AF19D" w:rsidR="00051FA2" w:rsidRPr="00604FCE" w:rsidRDefault="009922B3" w:rsidP="00A662DF">
      <w:pPr>
        <w:pStyle w:val="HBblj"/>
        <w:spacing w:after="0"/>
        <w:jc w:val="left"/>
        <w:rPr>
          <w:rFonts w:cs="Arial"/>
          <w:sz w:val="24"/>
          <w:szCs w:val="24"/>
        </w:rPr>
      </w:pPr>
      <w:r>
        <w:rPr>
          <w:rFonts w:cs="Arial"/>
          <w:sz w:val="24"/>
          <w:szCs w:val="24"/>
        </w:rPr>
        <w:t>With the expansion of the ED, t</w:t>
      </w:r>
      <w:r w:rsidR="00051FA2" w:rsidRPr="00604FCE">
        <w:rPr>
          <w:rFonts w:cs="Arial"/>
          <w:sz w:val="24"/>
          <w:szCs w:val="24"/>
        </w:rPr>
        <w:t xml:space="preserve">he Applicant </w:t>
      </w:r>
      <w:r w:rsidR="006F06B8">
        <w:rPr>
          <w:rFonts w:cs="Arial"/>
          <w:sz w:val="24"/>
          <w:szCs w:val="24"/>
        </w:rPr>
        <w:t xml:space="preserve">plans to </w:t>
      </w:r>
      <w:r w:rsidR="003135CB">
        <w:rPr>
          <w:rFonts w:cs="Arial"/>
          <w:sz w:val="24"/>
          <w:szCs w:val="24"/>
        </w:rPr>
        <w:t>continue to work</w:t>
      </w:r>
      <w:r w:rsidR="00051FA2" w:rsidRPr="00604FCE">
        <w:rPr>
          <w:rFonts w:cs="Arial"/>
          <w:sz w:val="24"/>
          <w:szCs w:val="24"/>
        </w:rPr>
        <w:t xml:space="preserve"> with health care providers and community social services providers to ensure patients are connected with needed resources outside of the Hospital. </w:t>
      </w:r>
      <w:r w:rsidR="00CF443C">
        <w:rPr>
          <w:rFonts w:cs="Arial"/>
          <w:sz w:val="24"/>
          <w:szCs w:val="24"/>
        </w:rPr>
        <w:t>T</w:t>
      </w:r>
      <w:r w:rsidR="00051FA2" w:rsidRPr="00604FCE">
        <w:rPr>
          <w:rFonts w:cs="Arial"/>
          <w:sz w:val="24"/>
          <w:szCs w:val="24"/>
        </w:rPr>
        <w:t xml:space="preserve">he Applicant </w:t>
      </w:r>
      <w:r w:rsidR="00CF443C">
        <w:rPr>
          <w:rFonts w:cs="Arial"/>
          <w:sz w:val="24"/>
          <w:szCs w:val="24"/>
        </w:rPr>
        <w:t xml:space="preserve">uses the PRAPARE </w:t>
      </w:r>
      <w:r w:rsidR="00051FA2" w:rsidRPr="00604FCE">
        <w:rPr>
          <w:rFonts w:cs="Arial"/>
          <w:sz w:val="24"/>
          <w:szCs w:val="24"/>
        </w:rPr>
        <w:t>screen</w:t>
      </w:r>
      <w:r w:rsidR="00CF443C">
        <w:rPr>
          <w:rFonts w:cs="Arial"/>
          <w:sz w:val="24"/>
          <w:szCs w:val="24"/>
        </w:rPr>
        <w:t>ing tool with</w:t>
      </w:r>
      <w:r w:rsidR="00051FA2" w:rsidRPr="00604FCE">
        <w:rPr>
          <w:rFonts w:cs="Arial"/>
          <w:sz w:val="24"/>
          <w:szCs w:val="24"/>
        </w:rPr>
        <w:t xml:space="preserve"> all admitted patients</w:t>
      </w:r>
      <w:r w:rsidR="00CF443C">
        <w:rPr>
          <w:rFonts w:cs="Arial"/>
          <w:sz w:val="24"/>
          <w:szCs w:val="24"/>
        </w:rPr>
        <w:t xml:space="preserve"> and has the clinical discretion to screen ED patients if necessary</w:t>
      </w:r>
      <w:r w:rsidR="00051FA2" w:rsidRPr="00604FCE">
        <w:rPr>
          <w:rFonts w:cs="Arial"/>
          <w:sz w:val="24"/>
          <w:szCs w:val="24"/>
        </w:rPr>
        <w:t xml:space="preserve">. </w:t>
      </w:r>
      <w:r w:rsidR="00B30878">
        <w:rPr>
          <w:rFonts w:cs="Arial"/>
          <w:sz w:val="24"/>
          <w:szCs w:val="24"/>
        </w:rPr>
        <w:t xml:space="preserve">If the patient </w:t>
      </w:r>
      <w:r w:rsidR="00EC7F3C">
        <w:rPr>
          <w:rFonts w:cs="Arial"/>
          <w:sz w:val="24"/>
          <w:szCs w:val="24"/>
        </w:rPr>
        <w:t xml:space="preserve">discloses a need for assistance or nurse assessments suggest a need, </w:t>
      </w:r>
      <w:r w:rsidR="00051FA2" w:rsidRPr="00604FCE">
        <w:rPr>
          <w:rFonts w:cs="Arial"/>
          <w:sz w:val="24"/>
          <w:szCs w:val="24"/>
        </w:rPr>
        <w:t>Hospital staff then provide those patients with resources to help address their designated social needs. If there are instances whereby an immediate need prevents safe release from the Hospital, then those needs are addressed by the hospital staff prior to discharge.</w:t>
      </w:r>
      <w:r w:rsidR="00604FCE" w:rsidRPr="00604FCE">
        <w:rPr>
          <w:rFonts w:cs="Arial"/>
          <w:sz w:val="24"/>
          <w:szCs w:val="24"/>
        </w:rPr>
        <w:t xml:space="preserve"> In support of patients who screen positive for a social need, the Hospital collaborated with local organizations to develop the Sturdy Health Connecting our Community, a comprehensive guide to community resources available to patients. Hospital staff are able to provide this guide to patients based on their identified </w:t>
      </w:r>
      <w:r w:rsidR="00BE0D85">
        <w:rPr>
          <w:rFonts w:cs="Arial"/>
          <w:sz w:val="24"/>
          <w:szCs w:val="24"/>
        </w:rPr>
        <w:t>SD</w:t>
      </w:r>
      <w:r w:rsidR="00A662DF">
        <w:rPr>
          <w:rFonts w:cs="Arial"/>
          <w:sz w:val="24"/>
          <w:szCs w:val="24"/>
        </w:rPr>
        <w:t>o</w:t>
      </w:r>
      <w:r w:rsidR="00BE0D85">
        <w:rPr>
          <w:rFonts w:cs="Arial"/>
          <w:sz w:val="24"/>
          <w:szCs w:val="24"/>
        </w:rPr>
        <w:t>H</w:t>
      </w:r>
      <w:r w:rsidR="00604FCE" w:rsidRPr="00604FCE">
        <w:rPr>
          <w:rFonts w:cs="Arial"/>
          <w:sz w:val="24"/>
          <w:szCs w:val="24"/>
        </w:rPr>
        <w:t xml:space="preserve"> needs and in the patient’s preferred language. For those patients who require a higher degree of assistance, Hospital staff will support them in enrolling in various programs, </w:t>
      </w:r>
      <w:r w:rsidR="00604FCE" w:rsidRPr="00604FCE">
        <w:rPr>
          <w:rFonts w:cs="Arial"/>
          <w:sz w:val="24"/>
          <w:szCs w:val="24"/>
        </w:rPr>
        <w:lastRenderedPageBreak/>
        <w:t>including the YMCA nutrition support program, Community Servings, and CCBC housing program.</w:t>
      </w:r>
    </w:p>
    <w:p w14:paraId="7EC9F9E2" w14:textId="77777777" w:rsidR="007D53F6" w:rsidRPr="00CF443C" w:rsidRDefault="007D53F6" w:rsidP="00A662DF">
      <w:pPr>
        <w:spacing w:after="0" w:line="240" w:lineRule="auto"/>
        <w:rPr>
          <w:b/>
          <w:bCs/>
          <w:sz w:val="24"/>
          <w:szCs w:val="24"/>
        </w:rPr>
      </w:pPr>
    </w:p>
    <w:p w14:paraId="5B8F822F" w14:textId="0083977D" w:rsidR="003E1CDA" w:rsidRPr="00CF443C" w:rsidRDefault="003E1CDA" w:rsidP="00E570B0">
      <w:pPr>
        <w:spacing w:after="0" w:line="240" w:lineRule="auto"/>
        <w:rPr>
          <w:b/>
          <w:bCs/>
          <w:i/>
          <w:iCs/>
          <w:sz w:val="24"/>
          <w:szCs w:val="24"/>
        </w:rPr>
      </w:pPr>
      <w:r w:rsidRPr="00CF443C">
        <w:rPr>
          <w:b/>
          <w:bCs/>
          <w:i/>
          <w:iCs/>
          <w:sz w:val="24"/>
          <w:szCs w:val="24"/>
        </w:rPr>
        <w:t>Analysis: Delivery System Transformation</w:t>
      </w:r>
    </w:p>
    <w:p w14:paraId="449A046C" w14:textId="7A2E1B22" w:rsidR="00F56096" w:rsidRPr="00CF443C" w:rsidRDefault="00C12878" w:rsidP="013B43F3">
      <w:pPr>
        <w:spacing w:after="0" w:line="240" w:lineRule="auto"/>
        <w:rPr>
          <w:sz w:val="24"/>
          <w:szCs w:val="24"/>
        </w:rPr>
      </w:pPr>
      <w:r w:rsidRPr="013B43F3">
        <w:rPr>
          <w:sz w:val="24"/>
          <w:szCs w:val="24"/>
        </w:rPr>
        <w:t xml:space="preserve">Central to the goal of Delivery System Transformation is the integration of social services and community-based expertise. </w:t>
      </w:r>
      <w:r w:rsidR="00CF443C" w:rsidRPr="013B43F3">
        <w:rPr>
          <w:sz w:val="24"/>
          <w:szCs w:val="24"/>
        </w:rPr>
        <w:t xml:space="preserve">While the </w:t>
      </w:r>
      <w:r w:rsidR="002E357F">
        <w:rPr>
          <w:sz w:val="24"/>
          <w:szCs w:val="24"/>
        </w:rPr>
        <w:t>SDoH</w:t>
      </w:r>
      <w:r w:rsidR="0039705E" w:rsidRPr="013B43F3">
        <w:rPr>
          <w:sz w:val="24"/>
          <w:szCs w:val="24"/>
        </w:rPr>
        <w:t xml:space="preserve"> screening </w:t>
      </w:r>
      <w:r w:rsidR="00CC46A2" w:rsidRPr="013B43F3">
        <w:rPr>
          <w:sz w:val="24"/>
          <w:szCs w:val="24"/>
        </w:rPr>
        <w:t>is</w:t>
      </w:r>
      <w:r w:rsidR="00CF443C" w:rsidRPr="013B43F3">
        <w:rPr>
          <w:sz w:val="24"/>
          <w:szCs w:val="24"/>
        </w:rPr>
        <w:t xml:space="preserve"> not routinely used in the ED, it is a regular part of the patient admission process and can be used in the ED if determined to be necessary. </w:t>
      </w:r>
      <w:r w:rsidR="00811FB5">
        <w:rPr>
          <w:sz w:val="24"/>
          <w:szCs w:val="24"/>
        </w:rPr>
        <w:t>Appropriate l</w:t>
      </w:r>
      <w:r w:rsidR="000139A7" w:rsidRPr="013B43F3">
        <w:rPr>
          <w:sz w:val="24"/>
          <w:szCs w:val="24"/>
        </w:rPr>
        <w:t>inkages</w:t>
      </w:r>
      <w:r w:rsidR="00B35B33" w:rsidRPr="013B43F3">
        <w:rPr>
          <w:sz w:val="24"/>
          <w:szCs w:val="24"/>
        </w:rPr>
        <w:t xml:space="preserve"> </w:t>
      </w:r>
      <w:r w:rsidR="00CF443C" w:rsidRPr="013B43F3">
        <w:rPr>
          <w:sz w:val="24"/>
          <w:szCs w:val="24"/>
        </w:rPr>
        <w:t>are then</w:t>
      </w:r>
      <w:r w:rsidR="00B35B33" w:rsidRPr="013B43F3">
        <w:rPr>
          <w:sz w:val="24"/>
          <w:szCs w:val="24"/>
        </w:rPr>
        <w:t xml:space="preserve"> made to community resources </w:t>
      </w:r>
      <w:r w:rsidR="00ED73D4" w:rsidRPr="013B43F3">
        <w:rPr>
          <w:sz w:val="24"/>
          <w:szCs w:val="24"/>
        </w:rPr>
        <w:t>to</w:t>
      </w:r>
      <w:r w:rsidR="0039705E" w:rsidRPr="013B43F3">
        <w:rPr>
          <w:sz w:val="24"/>
          <w:szCs w:val="24"/>
        </w:rPr>
        <w:t xml:space="preserve"> address health risks and improve health outcomes</w:t>
      </w:r>
      <w:r w:rsidRPr="013B43F3">
        <w:rPr>
          <w:sz w:val="24"/>
          <w:szCs w:val="24"/>
        </w:rPr>
        <w:t>.</w:t>
      </w:r>
      <w:r w:rsidR="00CC46A2" w:rsidRPr="013B43F3">
        <w:rPr>
          <w:sz w:val="24"/>
          <w:szCs w:val="24"/>
        </w:rPr>
        <w:t xml:space="preserve"> </w:t>
      </w:r>
      <w:r w:rsidR="00EF01F7" w:rsidRPr="013B43F3">
        <w:rPr>
          <w:sz w:val="24"/>
          <w:szCs w:val="24"/>
        </w:rPr>
        <w:t>Therefore, DoN Staff can conclude that the Proposed Project will likely meet the Delivery System Transformation component of Factor 2.</w:t>
      </w:r>
    </w:p>
    <w:p w14:paraId="0B5DA248" w14:textId="7BDC8FE1" w:rsidR="00F962C6" w:rsidRPr="00E20DEA" w:rsidRDefault="00F962C6" w:rsidP="00A662DF">
      <w:pPr>
        <w:spacing w:after="0" w:line="240" w:lineRule="auto"/>
        <w:rPr>
          <w:b/>
          <w:bCs/>
          <w:sz w:val="28"/>
          <w:szCs w:val="28"/>
          <w:highlight w:val="yellow"/>
        </w:rPr>
      </w:pPr>
    </w:p>
    <w:p w14:paraId="38E2DB45" w14:textId="77777777" w:rsidR="00BB377E" w:rsidRPr="00CF443C" w:rsidRDefault="00BB377E" w:rsidP="00BB377E">
      <w:pPr>
        <w:pStyle w:val="Heading1"/>
        <w:spacing w:before="0" w:line="240" w:lineRule="auto"/>
        <w:ind w:left="180"/>
        <w:rPr>
          <w:rFonts w:cstheme="minorHAnsi"/>
          <w:b w:val="0"/>
          <w:bCs/>
          <w:sz w:val="24"/>
          <w:szCs w:val="24"/>
        </w:rPr>
      </w:pPr>
      <w:bookmarkStart w:id="20" w:name="_Toc99993060"/>
      <w:bookmarkStart w:id="21" w:name="_Toc144207776"/>
      <w:bookmarkStart w:id="22" w:name="_Toc192247637"/>
      <w:r w:rsidRPr="00CF443C">
        <w:rPr>
          <w:rFonts w:cstheme="minorHAnsi"/>
          <w:b w:val="0"/>
          <w:bCs/>
          <w:sz w:val="24"/>
          <w:szCs w:val="24"/>
        </w:rPr>
        <w:t>Summary, FACTOR 2</w:t>
      </w:r>
      <w:bookmarkEnd w:id="20"/>
      <w:bookmarkEnd w:id="21"/>
      <w:bookmarkEnd w:id="22"/>
      <w:r w:rsidRPr="00CF443C">
        <w:rPr>
          <w:rFonts w:cstheme="minorHAnsi"/>
          <w:b w:val="0"/>
          <w:bCs/>
          <w:sz w:val="24"/>
          <w:szCs w:val="24"/>
        </w:rPr>
        <w:t xml:space="preserve"> </w:t>
      </w:r>
    </w:p>
    <w:p w14:paraId="7202A886" w14:textId="383E3908" w:rsidR="00BB377E" w:rsidRPr="00CF443C" w:rsidRDefault="00BB377E" w:rsidP="00A662DF">
      <w:pPr>
        <w:tabs>
          <w:tab w:val="left" w:pos="3240"/>
        </w:tabs>
        <w:spacing w:after="0" w:line="240" w:lineRule="auto"/>
        <w:ind w:left="180"/>
        <w:rPr>
          <w:rFonts w:cstheme="minorHAnsi"/>
        </w:rPr>
      </w:pPr>
      <w:r w:rsidRPr="00CF443C">
        <w:rPr>
          <w:rFonts w:cstheme="minorHAnsi"/>
          <w:sz w:val="24"/>
          <w:szCs w:val="24"/>
        </w:rPr>
        <w:t>As a result of information provided, staff finds that the Proposed Project has sufficiently met the requirements of Factor 2</w:t>
      </w:r>
      <w:r w:rsidRPr="00CF443C">
        <w:rPr>
          <w:rFonts w:cstheme="minorHAnsi"/>
        </w:rPr>
        <w:t>.</w:t>
      </w:r>
    </w:p>
    <w:p w14:paraId="461EA7E5" w14:textId="77777777" w:rsidR="00BB377E" w:rsidRPr="00E20DEA" w:rsidRDefault="00BB377E" w:rsidP="00A662DF">
      <w:pPr>
        <w:tabs>
          <w:tab w:val="left" w:pos="3240"/>
        </w:tabs>
        <w:spacing w:after="0" w:line="240" w:lineRule="auto"/>
        <w:ind w:left="180"/>
        <w:rPr>
          <w:rFonts w:cstheme="minorHAnsi"/>
          <w:highlight w:val="yellow"/>
        </w:rPr>
      </w:pPr>
    </w:p>
    <w:p w14:paraId="37B182AD" w14:textId="73B9E1E1" w:rsidR="003E1CDA" w:rsidRPr="00AE36C4" w:rsidRDefault="003E1CDA" w:rsidP="00A662DF">
      <w:pPr>
        <w:pStyle w:val="Heading1"/>
        <w:spacing w:before="0" w:line="240" w:lineRule="auto"/>
      </w:pPr>
      <w:bookmarkStart w:id="23" w:name="_Toc192247638"/>
      <w:r w:rsidRPr="00AE36C4">
        <w:t>Factor 3: Relevant Licensure/Oversight Compliance</w:t>
      </w:r>
      <w:bookmarkEnd w:id="23"/>
    </w:p>
    <w:p w14:paraId="04E73BEA" w14:textId="7A7CAD73" w:rsidR="00FB4DD9" w:rsidRPr="00AE36C4" w:rsidRDefault="00FB4DD9" w:rsidP="00A662DF">
      <w:pPr>
        <w:spacing w:after="0" w:line="240" w:lineRule="auto"/>
        <w:contextualSpacing/>
        <w:rPr>
          <w:rFonts w:cstheme="minorHAnsi"/>
          <w:sz w:val="24"/>
          <w:szCs w:val="24"/>
        </w:rPr>
      </w:pPr>
      <w:r w:rsidRPr="00AE36C4">
        <w:rPr>
          <w:rFonts w:cstheme="minorHAnsi"/>
          <w:sz w:val="24"/>
          <w:szCs w:val="24"/>
        </w:rPr>
        <w:t>The Applicant has provided evidence of compliance and good standing with federal, state, and local laws and regulations and this Factor will not be addressed further in this report. As a result of information provided by the Applicant, staff finds the Applicant has reasonably met the standards of Factor 3.</w:t>
      </w:r>
    </w:p>
    <w:p w14:paraId="1C16FDE7" w14:textId="77777777" w:rsidR="0056497E" w:rsidRPr="00E20DEA" w:rsidRDefault="0056497E" w:rsidP="00A662DF">
      <w:pPr>
        <w:spacing w:after="0" w:line="240" w:lineRule="auto"/>
        <w:contextualSpacing/>
        <w:rPr>
          <w:rFonts w:cstheme="minorHAnsi"/>
          <w:sz w:val="24"/>
          <w:szCs w:val="24"/>
          <w:highlight w:val="yellow"/>
        </w:rPr>
      </w:pPr>
    </w:p>
    <w:p w14:paraId="5C31A63B" w14:textId="78FEF267" w:rsidR="00494346" w:rsidRPr="00576994" w:rsidRDefault="003E1CDA" w:rsidP="00A662DF">
      <w:pPr>
        <w:pStyle w:val="Heading1"/>
        <w:spacing w:before="0" w:line="240" w:lineRule="auto"/>
      </w:pPr>
      <w:bookmarkStart w:id="24" w:name="_Toc192247639"/>
      <w:r w:rsidRPr="00576994">
        <w:t xml:space="preserve">Factor 4: </w:t>
      </w:r>
      <w:r w:rsidR="002B05B4" w:rsidRPr="00576994">
        <w:t>Financial Feasibility</w:t>
      </w:r>
      <w:bookmarkEnd w:id="24"/>
    </w:p>
    <w:p w14:paraId="4DE74A3C" w14:textId="5113D8DE" w:rsidR="004E6193" w:rsidRPr="00576994" w:rsidRDefault="00A20EEE" w:rsidP="00A662DF">
      <w:pPr>
        <w:spacing w:after="0" w:line="240" w:lineRule="auto"/>
        <w:rPr>
          <w:rFonts w:cstheme="minorHAnsi"/>
          <w:sz w:val="24"/>
          <w:szCs w:val="24"/>
        </w:rPr>
      </w:pPr>
      <w:r w:rsidRPr="00576994">
        <w:rPr>
          <w:rFonts w:cstheme="minorHAnsi"/>
          <w:sz w:val="24"/>
          <w:szCs w:val="24"/>
        </w:rPr>
        <w:t xml:space="preserve">Under </w:t>
      </w:r>
      <w:r w:rsidR="00C00F7E" w:rsidRPr="00576994">
        <w:rPr>
          <w:rFonts w:cstheme="minorHAnsi"/>
          <w:sz w:val="24"/>
          <w:szCs w:val="24"/>
        </w:rPr>
        <w:t>F</w:t>
      </w:r>
      <w:r w:rsidRPr="00576994">
        <w:rPr>
          <w:rFonts w:cstheme="minorHAnsi"/>
          <w:sz w:val="24"/>
          <w:szCs w:val="24"/>
        </w:rPr>
        <w:t>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w:t>
      </w:r>
    </w:p>
    <w:p w14:paraId="1C7AE9AC" w14:textId="77777777" w:rsidR="0056497E" w:rsidRPr="0050647D" w:rsidRDefault="0056497E" w:rsidP="00A662DF">
      <w:pPr>
        <w:spacing w:after="0" w:line="240" w:lineRule="auto"/>
        <w:rPr>
          <w:rFonts w:cstheme="minorHAnsi"/>
          <w:sz w:val="24"/>
          <w:szCs w:val="24"/>
        </w:rPr>
      </w:pPr>
    </w:p>
    <w:p w14:paraId="174CD454" w14:textId="4B3BDF06" w:rsidR="00705B6C" w:rsidRPr="00E20DEA" w:rsidRDefault="008E4932" w:rsidP="00A662DF">
      <w:pPr>
        <w:autoSpaceDE w:val="0"/>
        <w:autoSpaceDN w:val="0"/>
        <w:adjustRightInd w:val="0"/>
        <w:spacing w:after="0" w:line="240" w:lineRule="auto"/>
        <w:rPr>
          <w:sz w:val="24"/>
          <w:szCs w:val="24"/>
          <w:highlight w:val="yellow"/>
        </w:rPr>
      </w:pPr>
      <w:r w:rsidRPr="0050647D">
        <w:rPr>
          <w:sz w:val="24"/>
          <w:szCs w:val="24"/>
        </w:rPr>
        <w:t xml:space="preserve">The Applicant submitted a CPA report compiled by </w:t>
      </w:r>
      <w:r w:rsidR="00A41C08" w:rsidRPr="0050647D">
        <w:rPr>
          <w:sz w:val="24"/>
          <w:szCs w:val="24"/>
        </w:rPr>
        <w:t xml:space="preserve">Meyers Brothers Kalicka, </w:t>
      </w:r>
      <w:r w:rsidR="000C5F89" w:rsidRPr="0050647D">
        <w:rPr>
          <w:sz w:val="24"/>
          <w:szCs w:val="24"/>
        </w:rPr>
        <w:t>Certified Public Accountants</w:t>
      </w:r>
      <w:r w:rsidRPr="0050647D">
        <w:rPr>
          <w:sz w:val="24"/>
          <w:szCs w:val="24"/>
        </w:rPr>
        <w:t xml:space="preserve">. The scope of the analysis included </w:t>
      </w:r>
      <w:r w:rsidRPr="00FC3FB8">
        <w:rPr>
          <w:sz w:val="24"/>
          <w:szCs w:val="24"/>
        </w:rPr>
        <w:t>review of the five-year financial projections</w:t>
      </w:r>
      <w:r w:rsidR="006F0202" w:rsidRPr="00FC3FB8">
        <w:rPr>
          <w:sz w:val="24"/>
          <w:szCs w:val="24"/>
        </w:rPr>
        <w:t>,</w:t>
      </w:r>
      <w:r w:rsidR="003F518B" w:rsidRPr="00FC3FB8">
        <w:rPr>
          <w:sz w:val="24"/>
          <w:szCs w:val="24"/>
        </w:rPr>
        <w:t xml:space="preserve"> five-year projected cash flow statements, </w:t>
      </w:r>
      <w:r w:rsidR="00ED1205" w:rsidRPr="00FC3FB8">
        <w:rPr>
          <w:sz w:val="24"/>
          <w:szCs w:val="24"/>
        </w:rPr>
        <w:t xml:space="preserve">historical </w:t>
      </w:r>
      <w:r w:rsidR="00674978" w:rsidRPr="00FC3FB8">
        <w:rPr>
          <w:sz w:val="24"/>
          <w:szCs w:val="24"/>
        </w:rPr>
        <w:t>ED volumes</w:t>
      </w:r>
      <w:r w:rsidR="00DD5045" w:rsidRPr="00FC3FB8">
        <w:rPr>
          <w:sz w:val="24"/>
          <w:szCs w:val="24"/>
        </w:rPr>
        <w:t xml:space="preserve"> (</w:t>
      </w:r>
      <w:r w:rsidR="005D362D" w:rsidRPr="00FC3FB8">
        <w:rPr>
          <w:sz w:val="24"/>
          <w:szCs w:val="24"/>
        </w:rPr>
        <w:t>FY202</w:t>
      </w:r>
      <w:r w:rsidR="00E67814" w:rsidRPr="00FC3FB8">
        <w:rPr>
          <w:sz w:val="24"/>
          <w:szCs w:val="24"/>
        </w:rPr>
        <w:t>1</w:t>
      </w:r>
      <w:r w:rsidR="005D362D" w:rsidRPr="00FC3FB8">
        <w:rPr>
          <w:sz w:val="24"/>
          <w:szCs w:val="24"/>
        </w:rPr>
        <w:t xml:space="preserve"> </w:t>
      </w:r>
      <w:r w:rsidR="00E67814" w:rsidRPr="00FC3FB8">
        <w:rPr>
          <w:sz w:val="24"/>
          <w:szCs w:val="24"/>
        </w:rPr>
        <w:t xml:space="preserve">through </w:t>
      </w:r>
      <w:r w:rsidR="005D362D" w:rsidRPr="00FC3FB8">
        <w:rPr>
          <w:sz w:val="24"/>
          <w:szCs w:val="24"/>
        </w:rPr>
        <w:t>FY2023)</w:t>
      </w:r>
      <w:r w:rsidR="00546FD9" w:rsidRPr="00FC3FB8">
        <w:rPr>
          <w:sz w:val="24"/>
          <w:szCs w:val="24"/>
        </w:rPr>
        <w:t xml:space="preserve">, </w:t>
      </w:r>
      <w:r w:rsidR="005D362D" w:rsidRPr="00FC3FB8">
        <w:rPr>
          <w:sz w:val="24"/>
          <w:szCs w:val="24"/>
        </w:rPr>
        <w:t>historical ED revenues and expenses (FY20</w:t>
      </w:r>
      <w:r w:rsidR="00B229FA" w:rsidRPr="00FC3FB8">
        <w:rPr>
          <w:sz w:val="24"/>
          <w:szCs w:val="24"/>
        </w:rPr>
        <w:t>19 through FY2023</w:t>
      </w:r>
      <w:r w:rsidR="00814D58" w:rsidRPr="00FC3FB8">
        <w:rPr>
          <w:sz w:val="24"/>
          <w:szCs w:val="24"/>
        </w:rPr>
        <w:t xml:space="preserve"> and </w:t>
      </w:r>
      <w:r w:rsidR="00FC3FB8" w:rsidRPr="00FC3FB8">
        <w:rPr>
          <w:sz w:val="24"/>
          <w:szCs w:val="24"/>
        </w:rPr>
        <w:t>annualized</w:t>
      </w:r>
      <w:r w:rsidR="00814D58" w:rsidRPr="00FC3FB8">
        <w:rPr>
          <w:sz w:val="24"/>
          <w:szCs w:val="24"/>
        </w:rPr>
        <w:t xml:space="preserve"> </w:t>
      </w:r>
      <w:r w:rsidR="00565202" w:rsidRPr="00345964">
        <w:rPr>
          <w:sz w:val="24"/>
          <w:szCs w:val="24"/>
        </w:rPr>
        <w:t>FY2024</w:t>
      </w:r>
      <w:r w:rsidR="005D362D" w:rsidRPr="00345964">
        <w:rPr>
          <w:sz w:val="24"/>
          <w:szCs w:val="24"/>
        </w:rPr>
        <w:t xml:space="preserve">), </w:t>
      </w:r>
      <w:r w:rsidR="00E86200" w:rsidRPr="00345964">
        <w:rPr>
          <w:sz w:val="24"/>
          <w:szCs w:val="24"/>
        </w:rPr>
        <w:t xml:space="preserve">Sturdy </w:t>
      </w:r>
      <w:r w:rsidR="00653BC2" w:rsidRPr="00345964">
        <w:rPr>
          <w:sz w:val="24"/>
          <w:szCs w:val="24"/>
        </w:rPr>
        <w:t xml:space="preserve">Health, Inc. and Affiliates </w:t>
      </w:r>
      <w:r w:rsidR="00653BC2" w:rsidRPr="00280816">
        <w:rPr>
          <w:sz w:val="24"/>
          <w:szCs w:val="24"/>
        </w:rPr>
        <w:t>audited consolidated financial statements</w:t>
      </w:r>
      <w:r w:rsidR="006A7670" w:rsidRPr="00280816">
        <w:rPr>
          <w:sz w:val="24"/>
          <w:szCs w:val="24"/>
        </w:rPr>
        <w:t xml:space="preserve"> (F</w:t>
      </w:r>
      <w:r w:rsidR="003F518B" w:rsidRPr="00280816">
        <w:rPr>
          <w:sz w:val="24"/>
          <w:szCs w:val="24"/>
        </w:rPr>
        <w:t>Y</w:t>
      </w:r>
      <w:r w:rsidR="006A7670" w:rsidRPr="00280816">
        <w:rPr>
          <w:sz w:val="24"/>
          <w:szCs w:val="24"/>
        </w:rPr>
        <w:t>2022 and F</w:t>
      </w:r>
      <w:r w:rsidR="003F518B" w:rsidRPr="00280816">
        <w:rPr>
          <w:sz w:val="24"/>
          <w:szCs w:val="24"/>
        </w:rPr>
        <w:t>Y</w:t>
      </w:r>
      <w:r w:rsidR="006A7670" w:rsidRPr="00280816">
        <w:rPr>
          <w:sz w:val="24"/>
          <w:szCs w:val="24"/>
        </w:rPr>
        <w:t>2023)</w:t>
      </w:r>
      <w:r w:rsidR="00DF1B77" w:rsidRPr="00280816">
        <w:rPr>
          <w:sz w:val="24"/>
          <w:szCs w:val="24"/>
        </w:rPr>
        <w:t>,</w:t>
      </w:r>
      <w:r w:rsidRPr="00280816">
        <w:rPr>
          <w:sz w:val="24"/>
          <w:szCs w:val="24"/>
        </w:rPr>
        <w:t xml:space="preserve"> </w:t>
      </w:r>
      <w:r w:rsidR="00155F55" w:rsidRPr="00280816">
        <w:rPr>
          <w:sz w:val="24"/>
          <w:szCs w:val="24"/>
        </w:rPr>
        <w:t xml:space="preserve">Projected </w:t>
      </w:r>
      <w:r w:rsidR="00CB2440" w:rsidRPr="00280816">
        <w:rPr>
          <w:sz w:val="24"/>
          <w:szCs w:val="24"/>
        </w:rPr>
        <w:t>revenues and expenses for project (F</w:t>
      </w:r>
      <w:r w:rsidR="00075746" w:rsidRPr="00280816">
        <w:rPr>
          <w:sz w:val="24"/>
          <w:szCs w:val="24"/>
        </w:rPr>
        <w:t>Y</w:t>
      </w:r>
      <w:r w:rsidR="00CB2440" w:rsidRPr="00280816">
        <w:rPr>
          <w:sz w:val="24"/>
          <w:szCs w:val="24"/>
        </w:rPr>
        <w:t xml:space="preserve">2028 through </w:t>
      </w:r>
      <w:r w:rsidR="00075746" w:rsidRPr="00280816">
        <w:rPr>
          <w:sz w:val="24"/>
          <w:szCs w:val="24"/>
        </w:rPr>
        <w:t xml:space="preserve">FY2032) </w:t>
      </w:r>
      <w:r w:rsidR="00155F55" w:rsidRPr="00280816">
        <w:rPr>
          <w:sz w:val="24"/>
          <w:szCs w:val="24"/>
        </w:rPr>
        <w:t xml:space="preserve">and </w:t>
      </w:r>
      <w:r w:rsidR="0093695D" w:rsidRPr="00280816">
        <w:rPr>
          <w:sz w:val="24"/>
          <w:szCs w:val="24"/>
        </w:rPr>
        <w:t>capital project</w:t>
      </w:r>
      <w:r w:rsidR="00976E75" w:rsidRPr="00280816">
        <w:rPr>
          <w:sz w:val="24"/>
          <w:szCs w:val="24"/>
        </w:rPr>
        <w:t xml:space="preserve"> budget.</w:t>
      </w:r>
      <w:r w:rsidR="00F37F44" w:rsidRPr="00280816">
        <w:rPr>
          <w:sz w:val="24"/>
          <w:szCs w:val="24"/>
        </w:rPr>
        <w:t xml:space="preserve"> </w:t>
      </w:r>
      <w:r w:rsidRPr="00280816">
        <w:rPr>
          <w:sz w:val="24"/>
          <w:szCs w:val="24"/>
        </w:rPr>
        <w:t>The CPA assessed the reasonableness</w:t>
      </w:r>
      <w:r w:rsidRPr="00280816">
        <w:rPr>
          <w:rStyle w:val="FootnoteReference"/>
          <w:sz w:val="24"/>
          <w:szCs w:val="24"/>
        </w:rPr>
        <w:footnoteReference w:id="15"/>
      </w:r>
      <w:r w:rsidRPr="00280816">
        <w:rPr>
          <w:sz w:val="24"/>
          <w:szCs w:val="24"/>
        </w:rPr>
        <w:t xml:space="preserve"> of assumptions used in the preparation and feasibility</w:t>
      </w:r>
      <w:r w:rsidRPr="00280816">
        <w:rPr>
          <w:rStyle w:val="FootnoteReference"/>
          <w:sz w:val="24"/>
          <w:szCs w:val="24"/>
        </w:rPr>
        <w:footnoteReference w:id="16"/>
      </w:r>
      <w:r w:rsidRPr="00280816">
        <w:rPr>
          <w:sz w:val="24"/>
          <w:szCs w:val="24"/>
        </w:rPr>
        <w:t xml:space="preserve"> of the projections with regards to the Proposed Project. </w:t>
      </w:r>
    </w:p>
    <w:p w14:paraId="67B60F37" w14:textId="77777777" w:rsidR="0056497E" w:rsidRPr="00E20DEA" w:rsidRDefault="0056497E" w:rsidP="00A662DF">
      <w:pPr>
        <w:autoSpaceDE w:val="0"/>
        <w:autoSpaceDN w:val="0"/>
        <w:adjustRightInd w:val="0"/>
        <w:spacing w:after="0" w:line="240" w:lineRule="auto"/>
        <w:rPr>
          <w:rFonts w:cstheme="minorHAnsi"/>
          <w:sz w:val="24"/>
          <w:szCs w:val="24"/>
          <w:highlight w:val="yellow"/>
        </w:rPr>
      </w:pPr>
    </w:p>
    <w:p w14:paraId="30DC0D0E" w14:textId="77777777" w:rsidR="008E4932" w:rsidRPr="001E1470" w:rsidRDefault="008E4932" w:rsidP="00A662DF">
      <w:pPr>
        <w:spacing w:after="0" w:line="240" w:lineRule="auto"/>
        <w:rPr>
          <w:rFonts w:cstheme="minorHAnsi"/>
          <w:b/>
          <w:sz w:val="24"/>
          <w:szCs w:val="24"/>
        </w:rPr>
      </w:pPr>
      <w:r w:rsidRPr="001E1470">
        <w:rPr>
          <w:rFonts w:cstheme="minorHAnsi"/>
          <w:b/>
          <w:sz w:val="24"/>
          <w:szCs w:val="24"/>
        </w:rPr>
        <w:t>Revenues</w:t>
      </w:r>
    </w:p>
    <w:p w14:paraId="69A25B43" w14:textId="462EB670" w:rsidR="00A40347" w:rsidRPr="00295E4D" w:rsidRDefault="00705254" w:rsidP="00A662DF">
      <w:pPr>
        <w:spacing w:after="0" w:line="240" w:lineRule="auto"/>
        <w:textAlignment w:val="baseline"/>
        <w:rPr>
          <w:sz w:val="24"/>
          <w:szCs w:val="24"/>
        </w:rPr>
      </w:pPr>
      <w:r w:rsidRPr="00295E4D">
        <w:rPr>
          <w:sz w:val="24"/>
          <w:szCs w:val="24"/>
        </w:rPr>
        <w:t xml:space="preserve">The CPA reviewed and analyzed the net operating revenues in the historical and projected financial information. </w:t>
      </w:r>
      <w:r w:rsidR="001E1470" w:rsidRPr="00295E4D">
        <w:rPr>
          <w:sz w:val="24"/>
          <w:szCs w:val="24"/>
        </w:rPr>
        <w:t xml:space="preserve">The projected net patient revenue </w:t>
      </w:r>
      <w:r w:rsidR="006E241F" w:rsidRPr="00295E4D">
        <w:rPr>
          <w:sz w:val="24"/>
          <w:szCs w:val="24"/>
        </w:rPr>
        <w:t xml:space="preserve">is based on the historical average of Commercial (30%), MassHealth (5%), Medicare (49%), Medicaid (13%) and other (3%) </w:t>
      </w:r>
      <w:r w:rsidR="006E241F" w:rsidRPr="00295E4D">
        <w:rPr>
          <w:sz w:val="24"/>
          <w:szCs w:val="24"/>
        </w:rPr>
        <w:lastRenderedPageBreak/>
        <w:t xml:space="preserve">reimbursement rates for Sturdy Memorial Hospital. </w:t>
      </w:r>
      <w:r w:rsidR="00325DAD" w:rsidRPr="00295E4D">
        <w:rPr>
          <w:sz w:val="24"/>
          <w:szCs w:val="24"/>
        </w:rPr>
        <w:t>For FY202</w:t>
      </w:r>
      <w:r w:rsidR="00B255FB" w:rsidRPr="00295E4D">
        <w:rPr>
          <w:sz w:val="24"/>
          <w:szCs w:val="24"/>
        </w:rPr>
        <w:t>8</w:t>
      </w:r>
      <w:r w:rsidR="00325DAD" w:rsidRPr="00295E4D">
        <w:rPr>
          <w:sz w:val="24"/>
          <w:szCs w:val="24"/>
        </w:rPr>
        <w:t>-203</w:t>
      </w:r>
      <w:r w:rsidR="00B255FB" w:rsidRPr="00295E4D">
        <w:rPr>
          <w:sz w:val="24"/>
          <w:szCs w:val="24"/>
        </w:rPr>
        <w:t>2</w:t>
      </w:r>
      <w:r w:rsidR="00325DAD" w:rsidRPr="00295E4D">
        <w:rPr>
          <w:sz w:val="24"/>
          <w:szCs w:val="24"/>
        </w:rPr>
        <w:t xml:space="preserve">, </w:t>
      </w:r>
      <w:r w:rsidR="00544FF5" w:rsidRPr="00295E4D">
        <w:rPr>
          <w:sz w:val="24"/>
          <w:szCs w:val="24"/>
        </w:rPr>
        <w:t xml:space="preserve">the volume of </w:t>
      </w:r>
      <w:r w:rsidR="00325DAD" w:rsidRPr="00295E4D">
        <w:rPr>
          <w:sz w:val="24"/>
          <w:szCs w:val="24"/>
        </w:rPr>
        <w:t xml:space="preserve">ED cases </w:t>
      </w:r>
      <w:r w:rsidR="00CD5995" w:rsidRPr="00295E4D">
        <w:rPr>
          <w:sz w:val="24"/>
          <w:szCs w:val="24"/>
        </w:rPr>
        <w:t xml:space="preserve">projected an increase </w:t>
      </w:r>
      <w:r w:rsidR="00325DAD" w:rsidRPr="00295E4D">
        <w:rPr>
          <w:sz w:val="24"/>
          <w:szCs w:val="24"/>
        </w:rPr>
        <w:t>of 2% annually</w:t>
      </w:r>
      <w:r w:rsidR="007A554C" w:rsidRPr="00295E4D">
        <w:rPr>
          <w:sz w:val="24"/>
          <w:szCs w:val="24"/>
        </w:rPr>
        <w:t>.</w:t>
      </w:r>
      <w:r w:rsidR="00325DAD" w:rsidRPr="00295E4D">
        <w:rPr>
          <w:sz w:val="24"/>
          <w:szCs w:val="24"/>
        </w:rPr>
        <w:t xml:space="preserve"> </w:t>
      </w:r>
      <w:r w:rsidR="005C36E0" w:rsidRPr="00295E4D">
        <w:rPr>
          <w:sz w:val="24"/>
          <w:szCs w:val="24"/>
        </w:rPr>
        <w:t>Projection</w:t>
      </w:r>
      <w:r w:rsidR="00F6332C" w:rsidRPr="00295E4D">
        <w:rPr>
          <w:sz w:val="24"/>
          <w:szCs w:val="24"/>
        </w:rPr>
        <w:t xml:space="preserve">s </w:t>
      </w:r>
      <w:r w:rsidR="00230883" w:rsidRPr="00295E4D">
        <w:rPr>
          <w:sz w:val="24"/>
          <w:szCs w:val="24"/>
        </w:rPr>
        <w:t>assumed</w:t>
      </w:r>
      <w:r w:rsidR="005C36E0" w:rsidRPr="00295E4D">
        <w:rPr>
          <w:sz w:val="24"/>
          <w:szCs w:val="24"/>
        </w:rPr>
        <w:t xml:space="preserve"> </w:t>
      </w:r>
      <w:r w:rsidR="00AE34BB" w:rsidRPr="00295E4D">
        <w:rPr>
          <w:sz w:val="24"/>
          <w:szCs w:val="24"/>
        </w:rPr>
        <w:t xml:space="preserve">volume growth increases to be consistent with pre-pandemic conditions. </w:t>
      </w:r>
      <w:r w:rsidR="00A40347" w:rsidRPr="00295E4D">
        <w:rPr>
          <w:sz w:val="24"/>
          <w:szCs w:val="24"/>
        </w:rPr>
        <w:t>The CPA’s opinion is that the revenue projected by Management is a reasonable estimation based primarily upon the historical case volume.</w:t>
      </w:r>
    </w:p>
    <w:p w14:paraId="7A0B5E06" w14:textId="77777777" w:rsidR="00D7401D" w:rsidRPr="00E20DEA" w:rsidRDefault="00D7401D" w:rsidP="00A662DF">
      <w:pPr>
        <w:spacing w:after="0" w:line="240" w:lineRule="auto"/>
        <w:textAlignment w:val="baseline"/>
        <w:rPr>
          <w:rFonts w:eastAsia="Trebuchet MS"/>
          <w:color w:val="000000"/>
          <w:sz w:val="24"/>
          <w:szCs w:val="24"/>
          <w:highlight w:val="yellow"/>
        </w:rPr>
      </w:pPr>
    </w:p>
    <w:p w14:paraId="5C9A50FD" w14:textId="22816255" w:rsidR="008E4932" w:rsidRPr="005222B1" w:rsidRDefault="008E4932" w:rsidP="00A662DF">
      <w:pPr>
        <w:spacing w:after="0" w:line="240" w:lineRule="auto"/>
        <w:rPr>
          <w:rFonts w:cstheme="minorHAnsi"/>
          <w:b/>
          <w:sz w:val="24"/>
          <w:szCs w:val="24"/>
        </w:rPr>
      </w:pPr>
      <w:r w:rsidRPr="005222B1">
        <w:rPr>
          <w:rFonts w:cstheme="minorHAnsi"/>
          <w:b/>
          <w:sz w:val="24"/>
          <w:szCs w:val="24"/>
        </w:rPr>
        <w:t>Expenses</w:t>
      </w:r>
    </w:p>
    <w:p w14:paraId="5C938712" w14:textId="1B7E06AD" w:rsidR="008E4932" w:rsidRPr="005222B1" w:rsidRDefault="008E4932" w:rsidP="00A662DF">
      <w:pPr>
        <w:autoSpaceDE w:val="0"/>
        <w:autoSpaceDN w:val="0"/>
        <w:adjustRightInd w:val="0"/>
        <w:spacing w:after="0" w:line="240" w:lineRule="auto"/>
        <w:rPr>
          <w:rFonts w:cstheme="minorHAnsi"/>
          <w:sz w:val="24"/>
          <w:szCs w:val="24"/>
        </w:rPr>
      </w:pPr>
      <w:r w:rsidRPr="005222B1">
        <w:rPr>
          <w:rFonts w:cstheme="minorHAnsi"/>
          <w:sz w:val="24"/>
          <w:szCs w:val="24"/>
        </w:rPr>
        <w:t xml:space="preserve">The CPA analyzed Salaries and Benefits, </w:t>
      </w:r>
      <w:r w:rsidR="00C530BF" w:rsidRPr="005222B1">
        <w:rPr>
          <w:rFonts w:cstheme="minorHAnsi"/>
          <w:sz w:val="24"/>
          <w:szCs w:val="24"/>
        </w:rPr>
        <w:t xml:space="preserve">Supplies, </w:t>
      </w:r>
      <w:r w:rsidR="00D51DF0" w:rsidRPr="005222B1">
        <w:rPr>
          <w:rFonts w:cstheme="minorHAnsi"/>
          <w:sz w:val="24"/>
          <w:szCs w:val="24"/>
        </w:rPr>
        <w:t xml:space="preserve">Physician Expenses, </w:t>
      </w:r>
      <w:r w:rsidR="00771116" w:rsidRPr="005222B1">
        <w:rPr>
          <w:rFonts w:cstheme="minorHAnsi"/>
          <w:sz w:val="24"/>
          <w:szCs w:val="24"/>
        </w:rPr>
        <w:t>Fees</w:t>
      </w:r>
      <w:r w:rsidRPr="005222B1">
        <w:rPr>
          <w:rFonts w:cstheme="minorHAnsi"/>
          <w:sz w:val="24"/>
          <w:szCs w:val="24"/>
        </w:rPr>
        <w:t xml:space="preserve">, </w:t>
      </w:r>
      <w:r w:rsidR="00771116" w:rsidRPr="005222B1">
        <w:rPr>
          <w:rFonts w:cstheme="minorHAnsi"/>
          <w:sz w:val="24"/>
          <w:szCs w:val="24"/>
        </w:rPr>
        <w:t xml:space="preserve">and </w:t>
      </w:r>
      <w:r w:rsidRPr="005222B1">
        <w:rPr>
          <w:rFonts w:cstheme="minorHAnsi"/>
          <w:sz w:val="24"/>
          <w:szCs w:val="24"/>
        </w:rPr>
        <w:t xml:space="preserve">Depreciation Expense for reasonableness and feasibility as related to the Proposed Project. </w:t>
      </w:r>
    </w:p>
    <w:p w14:paraId="39395352" w14:textId="77777777" w:rsidR="008F0717" w:rsidRPr="00345506" w:rsidRDefault="008F0717" w:rsidP="00A662DF">
      <w:pPr>
        <w:autoSpaceDE w:val="0"/>
        <w:autoSpaceDN w:val="0"/>
        <w:adjustRightInd w:val="0"/>
        <w:spacing w:after="0" w:line="240" w:lineRule="auto"/>
        <w:rPr>
          <w:rFonts w:cstheme="minorHAnsi"/>
          <w:sz w:val="24"/>
          <w:szCs w:val="24"/>
        </w:rPr>
      </w:pPr>
    </w:p>
    <w:p w14:paraId="3CD18BC9" w14:textId="1E99D89F" w:rsidR="0031700D" w:rsidRPr="00E20DEA" w:rsidRDefault="008E4932" w:rsidP="00A662DF">
      <w:pPr>
        <w:autoSpaceDE w:val="0"/>
        <w:autoSpaceDN w:val="0"/>
        <w:adjustRightInd w:val="0"/>
        <w:spacing w:after="0" w:line="240" w:lineRule="auto"/>
        <w:rPr>
          <w:rFonts w:eastAsia="Trebuchet MS"/>
          <w:bCs/>
          <w:color w:val="000000"/>
          <w:spacing w:val="3"/>
          <w:sz w:val="24"/>
          <w:szCs w:val="24"/>
          <w:highlight w:val="yellow"/>
        </w:rPr>
      </w:pPr>
      <w:r w:rsidRPr="00345506">
        <w:rPr>
          <w:rFonts w:cstheme="minorHAnsi"/>
          <w:i/>
          <w:iCs/>
          <w:sz w:val="24"/>
          <w:szCs w:val="24"/>
        </w:rPr>
        <w:t xml:space="preserve">Salaries </w:t>
      </w:r>
      <w:r w:rsidR="004A42D5" w:rsidRPr="00345506">
        <w:rPr>
          <w:rFonts w:cstheme="minorHAnsi"/>
          <w:i/>
          <w:iCs/>
          <w:sz w:val="24"/>
          <w:szCs w:val="24"/>
        </w:rPr>
        <w:t xml:space="preserve">and Benefits: </w:t>
      </w:r>
      <w:r w:rsidR="00296B5B" w:rsidRPr="00345506">
        <w:rPr>
          <w:rFonts w:cstheme="minorHAnsi"/>
          <w:i/>
          <w:iCs/>
          <w:sz w:val="24"/>
          <w:szCs w:val="24"/>
        </w:rPr>
        <w:t>S</w:t>
      </w:r>
      <w:r w:rsidR="004A42D5" w:rsidRPr="00345506">
        <w:rPr>
          <w:rFonts w:eastAsia="Trebuchet MS"/>
          <w:bCs/>
          <w:color w:val="000000"/>
          <w:spacing w:val="3"/>
          <w:sz w:val="24"/>
          <w:szCs w:val="24"/>
        </w:rPr>
        <w:t xml:space="preserve">alaries </w:t>
      </w:r>
      <w:r w:rsidR="0089304F" w:rsidRPr="00345506">
        <w:rPr>
          <w:rFonts w:eastAsia="Trebuchet MS"/>
          <w:bCs/>
          <w:color w:val="000000"/>
          <w:spacing w:val="3"/>
          <w:sz w:val="24"/>
          <w:szCs w:val="24"/>
        </w:rPr>
        <w:t xml:space="preserve">were </w:t>
      </w:r>
      <w:r w:rsidR="00A61A04" w:rsidRPr="00345506">
        <w:rPr>
          <w:rFonts w:eastAsia="Trebuchet MS"/>
          <w:bCs/>
          <w:color w:val="000000"/>
          <w:spacing w:val="3"/>
          <w:sz w:val="24"/>
          <w:szCs w:val="24"/>
        </w:rPr>
        <w:t xml:space="preserve">based on an estimate of </w:t>
      </w:r>
      <w:r w:rsidR="00345506" w:rsidRPr="00345506">
        <w:rPr>
          <w:rFonts w:eastAsia="Trebuchet MS"/>
          <w:bCs/>
          <w:color w:val="000000"/>
          <w:spacing w:val="3"/>
          <w:sz w:val="24"/>
          <w:szCs w:val="24"/>
        </w:rPr>
        <w:t>96</w:t>
      </w:r>
      <w:r w:rsidR="00A61A04" w:rsidRPr="00345506">
        <w:rPr>
          <w:rFonts w:eastAsia="Trebuchet MS"/>
          <w:bCs/>
          <w:color w:val="000000"/>
          <w:spacing w:val="3"/>
          <w:sz w:val="24"/>
          <w:szCs w:val="24"/>
        </w:rPr>
        <w:t xml:space="preserve"> </w:t>
      </w:r>
      <w:r w:rsidR="00322E89" w:rsidRPr="00345506">
        <w:rPr>
          <w:rFonts w:eastAsia="Trebuchet MS"/>
          <w:bCs/>
          <w:color w:val="000000"/>
          <w:spacing w:val="3"/>
          <w:sz w:val="24"/>
          <w:szCs w:val="24"/>
        </w:rPr>
        <w:t>full-time</w:t>
      </w:r>
      <w:r w:rsidR="00A61A04" w:rsidRPr="00345506">
        <w:rPr>
          <w:rFonts w:eastAsia="Trebuchet MS"/>
          <w:bCs/>
          <w:color w:val="000000"/>
          <w:spacing w:val="3"/>
          <w:sz w:val="24"/>
          <w:szCs w:val="24"/>
        </w:rPr>
        <w:t xml:space="preserve"> employees (FTE) </w:t>
      </w:r>
      <w:r w:rsidR="009A4E12" w:rsidRPr="00345506">
        <w:rPr>
          <w:rFonts w:eastAsia="Trebuchet MS"/>
          <w:bCs/>
          <w:color w:val="000000"/>
          <w:spacing w:val="3"/>
          <w:sz w:val="24"/>
          <w:szCs w:val="24"/>
        </w:rPr>
        <w:t xml:space="preserve">and </w:t>
      </w:r>
      <w:r w:rsidR="0089304F" w:rsidRPr="00345506">
        <w:rPr>
          <w:rFonts w:eastAsia="Trebuchet MS"/>
          <w:bCs/>
          <w:color w:val="000000"/>
          <w:spacing w:val="3"/>
          <w:sz w:val="24"/>
          <w:szCs w:val="24"/>
        </w:rPr>
        <w:t>Benefits were calculated as a percentage of salaries using historical data</w:t>
      </w:r>
      <w:r w:rsidR="009A4E12" w:rsidRPr="00345506">
        <w:rPr>
          <w:rFonts w:eastAsia="Trebuchet MS"/>
          <w:bCs/>
          <w:color w:val="000000"/>
          <w:spacing w:val="3"/>
          <w:sz w:val="24"/>
          <w:szCs w:val="24"/>
        </w:rPr>
        <w:t xml:space="preserve">. </w:t>
      </w:r>
      <w:r w:rsidR="00AB337F" w:rsidRPr="004D31EF">
        <w:rPr>
          <w:rFonts w:eastAsia="Trebuchet MS"/>
          <w:bCs/>
          <w:color w:val="000000"/>
          <w:spacing w:val="3"/>
          <w:sz w:val="24"/>
          <w:szCs w:val="24"/>
        </w:rPr>
        <w:t xml:space="preserve">Projected salaries and wages </w:t>
      </w:r>
      <w:r w:rsidR="007962AA" w:rsidRPr="004D31EF">
        <w:rPr>
          <w:rFonts w:eastAsia="Trebuchet MS"/>
          <w:bCs/>
          <w:color w:val="000000"/>
          <w:spacing w:val="3"/>
          <w:sz w:val="24"/>
          <w:szCs w:val="24"/>
        </w:rPr>
        <w:t>included an increase of two registered nurses</w:t>
      </w:r>
      <w:r w:rsidR="004D31EF" w:rsidRPr="004D31EF">
        <w:rPr>
          <w:rFonts w:eastAsia="Trebuchet MS"/>
          <w:bCs/>
          <w:color w:val="000000"/>
          <w:spacing w:val="3"/>
          <w:sz w:val="24"/>
          <w:szCs w:val="24"/>
        </w:rPr>
        <w:t xml:space="preserve"> in the first year</w:t>
      </w:r>
      <w:r w:rsidR="007962AA" w:rsidRPr="004D31EF">
        <w:rPr>
          <w:rFonts w:eastAsia="Trebuchet MS"/>
          <w:bCs/>
          <w:color w:val="000000"/>
          <w:spacing w:val="3"/>
          <w:sz w:val="24"/>
          <w:szCs w:val="24"/>
        </w:rPr>
        <w:t xml:space="preserve"> in order to accommodate the volume increases</w:t>
      </w:r>
      <w:r w:rsidR="004D31EF" w:rsidRPr="004D31EF">
        <w:rPr>
          <w:rFonts w:eastAsia="Trebuchet MS"/>
          <w:bCs/>
          <w:color w:val="000000"/>
          <w:spacing w:val="3"/>
          <w:sz w:val="24"/>
          <w:szCs w:val="24"/>
        </w:rPr>
        <w:t>,</w:t>
      </w:r>
      <w:r w:rsidR="007962AA" w:rsidRPr="004D31EF">
        <w:rPr>
          <w:rFonts w:eastAsia="Trebuchet MS"/>
          <w:bCs/>
          <w:color w:val="000000"/>
          <w:spacing w:val="3"/>
          <w:sz w:val="24"/>
          <w:szCs w:val="24"/>
        </w:rPr>
        <w:t xml:space="preserve"> premiums to work additional shifts, on-call payments, and premiums for overtime. </w:t>
      </w:r>
      <w:r w:rsidR="00300FC7" w:rsidRPr="008539D5">
        <w:rPr>
          <w:rFonts w:eastAsia="Trebuchet MS"/>
          <w:bCs/>
          <w:color w:val="000000"/>
          <w:spacing w:val="3"/>
          <w:sz w:val="24"/>
          <w:szCs w:val="24"/>
        </w:rPr>
        <w:t xml:space="preserve">In addition to the increase in FTEs, management also assumes an approximate </w:t>
      </w:r>
      <w:r w:rsidR="008539D5" w:rsidRPr="008539D5">
        <w:rPr>
          <w:rFonts w:eastAsia="Trebuchet MS"/>
          <w:bCs/>
          <w:color w:val="000000"/>
          <w:spacing w:val="3"/>
          <w:sz w:val="24"/>
          <w:szCs w:val="24"/>
        </w:rPr>
        <w:t>3.5</w:t>
      </w:r>
      <w:r w:rsidR="00300FC7" w:rsidRPr="008539D5">
        <w:rPr>
          <w:rFonts w:eastAsia="Trebuchet MS"/>
          <w:bCs/>
          <w:color w:val="000000"/>
          <w:spacing w:val="3"/>
          <w:sz w:val="24"/>
          <w:szCs w:val="24"/>
        </w:rPr>
        <w:t xml:space="preserve">% cost of living adjustment </w:t>
      </w:r>
      <w:r w:rsidR="00300FC7" w:rsidRPr="00AD6A37">
        <w:rPr>
          <w:rFonts w:eastAsia="Trebuchet MS"/>
          <w:bCs/>
          <w:color w:val="000000"/>
          <w:spacing w:val="3"/>
          <w:sz w:val="24"/>
          <w:szCs w:val="24"/>
        </w:rPr>
        <w:t xml:space="preserve">annually. </w:t>
      </w:r>
      <w:r w:rsidR="00296B5B" w:rsidRPr="00AD6A37">
        <w:rPr>
          <w:rFonts w:eastAsia="Trebuchet MS"/>
          <w:bCs/>
          <w:color w:val="000000"/>
          <w:spacing w:val="3"/>
          <w:sz w:val="24"/>
          <w:szCs w:val="24"/>
        </w:rPr>
        <w:t>F</w:t>
      </w:r>
      <w:r w:rsidR="009E34F6" w:rsidRPr="00AD6A37">
        <w:rPr>
          <w:rFonts w:eastAsia="Trebuchet MS"/>
          <w:bCs/>
          <w:color w:val="000000"/>
          <w:spacing w:val="3"/>
          <w:sz w:val="24"/>
          <w:szCs w:val="24"/>
        </w:rPr>
        <w:t>ringe benefit</w:t>
      </w:r>
      <w:r w:rsidR="00296B5B" w:rsidRPr="00AD6A37">
        <w:rPr>
          <w:rFonts w:eastAsia="Trebuchet MS"/>
          <w:bCs/>
          <w:color w:val="000000"/>
          <w:spacing w:val="3"/>
          <w:sz w:val="24"/>
          <w:szCs w:val="24"/>
        </w:rPr>
        <w:t xml:space="preserve"> projections are based on historical </w:t>
      </w:r>
      <w:r w:rsidR="00E738A9" w:rsidRPr="00AD6A37">
        <w:rPr>
          <w:rFonts w:eastAsia="Trebuchet MS"/>
          <w:bCs/>
          <w:color w:val="000000"/>
          <w:spacing w:val="3"/>
          <w:sz w:val="24"/>
          <w:szCs w:val="24"/>
        </w:rPr>
        <w:t>figures of</w:t>
      </w:r>
      <w:r w:rsidR="009E34F6" w:rsidRPr="00AD6A37">
        <w:rPr>
          <w:rFonts w:eastAsia="Trebuchet MS"/>
          <w:bCs/>
          <w:color w:val="000000"/>
          <w:spacing w:val="3"/>
          <w:sz w:val="24"/>
          <w:szCs w:val="24"/>
        </w:rPr>
        <w:t xml:space="preserve"> approximately </w:t>
      </w:r>
      <w:r w:rsidR="00FA7B14" w:rsidRPr="00AD6A37">
        <w:rPr>
          <w:rFonts w:eastAsia="Trebuchet MS"/>
          <w:bCs/>
          <w:color w:val="000000"/>
          <w:spacing w:val="3"/>
          <w:sz w:val="24"/>
          <w:szCs w:val="24"/>
        </w:rPr>
        <w:t>30</w:t>
      </w:r>
      <w:r w:rsidR="009E34F6" w:rsidRPr="00AD6A37">
        <w:rPr>
          <w:rFonts w:eastAsia="Trebuchet MS"/>
          <w:bCs/>
          <w:color w:val="000000"/>
          <w:spacing w:val="3"/>
          <w:sz w:val="24"/>
          <w:szCs w:val="24"/>
        </w:rPr>
        <w:t xml:space="preserve">% of total wages, plus an anticipated increase in benefit costs of </w:t>
      </w:r>
      <w:r w:rsidR="00993655" w:rsidRPr="00AD6A37">
        <w:rPr>
          <w:rFonts w:eastAsia="Trebuchet MS"/>
          <w:bCs/>
          <w:color w:val="000000"/>
          <w:spacing w:val="3"/>
          <w:sz w:val="24"/>
          <w:szCs w:val="24"/>
        </w:rPr>
        <w:t>4</w:t>
      </w:r>
      <w:r w:rsidR="009E34F6" w:rsidRPr="00AD6A37">
        <w:rPr>
          <w:rFonts w:eastAsia="Trebuchet MS"/>
          <w:bCs/>
          <w:color w:val="000000"/>
          <w:spacing w:val="3"/>
          <w:sz w:val="24"/>
          <w:szCs w:val="24"/>
        </w:rPr>
        <w:t xml:space="preserve">% for the years ending </w:t>
      </w:r>
      <w:r w:rsidR="00296B5B" w:rsidRPr="00AD6A37">
        <w:rPr>
          <w:rFonts w:eastAsia="Trebuchet MS"/>
          <w:bCs/>
          <w:color w:val="000000"/>
          <w:spacing w:val="3"/>
          <w:sz w:val="24"/>
          <w:szCs w:val="24"/>
        </w:rPr>
        <w:t>from FY202</w:t>
      </w:r>
      <w:r w:rsidR="00AD6A37" w:rsidRPr="00AD6A37">
        <w:rPr>
          <w:rFonts w:eastAsia="Trebuchet MS"/>
          <w:bCs/>
          <w:color w:val="000000"/>
          <w:spacing w:val="3"/>
          <w:sz w:val="24"/>
          <w:szCs w:val="24"/>
        </w:rPr>
        <w:t>8</w:t>
      </w:r>
      <w:r w:rsidR="00296B5B" w:rsidRPr="00AD6A37">
        <w:rPr>
          <w:rFonts w:eastAsia="Trebuchet MS"/>
          <w:bCs/>
          <w:color w:val="000000"/>
          <w:spacing w:val="3"/>
          <w:sz w:val="24"/>
          <w:szCs w:val="24"/>
        </w:rPr>
        <w:t xml:space="preserve"> to FY203</w:t>
      </w:r>
      <w:r w:rsidR="00AD6A37" w:rsidRPr="00AD6A37">
        <w:rPr>
          <w:rFonts w:eastAsia="Trebuchet MS"/>
          <w:bCs/>
          <w:color w:val="000000"/>
          <w:spacing w:val="3"/>
          <w:sz w:val="24"/>
          <w:szCs w:val="24"/>
        </w:rPr>
        <w:t>2</w:t>
      </w:r>
      <w:r w:rsidR="009E34F6" w:rsidRPr="00AD6A37">
        <w:rPr>
          <w:rFonts w:eastAsia="Trebuchet MS"/>
          <w:bCs/>
          <w:color w:val="000000"/>
          <w:spacing w:val="3"/>
          <w:sz w:val="24"/>
          <w:szCs w:val="24"/>
        </w:rPr>
        <w:t>.</w:t>
      </w:r>
    </w:p>
    <w:p w14:paraId="4811ED45" w14:textId="77777777" w:rsidR="008F0717" w:rsidRPr="00E20DEA" w:rsidRDefault="008F0717" w:rsidP="00A662DF">
      <w:pPr>
        <w:autoSpaceDE w:val="0"/>
        <w:autoSpaceDN w:val="0"/>
        <w:adjustRightInd w:val="0"/>
        <w:spacing w:after="0" w:line="240" w:lineRule="auto"/>
        <w:rPr>
          <w:rFonts w:eastAsia="Trebuchet MS"/>
          <w:bCs/>
          <w:color w:val="000000"/>
          <w:spacing w:val="3"/>
          <w:sz w:val="24"/>
          <w:szCs w:val="24"/>
          <w:highlight w:val="yellow"/>
        </w:rPr>
      </w:pPr>
    </w:p>
    <w:p w14:paraId="3F6821B3" w14:textId="192110CE" w:rsidR="00066269" w:rsidRPr="00066269" w:rsidRDefault="00066269" w:rsidP="00224ED2">
      <w:pPr>
        <w:widowControl w:val="0"/>
        <w:spacing w:after="0" w:line="240" w:lineRule="auto"/>
        <w:rPr>
          <w:rFonts w:ascii="Times New Roman" w:hAnsi="Times New Roman" w:cs="Times New Roman"/>
          <w:highlight w:val="yellow"/>
        </w:rPr>
      </w:pPr>
      <w:r w:rsidRPr="004A12C1">
        <w:rPr>
          <w:rFonts w:eastAsia="Trebuchet MS" w:cstheme="minorHAnsi"/>
          <w:bCs/>
          <w:i/>
          <w:iCs/>
          <w:color w:val="000000"/>
          <w:spacing w:val="3"/>
          <w:sz w:val="24"/>
          <w:szCs w:val="24"/>
        </w:rPr>
        <w:t xml:space="preserve">Physician Expenses and </w:t>
      </w:r>
      <w:r w:rsidR="00224ED2" w:rsidRPr="004A12C1">
        <w:rPr>
          <w:rFonts w:eastAsia="Trebuchet MS" w:cstheme="minorHAnsi"/>
          <w:bCs/>
          <w:i/>
          <w:iCs/>
          <w:color w:val="000000"/>
          <w:spacing w:val="3"/>
          <w:sz w:val="24"/>
          <w:szCs w:val="24"/>
        </w:rPr>
        <w:t>Fee</w:t>
      </w:r>
      <w:r w:rsidRPr="004A12C1">
        <w:rPr>
          <w:rFonts w:eastAsia="Trebuchet MS" w:cstheme="minorHAnsi"/>
          <w:bCs/>
          <w:i/>
          <w:iCs/>
          <w:color w:val="000000"/>
          <w:spacing w:val="3"/>
          <w:sz w:val="24"/>
          <w:szCs w:val="24"/>
        </w:rPr>
        <w:t xml:space="preserve">s: </w:t>
      </w:r>
      <w:r w:rsidR="00CD480E" w:rsidRPr="004A12C1">
        <w:rPr>
          <w:rFonts w:cstheme="minorHAnsi"/>
          <w:sz w:val="24"/>
          <w:szCs w:val="24"/>
        </w:rPr>
        <w:t xml:space="preserve">The Applicant anticipates that 11 </w:t>
      </w:r>
      <w:r w:rsidR="00926B44" w:rsidRPr="004A12C1">
        <w:rPr>
          <w:rFonts w:cstheme="minorHAnsi"/>
          <w:sz w:val="24"/>
          <w:szCs w:val="24"/>
        </w:rPr>
        <w:t xml:space="preserve">physicians will be needed to operate </w:t>
      </w:r>
      <w:r w:rsidR="00926B44" w:rsidRPr="007D4901">
        <w:rPr>
          <w:rFonts w:cstheme="minorHAnsi"/>
          <w:sz w:val="24"/>
          <w:szCs w:val="24"/>
        </w:rPr>
        <w:t xml:space="preserve">the ED. </w:t>
      </w:r>
      <w:r w:rsidR="00112F1A" w:rsidRPr="007D4901">
        <w:rPr>
          <w:rFonts w:cstheme="minorHAnsi"/>
          <w:sz w:val="24"/>
          <w:szCs w:val="24"/>
        </w:rPr>
        <w:t>The Projections</w:t>
      </w:r>
      <w:r w:rsidRPr="007D4901">
        <w:rPr>
          <w:rFonts w:cstheme="minorHAnsi"/>
          <w:sz w:val="24"/>
          <w:szCs w:val="24"/>
        </w:rPr>
        <w:t xml:space="preserve"> </w:t>
      </w:r>
      <w:r w:rsidR="00112F1A" w:rsidRPr="007D4901">
        <w:rPr>
          <w:rFonts w:cstheme="minorHAnsi"/>
          <w:sz w:val="24"/>
          <w:szCs w:val="24"/>
        </w:rPr>
        <w:t>assume</w:t>
      </w:r>
      <w:r w:rsidRPr="007D4901">
        <w:rPr>
          <w:rFonts w:cstheme="minorHAnsi"/>
          <w:sz w:val="24"/>
          <w:szCs w:val="24"/>
        </w:rPr>
        <w:t xml:space="preserve"> an increase of approximately </w:t>
      </w:r>
      <w:r w:rsidR="00677FAC" w:rsidRPr="007D4901">
        <w:rPr>
          <w:rFonts w:cstheme="minorHAnsi"/>
          <w:sz w:val="24"/>
          <w:szCs w:val="24"/>
        </w:rPr>
        <w:t>3.5</w:t>
      </w:r>
      <w:r w:rsidRPr="007D4901">
        <w:rPr>
          <w:rFonts w:cstheme="minorHAnsi"/>
          <w:sz w:val="24"/>
          <w:szCs w:val="24"/>
        </w:rPr>
        <w:t xml:space="preserve">% </w:t>
      </w:r>
      <w:r w:rsidR="004A12C1" w:rsidRPr="007D4901">
        <w:rPr>
          <w:rFonts w:cstheme="minorHAnsi"/>
          <w:sz w:val="24"/>
          <w:szCs w:val="24"/>
        </w:rPr>
        <w:t xml:space="preserve">in physician salaries and fees </w:t>
      </w:r>
      <w:r w:rsidRPr="007D4901">
        <w:rPr>
          <w:rFonts w:cstheme="minorHAnsi"/>
          <w:sz w:val="24"/>
          <w:szCs w:val="24"/>
        </w:rPr>
        <w:t>for FY202</w:t>
      </w:r>
      <w:r w:rsidR="004A12C1" w:rsidRPr="007D4901">
        <w:rPr>
          <w:rFonts w:cstheme="minorHAnsi"/>
          <w:sz w:val="24"/>
          <w:szCs w:val="24"/>
        </w:rPr>
        <w:t>8</w:t>
      </w:r>
      <w:r w:rsidRPr="007D4901">
        <w:rPr>
          <w:rFonts w:cstheme="minorHAnsi"/>
          <w:sz w:val="24"/>
          <w:szCs w:val="24"/>
        </w:rPr>
        <w:t>-203</w:t>
      </w:r>
      <w:r w:rsidR="004A12C1" w:rsidRPr="007D4901">
        <w:rPr>
          <w:rFonts w:cstheme="minorHAnsi"/>
          <w:sz w:val="24"/>
          <w:szCs w:val="24"/>
        </w:rPr>
        <w:t>2</w:t>
      </w:r>
      <w:r w:rsidRPr="007D4901">
        <w:rPr>
          <w:rFonts w:cstheme="minorHAnsi"/>
          <w:sz w:val="24"/>
          <w:szCs w:val="24"/>
        </w:rPr>
        <w:t xml:space="preserve">. </w:t>
      </w:r>
      <w:r w:rsidR="00041E0D" w:rsidRPr="007D4901">
        <w:rPr>
          <w:rFonts w:cstheme="minorHAnsi"/>
          <w:sz w:val="24"/>
          <w:szCs w:val="24"/>
        </w:rPr>
        <w:t>Th</w:t>
      </w:r>
      <w:r w:rsidR="007E55C4" w:rsidRPr="007D4901">
        <w:rPr>
          <w:rFonts w:cstheme="minorHAnsi"/>
          <w:sz w:val="24"/>
          <w:szCs w:val="24"/>
        </w:rPr>
        <w:t xml:space="preserve">is line item also includes the cost of </w:t>
      </w:r>
      <w:r w:rsidR="007D4901" w:rsidRPr="007D4901">
        <w:rPr>
          <w:rFonts w:cstheme="minorHAnsi"/>
          <w:sz w:val="24"/>
          <w:szCs w:val="24"/>
        </w:rPr>
        <w:t xml:space="preserve">the </w:t>
      </w:r>
      <w:r w:rsidR="007E55C4" w:rsidRPr="007D4901">
        <w:rPr>
          <w:rFonts w:cstheme="minorHAnsi"/>
          <w:sz w:val="24"/>
          <w:szCs w:val="24"/>
        </w:rPr>
        <w:t xml:space="preserve">Chief of </w:t>
      </w:r>
      <w:r w:rsidR="007D4901" w:rsidRPr="007D4901">
        <w:rPr>
          <w:rFonts w:cstheme="minorHAnsi"/>
          <w:sz w:val="24"/>
          <w:szCs w:val="24"/>
        </w:rPr>
        <w:t xml:space="preserve">Emergency </w:t>
      </w:r>
      <w:r w:rsidR="007E55C4" w:rsidRPr="007D4901">
        <w:rPr>
          <w:rFonts w:cstheme="minorHAnsi"/>
          <w:sz w:val="24"/>
          <w:szCs w:val="24"/>
        </w:rPr>
        <w:t>Medicine</w:t>
      </w:r>
      <w:r w:rsidR="007D4901" w:rsidRPr="007D4901">
        <w:rPr>
          <w:rFonts w:cstheme="minorHAnsi"/>
          <w:sz w:val="24"/>
          <w:szCs w:val="24"/>
        </w:rPr>
        <w:t xml:space="preserve"> salary.</w:t>
      </w:r>
    </w:p>
    <w:p w14:paraId="231388C6" w14:textId="77777777" w:rsidR="00066269" w:rsidRDefault="00066269" w:rsidP="00A662DF">
      <w:pPr>
        <w:spacing w:after="0" w:line="240" w:lineRule="auto"/>
        <w:textAlignment w:val="baseline"/>
        <w:rPr>
          <w:rFonts w:eastAsia="Trebuchet MS"/>
          <w:bCs/>
          <w:i/>
          <w:iCs/>
          <w:color w:val="000000"/>
          <w:spacing w:val="3"/>
          <w:sz w:val="24"/>
          <w:szCs w:val="24"/>
          <w:highlight w:val="yellow"/>
        </w:rPr>
      </w:pPr>
    </w:p>
    <w:p w14:paraId="2B73268A" w14:textId="56292400" w:rsidR="0000676E" w:rsidRPr="00F5531E" w:rsidRDefault="0031700D" w:rsidP="00A662DF">
      <w:pPr>
        <w:spacing w:after="0" w:line="240" w:lineRule="auto"/>
        <w:textAlignment w:val="baseline"/>
        <w:rPr>
          <w:rFonts w:cstheme="minorHAnsi"/>
          <w:sz w:val="24"/>
          <w:szCs w:val="24"/>
        </w:rPr>
      </w:pPr>
      <w:r w:rsidRPr="00F5531E">
        <w:rPr>
          <w:rFonts w:eastAsia="Trebuchet MS"/>
          <w:bCs/>
          <w:i/>
          <w:iCs/>
          <w:color w:val="000000"/>
          <w:spacing w:val="3"/>
          <w:sz w:val="24"/>
          <w:szCs w:val="24"/>
        </w:rPr>
        <w:t>Supplies</w:t>
      </w:r>
      <w:r w:rsidR="00184C33" w:rsidRPr="00F5531E">
        <w:rPr>
          <w:rFonts w:eastAsia="Trebuchet MS"/>
          <w:bCs/>
          <w:i/>
          <w:iCs/>
          <w:color w:val="000000"/>
          <w:spacing w:val="3"/>
          <w:sz w:val="24"/>
          <w:szCs w:val="24"/>
        </w:rPr>
        <w:t>:</w:t>
      </w:r>
      <w:r w:rsidRPr="00F5531E">
        <w:rPr>
          <w:rFonts w:eastAsia="Trebuchet MS"/>
          <w:bCs/>
          <w:color w:val="000000"/>
          <w:spacing w:val="3"/>
          <w:sz w:val="24"/>
          <w:szCs w:val="24"/>
        </w:rPr>
        <w:t xml:space="preserve"> </w:t>
      </w:r>
      <w:r w:rsidR="00F43DB5" w:rsidRPr="00F5531E">
        <w:rPr>
          <w:rFonts w:cstheme="minorHAnsi"/>
          <w:sz w:val="24"/>
          <w:szCs w:val="24"/>
        </w:rPr>
        <w:t>Medical supplies, including pharmaceutical supplies, are calculated at an increase of approximately 4.8% each year for inflation for FY2028 to FY2032.</w:t>
      </w:r>
      <w:r w:rsidR="00991521" w:rsidRPr="00F5531E">
        <w:rPr>
          <w:rFonts w:cstheme="minorHAnsi"/>
          <w:sz w:val="24"/>
          <w:szCs w:val="24"/>
        </w:rPr>
        <w:t xml:space="preserve"> Other supplies and services include contracted outside labor and MD services, purchased services, office supplies, repairs and maintenance, information technology, insurance, taxes, and other miscellaneous expenses.</w:t>
      </w:r>
      <w:r w:rsidR="00F5531E" w:rsidRPr="00F5531E">
        <w:rPr>
          <w:rFonts w:cstheme="minorHAnsi"/>
          <w:sz w:val="24"/>
          <w:szCs w:val="24"/>
        </w:rPr>
        <w:t xml:space="preserve"> The Projections estimated an increase in other supplies and services of 4% for FY2028 to FY2032</w:t>
      </w:r>
      <w:r w:rsidR="00F5531E">
        <w:rPr>
          <w:rFonts w:cstheme="minorHAnsi"/>
          <w:sz w:val="24"/>
          <w:szCs w:val="24"/>
        </w:rPr>
        <w:t>.</w:t>
      </w:r>
    </w:p>
    <w:p w14:paraId="300B3323" w14:textId="77777777" w:rsidR="008F0717" w:rsidRPr="00E20DEA" w:rsidRDefault="008F0717" w:rsidP="00A662DF">
      <w:pPr>
        <w:spacing w:after="0" w:line="240" w:lineRule="auto"/>
        <w:textAlignment w:val="baseline"/>
        <w:rPr>
          <w:rFonts w:eastAsia="Trebuchet MS"/>
          <w:bCs/>
          <w:color w:val="000000"/>
          <w:spacing w:val="3"/>
          <w:highlight w:val="yellow"/>
        </w:rPr>
      </w:pPr>
    </w:p>
    <w:p w14:paraId="6A17CC2E" w14:textId="4D1F8D97" w:rsidR="0000676E" w:rsidRPr="00976B6F" w:rsidRDefault="008E4932" w:rsidP="00A662DF">
      <w:pPr>
        <w:autoSpaceDE w:val="0"/>
        <w:autoSpaceDN w:val="0"/>
        <w:adjustRightInd w:val="0"/>
        <w:spacing w:after="0" w:line="240" w:lineRule="auto"/>
        <w:rPr>
          <w:rFonts w:eastAsia="Trebuchet MS" w:cstheme="minorHAnsi"/>
          <w:bCs/>
          <w:color w:val="000000"/>
          <w:spacing w:val="3"/>
          <w:sz w:val="24"/>
          <w:szCs w:val="24"/>
        </w:rPr>
      </w:pPr>
      <w:r w:rsidRPr="00976B6F">
        <w:rPr>
          <w:rFonts w:cstheme="minorHAnsi"/>
          <w:i/>
          <w:iCs/>
          <w:sz w:val="24"/>
          <w:szCs w:val="24"/>
        </w:rPr>
        <w:t>Depreciation Expense</w:t>
      </w:r>
      <w:r w:rsidR="008C2783" w:rsidRPr="00976B6F">
        <w:rPr>
          <w:rFonts w:cstheme="minorHAnsi"/>
          <w:i/>
          <w:iCs/>
          <w:sz w:val="24"/>
          <w:szCs w:val="24"/>
        </w:rPr>
        <w:t xml:space="preserve"> and Fees:</w:t>
      </w:r>
      <w:r w:rsidRPr="00976B6F">
        <w:rPr>
          <w:rFonts w:cstheme="minorHAnsi"/>
          <w:i/>
          <w:iCs/>
          <w:sz w:val="24"/>
          <w:szCs w:val="24"/>
        </w:rPr>
        <w:t xml:space="preserve"> </w:t>
      </w:r>
      <w:r w:rsidR="00BC0925" w:rsidRPr="00976B6F">
        <w:rPr>
          <w:rFonts w:cstheme="minorHAnsi"/>
          <w:sz w:val="24"/>
          <w:szCs w:val="24"/>
        </w:rPr>
        <w:t xml:space="preserve">The cost of </w:t>
      </w:r>
      <w:r w:rsidR="00F439EF" w:rsidRPr="00976B6F">
        <w:rPr>
          <w:rFonts w:cstheme="minorHAnsi"/>
          <w:sz w:val="24"/>
          <w:szCs w:val="24"/>
        </w:rPr>
        <w:t xml:space="preserve">movable medical equipment and fixed medical equipment will be depreciated over </w:t>
      </w:r>
      <w:r w:rsidR="000324AC" w:rsidRPr="00976B6F">
        <w:rPr>
          <w:rFonts w:cstheme="minorHAnsi"/>
          <w:sz w:val="24"/>
          <w:szCs w:val="24"/>
        </w:rPr>
        <w:t xml:space="preserve">7 years. </w:t>
      </w:r>
      <w:r w:rsidR="007249DC" w:rsidRPr="00976B6F">
        <w:rPr>
          <w:rFonts w:cstheme="minorHAnsi"/>
          <w:sz w:val="24"/>
          <w:szCs w:val="24"/>
        </w:rPr>
        <w:t xml:space="preserve">Costs related to the building, helipad, </w:t>
      </w:r>
      <w:r w:rsidR="001F7A7E" w:rsidRPr="00976B6F">
        <w:rPr>
          <w:rFonts w:cstheme="minorHAnsi"/>
          <w:sz w:val="24"/>
          <w:szCs w:val="24"/>
        </w:rPr>
        <w:t>and parking lot will be depreciated over 40 years</w:t>
      </w:r>
      <w:r w:rsidR="00976B6F" w:rsidRPr="00976B6F">
        <w:rPr>
          <w:rFonts w:cstheme="minorHAnsi"/>
          <w:sz w:val="24"/>
          <w:szCs w:val="24"/>
        </w:rPr>
        <w:t>. Depreciation is expected to begin during the third quarter of FY2027.</w:t>
      </w:r>
      <w:r w:rsidR="0059437E">
        <w:rPr>
          <w:rFonts w:cstheme="minorHAnsi"/>
          <w:sz w:val="24"/>
          <w:szCs w:val="24"/>
        </w:rPr>
        <w:t xml:space="preserve"> </w:t>
      </w:r>
      <w:r w:rsidR="0059437E" w:rsidRPr="008A2174">
        <w:rPr>
          <w:rFonts w:cstheme="minorHAnsi"/>
          <w:sz w:val="24"/>
          <w:szCs w:val="24"/>
        </w:rPr>
        <w:t xml:space="preserve">The Applicant is </w:t>
      </w:r>
      <w:r w:rsidR="008A2174" w:rsidRPr="008A2174">
        <w:rPr>
          <w:rFonts w:cstheme="minorHAnsi"/>
          <w:sz w:val="24"/>
          <w:szCs w:val="24"/>
        </w:rPr>
        <w:t xml:space="preserve">also </w:t>
      </w:r>
      <w:r w:rsidR="0059437E" w:rsidRPr="008A2174">
        <w:rPr>
          <w:rFonts w:cstheme="minorHAnsi"/>
          <w:sz w:val="24"/>
          <w:szCs w:val="24"/>
        </w:rPr>
        <w:t>required to pay a 5% fee to the Commonwealth of Massachusetts based on the total projected capital costs toward the community health initiative (CHI).</w:t>
      </w:r>
    </w:p>
    <w:p w14:paraId="0B9BBD26" w14:textId="77777777" w:rsidR="008F0717" w:rsidRPr="00E20DEA" w:rsidRDefault="008F0717" w:rsidP="00A662DF">
      <w:pPr>
        <w:autoSpaceDE w:val="0"/>
        <w:autoSpaceDN w:val="0"/>
        <w:adjustRightInd w:val="0"/>
        <w:spacing w:after="0" w:line="240" w:lineRule="auto"/>
        <w:rPr>
          <w:rFonts w:eastAsia="Trebuchet MS" w:cstheme="minorHAnsi"/>
          <w:bCs/>
          <w:color w:val="000000"/>
          <w:spacing w:val="3"/>
          <w:sz w:val="24"/>
          <w:szCs w:val="24"/>
          <w:highlight w:val="yellow"/>
        </w:rPr>
      </w:pPr>
    </w:p>
    <w:p w14:paraId="0AC8A1F8" w14:textId="61E93E5E" w:rsidR="008E4932" w:rsidRPr="00976B6F" w:rsidRDefault="008E4932" w:rsidP="00A662DF">
      <w:pPr>
        <w:autoSpaceDE w:val="0"/>
        <w:autoSpaceDN w:val="0"/>
        <w:adjustRightInd w:val="0"/>
        <w:spacing w:after="0" w:line="240" w:lineRule="auto"/>
        <w:rPr>
          <w:rFonts w:cstheme="minorHAnsi"/>
          <w:sz w:val="24"/>
          <w:szCs w:val="24"/>
        </w:rPr>
      </w:pPr>
      <w:r w:rsidRPr="00976B6F">
        <w:rPr>
          <w:rFonts w:cstheme="minorHAnsi"/>
          <w:sz w:val="24"/>
          <w:szCs w:val="24"/>
        </w:rPr>
        <w:t>The CPA concludes that the</w:t>
      </w:r>
      <w:r w:rsidR="00AE6F76" w:rsidRPr="00976B6F">
        <w:rPr>
          <w:rFonts w:cstheme="minorHAnsi"/>
          <w:sz w:val="24"/>
          <w:szCs w:val="24"/>
        </w:rPr>
        <w:t xml:space="preserve"> total expenses projected by Management are a reasonable estimation.</w:t>
      </w:r>
    </w:p>
    <w:p w14:paraId="3FAB0C19" w14:textId="77777777" w:rsidR="008F0717" w:rsidRPr="00E20DEA" w:rsidRDefault="008F0717" w:rsidP="00A662DF">
      <w:pPr>
        <w:autoSpaceDE w:val="0"/>
        <w:autoSpaceDN w:val="0"/>
        <w:adjustRightInd w:val="0"/>
        <w:spacing w:after="0" w:line="240" w:lineRule="auto"/>
        <w:rPr>
          <w:rFonts w:cstheme="minorHAnsi"/>
          <w:sz w:val="24"/>
          <w:szCs w:val="24"/>
          <w:highlight w:val="yellow"/>
        </w:rPr>
      </w:pPr>
    </w:p>
    <w:p w14:paraId="4DFA6A87" w14:textId="48A2E376" w:rsidR="008E4932" w:rsidRPr="005B448C" w:rsidRDefault="00026DE6" w:rsidP="00A662DF">
      <w:pPr>
        <w:spacing w:after="0" w:line="240" w:lineRule="auto"/>
        <w:rPr>
          <w:rFonts w:cstheme="minorHAnsi"/>
          <w:b/>
          <w:sz w:val="24"/>
          <w:szCs w:val="24"/>
        </w:rPr>
      </w:pPr>
      <w:r w:rsidRPr="005B448C">
        <w:rPr>
          <w:rFonts w:cstheme="minorHAnsi"/>
          <w:b/>
          <w:sz w:val="24"/>
          <w:szCs w:val="24"/>
        </w:rPr>
        <w:t>Cash Flows</w:t>
      </w:r>
    </w:p>
    <w:p w14:paraId="476B0373" w14:textId="7F252DC0" w:rsidR="00430D1C" w:rsidRPr="00E20DEA" w:rsidRDefault="008E4932" w:rsidP="00A662DF">
      <w:pPr>
        <w:autoSpaceDE w:val="0"/>
        <w:autoSpaceDN w:val="0"/>
        <w:adjustRightInd w:val="0"/>
        <w:spacing w:after="0" w:line="240" w:lineRule="auto"/>
        <w:rPr>
          <w:rFonts w:cstheme="minorHAnsi"/>
          <w:sz w:val="24"/>
          <w:szCs w:val="24"/>
          <w:highlight w:val="yellow"/>
        </w:rPr>
      </w:pPr>
      <w:r w:rsidRPr="003072B2">
        <w:rPr>
          <w:rFonts w:cstheme="minorHAnsi"/>
          <w:sz w:val="24"/>
          <w:szCs w:val="24"/>
        </w:rPr>
        <w:t xml:space="preserve">The CPA reviewed the </w:t>
      </w:r>
      <w:r w:rsidR="008E3F2B" w:rsidRPr="003072B2">
        <w:rPr>
          <w:rFonts w:cstheme="minorHAnsi"/>
          <w:sz w:val="24"/>
          <w:szCs w:val="24"/>
        </w:rPr>
        <w:t>cash flow</w:t>
      </w:r>
      <w:r w:rsidRPr="003072B2">
        <w:rPr>
          <w:rFonts w:cstheme="minorHAnsi"/>
          <w:sz w:val="24"/>
          <w:szCs w:val="24"/>
        </w:rPr>
        <w:t xml:space="preserve"> for the project</w:t>
      </w:r>
      <w:r w:rsidR="005B448C" w:rsidRPr="003072B2">
        <w:rPr>
          <w:rFonts w:cstheme="minorHAnsi"/>
          <w:sz w:val="24"/>
          <w:szCs w:val="24"/>
        </w:rPr>
        <w:t>.</w:t>
      </w:r>
      <w:r w:rsidR="008E3F2B" w:rsidRPr="003072B2">
        <w:rPr>
          <w:rFonts w:cstheme="minorHAnsi"/>
          <w:sz w:val="24"/>
          <w:szCs w:val="24"/>
        </w:rPr>
        <w:t xml:space="preserve"> </w:t>
      </w:r>
      <w:r w:rsidR="002E206C" w:rsidRPr="003072B2">
        <w:rPr>
          <w:rFonts w:cstheme="minorHAnsi"/>
          <w:sz w:val="24"/>
          <w:szCs w:val="24"/>
        </w:rPr>
        <w:t xml:space="preserve">Approximately 55% of the </w:t>
      </w:r>
      <w:r w:rsidR="003072B2" w:rsidRPr="003072B2">
        <w:rPr>
          <w:rFonts w:cstheme="minorHAnsi"/>
          <w:sz w:val="24"/>
          <w:szCs w:val="24"/>
        </w:rPr>
        <w:t xml:space="preserve">total project cost will be financed through debt during the start-up period. The debt is payable in 360 monthly installments with a fixed interest rate of 6%. Interest only payments will begin in April 2026, </w:t>
      </w:r>
      <w:r w:rsidR="003072B2" w:rsidRPr="003072B2">
        <w:rPr>
          <w:rFonts w:cstheme="minorHAnsi"/>
          <w:sz w:val="24"/>
          <w:szCs w:val="24"/>
        </w:rPr>
        <w:lastRenderedPageBreak/>
        <w:t>and will continue through October 2027, at which time principal plus interest payments will begin. The remaining costs will be funded through the equity, fundraising, and available reserves of the Applicant</w:t>
      </w:r>
      <w:r w:rsidR="003072B2" w:rsidRPr="00652B5A">
        <w:rPr>
          <w:rFonts w:cstheme="minorHAnsi"/>
          <w:sz w:val="24"/>
          <w:szCs w:val="24"/>
        </w:rPr>
        <w:t>.</w:t>
      </w:r>
      <w:r w:rsidR="003072B2" w:rsidRPr="00652B5A">
        <w:rPr>
          <w:rFonts w:ascii="Times New Roman" w:hAnsi="Times New Roman" w:cs="Times New Roman"/>
        </w:rPr>
        <w:t xml:space="preserve"> </w:t>
      </w:r>
      <w:r w:rsidR="00652B5A" w:rsidRPr="00652B5A">
        <w:rPr>
          <w:rFonts w:cstheme="minorHAnsi"/>
          <w:sz w:val="24"/>
          <w:szCs w:val="24"/>
        </w:rPr>
        <w:t>The CPA stated that t</w:t>
      </w:r>
      <w:r w:rsidR="00430D1C" w:rsidRPr="00652B5A">
        <w:rPr>
          <w:rFonts w:cstheme="minorHAnsi"/>
          <w:sz w:val="24"/>
          <w:szCs w:val="24"/>
        </w:rPr>
        <w:t xml:space="preserve">he capital needs and ongoing operating costs required for the renovation and expansion of the ED at </w:t>
      </w:r>
      <w:r w:rsidR="00652B5A" w:rsidRPr="00652B5A">
        <w:rPr>
          <w:rFonts w:cstheme="minorHAnsi"/>
          <w:sz w:val="24"/>
          <w:szCs w:val="24"/>
        </w:rPr>
        <w:t>Sturdy Memorial Hospital</w:t>
      </w:r>
      <w:r w:rsidR="004C1EDD" w:rsidRPr="00652B5A">
        <w:rPr>
          <w:rFonts w:cstheme="minorHAnsi"/>
          <w:sz w:val="24"/>
          <w:szCs w:val="24"/>
        </w:rPr>
        <w:t xml:space="preserve"> </w:t>
      </w:r>
      <w:r w:rsidR="00430D1C" w:rsidRPr="00652B5A">
        <w:rPr>
          <w:rFonts w:cstheme="minorHAnsi"/>
          <w:sz w:val="24"/>
          <w:szCs w:val="24"/>
        </w:rPr>
        <w:t xml:space="preserve">are not likely to result in a scenario where there is negative cash flow over the </w:t>
      </w:r>
      <w:r w:rsidR="00DF70C3" w:rsidRPr="00652B5A">
        <w:rPr>
          <w:rFonts w:cstheme="minorHAnsi"/>
          <w:sz w:val="24"/>
          <w:szCs w:val="24"/>
        </w:rPr>
        <w:t>five-year</w:t>
      </w:r>
      <w:r w:rsidR="00430D1C" w:rsidRPr="00652B5A">
        <w:rPr>
          <w:rFonts w:cstheme="minorHAnsi"/>
          <w:sz w:val="24"/>
          <w:szCs w:val="24"/>
        </w:rPr>
        <w:t xml:space="preserve"> projected period. </w:t>
      </w:r>
    </w:p>
    <w:p w14:paraId="6DBE5839" w14:textId="77777777" w:rsidR="008F0717" w:rsidRPr="00E20DEA" w:rsidRDefault="008F0717" w:rsidP="00A662DF">
      <w:pPr>
        <w:spacing w:after="0" w:line="240" w:lineRule="auto"/>
        <w:textAlignment w:val="baseline"/>
        <w:rPr>
          <w:rFonts w:eastAsia="Trebuchet MS"/>
          <w:color w:val="000000"/>
          <w:highlight w:val="yellow"/>
        </w:rPr>
      </w:pPr>
    </w:p>
    <w:p w14:paraId="2FA7CBA4" w14:textId="77777777" w:rsidR="008E4932" w:rsidRPr="006F2598" w:rsidRDefault="008E4932" w:rsidP="00A662DF">
      <w:pPr>
        <w:spacing w:after="0" w:line="240" w:lineRule="auto"/>
        <w:rPr>
          <w:rFonts w:cstheme="minorHAnsi"/>
          <w:sz w:val="24"/>
          <w:szCs w:val="24"/>
        </w:rPr>
      </w:pPr>
      <w:r w:rsidRPr="006F2598">
        <w:rPr>
          <w:rFonts w:cstheme="minorHAnsi"/>
          <w:sz w:val="24"/>
          <w:szCs w:val="24"/>
        </w:rPr>
        <w:t xml:space="preserve">As a result of its analysis, the CPA concluded the following: </w:t>
      </w:r>
    </w:p>
    <w:p w14:paraId="3F71343D" w14:textId="4D69AF85" w:rsidR="007A4F3A" w:rsidRPr="00D81EB8" w:rsidRDefault="007A4F3A" w:rsidP="00D81EB8">
      <w:pPr>
        <w:spacing w:after="0" w:line="240" w:lineRule="auto"/>
        <w:ind w:left="360"/>
        <w:jc w:val="both"/>
        <w:rPr>
          <w:rFonts w:cstheme="minorHAnsi"/>
          <w:sz w:val="24"/>
          <w:szCs w:val="24"/>
        </w:rPr>
      </w:pPr>
      <w:r w:rsidRPr="00D81EB8">
        <w:rPr>
          <w:rFonts w:cstheme="minorHAnsi"/>
          <w:i/>
          <w:iCs/>
          <w:sz w:val="24"/>
          <w:szCs w:val="24"/>
        </w:rPr>
        <w:t>“</w:t>
      </w:r>
      <w:r w:rsidR="00D81EB8" w:rsidRPr="00D81EB8">
        <w:rPr>
          <w:rFonts w:cstheme="minorHAnsi"/>
          <w:sz w:val="24"/>
          <w:szCs w:val="24"/>
        </w:rPr>
        <w:t>We determined that the projections were not likely to result in insufficient funds available for ongoing operating costs necessary to support the expanded emergency department. Based upon our review of the projections and relevant supporting documentation, we determined the renovation and expansion of the ED at Sturdy Memorial Hospital by the Applicant is reasonable and based upon feasible financial assumptions</w:t>
      </w:r>
      <w:r w:rsidRPr="00D81EB8">
        <w:rPr>
          <w:rFonts w:cstheme="minorHAnsi"/>
          <w:i/>
          <w:iCs/>
          <w:sz w:val="24"/>
          <w:szCs w:val="24"/>
        </w:rPr>
        <w:t xml:space="preserve">.” </w:t>
      </w:r>
    </w:p>
    <w:p w14:paraId="5AC49CC2" w14:textId="77777777" w:rsidR="007A4F3A" w:rsidRPr="00E20DEA" w:rsidRDefault="007A4F3A" w:rsidP="007A4F3A">
      <w:pPr>
        <w:spacing w:after="0" w:line="240" w:lineRule="auto"/>
        <w:ind w:left="360"/>
        <w:jc w:val="both"/>
        <w:rPr>
          <w:rFonts w:ascii="Times New Roman" w:hAnsi="Times New Roman" w:cs="Times New Roman"/>
          <w:highlight w:val="yellow"/>
        </w:rPr>
      </w:pPr>
    </w:p>
    <w:p w14:paraId="00FA6168" w14:textId="77777777" w:rsidR="008E4932" w:rsidRPr="00D81EB8" w:rsidRDefault="008E4932" w:rsidP="008E4932">
      <w:pPr>
        <w:pStyle w:val="NormalWeb"/>
        <w:rPr>
          <w:rFonts w:asciiTheme="minorHAnsi" w:hAnsiTheme="minorHAnsi" w:cstheme="minorHAnsi"/>
          <w:b/>
          <w:bCs/>
          <w:i/>
          <w:iCs/>
        </w:rPr>
      </w:pPr>
      <w:r w:rsidRPr="00D81EB8">
        <w:rPr>
          <w:rFonts w:asciiTheme="minorHAnsi" w:hAnsiTheme="minorHAnsi" w:cstheme="minorHAnsi"/>
          <w:b/>
          <w:bCs/>
          <w:i/>
          <w:iCs/>
        </w:rPr>
        <w:t xml:space="preserve">Factor 4 Analysis </w:t>
      </w:r>
    </w:p>
    <w:p w14:paraId="54615B0E" w14:textId="29B0F4B7" w:rsidR="004E6193" w:rsidRPr="00D81EB8" w:rsidRDefault="008E4932" w:rsidP="00A662DF">
      <w:pPr>
        <w:spacing w:after="0" w:line="240" w:lineRule="auto"/>
        <w:rPr>
          <w:rFonts w:cstheme="minorHAnsi"/>
          <w:sz w:val="24"/>
          <w:szCs w:val="24"/>
        </w:rPr>
      </w:pPr>
      <w:r w:rsidRPr="00D81EB8">
        <w:rPr>
          <w:sz w:val="24"/>
          <w:szCs w:val="24"/>
        </w:rPr>
        <w:t xml:space="preserve">Staff is satisfied with the CPA’s analysis of the Proposed Project’s projections. </w:t>
      </w:r>
      <w:r w:rsidRPr="00D81EB8">
        <w:rPr>
          <w:rFonts w:cstheme="minorHAnsi"/>
          <w:sz w:val="24"/>
          <w:szCs w:val="24"/>
        </w:rPr>
        <w:t>As a result of information provided by the Applicant and additional analysis, staff finds that the Applicant has demonstrated that the Proposed Project has met Factor 4.</w:t>
      </w:r>
    </w:p>
    <w:p w14:paraId="04A8E531" w14:textId="77777777" w:rsidR="0026036D" w:rsidRPr="00E20DEA" w:rsidRDefault="0026036D" w:rsidP="00A662DF">
      <w:pPr>
        <w:spacing w:after="0" w:line="240" w:lineRule="auto"/>
        <w:rPr>
          <w:rFonts w:cstheme="minorHAnsi"/>
          <w:sz w:val="24"/>
          <w:szCs w:val="24"/>
          <w:highlight w:val="yellow"/>
        </w:rPr>
      </w:pPr>
    </w:p>
    <w:p w14:paraId="610A41C9" w14:textId="5EA4B2DA" w:rsidR="006578AD" w:rsidRPr="008D0E5D" w:rsidRDefault="003E1CDA" w:rsidP="00A662DF">
      <w:pPr>
        <w:pStyle w:val="Heading1"/>
        <w:spacing w:before="0" w:line="240" w:lineRule="auto"/>
      </w:pPr>
      <w:bookmarkStart w:id="25" w:name="_Toc192247640"/>
      <w:r w:rsidRPr="008D0E5D">
        <w:t>Factor 5: Assessment of the Proposed Project’s Relative Merit</w:t>
      </w:r>
      <w:bookmarkEnd w:id="25"/>
    </w:p>
    <w:p w14:paraId="5321C190" w14:textId="43C3F01A" w:rsidR="008C35B2" w:rsidRPr="008D0E5D" w:rsidRDefault="003E1CDA" w:rsidP="00373E72">
      <w:pPr>
        <w:spacing w:after="0" w:line="240" w:lineRule="auto"/>
        <w:rPr>
          <w:sz w:val="24"/>
          <w:szCs w:val="24"/>
        </w:rPr>
      </w:pPr>
      <w:r w:rsidRPr="008D0E5D">
        <w:rPr>
          <w:sz w:val="24"/>
          <w:szCs w:val="24"/>
        </w:rPr>
        <w:t xml:space="preserve">Evaluation of 105 CMR 100.210(A)(5) shall take into account, at a minimum, the quality, efficiency, and capital and operating costs of the Proposed Project relative to potential alternatives or substitutes, including alternative evidence-based strategies and public health interventions. </w:t>
      </w:r>
      <w:r w:rsidR="00625877" w:rsidRPr="008D0E5D">
        <w:rPr>
          <w:sz w:val="24"/>
          <w:szCs w:val="24"/>
        </w:rPr>
        <w:t>The Applicant must provide sufficient evidence that the Proposed Project, on balance, is superior to alternative and substitute methods for meeting the existing Patient Panel needs identified by the Applicant pursuant to 105 CMR 100.210(A)(1).</w:t>
      </w:r>
    </w:p>
    <w:p w14:paraId="4EDF0038" w14:textId="77777777" w:rsidR="00373E72" w:rsidRPr="008D0E5D" w:rsidRDefault="00373E72" w:rsidP="00373E72">
      <w:pPr>
        <w:spacing w:after="0" w:line="240" w:lineRule="auto"/>
        <w:rPr>
          <w:sz w:val="24"/>
          <w:szCs w:val="24"/>
        </w:rPr>
      </w:pPr>
    </w:p>
    <w:p w14:paraId="66F80AE7" w14:textId="6C10DE5A" w:rsidR="00D53EE1" w:rsidRPr="008D0E5D" w:rsidRDefault="008C35B2" w:rsidP="00A662DF">
      <w:pPr>
        <w:spacing w:after="0" w:line="240" w:lineRule="auto"/>
        <w:rPr>
          <w:rFonts w:cstheme="minorHAnsi"/>
          <w:sz w:val="24"/>
          <w:szCs w:val="24"/>
        </w:rPr>
      </w:pPr>
      <w:r w:rsidRPr="008D0E5D">
        <w:rPr>
          <w:rFonts w:cstheme="minorHAnsi"/>
          <w:sz w:val="24"/>
          <w:szCs w:val="24"/>
        </w:rPr>
        <w:t xml:space="preserve">The Applicant considered and rejected </w:t>
      </w:r>
      <w:r w:rsidR="00E1097B" w:rsidRPr="008D0E5D">
        <w:rPr>
          <w:rFonts w:cstheme="minorHAnsi"/>
          <w:sz w:val="24"/>
          <w:szCs w:val="24"/>
        </w:rPr>
        <w:t>two</w:t>
      </w:r>
      <w:r w:rsidR="009A2B48" w:rsidRPr="008D0E5D">
        <w:rPr>
          <w:rFonts w:cstheme="minorHAnsi"/>
          <w:sz w:val="24"/>
          <w:szCs w:val="24"/>
        </w:rPr>
        <w:t xml:space="preserve"> </w:t>
      </w:r>
      <w:r w:rsidRPr="008D0E5D">
        <w:rPr>
          <w:rFonts w:cstheme="minorHAnsi"/>
          <w:sz w:val="24"/>
          <w:szCs w:val="24"/>
        </w:rPr>
        <w:t>alternative</w:t>
      </w:r>
      <w:r w:rsidR="00E6069E" w:rsidRPr="008D0E5D">
        <w:rPr>
          <w:rFonts w:cstheme="minorHAnsi"/>
          <w:sz w:val="24"/>
          <w:szCs w:val="24"/>
        </w:rPr>
        <w:t>s</w:t>
      </w:r>
      <w:r w:rsidRPr="008D0E5D">
        <w:rPr>
          <w:rFonts w:cstheme="minorHAnsi"/>
          <w:sz w:val="24"/>
          <w:szCs w:val="24"/>
        </w:rPr>
        <w:t xml:space="preserve"> to the Proposed Project:</w:t>
      </w:r>
    </w:p>
    <w:p w14:paraId="3F56BE1F" w14:textId="7DC87E6E" w:rsidR="00E6069E" w:rsidRPr="00E20DEA" w:rsidRDefault="00E6069E" w:rsidP="00AA69EC">
      <w:pPr>
        <w:tabs>
          <w:tab w:val="left" w:pos="0"/>
        </w:tabs>
        <w:autoSpaceDE w:val="0"/>
        <w:autoSpaceDN w:val="0"/>
        <w:adjustRightInd w:val="0"/>
        <w:spacing w:after="0" w:line="240" w:lineRule="auto"/>
        <w:rPr>
          <w:rFonts w:eastAsia="Times New Roman" w:cstheme="minorHAnsi"/>
          <w:kern w:val="2"/>
          <w:sz w:val="24"/>
          <w:szCs w:val="24"/>
          <w:highlight w:val="yellow"/>
        </w:rPr>
      </w:pPr>
    </w:p>
    <w:p w14:paraId="3903AC42" w14:textId="71C7333E" w:rsidR="008D0E5D" w:rsidRDefault="00E6069E" w:rsidP="00A662DF">
      <w:pPr>
        <w:pStyle w:val="HBbj"/>
        <w:spacing w:after="0"/>
        <w:ind w:left="0"/>
        <w:jc w:val="left"/>
        <w:rPr>
          <w:rFonts w:cs="Arial-BoldMT"/>
          <w:sz w:val="24"/>
          <w:szCs w:val="24"/>
        </w:rPr>
      </w:pPr>
      <w:r w:rsidRPr="007F0129">
        <w:rPr>
          <w:rFonts w:eastAsia="Times New Roman"/>
          <w:b/>
          <w:kern w:val="2"/>
          <w:sz w:val="24"/>
          <w:szCs w:val="24"/>
        </w:rPr>
        <w:t xml:space="preserve">Alternative Option </w:t>
      </w:r>
      <w:r w:rsidR="008D0E5D" w:rsidRPr="007F0129">
        <w:rPr>
          <w:rFonts w:eastAsia="Times New Roman"/>
          <w:b/>
          <w:kern w:val="2"/>
          <w:sz w:val="24"/>
          <w:szCs w:val="24"/>
        </w:rPr>
        <w:t>1</w:t>
      </w:r>
      <w:r w:rsidRPr="007F0129">
        <w:rPr>
          <w:rFonts w:eastAsia="Times New Roman"/>
          <w:b/>
          <w:kern w:val="2"/>
          <w:sz w:val="24"/>
          <w:szCs w:val="24"/>
        </w:rPr>
        <w:t xml:space="preserve">: </w:t>
      </w:r>
      <w:r w:rsidR="00AC213C" w:rsidRPr="007F0129">
        <w:rPr>
          <w:rFonts w:eastAsia="Times New Roman"/>
          <w:b/>
          <w:kern w:val="2"/>
          <w:sz w:val="24"/>
          <w:szCs w:val="24"/>
        </w:rPr>
        <w:t xml:space="preserve">Renovate But Not Expand </w:t>
      </w:r>
      <w:r w:rsidR="000D2550" w:rsidRPr="007F0129">
        <w:rPr>
          <w:rFonts w:eastAsia="Times New Roman"/>
          <w:b/>
          <w:kern w:val="2"/>
          <w:sz w:val="24"/>
          <w:szCs w:val="24"/>
        </w:rPr>
        <w:t>Existing ED:</w:t>
      </w:r>
      <w:r w:rsidRPr="007F0129">
        <w:rPr>
          <w:rFonts w:eastAsia="Times New Roman"/>
          <w:kern w:val="2"/>
          <w:sz w:val="24"/>
          <w:szCs w:val="24"/>
        </w:rPr>
        <w:t xml:space="preserve"> </w:t>
      </w:r>
      <w:r w:rsidR="00A61486" w:rsidRPr="007F0129">
        <w:rPr>
          <w:rFonts w:eastAsia="Times New Roman"/>
          <w:kern w:val="2"/>
          <w:sz w:val="24"/>
          <w:szCs w:val="24"/>
        </w:rPr>
        <w:t>This alternative was rejected because</w:t>
      </w:r>
      <w:r w:rsidR="00E81637" w:rsidRPr="007F0129">
        <w:rPr>
          <w:rFonts w:eastAsia="Times New Roman"/>
          <w:kern w:val="2"/>
          <w:sz w:val="24"/>
          <w:szCs w:val="24"/>
        </w:rPr>
        <w:t xml:space="preserve"> the estimated additional capital expenditure is approximately $20 million over the cost of the Proposed Project</w:t>
      </w:r>
      <w:r w:rsidR="007F0129">
        <w:rPr>
          <w:rFonts w:eastAsia="Times New Roman"/>
          <w:kern w:val="2"/>
          <w:sz w:val="24"/>
          <w:szCs w:val="24"/>
        </w:rPr>
        <w:t xml:space="preserve"> due</w:t>
      </w:r>
      <w:r w:rsidR="00E81637" w:rsidRPr="007F0129">
        <w:rPr>
          <w:rFonts w:eastAsia="Times New Roman"/>
          <w:kern w:val="2"/>
          <w:sz w:val="24"/>
          <w:szCs w:val="24"/>
        </w:rPr>
        <w:t xml:space="preserve"> to a significantly longer construction timeline. During that time, the already overcrowded ED would need to be downsized while a portion of the ED was renovated at a time</w:t>
      </w:r>
      <w:r w:rsidR="00D95B3F">
        <w:rPr>
          <w:rFonts w:eastAsia="Times New Roman"/>
          <w:kern w:val="2"/>
          <w:sz w:val="24"/>
          <w:szCs w:val="24"/>
        </w:rPr>
        <w:t xml:space="preserve">, exacerbating </w:t>
      </w:r>
      <w:r w:rsidR="00D95B3F">
        <w:rPr>
          <w:rFonts w:cs="Arial-BoldMT"/>
          <w:sz w:val="24"/>
          <w:szCs w:val="24"/>
        </w:rPr>
        <w:t>already</w:t>
      </w:r>
      <w:r w:rsidR="007F0129" w:rsidRPr="007F0129">
        <w:rPr>
          <w:rFonts w:cs="Arial-BoldMT"/>
          <w:sz w:val="24"/>
          <w:szCs w:val="24"/>
        </w:rPr>
        <w:t xml:space="preserve"> strain</w:t>
      </w:r>
      <w:r w:rsidR="00D95B3F">
        <w:rPr>
          <w:rFonts w:cs="Arial-BoldMT"/>
          <w:sz w:val="24"/>
          <w:szCs w:val="24"/>
        </w:rPr>
        <w:t xml:space="preserve">ed </w:t>
      </w:r>
      <w:r w:rsidR="007F0129" w:rsidRPr="007F0129">
        <w:rPr>
          <w:rFonts w:cs="Arial-BoldMT"/>
          <w:sz w:val="24"/>
          <w:szCs w:val="24"/>
        </w:rPr>
        <w:t xml:space="preserve">capacity. Renovating in place without addressing the need for additional treatment space would compound existing inefficiencies and wait times. Patients would thus be at higher risk of adverse outcomes due to wait </w:t>
      </w:r>
      <w:r w:rsidR="007F0129" w:rsidRPr="007F0129">
        <w:rPr>
          <w:sz w:val="24"/>
          <w:szCs w:val="24"/>
        </w:rPr>
        <w:t>times</w:t>
      </w:r>
      <w:r w:rsidR="007F0129" w:rsidRPr="007F0129">
        <w:rPr>
          <w:rFonts w:cs="Arial-BoldMT"/>
          <w:sz w:val="24"/>
          <w:szCs w:val="24"/>
        </w:rPr>
        <w:t xml:space="preserve"> before receiving care, including an increased number of patients who will leave the ED without receiving care at all.</w:t>
      </w:r>
    </w:p>
    <w:p w14:paraId="302B8DA2" w14:textId="77777777" w:rsidR="00AB7578" w:rsidRPr="00D95B3F" w:rsidRDefault="00AB7578" w:rsidP="00A662DF">
      <w:pPr>
        <w:pStyle w:val="HBbj"/>
        <w:spacing w:after="0"/>
        <w:ind w:left="0"/>
        <w:jc w:val="left"/>
        <w:rPr>
          <w:rFonts w:cs="Arial-BoldMT"/>
          <w:sz w:val="24"/>
          <w:szCs w:val="24"/>
        </w:rPr>
      </w:pPr>
    </w:p>
    <w:p w14:paraId="7EC6A044" w14:textId="30506712" w:rsidR="00CF443C" w:rsidRPr="00AF7BA8" w:rsidRDefault="008D0E5D" w:rsidP="00A662DF">
      <w:pPr>
        <w:spacing w:after="0" w:line="240" w:lineRule="auto"/>
        <w:rPr>
          <w:rFonts w:ascii="Aptos" w:hAnsi="Aptos"/>
          <w:b/>
          <w:bCs/>
          <w:color w:val="000000" w:themeColor="text1"/>
          <w:sz w:val="20"/>
          <w:szCs w:val="20"/>
        </w:rPr>
      </w:pPr>
      <w:r w:rsidRPr="00CF443C">
        <w:rPr>
          <w:b/>
          <w:color w:val="000000"/>
          <w:sz w:val="24"/>
          <w:szCs w:val="24"/>
        </w:rPr>
        <w:t xml:space="preserve">Alternative Option 2: </w:t>
      </w:r>
      <w:r w:rsidR="00CF443C" w:rsidRPr="00CF443C">
        <w:rPr>
          <w:b/>
          <w:color w:val="000000"/>
          <w:sz w:val="24"/>
          <w:szCs w:val="24"/>
        </w:rPr>
        <w:t xml:space="preserve">Locate new Emergency Department in </w:t>
      </w:r>
      <w:r w:rsidR="000F0FA3">
        <w:rPr>
          <w:b/>
          <w:color w:val="000000"/>
          <w:sz w:val="24"/>
          <w:szCs w:val="24"/>
        </w:rPr>
        <w:t>O</w:t>
      </w:r>
      <w:r w:rsidR="00CF443C" w:rsidRPr="00CF443C">
        <w:rPr>
          <w:b/>
          <w:color w:val="000000"/>
          <w:sz w:val="24"/>
          <w:szCs w:val="24"/>
        </w:rPr>
        <w:t xml:space="preserve">ther </w:t>
      </w:r>
      <w:r w:rsidR="000F0FA3">
        <w:rPr>
          <w:b/>
          <w:color w:val="000000"/>
          <w:sz w:val="24"/>
          <w:szCs w:val="24"/>
        </w:rPr>
        <w:t>L</w:t>
      </w:r>
      <w:r w:rsidR="00CF443C" w:rsidRPr="00CF443C">
        <w:rPr>
          <w:b/>
          <w:color w:val="000000"/>
          <w:sz w:val="24"/>
          <w:szCs w:val="24"/>
        </w:rPr>
        <w:t xml:space="preserve">ocations on the </w:t>
      </w:r>
      <w:r w:rsidR="000F0FA3">
        <w:rPr>
          <w:b/>
          <w:color w:val="000000"/>
          <w:sz w:val="24"/>
          <w:szCs w:val="24"/>
        </w:rPr>
        <w:t>H</w:t>
      </w:r>
      <w:r w:rsidR="00CF443C" w:rsidRPr="00CF443C">
        <w:rPr>
          <w:b/>
          <w:color w:val="000000"/>
          <w:sz w:val="24"/>
          <w:szCs w:val="24"/>
        </w:rPr>
        <w:t xml:space="preserve">ospital </w:t>
      </w:r>
      <w:r w:rsidR="000F0FA3">
        <w:rPr>
          <w:b/>
          <w:color w:val="000000"/>
          <w:sz w:val="24"/>
          <w:szCs w:val="24"/>
        </w:rPr>
        <w:t>C</w:t>
      </w:r>
      <w:r w:rsidR="00CF443C" w:rsidRPr="00CF443C">
        <w:rPr>
          <w:b/>
          <w:color w:val="000000"/>
          <w:sz w:val="24"/>
          <w:szCs w:val="24"/>
        </w:rPr>
        <w:t>ampus</w:t>
      </w:r>
      <w:r w:rsidRPr="00CF443C">
        <w:rPr>
          <w:b/>
          <w:color w:val="000000"/>
          <w:sz w:val="24"/>
          <w:szCs w:val="24"/>
        </w:rPr>
        <w:t>:</w:t>
      </w:r>
      <w:r w:rsidR="00CF443C" w:rsidRPr="00CF443C">
        <w:rPr>
          <w:b/>
          <w:color w:val="000000"/>
          <w:sz w:val="24"/>
          <w:szCs w:val="24"/>
        </w:rPr>
        <w:t xml:space="preserve"> </w:t>
      </w:r>
      <w:r w:rsidR="00CF443C" w:rsidRPr="00CF443C">
        <w:rPr>
          <w:rFonts w:cstheme="minorHAnsi"/>
          <w:color w:val="000000" w:themeColor="text1"/>
          <w:sz w:val="24"/>
          <w:szCs w:val="24"/>
        </w:rPr>
        <w:t>The Hospital explored alternative locations for the new Emergency Department addition</w:t>
      </w:r>
      <w:r w:rsidR="00586D36">
        <w:rPr>
          <w:rFonts w:cstheme="minorHAnsi"/>
          <w:color w:val="000000" w:themeColor="text1"/>
          <w:sz w:val="24"/>
          <w:szCs w:val="24"/>
        </w:rPr>
        <w:t xml:space="preserve">, noting that </w:t>
      </w:r>
      <w:r w:rsidR="00CF443C" w:rsidRPr="00CF443C">
        <w:rPr>
          <w:rFonts w:cstheme="minorHAnsi"/>
          <w:color w:val="000000" w:themeColor="text1"/>
          <w:sz w:val="24"/>
          <w:szCs w:val="24"/>
        </w:rPr>
        <w:t xml:space="preserve">the options are very limited by the size of the hospital campus. Most options were varying combinations of renovating the existing space with an addition on one of the exterior sides. Relocating the ED to the other side of the hospital, near the ICU was also considered. The capital expenses of renovating the existing ED with a build-out or building an </w:t>
      </w:r>
      <w:r w:rsidR="00CF443C" w:rsidRPr="00CF443C">
        <w:rPr>
          <w:rFonts w:cstheme="minorHAnsi"/>
          <w:color w:val="000000" w:themeColor="text1"/>
          <w:sz w:val="24"/>
          <w:szCs w:val="24"/>
        </w:rPr>
        <w:lastRenderedPageBreak/>
        <w:t>addition for the ED on the other side of the buildings both exceed the proposed option. The difference in grade made the alternate side option difficult (in terms of lining up floors / entry into the building) and expensive. The renovation with an addition option would further exacerbate wait times and ED overcrowding as parts of the existing space would be taken out one at a time for renovation. This would result in worsening patient health outcomes and decreased patient satisfaction.</w:t>
      </w:r>
      <w:r w:rsidR="00CF443C" w:rsidRPr="00AF7BA8">
        <w:rPr>
          <w:rFonts w:ascii="Aptos" w:hAnsi="Aptos"/>
          <w:b/>
          <w:bCs/>
          <w:color w:val="000000" w:themeColor="text1"/>
          <w:sz w:val="20"/>
          <w:szCs w:val="20"/>
        </w:rPr>
        <w:t xml:space="preserve"> </w:t>
      </w:r>
    </w:p>
    <w:p w14:paraId="683854D4" w14:textId="41EB8DB8" w:rsidR="00A91BA2" w:rsidRPr="00CF443C" w:rsidRDefault="00A91BA2" w:rsidP="00A662DF">
      <w:pPr>
        <w:autoSpaceDE w:val="0"/>
        <w:autoSpaceDN w:val="0"/>
        <w:adjustRightInd w:val="0"/>
        <w:spacing w:after="0" w:line="240" w:lineRule="auto"/>
        <w:rPr>
          <w:rFonts w:eastAsia="Times New Roman"/>
          <w:kern w:val="2"/>
          <w:sz w:val="24"/>
          <w:szCs w:val="24"/>
        </w:rPr>
      </w:pPr>
    </w:p>
    <w:p w14:paraId="634575E0" w14:textId="77777777" w:rsidR="00600415" w:rsidRPr="00CF443C" w:rsidRDefault="00600415" w:rsidP="0026036D">
      <w:pPr>
        <w:spacing w:after="0" w:line="240" w:lineRule="auto"/>
        <w:rPr>
          <w:b/>
          <w:bCs/>
          <w:i/>
          <w:iCs/>
          <w:sz w:val="24"/>
          <w:szCs w:val="24"/>
        </w:rPr>
      </w:pPr>
      <w:r w:rsidRPr="00CF443C">
        <w:rPr>
          <w:b/>
          <w:bCs/>
          <w:i/>
          <w:iCs/>
          <w:sz w:val="24"/>
          <w:szCs w:val="24"/>
        </w:rPr>
        <w:t>Analysis</w:t>
      </w:r>
    </w:p>
    <w:p w14:paraId="634995B1" w14:textId="1570CC5E" w:rsidR="003E1CDA" w:rsidRPr="00CF443C" w:rsidRDefault="00600415" w:rsidP="0026036D">
      <w:pPr>
        <w:spacing w:after="0" w:line="240" w:lineRule="auto"/>
        <w:rPr>
          <w:sz w:val="24"/>
          <w:szCs w:val="24"/>
        </w:rPr>
      </w:pPr>
      <w:r w:rsidRPr="00CF443C">
        <w:rPr>
          <w:sz w:val="24"/>
          <w:szCs w:val="24"/>
        </w:rPr>
        <w:t>S</w:t>
      </w:r>
      <w:r w:rsidR="003E1CDA" w:rsidRPr="00CF443C">
        <w:rPr>
          <w:sz w:val="24"/>
          <w:szCs w:val="24"/>
        </w:rPr>
        <w:t xml:space="preserve">taff finds that the Applicant has appropriately considered the quality, efficiency, and capital and operating costs of the Proposed Project relative to </w:t>
      </w:r>
      <w:r w:rsidR="00B630AD" w:rsidRPr="00CF443C">
        <w:rPr>
          <w:sz w:val="24"/>
          <w:szCs w:val="24"/>
        </w:rPr>
        <w:t xml:space="preserve">the </w:t>
      </w:r>
      <w:r w:rsidR="003E1CDA" w:rsidRPr="00CF443C">
        <w:rPr>
          <w:sz w:val="24"/>
          <w:szCs w:val="24"/>
        </w:rPr>
        <w:t>potential alternative. As a result of information provided by the Applicant and additional analysis, staff finds the Applicant has reasonably met the standards of Factor 5.</w:t>
      </w:r>
    </w:p>
    <w:p w14:paraId="57F0E0A7" w14:textId="77777777" w:rsidR="001D570C" w:rsidRPr="00E20DEA" w:rsidRDefault="001D570C" w:rsidP="0026036D">
      <w:pPr>
        <w:spacing w:after="0" w:line="240" w:lineRule="auto"/>
        <w:rPr>
          <w:sz w:val="24"/>
          <w:szCs w:val="24"/>
          <w:highlight w:val="yellow"/>
        </w:rPr>
      </w:pPr>
    </w:p>
    <w:p w14:paraId="28CCA38F" w14:textId="17C4E6B9" w:rsidR="008213E7" w:rsidRPr="00983CF0" w:rsidRDefault="00FA6CD1" w:rsidP="00A662DF">
      <w:pPr>
        <w:pStyle w:val="Heading1"/>
        <w:spacing w:before="0" w:line="240" w:lineRule="auto"/>
      </w:pPr>
      <w:bookmarkStart w:id="26" w:name="_Toc192247641"/>
      <w:r w:rsidRPr="00983CF0">
        <w:t>Factor 6: Fulfillment of DPH Community-based Health Initiatives</w:t>
      </w:r>
      <w:bookmarkEnd w:id="26"/>
    </w:p>
    <w:p w14:paraId="5136247A"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i/>
          <w:iCs/>
          <w:color w:val="000000"/>
          <w:sz w:val="24"/>
          <w:szCs w:val="24"/>
          <w:shd w:val="clear" w:color="auto" w:fill="FFFFFF"/>
        </w:rPr>
        <w:t>Summary, relevant background and context for this application:</w:t>
      </w:r>
      <w:r w:rsidRPr="00983CF0">
        <w:rPr>
          <w:rFonts w:ascii="Calibri" w:hAnsi="Calibri" w:cs="Calibri"/>
          <w:color w:val="000000"/>
          <w:sz w:val="24"/>
          <w:szCs w:val="24"/>
          <w:shd w:val="clear" w:color="auto" w:fill="FFFFFF"/>
        </w:rPr>
        <w:t xml:space="preserve"> To fulfill Factor 6 requirements, the Applicant submitted a CHI Narrative, Self-Assessment, Community Engagement Plan, Partner Assessments, and the Applicant's 2022 Community Health Needs Assessment (CHNA) and 2023-25 Implementation Plan. </w:t>
      </w:r>
    </w:p>
    <w:p w14:paraId="25223423"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color w:val="000000"/>
          <w:sz w:val="24"/>
          <w:szCs w:val="24"/>
          <w:shd w:val="clear" w:color="auto" w:fill="FFFFFF"/>
        </w:rPr>
        <w:t> </w:t>
      </w:r>
    </w:p>
    <w:p w14:paraId="2C36F80F"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color w:val="000000"/>
          <w:sz w:val="24"/>
          <w:szCs w:val="24"/>
          <w:shd w:val="clear" w:color="auto" w:fill="FFFFFF"/>
        </w:rPr>
        <w:t>DPH agrees that the Applicant can utilize their community engagement processes for their 2025 CHNA to support the community engagement requirements for CHI project implementation. Additionally, the Applicant will engage its Community Benefits Advisory Council (CBAC) to select priorities and identify strategies for CHI implementation with the funds associated with this project. To align with CHI principles, the Applicant will engage at regular intervals with the CHI team to build capacity for deeper health equity and community engagement work.  </w:t>
      </w:r>
    </w:p>
    <w:p w14:paraId="53D72D04"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color w:val="000000"/>
          <w:sz w:val="24"/>
          <w:szCs w:val="24"/>
          <w:shd w:val="clear" w:color="auto" w:fill="FFFFFF"/>
        </w:rPr>
        <w:t> </w:t>
      </w:r>
    </w:p>
    <w:p w14:paraId="00E6DCEE"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b/>
          <w:bCs/>
          <w:color w:val="000000"/>
          <w:sz w:val="24"/>
          <w:szCs w:val="24"/>
          <w:shd w:val="clear" w:color="auto" w:fill="FFFFFF"/>
        </w:rPr>
        <w:t>The 2022 CHNA</w:t>
      </w:r>
      <w:r w:rsidRPr="00983CF0">
        <w:rPr>
          <w:rFonts w:ascii="Calibri" w:hAnsi="Calibri" w:cs="Calibri"/>
          <w:color w:val="000000"/>
          <w:sz w:val="24"/>
          <w:szCs w:val="24"/>
          <w:shd w:val="clear" w:color="auto" w:fill="FFFFFF"/>
        </w:rPr>
        <w:t xml:space="preserve"> assessed the Applicant’s primary (Attleboro, Foxborough, Mansfield, North Attleboro, Norton, Plainville, Seekonk, Rehoboth, and Wrentham) and secondary (Norfolk, Sharon, and Walpole) service areas. All demographic and health indicator data was compiled into service area level and county level data (Norfolk and Bristol Counties). The CHNA analyzed secondary data and online key informant surveys to capture socioeconomic factors, health behaviors and health outcomes. Key community health issues highlighted in the CHNA and prioritized in the </w:t>
      </w:r>
      <w:r w:rsidRPr="00983CF0">
        <w:rPr>
          <w:rFonts w:ascii="Calibri" w:hAnsi="Calibri" w:cs="Calibri"/>
          <w:b/>
          <w:bCs/>
          <w:color w:val="000000"/>
          <w:sz w:val="24"/>
          <w:szCs w:val="24"/>
          <w:shd w:val="clear" w:color="auto" w:fill="FFFFFF"/>
        </w:rPr>
        <w:t xml:space="preserve">2023-25 Implementation Plan (IP) </w:t>
      </w:r>
      <w:r w:rsidRPr="00983CF0">
        <w:rPr>
          <w:rFonts w:ascii="Calibri" w:hAnsi="Calibri" w:cs="Calibri"/>
          <w:color w:val="000000"/>
          <w:sz w:val="24"/>
          <w:szCs w:val="24"/>
          <w:shd w:val="clear" w:color="auto" w:fill="FFFFFF"/>
        </w:rPr>
        <w:t>included: access to healthcare and prevention services, affordable housing and income, mental/behavioral health and substance abuse, mortality and chronic disease management, and obesity and weight management.  </w:t>
      </w:r>
    </w:p>
    <w:p w14:paraId="33B64E35"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color w:val="000000"/>
          <w:sz w:val="24"/>
          <w:szCs w:val="24"/>
          <w:shd w:val="clear" w:color="auto" w:fill="FFFFFF"/>
        </w:rPr>
        <w:t> </w:t>
      </w:r>
    </w:p>
    <w:p w14:paraId="73E3267C"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color w:val="000000"/>
          <w:sz w:val="24"/>
          <w:szCs w:val="24"/>
          <w:shd w:val="clear" w:color="auto" w:fill="FFFFFF"/>
        </w:rPr>
        <w:t>Using the 2022 CHNA and the 2023-25 IP, the Applicant will engage its CBAC and apply a health and racial equity framework to select health priorities and identify social determinant of health level implementation strategies for the proposed project’s local CHI funds.  </w:t>
      </w:r>
    </w:p>
    <w:p w14:paraId="6C486994"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color w:val="000000"/>
          <w:sz w:val="24"/>
          <w:szCs w:val="24"/>
          <w:shd w:val="clear" w:color="auto" w:fill="FFFFFF"/>
        </w:rPr>
        <w:t> </w:t>
      </w:r>
    </w:p>
    <w:p w14:paraId="31074508"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b/>
          <w:bCs/>
          <w:color w:val="000000"/>
          <w:sz w:val="24"/>
          <w:szCs w:val="24"/>
          <w:shd w:val="clear" w:color="auto" w:fill="FFFFFF"/>
        </w:rPr>
        <w:lastRenderedPageBreak/>
        <w:t xml:space="preserve">The Self-Assessment </w:t>
      </w:r>
      <w:r w:rsidRPr="00983CF0">
        <w:rPr>
          <w:rFonts w:ascii="Calibri" w:hAnsi="Calibri" w:cs="Calibri"/>
          <w:color w:val="000000"/>
          <w:sz w:val="24"/>
          <w:szCs w:val="24"/>
          <w:shd w:val="clear" w:color="auto" w:fill="FFFFFF"/>
        </w:rPr>
        <w:t>provided a summary of community engagement processes and data highlights related to topics and themes of community issues highlighted in the existing CHNA/IP and upcoming 2025 CHNA. Through primary data collection (key informant surveys) and secondary data analysis, the Applicant and participating community partners identified the key needs outlined in the 2022 CHNA and 2023-25 IP.  </w:t>
      </w:r>
    </w:p>
    <w:p w14:paraId="7EF01DE4"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color w:val="000000"/>
          <w:sz w:val="24"/>
          <w:szCs w:val="24"/>
          <w:shd w:val="clear" w:color="auto" w:fill="FFFFFF"/>
        </w:rPr>
        <w:t> </w:t>
      </w:r>
    </w:p>
    <w:p w14:paraId="5CB7B9CC"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color w:val="000000"/>
          <w:sz w:val="24"/>
          <w:szCs w:val="24"/>
          <w:shd w:val="clear" w:color="auto" w:fill="FFFFFF"/>
        </w:rPr>
        <w:t>With the upcoming 2025-27 CHNA/IP processes, the Applicant’s Self-Assessment also noted the need to capture primary and secondary data related to gender identity, sexual orientation, age, disability status, socioeconomic status and geographic location, in addition to race and ethnicity. Quantitative and qualitative data collection (E.g., focus groups) from communities of focus will strengthen overall community engagement practices and is critical to ensure the Applicant engages those most impacted by community health needs in the CHI implementation process. </w:t>
      </w:r>
    </w:p>
    <w:p w14:paraId="0F5FBEA0"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color w:val="000000"/>
          <w:sz w:val="24"/>
          <w:szCs w:val="24"/>
          <w:shd w:val="clear" w:color="auto" w:fill="FFFFFF"/>
        </w:rPr>
        <w:t> </w:t>
      </w:r>
    </w:p>
    <w:p w14:paraId="6720A8BC"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b/>
          <w:bCs/>
          <w:color w:val="000000"/>
          <w:sz w:val="24"/>
          <w:szCs w:val="24"/>
          <w:shd w:val="clear" w:color="auto" w:fill="FFFFFF"/>
        </w:rPr>
        <w:t xml:space="preserve">Community Engagement Plan </w:t>
      </w:r>
      <w:r w:rsidRPr="00983CF0">
        <w:rPr>
          <w:rFonts w:ascii="Calibri" w:hAnsi="Calibri" w:cs="Calibri"/>
          <w:color w:val="000000"/>
          <w:sz w:val="24"/>
          <w:szCs w:val="24"/>
          <w:shd w:val="clear" w:color="auto" w:fill="FFFFFF"/>
        </w:rPr>
        <w:t>provided background information for, and explanation of synergies with the upcoming 2025-2027 CHNA/IP planning and CHI implementation processes. These elements focused on the 2025 CHNA community engagement processes and how the Applicant plans to include the CHI planning as part of key partner interviews, focus groups and community conversations. Levels of engagement in all activity areas were identified for the CHNA/IP processes and key CHI implementation phases from selecting health priorities to evaluating actions. </w:t>
      </w:r>
    </w:p>
    <w:p w14:paraId="6AF61F5E"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color w:val="000000"/>
          <w:sz w:val="24"/>
          <w:szCs w:val="24"/>
          <w:shd w:val="clear" w:color="auto" w:fill="FFFFFF"/>
        </w:rPr>
        <w:t> </w:t>
      </w:r>
    </w:p>
    <w:p w14:paraId="7F1E48A3"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b/>
          <w:bCs/>
          <w:color w:val="000000"/>
          <w:sz w:val="24"/>
          <w:szCs w:val="24"/>
          <w:shd w:val="clear" w:color="auto" w:fill="FFFFFF"/>
        </w:rPr>
        <w:t>Partner Assessments</w:t>
      </w:r>
      <w:r w:rsidRPr="00983CF0">
        <w:rPr>
          <w:rFonts w:ascii="Calibri" w:hAnsi="Calibri" w:cs="Calibri"/>
          <w:color w:val="000000"/>
          <w:sz w:val="24"/>
          <w:szCs w:val="24"/>
          <w:shd w:val="clear" w:color="auto" w:fill="FFFFFF"/>
        </w:rPr>
        <w:t xml:space="preserve"> (formally known as Stakeholder Assessments) submitted provided information on the individuals’ engagement levels (e.g. their personal participation and role) and their analysis of how the Applicant engaged the community in community health improvement planning processes. The information provided in these forms was largely consistent with the self-assessment conducted by the Applicant. </w:t>
      </w:r>
    </w:p>
    <w:p w14:paraId="47D5A035"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color w:val="000000"/>
          <w:sz w:val="24"/>
          <w:szCs w:val="24"/>
          <w:shd w:val="clear" w:color="auto" w:fill="FFFFFF"/>
        </w:rPr>
        <w:t> </w:t>
      </w:r>
    </w:p>
    <w:p w14:paraId="696FE8FE"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b/>
          <w:bCs/>
          <w:color w:val="000000"/>
          <w:sz w:val="24"/>
          <w:szCs w:val="24"/>
          <w:shd w:val="clear" w:color="auto" w:fill="FFFFFF"/>
        </w:rPr>
        <w:t>The CHI Narrative</w:t>
      </w:r>
      <w:r w:rsidRPr="00983CF0">
        <w:rPr>
          <w:rFonts w:ascii="Calibri" w:hAnsi="Calibri" w:cs="Calibri"/>
          <w:color w:val="000000"/>
          <w:sz w:val="24"/>
          <w:szCs w:val="24"/>
          <w:shd w:val="clear" w:color="auto" w:fill="FFFFFF"/>
        </w:rPr>
        <w:t xml:space="preserve"> provided background and overview information for the CHI processes, including the CHI funds breakdown, the anticipated timeline for CHI activities, and the use of funding for evaluation and administrative activities. With the administrative funds, the Applicant’s early plans are to develop and disseminate communication materials and support participation through meeting promotion and engagement barrier reduction activities. The timeline, RFP processes, and use of evaluation and administrative funds are appropriate and in line with CHI planning guidelines.  </w:t>
      </w:r>
    </w:p>
    <w:p w14:paraId="054A4D04"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color w:val="000000"/>
          <w:sz w:val="24"/>
          <w:szCs w:val="24"/>
          <w:shd w:val="clear" w:color="auto" w:fill="FFFFFF"/>
        </w:rPr>
        <w:t> </w:t>
      </w:r>
    </w:p>
    <w:p w14:paraId="0E7945C8" w14:textId="07A8BC91"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color w:val="000000"/>
          <w:sz w:val="24"/>
          <w:szCs w:val="24"/>
          <w:shd w:val="clear" w:color="auto" w:fill="FFFFFF"/>
        </w:rPr>
        <w:t xml:space="preserve">In the 2022 CHNA/IP, the Applicant highlights some </w:t>
      </w:r>
      <w:r w:rsidR="002E357F">
        <w:rPr>
          <w:rFonts w:ascii="Calibri" w:hAnsi="Calibri" w:cs="Calibri"/>
          <w:color w:val="000000"/>
          <w:sz w:val="24"/>
          <w:szCs w:val="24"/>
          <w:shd w:val="clear" w:color="auto" w:fill="FFFFFF"/>
        </w:rPr>
        <w:t>SDoH</w:t>
      </w:r>
      <w:r w:rsidRPr="00983CF0">
        <w:rPr>
          <w:rFonts w:ascii="Calibri" w:hAnsi="Calibri" w:cs="Calibri"/>
          <w:color w:val="000000"/>
          <w:sz w:val="24"/>
          <w:szCs w:val="24"/>
          <w:shd w:val="clear" w:color="auto" w:fill="FFFFFF"/>
        </w:rPr>
        <w:t xml:space="preserve"> areas, including housing and education, and should do the same in the 2025-27 CHNA/IP as well as expand to include other </w:t>
      </w:r>
      <w:r w:rsidR="002E357F">
        <w:rPr>
          <w:rFonts w:ascii="Calibri" w:hAnsi="Calibri" w:cs="Calibri"/>
          <w:color w:val="000000"/>
          <w:sz w:val="24"/>
          <w:szCs w:val="24"/>
          <w:shd w:val="clear" w:color="auto" w:fill="FFFFFF"/>
        </w:rPr>
        <w:t>SDoH</w:t>
      </w:r>
      <w:r w:rsidRPr="00983CF0">
        <w:rPr>
          <w:rFonts w:ascii="Calibri" w:hAnsi="Calibri" w:cs="Calibri"/>
          <w:color w:val="000000"/>
          <w:sz w:val="24"/>
          <w:szCs w:val="24"/>
          <w:shd w:val="clear" w:color="auto" w:fill="FFFFFF"/>
        </w:rPr>
        <w:t xml:space="preserve"> areas (E.g., transportation, built environment, social environment, violence and trauma) highlighted in the </w:t>
      </w:r>
      <w:hyperlink r:id="rId9" w:tgtFrame="_blank" w:history="1">
        <w:r w:rsidRPr="00013034">
          <w:rPr>
            <w:rStyle w:val="Hyperlink"/>
            <w:rFonts w:ascii="Calibri" w:hAnsi="Calibri" w:cs="Calibri"/>
            <w:color w:val="2F5496" w:themeColor="accent1" w:themeShade="BF"/>
            <w:sz w:val="24"/>
            <w:szCs w:val="24"/>
            <w:shd w:val="clear" w:color="auto" w:fill="FFFFFF"/>
          </w:rPr>
          <w:t>Health Priorities Guideline</w:t>
        </w:r>
      </w:hyperlink>
      <w:r w:rsidRPr="00983CF0">
        <w:rPr>
          <w:rFonts w:ascii="Calibri" w:hAnsi="Calibri" w:cs="Calibri"/>
          <w:color w:val="000000"/>
          <w:sz w:val="24"/>
          <w:szCs w:val="24"/>
          <w:shd w:val="clear" w:color="auto" w:fill="FFFFFF"/>
        </w:rPr>
        <w:t xml:space="preserve"> to ensure selection of CHI implementation strategies that meet CHI principles. This will help the Applicant to focus on the priority areas in the upcoming CHNA that allow for implementation at the root cause level.  </w:t>
      </w:r>
    </w:p>
    <w:p w14:paraId="5D76CD64"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color w:val="000000"/>
          <w:sz w:val="24"/>
          <w:szCs w:val="24"/>
          <w:shd w:val="clear" w:color="auto" w:fill="FFFFFF"/>
        </w:rPr>
        <w:t> </w:t>
      </w:r>
    </w:p>
    <w:p w14:paraId="31B256F6" w14:textId="77777777"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color w:val="000000"/>
          <w:sz w:val="24"/>
          <w:szCs w:val="24"/>
          <w:shd w:val="clear" w:color="auto" w:fill="FFFFFF"/>
        </w:rPr>
        <w:lastRenderedPageBreak/>
        <w:t>The Applicant will work with its CBAC, an advisory body that is separate from Sturdy’s Patient and Family Advisory Council (PFAC), to select CHI priorities and approve implementation strategies. DPH staff have determined that if the Applicant agrees to assess and address community conditions and root causes while engaging in ongoing work with their CBAC, CHI investment will align appropriately with the Health Priorities Guideline. The Applicant will also have additional touchpoints with CHI staff to share updates and lessons learned on the 2025 CHNA/IP community engagement efforts to ensure sound processes for planning and implementation work moving forward.    </w:t>
      </w:r>
    </w:p>
    <w:p w14:paraId="5AB38D2A" w14:textId="77777777" w:rsid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color w:val="000000"/>
          <w:sz w:val="24"/>
          <w:szCs w:val="24"/>
          <w:shd w:val="clear" w:color="auto" w:fill="FFFFFF"/>
        </w:rPr>
        <w:t> </w:t>
      </w:r>
    </w:p>
    <w:p w14:paraId="74E55072" w14:textId="77777777" w:rsidR="00983CF0" w:rsidRPr="00983CF0" w:rsidRDefault="00983CF0" w:rsidP="00983CF0">
      <w:pPr>
        <w:spacing w:after="0" w:line="240" w:lineRule="auto"/>
        <w:ind w:right="540"/>
        <w:rPr>
          <w:rFonts w:ascii="Calibri" w:hAnsi="Calibri" w:cs="Calibri"/>
          <w:b/>
          <w:bCs/>
          <w:i/>
          <w:iCs/>
          <w:color w:val="000000"/>
          <w:sz w:val="24"/>
          <w:szCs w:val="24"/>
          <w:shd w:val="clear" w:color="auto" w:fill="FFFFFF"/>
        </w:rPr>
      </w:pPr>
      <w:r w:rsidRPr="00983CF0">
        <w:rPr>
          <w:rFonts w:ascii="Calibri" w:hAnsi="Calibri" w:cs="Calibri"/>
          <w:b/>
          <w:bCs/>
          <w:i/>
          <w:iCs/>
          <w:color w:val="000000"/>
          <w:sz w:val="24"/>
          <w:szCs w:val="24"/>
          <w:shd w:val="clear" w:color="auto" w:fill="FFFFFF"/>
        </w:rPr>
        <w:t>Analysis</w:t>
      </w:r>
    </w:p>
    <w:p w14:paraId="33F77944" w14:textId="21026B91" w:rsidR="00983CF0" w:rsidRPr="00983CF0" w:rsidRDefault="00983CF0" w:rsidP="00983CF0">
      <w:pPr>
        <w:spacing w:after="0" w:line="240" w:lineRule="auto"/>
        <w:ind w:right="540"/>
        <w:rPr>
          <w:rFonts w:ascii="Calibri" w:hAnsi="Calibri" w:cs="Calibri"/>
          <w:color w:val="000000"/>
          <w:sz w:val="24"/>
          <w:szCs w:val="24"/>
          <w:shd w:val="clear" w:color="auto" w:fill="FFFFFF"/>
        </w:rPr>
      </w:pPr>
      <w:r w:rsidRPr="00983CF0">
        <w:rPr>
          <w:rFonts w:ascii="Calibri" w:hAnsi="Calibri" w:cs="Calibri"/>
          <w:color w:val="000000"/>
          <w:sz w:val="24"/>
          <w:szCs w:val="24"/>
          <w:shd w:val="clear" w:color="auto" w:fill="FFFFFF"/>
        </w:rPr>
        <w:t>As a result of information provided by the Applicant and additional analysis, staff finds that with the conditions outlined below, and the ongoing communication on items for improvement outlined above, the Applicant will have demonstrated that the Proposed Project has met Factor 6.    </w:t>
      </w:r>
    </w:p>
    <w:p w14:paraId="054EC057" w14:textId="77777777" w:rsidR="000E3CCB" w:rsidRPr="00E20DEA" w:rsidRDefault="000E3CCB" w:rsidP="00FA74CC">
      <w:pPr>
        <w:spacing w:after="0" w:line="240" w:lineRule="auto"/>
        <w:ind w:right="540"/>
        <w:rPr>
          <w:rFonts w:ascii="Calibri" w:eastAsia="Times New Roman" w:hAnsi="Calibri" w:cs="Times New Roman"/>
          <w:b/>
          <w:bCs/>
          <w:i/>
          <w:iCs/>
          <w:color w:val="000000"/>
          <w:sz w:val="24"/>
          <w:szCs w:val="24"/>
          <w:highlight w:val="yellow"/>
        </w:rPr>
      </w:pPr>
    </w:p>
    <w:p w14:paraId="36ACF3A1" w14:textId="10DCD567" w:rsidR="003E1CDA" w:rsidRPr="00983CF0" w:rsidRDefault="006578AD" w:rsidP="00A662DF">
      <w:pPr>
        <w:pStyle w:val="Heading1"/>
        <w:spacing w:before="0" w:line="240" w:lineRule="auto"/>
      </w:pPr>
      <w:bookmarkStart w:id="27" w:name="_Toc192247642"/>
      <w:r w:rsidRPr="00983CF0">
        <w:t xml:space="preserve">Overall </w:t>
      </w:r>
      <w:r w:rsidR="003E1CDA" w:rsidRPr="00983CF0">
        <w:t>Findings and Recommendations</w:t>
      </w:r>
      <w:bookmarkEnd w:id="27"/>
      <w:r w:rsidR="003E1CDA" w:rsidRPr="00983CF0">
        <w:t xml:space="preserve"> </w:t>
      </w:r>
    </w:p>
    <w:p w14:paraId="240B4334" w14:textId="33B2D95C" w:rsidR="003E1CDA" w:rsidRPr="00983CF0" w:rsidRDefault="003E1CDA" w:rsidP="003E1CDA">
      <w:pPr>
        <w:spacing w:after="0" w:line="240" w:lineRule="auto"/>
        <w:rPr>
          <w:sz w:val="24"/>
          <w:szCs w:val="24"/>
        </w:rPr>
      </w:pPr>
      <w:r w:rsidRPr="00983CF0">
        <w:rPr>
          <w:sz w:val="24"/>
          <w:szCs w:val="24"/>
        </w:rPr>
        <w:t xml:space="preserve">Based upon a review of the materials submitted, Staff finds that, with the addition of the recommended conditions detailed below, the Applicant has met each DoN Factor for the Proposed </w:t>
      </w:r>
      <w:r w:rsidR="003D35D8" w:rsidRPr="00983CF0">
        <w:rPr>
          <w:sz w:val="24"/>
          <w:szCs w:val="24"/>
        </w:rPr>
        <w:t>Project and</w:t>
      </w:r>
      <w:r w:rsidRPr="00983CF0">
        <w:rPr>
          <w:sz w:val="24"/>
          <w:szCs w:val="24"/>
        </w:rPr>
        <w:t xml:space="preserve"> recommends that the Department approve this Determination of Need, subject to all applicable standard and Other Conditions. </w:t>
      </w:r>
    </w:p>
    <w:p w14:paraId="6809D2AC" w14:textId="56FBA335" w:rsidR="005F2DE7" w:rsidRPr="00E20DEA" w:rsidRDefault="005F2DE7" w:rsidP="00A662DF">
      <w:pPr>
        <w:spacing w:after="0" w:line="240" w:lineRule="auto"/>
        <w:rPr>
          <w:b/>
          <w:bCs/>
          <w:sz w:val="24"/>
          <w:szCs w:val="24"/>
          <w:highlight w:val="yellow"/>
        </w:rPr>
      </w:pPr>
    </w:p>
    <w:p w14:paraId="4264FCD5" w14:textId="3D1A43DC" w:rsidR="0088016D" w:rsidRPr="00983CF0" w:rsidRDefault="00FA6CD1" w:rsidP="00A662DF">
      <w:pPr>
        <w:pStyle w:val="Heading1"/>
        <w:spacing w:before="0" w:line="240" w:lineRule="auto"/>
      </w:pPr>
      <w:bookmarkStart w:id="28" w:name="_Toc192247643"/>
      <w:r>
        <w:t>Conditions to the DoN</w:t>
      </w:r>
      <w:bookmarkEnd w:id="28"/>
    </w:p>
    <w:p w14:paraId="4137EB2E" w14:textId="77777777" w:rsidR="00983CF0" w:rsidRPr="00983CF0" w:rsidRDefault="00983CF0" w:rsidP="00A662DF">
      <w:pPr>
        <w:numPr>
          <w:ilvl w:val="0"/>
          <w:numId w:val="24"/>
        </w:numPr>
        <w:spacing w:after="0" w:line="240" w:lineRule="auto"/>
        <w:rPr>
          <w:sz w:val="24"/>
          <w:szCs w:val="24"/>
        </w:rPr>
      </w:pPr>
      <w:r w:rsidRPr="00983CF0">
        <w:rPr>
          <w:sz w:val="24"/>
          <w:szCs w:val="24"/>
        </w:rPr>
        <w:t>Of the total required CHI contribution of $4,072,075.10 </w:t>
      </w:r>
    </w:p>
    <w:p w14:paraId="194612B0" w14:textId="77777777" w:rsidR="00983CF0" w:rsidRPr="00983CF0" w:rsidRDefault="00983CF0" w:rsidP="00A662DF">
      <w:pPr>
        <w:numPr>
          <w:ilvl w:val="0"/>
          <w:numId w:val="25"/>
        </w:numPr>
        <w:tabs>
          <w:tab w:val="num" w:pos="720"/>
        </w:tabs>
        <w:spacing w:after="0" w:line="240" w:lineRule="auto"/>
        <w:rPr>
          <w:sz w:val="24"/>
          <w:szCs w:val="24"/>
        </w:rPr>
      </w:pPr>
      <w:r w:rsidRPr="00983CF0">
        <w:rPr>
          <w:sz w:val="24"/>
          <w:szCs w:val="24"/>
        </w:rPr>
        <w:t>$997,658.40 will be directed to the CHI Statewide Initiative. </w:t>
      </w:r>
    </w:p>
    <w:p w14:paraId="3047AEA6" w14:textId="77777777" w:rsidR="00983CF0" w:rsidRPr="00983CF0" w:rsidRDefault="00983CF0" w:rsidP="00A662DF">
      <w:pPr>
        <w:numPr>
          <w:ilvl w:val="0"/>
          <w:numId w:val="26"/>
        </w:numPr>
        <w:tabs>
          <w:tab w:val="num" w:pos="720"/>
        </w:tabs>
        <w:spacing w:after="0" w:line="240" w:lineRule="auto"/>
        <w:rPr>
          <w:sz w:val="24"/>
          <w:szCs w:val="24"/>
        </w:rPr>
      </w:pPr>
      <w:r w:rsidRPr="00983CF0">
        <w:rPr>
          <w:sz w:val="24"/>
          <w:szCs w:val="24"/>
        </w:rPr>
        <w:t>$2,992,975.20 will be dedicated to local approaches to the DoN Health Priorities.   </w:t>
      </w:r>
    </w:p>
    <w:p w14:paraId="4903DF6F" w14:textId="77777777" w:rsidR="00983CF0" w:rsidRPr="00983CF0" w:rsidRDefault="00983CF0" w:rsidP="00A662DF">
      <w:pPr>
        <w:numPr>
          <w:ilvl w:val="0"/>
          <w:numId w:val="27"/>
        </w:numPr>
        <w:tabs>
          <w:tab w:val="num" w:pos="720"/>
        </w:tabs>
        <w:spacing w:after="0" w:line="240" w:lineRule="auto"/>
        <w:rPr>
          <w:sz w:val="24"/>
          <w:szCs w:val="24"/>
        </w:rPr>
      </w:pPr>
      <w:r w:rsidRPr="00983CF0">
        <w:rPr>
          <w:sz w:val="24"/>
          <w:szCs w:val="24"/>
        </w:rPr>
        <w:t>$81,441.50 will be designated as the administrative fee.  </w:t>
      </w:r>
    </w:p>
    <w:p w14:paraId="50282EE4" w14:textId="77777777" w:rsidR="0088016D" w:rsidRPr="00983CF0" w:rsidRDefault="0088016D" w:rsidP="00A662DF">
      <w:pPr>
        <w:spacing w:after="0" w:line="240" w:lineRule="auto"/>
        <w:ind w:left="720"/>
        <w:rPr>
          <w:sz w:val="24"/>
          <w:szCs w:val="24"/>
          <w:highlight w:val="yellow"/>
        </w:rPr>
      </w:pPr>
    </w:p>
    <w:p w14:paraId="3ACE0B18" w14:textId="47398AB9" w:rsidR="0088016D" w:rsidRPr="00983CF0" w:rsidRDefault="0088016D" w:rsidP="00A662DF">
      <w:pPr>
        <w:numPr>
          <w:ilvl w:val="0"/>
          <w:numId w:val="13"/>
        </w:numPr>
        <w:spacing w:after="0" w:line="240" w:lineRule="auto"/>
        <w:rPr>
          <w:sz w:val="24"/>
          <w:szCs w:val="24"/>
        </w:rPr>
      </w:pPr>
      <w:r w:rsidRPr="00983CF0">
        <w:rPr>
          <w:sz w:val="24"/>
          <w:szCs w:val="24"/>
        </w:rPr>
        <w:t xml:space="preserve">To comply with the Holder’s obligation to contribute to the CHI Statewide Initiative, the Holder must submit a check for </w:t>
      </w:r>
      <w:r w:rsidR="00983CF0" w:rsidRPr="00983CF0">
        <w:rPr>
          <w:sz w:val="24"/>
          <w:szCs w:val="24"/>
        </w:rPr>
        <w:t xml:space="preserve">$997,658.40 </w:t>
      </w:r>
      <w:r w:rsidRPr="00983CF0">
        <w:rPr>
          <w:sz w:val="24"/>
          <w:szCs w:val="24"/>
        </w:rPr>
        <w:t xml:space="preserve">to Health Resources in Action (the fiscal agent for the CHI Statewide Initiative) </w:t>
      </w:r>
      <w:r w:rsidRPr="00983CF0">
        <w:rPr>
          <w:b/>
          <w:bCs/>
          <w:sz w:val="24"/>
          <w:szCs w:val="24"/>
        </w:rPr>
        <w:t>within 30 days</w:t>
      </w:r>
      <w:r w:rsidRPr="00983CF0">
        <w:rPr>
          <w:sz w:val="24"/>
          <w:szCs w:val="24"/>
        </w:rPr>
        <w:t xml:space="preserve"> from the date of the Notice of Approval.   </w:t>
      </w:r>
    </w:p>
    <w:p w14:paraId="0D8C662C" w14:textId="77777777" w:rsidR="0088016D" w:rsidRPr="00983CF0" w:rsidRDefault="0088016D" w:rsidP="00A662DF">
      <w:pPr>
        <w:numPr>
          <w:ilvl w:val="0"/>
          <w:numId w:val="14"/>
        </w:numPr>
        <w:tabs>
          <w:tab w:val="num" w:pos="720"/>
        </w:tabs>
        <w:spacing w:after="0" w:line="240" w:lineRule="auto"/>
        <w:rPr>
          <w:sz w:val="24"/>
          <w:szCs w:val="24"/>
        </w:rPr>
      </w:pPr>
      <w:r w:rsidRPr="00983CF0">
        <w:rPr>
          <w:sz w:val="24"/>
          <w:szCs w:val="24"/>
        </w:rPr>
        <w:t>Payments should be made out to: </w:t>
      </w:r>
    </w:p>
    <w:p w14:paraId="5E386047" w14:textId="77777777" w:rsidR="0088016D" w:rsidRPr="00983CF0" w:rsidRDefault="0088016D" w:rsidP="00A662DF">
      <w:pPr>
        <w:spacing w:after="0" w:line="240" w:lineRule="auto"/>
        <w:ind w:left="1440"/>
        <w:rPr>
          <w:sz w:val="24"/>
          <w:szCs w:val="24"/>
        </w:rPr>
      </w:pPr>
      <w:r w:rsidRPr="00983CF0">
        <w:rPr>
          <w:sz w:val="24"/>
          <w:szCs w:val="24"/>
        </w:rPr>
        <w:t>Health Resources in Action, Inc. (HRiA)  </w:t>
      </w:r>
    </w:p>
    <w:p w14:paraId="33D269C5" w14:textId="77777777" w:rsidR="0088016D" w:rsidRPr="00983CF0" w:rsidRDefault="0088016D" w:rsidP="00A662DF">
      <w:pPr>
        <w:spacing w:after="0" w:line="240" w:lineRule="auto"/>
        <w:ind w:left="1440"/>
        <w:rPr>
          <w:sz w:val="24"/>
          <w:szCs w:val="24"/>
        </w:rPr>
      </w:pPr>
      <w:r w:rsidRPr="00983CF0">
        <w:rPr>
          <w:sz w:val="24"/>
          <w:szCs w:val="24"/>
        </w:rPr>
        <w:t>2 Boylston Street, 4th Floor  </w:t>
      </w:r>
    </w:p>
    <w:p w14:paraId="2A308C93" w14:textId="77777777" w:rsidR="0088016D" w:rsidRPr="00983CF0" w:rsidRDefault="0088016D" w:rsidP="00A662DF">
      <w:pPr>
        <w:spacing w:after="0" w:line="240" w:lineRule="auto"/>
        <w:ind w:left="1440"/>
        <w:rPr>
          <w:sz w:val="24"/>
          <w:szCs w:val="24"/>
        </w:rPr>
      </w:pPr>
      <w:r w:rsidRPr="00983CF0">
        <w:rPr>
          <w:sz w:val="24"/>
          <w:szCs w:val="24"/>
        </w:rPr>
        <w:t>Boston, MA 02116 Attn: MACHHAF c/o Bora Toro  </w:t>
      </w:r>
    </w:p>
    <w:p w14:paraId="0D40609E" w14:textId="71BF22EA" w:rsidR="0088016D" w:rsidRPr="00983CF0" w:rsidRDefault="0088016D" w:rsidP="00A662DF">
      <w:pPr>
        <w:spacing w:after="0" w:line="240" w:lineRule="auto"/>
        <w:ind w:left="1440"/>
        <w:rPr>
          <w:sz w:val="24"/>
          <w:szCs w:val="24"/>
        </w:rPr>
      </w:pPr>
      <w:r w:rsidRPr="00983CF0">
        <w:rPr>
          <w:sz w:val="24"/>
          <w:szCs w:val="24"/>
        </w:rPr>
        <w:t xml:space="preserve">DoN project #: </w:t>
      </w:r>
      <w:r w:rsidR="00983CF0" w:rsidRPr="00983CF0">
        <w:rPr>
          <w:sz w:val="24"/>
          <w:szCs w:val="24"/>
        </w:rPr>
        <w:t>SH-24100710-HE </w:t>
      </w:r>
    </w:p>
    <w:p w14:paraId="6AB1F2D3" w14:textId="3FB761BE" w:rsidR="0088016D" w:rsidRPr="00983CF0" w:rsidRDefault="0088016D" w:rsidP="00A662DF">
      <w:pPr>
        <w:numPr>
          <w:ilvl w:val="0"/>
          <w:numId w:val="15"/>
        </w:numPr>
        <w:tabs>
          <w:tab w:val="num" w:pos="720"/>
        </w:tabs>
        <w:spacing w:after="0" w:line="240" w:lineRule="auto"/>
        <w:rPr>
          <w:sz w:val="24"/>
          <w:szCs w:val="24"/>
        </w:rPr>
      </w:pPr>
      <w:r w:rsidRPr="00983CF0">
        <w:rPr>
          <w:sz w:val="24"/>
          <w:szCs w:val="24"/>
        </w:rPr>
        <w:t>Please send a PDF image of the check or</w:t>
      </w:r>
      <w:r w:rsidRPr="00983CF0">
        <w:rPr>
          <w:b/>
          <w:bCs/>
          <w:sz w:val="24"/>
          <w:szCs w:val="24"/>
        </w:rPr>
        <w:t xml:space="preserve"> confirmation of payment</w:t>
      </w:r>
      <w:r w:rsidRPr="00983CF0">
        <w:rPr>
          <w:sz w:val="24"/>
          <w:szCs w:val="24"/>
        </w:rPr>
        <w:t xml:space="preserve"> to </w:t>
      </w:r>
      <w:r w:rsidRPr="00013034">
        <w:rPr>
          <w:color w:val="2F5496" w:themeColor="accent1" w:themeShade="BF"/>
          <w:sz w:val="24"/>
          <w:szCs w:val="24"/>
          <w:u w:val="single"/>
        </w:rPr>
        <w:t>DONCHI@Mass.gov</w:t>
      </w:r>
      <w:r w:rsidRPr="00013034">
        <w:rPr>
          <w:color w:val="2F5496" w:themeColor="accent1" w:themeShade="BF"/>
          <w:sz w:val="24"/>
          <w:szCs w:val="24"/>
        </w:rPr>
        <w:t xml:space="preserve"> </w:t>
      </w:r>
      <w:r w:rsidRPr="00983CF0">
        <w:rPr>
          <w:sz w:val="24"/>
          <w:szCs w:val="24"/>
        </w:rPr>
        <w:t xml:space="preserve">and </w:t>
      </w:r>
      <w:hyperlink r:id="rId10" w:tgtFrame="_blank" w:history="1">
        <w:r w:rsidRPr="00013034">
          <w:rPr>
            <w:rStyle w:val="Hyperlink"/>
            <w:color w:val="2F5496" w:themeColor="accent1" w:themeShade="BF"/>
            <w:sz w:val="24"/>
            <w:szCs w:val="24"/>
            <w:lang w:val="fr-FR"/>
          </w:rPr>
          <w:t>dongrants@hria.org</w:t>
        </w:r>
      </w:hyperlink>
      <w:r w:rsidRPr="00013034">
        <w:rPr>
          <w:color w:val="2F5496" w:themeColor="accent1" w:themeShade="BF"/>
          <w:sz w:val="24"/>
          <w:szCs w:val="24"/>
        </w:rPr>
        <w:t> </w:t>
      </w:r>
    </w:p>
    <w:p w14:paraId="7714F74C" w14:textId="77777777" w:rsidR="00A662DF" w:rsidRPr="00983CF0" w:rsidRDefault="00A662DF" w:rsidP="00A662DF">
      <w:pPr>
        <w:spacing w:after="0" w:line="240" w:lineRule="auto"/>
        <w:ind w:left="720"/>
        <w:rPr>
          <w:sz w:val="24"/>
          <w:szCs w:val="24"/>
        </w:rPr>
      </w:pPr>
    </w:p>
    <w:p w14:paraId="7F0691BC" w14:textId="694CA9C8" w:rsidR="007179DD" w:rsidRPr="00983CF0" w:rsidRDefault="0088016D" w:rsidP="00A662DF">
      <w:pPr>
        <w:spacing w:after="0" w:line="240" w:lineRule="auto"/>
        <w:ind w:left="720"/>
        <w:rPr>
          <w:sz w:val="24"/>
          <w:szCs w:val="24"/>
        </w:rPr>
      </w:pPr>
      <w:r w:rsidRPr="00983CF0">
        <w:rPr>
          <w:sz w:val="24"/>
          <w:szCs w:val="24"/>
        </w:rPr>
        <w:t xml:space="preserve">If you should have any questions or concerns regarding the payment, please contact the CHI team at </w:t>
      </w:r>
      <w:hyperlink r:id="rId11" w:tgtFrame="_blank" w:history="1">
        <w:r w:rsidRPr="00013034">
          <w:rPr>
            <w:rStyle w:val="Hyperlink"/>
            <w:color w:val="2F5496" w:themeColor="accent1" w:themeShade="BF"/>
            <w:sz w:val="24"/>
            <w:szCs w:val="24"/>
          </w:rPr>
          <w:t>DONCHI@Mass.gov</w:t>
        </w:r>
      </w:hyperlink>
      <w:r w:rsidRPr="00983CF0">
        <w:rPr>
          <w:sz w:val="24"/>
          <w:szCs w:val="24"/>
        </w:rPr>
        <w:t>. </w:t>
      </w:r>
    </w:p>
    <w:p w14:paraId="08DF4034" w14:textId="77777777" w:rsidR="007179DD" w:rsidRPr="00E20DEA" w:rsidRDefault="007179DD" w:rsidP="00A662DF">
      <w:pPr>
        <w:spacing w:after="0" w:line="240" w:lineRule="auto"/>
        <w:ind w:left="1440"/>
        <w:rPr>
          <w:rFonts w:ascii="Calibri" w:eastAsia="Times New Roman" w:hAnsi="Calibri" w:cs="Times New Roman"/>
          <w:color w:val="000000"/>
          <w:sz w:val="24"/>
          <w:szCs w:val="24"/>
          <w:highlight w:val="yellow"/>
        </w:rPr>
      </w:pPr>
    </w:p>
    <w:p w14:paraId="6C2BD534" w14:textId="77777777" w:rsidR="007179DD" w:rsidRPr="00120AFF" w:rsidRDefault="007179DD" w:rsidP="00A662DF">
      <w:pPr>
        <w:pStyle w:val="Heading1"/>
        <w:spacing w:before="0" w:line="240" w:lineRule="auto"/>
      </w:pPr>
      <w:bookmarkStart w:id="29" w:name="_Toc192247644"/>
      <w:r w:rsidRPr="00120AFF">
        <w:lastRenderedPageBreak/>
        <w:t>Appendix I</w:t>
      </w:r>
      <w:bookmarkEnd w:id="29"/>
    </w:p>
    <w:p w14:paraId="689F1A68" w14:textId="77777777" w:rsidR="007179DD" w:rsidRPr="00120AFF" w:rsidRDefault="007179DD" w:rsidP="007179DD">
      <w:pPr>
        <w:spacing w:after="0" w:line="240" w:lineRule="auto"/>
        <w:ind w:left="20"/>
        <w:jc w:val="both"/>
        <w:rPr>
          <w:rFonts w:cstheme="minorHAnsi"/>
          <w:sz w:val="24"/>
          <w:szCs w:val="24"/>
        </w:rPr>
      </w:pPr>
    </w:p>
    <w:p w14:paraId="3AC504FD" w14:textId="77777777" w:rsidR="007179DD" w:rsidRPr="00120AFF" w:rsidRDefault="007179DD" w:rsidP="00A662DF">
      <w:pPr>
        <w:spacing w:after="0" w:line="240" w:lineRule="auto"/>
        <w:rPr>
          <w:rFonts w:cstheme="minorHAnsi"/>
          <w:b/>
          <w:bCs/>
          <w:iCs/>
          <w:sz w:val="24"/>
          <w:szCs w:val="24"/>
        </w:rPr>
      </w:pPr>
      <w:r w:rsidRPr="00120AFF">
        <w:rPr>
          <w:rFonts w:cstheme="minorHAnsi"/>
          <w:b/>
          <w:bCs/>
          <w:iCs/>
          <w:sz w:val="24"/>
          <w:szCs w:val="24"/>
        </w:rPr>
        <w:t>Outcome Measures</w:t>
      </w:r>
    </w:p>
    <w:p w14:paraId="335D2565" w14:textId="77777777" w:rsidR="007179DD" w:rsidRPr="00120AFF" w:rsidRDefault="007179DD" w:rsidP="00A662DF">
      <w:pPr>
        <w:spacing w:after="0" w:line="240" w:lineRule="auto"/>
        <w:rPr>
          <w:rFonts w:cstheme="minorHAnsi"/>
          <w:sz w:val="24"/>
          <w:szCs w:val="24"/>
        </w:rPr>
      </w:pPr>
      <w:r w:rsidRPr="00120AFF">
        <w:rPr>
          <w:rStyle w:val="normaltextrun"/>
          <w:rFonts w:cstheme="minorHAnsi"/>
          <w:sz w:val="24"/>
          <w:szCs w:val="24"/>
        </w:rPr>
        <w:t xml:space="preserve">Below is a list of outcome measures to assess the impact of the Proposed Project. The Applicant will report this information to the Department’s DoN Program staff as part of its annual report required by 105 CMR 100.310(A)(12) following implementation of the Proposed Project. </w:t>
      </w:r>
      <w:r w:rsidRPr="00120AFF">
        <w:rPr>
          <w:rFonts w:cstheme="minorHAnsi"/>
          <w:sz w:val="24"/>
          <w:szCs w:val="24"/>
        </w:rPr>
        <w:t xml:space="preserve">For all measures, the Applicant will provide to the program a baseline upon implementation of each project component, along with updated projections, which the program will use for comparison with the annual data submitted. Reporting will include a description of numerators and denominators. </w:t>
      </w:r>
    </w:p>
    <w:p w14:paraId="7D745A39" w14:textId="0EBD9253" w:rsidR="00DE6FD0" w:rsidRDefault="00DE6FD0" w:rsidP="00A662DF">
      <w:pPr>
        <w:pStyle w:val="ListParagraph"/>
        <w:numPr>
          <w:ilvl w:val="0"/>
          <w:numId w:val="7"/>
        </w:numPr>
        <w:autoSpaceDE w:val="0"/>
        <w:autoSpaceDN w:val="0"/>
        <w:adjustRightInd w:val="0"/>
        <w:spacing w:after="0" w:line="240" w:lineRule="auto"/>
        <w:contextualSpacing w:val="0"/>
        <w:rPr>
          <w:rFonts w:cstheme="minorHAnsi"/>
          <w:sz w:val="24"/>
          <w:szCs w:val="24"/>
        </w:rPr>
      </w:pPr>
      <w:r>
        <w:rPr>
          <w:rFonts w:cstheme="minorHAnsi"/>
          <w:sz w:val="24"/>
          <w:szCs w:val="24"/>
        </w:rPr>
        <w:t>P</w:t>
      </w:r>
      <w:r w:rsidR="00636A5A">
        <w:rPr>
          <w:rFonts w:cstheme="minorHAnsi"/>
          <w:sz w:val="24"/>
          <w:szCs w:val="24"/>
        </w:rPr>
        <w:t xml:space="preserve">rovide the </w:t>
      </w:r>
      <w:r w:rsidR="00D11F12">
        <w:rPr>
          <w:rFonts w:cstheme="minorHAnsi"/>
          <w:sz w:val="24"/>
          <w:szCs w:val="24"/>
        </w:rPr>
        <w:t>following data related to the</w:t>
      </w:r>
      <w:r w:rsidR="00636A5A">
        <w:rPr>
          <w:rFonts w:cstheme="minorHAnsi"/>
          <w:sz w:val="24"/>
          <w:szCs w:val="24"/>
        </w:rPr>
        <w:t xml:space="preserve"> Behavioral Health Unit in the ED.</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0"/>
      </w:tblGrid>
      <w:tr w:rsidR="00D11F12" w:rsidRPr="00A87D82" w14:paraId="6C43C3BA" w14:textId="77777777" w:rsidTr="00D11F12">
        <w:tc>
          <w:tcPr>
            <w:tcW w:w="3500" w:type="dxa"/>
            <w:tcMar>
              <w:top w:w="0" w:type="dxa"/>
              <w:left w:w="108" w:type="dxa"/>
              <w:bottom w:w="0" w:type="dxa"/>
              <w:right w:w="108" w:type="dxa"/>
            </w:tcMar>
            <w:hideMark/>
          </w:tcPr>
          <w:p w14:paraId="40AA9C87" w14:textId="77777777" w:rsidR="00D11F12" w:rsidRPr="00A87D82" w:rsidRDefault="00D11F12" w:rsidP="00A662DF">
            <w:pPr>
              <w:spacing w:after="0" w:line="240" w:lineRule="auto"/>
              <w:rPr>
                <w:rFonts w:cs="Arial"/>
              </w:rPr>
            </w:pPr>
            <w:r w:rsidRPr="00A87D82">
              <w:rPr>
                <w:rFonts w:cs="Arial"/>
              </w:rPr>
              <w:t>Annual Visits</w:t>
            </w:r>
          </w:p>
        </w:tc>
      </w:tr>
      <w:tr w:rsidR="00D11F12" w:rsidRPr="00A87D82" w14:paraId="0D7F902B" w14:textId="77777777" w:rsidTr="00D11F12">
        <w:tc>
          <w:tcPr>
            <w:tcW w:w="3500" w:type="dxa"/>
            <w:tcMar>
              <w:top w:w="0" w:type="dxa"/>
              <w:left w:w="108" w:type="dxa"/>
              <w:bottom w:w="0" w:type="dxa"/>
              <w:right w:w="108" w:type="dxa"/>
            </w:tcMar>
          </w:tcPr>
          <w:p w14:paraId="7EB8AADB" w14:textId="77777777" w:rsidR="00D11F12" w:rsidRPr="00A87D82" w:rsidRDefault="00D11F12" w:rsidP="00A662DF">
            <w:pPr>
              <w:spacing w:after="0" w:line="240" w:lineRule="auto"/>
              <w:rPr>
                <w:rFonts w:cs="Arial"/>
              </w:rPr>
            </w:pPr>
            <w:r>
              <w:rPr>
                <w:rFonts w:cs="Arial"/>
              </w:rPr>
              <w:t>Wait time in minutes from door to provider</w:t>
            </w:r>
          </w:p>
        </w:tc>
      </w:tr>
      <w:tr w:rsidR="00D11F12" w:rsidRPr="00A87D82" w14:paraId="7F628D18" w14:textId="77777777" w:rsidTr="00D11F12">
        <w:tc>
          <w:tcPr>
            <w:tcW w:w="3500" w:type="dxa"/>
            <w:tcMar>
              <w:top w:w="0" w:type="dxa"/>
              <w:left w:w="108" w:type="dxa"/>
              <w:bottom w:w="0" w:type="dxa"/>
              <w:right w:w="108" w:type="dxa"/>
            </w:tcMar>
            <w:hideMark/>
          </w:tcPr>
          <w:p w14:paraId="71CA77CB" w14:textId="77074314" w:rsidR="00D11F12" w:rsidRPr="00A87D82" w:rsidRDefault="00D11F12" w:rsidP="00A662DF">
            <w:pPr>
              <w:spacing w:after="0" w:line="240" w:lineRule="auto"/>
              <w:rPr>
                <w:rFonts w:cs="Arial"/>
              </w:rPr>
            </w:pPr>
            <w:r w:rsidRPr="00A87D82">
              <w:rPr>
                <w:rFonts w:cs="Arial"/>
              </w:rPr>
              <w:t>Left without being seen</w:t>
            </w:r>
            <w:r>
              <w:rPr>
                <w:rFonts w:cs="Arial"/>
              </w:rPr>
              <w:t xml:space="preserve"> (Expressed as Percentage of Annual Visits)</w:t>
            </w:r>
          </w:p>
        </w:tc>
      </w:tr>
      <w:tr w:rsidR="00891E42" w:rsidRPr="00A87D82" w14:paraId="22C8EBB7" w14:textId="77777777" w:rsidTr="00D11F12">
        <w:tc>
          <w:tcPr>
            <w:tcW w:w="3500" w:type="dxa"/>
            <w:tcMar>
              <w:top w:w="0" w:type="dxa"/>
              <w:left w:w="108" w:type="dxa"/>
              <w:bottom w:w="0" w:type="dxa"/>
              <w:right w:w="108" w:type="dxa"/>
            </w:tcMar>
          </w:tcPr>
          <w:p w14:paraId="2932F40A" w14:textId="5ADB83DE" w:rsidR="00891E42" w:rsidRPr="00A87D82" w:rsidRDefault="00891E42" w:rsidP="00A662DF">
            <w:pPr>
              <w:spacing w:after="0" w:line="240" w:lineRule="auto"/>
              <w:rPr>
                <w:rFonts w:cs="Arial"/>
              </w:rPr>
            </w:pPr>
            <w:r>
              <w:rPr>
                <w:rFonts w:cs="Arial"/>
              </w:rPr>
              <w:t>Psych Boarders</w:t>
            </w:r>
          </w:p>
        </w:tc>
      </w:tr>
      <w:tr w:rsidR="004875F2" w:rsidRPr="00A87D82" w14:paraId="7393980B" w14:textId="77777777" w:rsidTr="00D11F12">
        <w:tc>
          <w:tcPr>
            <w:tcW w:w="3500" w:type="dxa"/>
            <w:tcMar>
              <w:top w:w="0" w:type="dxa"/>
              <w:left w:w="108" w:type="dxa"/>
              <w:bottom w:w="0" w:type="dxa"/>
              <w:right w:w="108" w:type="dxa"/>
            </w:tcMar>
          </w:tcPr>
          <w:p w14:paraId="69B8DA17" w14:textId="151147A6" w:rsidR="004875F2" w:rsidRDefault="004875F2" w:rsidP="00A662DF">
            <w:pPr>
              <w:spacing w:after="0" w:line="240" w:lineRule="auto"/>
              <w:rPr>
                <w:rFonts w:cs="Arial"/>
              </w:rPr>
            </w:pPr>
            <w:r>
              <w:rPr>
                <w:rFonts w:cs="Arial"/>
              </w:rPr>
              <w:t>Total Length of Stay</w:t>
            </w:r>
          </w:p>
        </w:tc>
      </w:tr>
    </w:tbl>
    <w:p w14:paraId="27B7EFE3" w14:textId="77777777" w:rsidR="00D11F12" w:rsidRPr="00D11F12" w:rsidRDefault="00D11F12" w:rsidP="00A662DF">
      <w:pPr>
        <w:autoSpaceDE w:val="0"/>
        <w:autoSpaceDN w:val="0"/>
        <w:adjustRightInd w:val="0"/>
        <w:spacing w:after="0" w:line="240" w:lineRule="auto"/>
        <w:ind w:left="720"/>
        <w:rPr>
          <w:rFonts w:cstheme="minorHAnsi"/>
          <w:sz w:val="24"/>
          <w:szCs w:val="24"/>
        </w:rPr>
      </w:pPr>
    </w:p>
    <w:p w14:paraId="6FD11E03" w14:textId="324C7E61" w:rsidR="00E1669C" w:rsidRPr="00E1669C" w:rsidRDefault="00F265D0" w:rsidP="00A662DF">
      <w:pPr>
        <w:pStyle w:val="ListParagraph"/>
        <w:numPr>
          <w:ilvl w:val="0"/>
          <w:numId w:val="7"/>
        </w:numPr>
        <w:autoSpaceDE w:val="0"/>
        <w:autoSpaceDN w:val="0"/>
        <w:adjustRightInd w:val="0"/>
        <w:spacing w:after="0" w:line="240" w:lineRule="auto"/>
        <w:contextualSpacing w:val="0"/>
        <w:rPr>
          <w:rFonts w:cstheme="minorHAnsi"/>
          <w:sz w:val="24"/>
          <w:szCs w:val="24"/>
        </w:rPr>
      </w:pPr>
      <w:r>
        <w:rPr>
          <w:rFonts w:cstheme="minorHAnsi"/>
          <w:b/>
          <w:bCs/>
          <w:sz w:val="24"/>
          <w:szCs w:val="24"/>
          <w:u w:val="single"/>
        </w:rPr>
        <w:t>Emergency Department</w:t>
      </w:r>
      <w:r w:rsidR="00E1669C" w:rsidRPr="00E1669C">
        <w:rPr>
          <w:rFonts w:cstheme="minorHAnsi"/>
          <w:b/>
          <w:bCs/>
          <w:sz w:val="24"/>
          <w:szCs w:val="24"/>
          <w:u w:val="single"/>
        </w:rPr>
        <w:t xml:space="preserve"> Patient Satisfaction:</w:t>
      </w:r>
      <w:r w:rsidR="00E1669C" w:rsidRPr="00E1669C">
        <w:rPr>
          <w:rFonts w:cstheme="minorHAnsi"/>
          <w:sz w:val="24"/>
          <w:szCs w:val="24"/>
        </w:rPr>
        <w:t xml:space="preserve"> Patients who have positive experiences receiving health care are more likely to seek out future care when needed. The Applicant will use the Press Ganey survey to measure patient satisfaction following the opening of the new ED. The specific measure will be “Likelihood to recommend the ER”.  </w:t>
      </w:r>
    </w:p>
    <w:p w14:paraId="44794E21" w14:textId="77777777" w:rsidR="00E1669C" w:rsidRPr="00E1669C" w:rsidRDefault="00E1669C" w:rsidP="00A662DF">
      <w:pPr>
        <w:autoSpaceDE w:val="0"/>
        <w:autoSpaceDN w:val="0"/>
        <w:adjustRightInd w:val="0"/>
        <w:spacing w:after="0" w:line="240" w:lineRule="auto"/>
        <w:ind w:left="1080" w:firstLine="360"/>
        <w:rPr>
          <w:rFonts w:cstheme="minorHAnsi"/>
          <w:sz w:val="24"/>
          <w:szCs w:val="24"/>
        </w:rPr>
      </w:pPr>
      <w:r w:rsidRPr="00E1669C">
        <w:rPr>
          <w:rFonts w:cstheme="minorHAnsi"/>
          <w:b/>
          <w:bCs/>
          <w:sz w:val="24"/>
          <w:szCs w:val="24"/>
        </w:rPr>
        <w:t>Numerator:</w:t>
      </w:r>
      <w:r w:rsidRPr="00E1669C">
        <w:rPr>
          <w:rFonts w:cstheme="minorHAnsi"/>
          <w:sz w:val="24"/>
          <w:szCs w:val="24"/>
        </w:rPr>
        <w:t xml:space="preserve"> Total of all responses (top box)</w:t>
      </w:r>
    </w:p>
    <w:p w14:paraId="7CB71755" w14:textId="77777777" w:rsidR="00E1669C" w:rsidRPr="00E1669C" w:rsidRDefault="00E1669C" w:rsidP="00A662DF">
      <w:pPr>
        <w:autoSpaceDE w:val="0"/>
        <w:autoSpaceDN w:val="0"/>
        <w:adjustRightInd w:val="0"/>
        <w:spacing w:after="0" w:line="240" w:lineRule="auto"/>
        <w:ind w:left="720" w:firstLine="720"/>
        <w:rPr>
          <w:rFonts w:cstheme="minorHAnsi"/>
          <w:sz w:val="24"/>
          <w:szCs w:val="24"/>
        </w:rPr>
      </w:pPr>
      <w:r w:rsidRPr="00E1669C">
        <w:rPr>
          <w:rFonts w:cstheme="minorHAnsi"/>
          <w:b/>
          <w:bCs/>
          <w:sz w:val="24"/>
          <w:szCs w:val="24"/>
        </w:rPr>
        <w:t>Denominator:</w:t>
      </w:r>
      <w:r w:rsidRPr="00E1669C">
        <w:rPr>
          <w:rFonts w:cstheme="minorHAnsi"/>
          <w:sz w:val="24"/>
          <w:szCs w:val="24"/>
        </w:rPr>
        <w:t xml:space="preserve"> # of responses x 100</w:t>
      </w:r>
    </w:p>
    <w:tbl>
      <w:tblPr>
        <w:tblStyle w:val="TableGrid"/>
        <w:tblW w:w="0" w:type="auto"/>
        <w:tblInd w:w="985" w:type="dxa"/>
        <w:tblLayout w:type="fixed"/>
        <w:tblLook w:val="04A0" w:firstRow="1" w:lastRow="0" w:firstColumn="1" w:lastColumn="0" w:noHBand="0" w:noVBand="1"/>
      </w:tblPr>
      <w:tblGrid>
        <w:gridCol w:w="3960"/>
        <w:gridCol w:w="1101"/>
        <w:gridCol w:w="1101"/>
        <w:gridCol w:w="1101"/>
        <w:gridCol w:w="1102"/>
      </w:tblGrid>
      <w:tr w:rsidR="00E1669C" w:rsidRPr="00AF45D4" w14:paraId="663E2F10" w14:textId="77777777" w:rsidTr="00A33AC9">
        <w:tc>
          <w:tcPr>
            <w:tcW w:w="3960" w:type="dxa"/>
            <w:tcBorders>
              <w:top w:val="single" w:sz="4" w:space="0" w:color="auto"/>
              <w:left w:val="single" w:sz="4" w:space="0" w:color="auto"/>
              <w:bottom w:val="single" w:sz="4" w:space="0" w:color="auto"/>
              <w:right w:val="single" w:sz="4" w:space="0" w:color="auto"/>
            </w:tcBorders>
            <w:hideMark/>
          </w:tcPr>
          <w:p w14:paraId="170725CC" w14:textId="513F0F02" w:rsidR="00E1669C" w:rsidRPr="00013034" w:rsidRDefault="00E1669C" w:rsidP="00884947">
            <w:pPr>
              <w:rPr>
                <w:rFonts w:cstheme="minorHAnsi"/>
                <w:b/>
                <w:bCs/>
                <w:sz w:val="24"/>
                <w:szCs w:val="24"/>
              </w:rPr>
            </w:pPr>
            <w:r w:rsidRPr="00013034">
              <w:rPr>
                <w:rFonts w:eastAsia="Times New Roman" w:cstheme="minorHAnsi"/>
                <w:b/>
                <w:bCs/>
                <w:color w:val="000000"/>
                <w:sz w:val="24"/>
                <w:szCs w:val="24"/>
              </w:rPr>
              <w:t>Quality Measure #</w:t>
            </w:r>
            <w:r w:rsidR="00636A5A">
              <w:rPr>
                <w:rFonts w:eastAsia="Times New Roman" w:cstheme="minorHAnsi"/>
                <w:b/>
                <w:bCs/>
                <w:color w:val="000000"/>
                <w:sz w:val="24"/>
                <w:szCs w:val="24"/>
              </w:rPr>
              <w:t>2</w:t>
            </w:r>
          </w:p>
        </w:tc>
        <w:tc>
          <w:tcPr>
            <w:tcW w:w="1101" w:type="dxa"/>
            <w:tcBorders>
              <w:top w:val="single" w:sz="4" w:space="0" w:color="auto"/>
              <w:left w:val="single" w:sz="4" w:space="0" w:color="auto"/>
              <w:bottom w:val="single" w:sz="4" w:space="0" w:color="auto"/>
              <w:right w:val="single" w:sz="4" w:space="0" w:color="auto"/>
            </w:tcBorders>
            <w:hideMark/>
          </w:tcPr>
          <w:p w14:paraId="0841B7CA" w14:textId="77777777" w:rsidR="00E1669C" w:rsidRPr="00013034" w:rsidRDefault="00E1669C" w:rsidP="00A662DF">
            <w:pPr>
              <w:rPr>
                <w:rFonts w:cstheme="minorHAnsi"/>
                <w:b/>
                <w:bCs/>
                <w:sz w:val="24"/>
                <w:szCs w:val="24"/>
              </w:rPr>
            </w:pPr>
            <w:r w:rsidRPr="00013034">
              <w:rPr>
                <w:rFonts w:cstheme="minorHAnsi"/>
                <w:b/>
                <w:bCs/>
                <w:sz w:val="24"/>
                <w:szCs w:val="24"/>
              </w:rPr>
              <w:t xml:space="preserve">Baseline </w:t>
            </w:r>
          </w:p>
        </w:tc>
        <w:tc>
          <w:tcPr>
            <w:tcW w:w="1101" w:type="dxa"/>
            <w:tcBorders>
              <w:top w:val="single" w:sz="4" w:space="0" w:color="auto"/>
              <w:left w:val="single" w:sz="4" w:space="0" w:color="auto"/>
              <w:bottom w:val="single" w:sz="4" w:space="0" w:color="auto"/>
              <w:right w:val="single" w:sz="4" w:space="0" w:color="auto"/>
            </w:tcBorders>
            <w:hideMark/>
          </w:tcPr>
          <w:p w14:paraId="5C346818" w14:textId="77777777" w:rsidR="00E1669C" w:rsidRPr="00013034" w:rsidRDefault="00E1669C" w:rsidP="00A662DF">
            <w:pPr>
              <w:rPr>
                <w:rFonts w:cstheme="minorHAnsi"/>
                <w:b/>
                <w:bCs/>
                <w:sz w:val="24"/>
                <w:szCs w:val="24"/>
              </w:rPr>
            </w:pPr>
            <w:r w:rsidRPr="00013034">
              <w:rPr>
                <w:rFonts w:cstheme="minorHAnsi"/>
                <w:b/>
                <w:bCs/>
                <w:sz w:val="24"/>
                <w:szCs w:val="24"/>
              </w:rPr>
              <w:t>Year 1</w:t>
            </w:r>
          </w:p>
        </w:tc>
        <w:tc>
          <w:tcPr>
            <w:tcW w:w="1101" w:type="dxa"/>
            <w:tcBorders>
              <w:top w:val="single" w:sz="4" w:space="0" w:color="auto"/>
              <w:left w:val="single" w:sz="4" w:space="0" w:color="auto"/>
              <w:bottom w:val="single" w:sz="4" w:space="0" w:color="auto"/>
              <w:right w:val="single" w:sz="4" w:space="0" w:color="auto"/>
            </w:tcBorders>
            <w:hideMark/>
          </w:tcPr>
          <w:p w14:paraId="618A44E5" w14:textId="77777777" w:rsidR="00E1669C" w:rsidRPr="00013034" w:rsidRDefault="00E1669C" w:rsidP="00A662DF">
            <w:pPr>
              <w:rPr>
                <w:rFonts w:cstheme="minorHAnsi"/>
                <w:b/>
                <w:bCs/>
                <w:sz w:val="24"/>
                <w:szCs w:val="24"/>
              </w:rPr>
            </w:pPr>
            <w:r w:rsidRPr="00013034">
              <w:rPr>
                <w:rFonts w:cstheme="minorHAnsi"/>
                <w:b/>
                <w:bCs/>
                <w:sz w:val="24"/>
                <w:szCs w:val="24"/>
              </w:rPr>
              <w:t>Year 2</w:t>
            </w:r>
          </w:p>
        </w:tc>
        <w:tc>
          <w:tcPr>
            <w:tcW w:w="1102" w:type="dxa"/>
            <w:tcBorders>
              <w:top w:val="single" w:sz="4" w:space="0" w:color="auto"/>
              <w:left w:val="single" w:sz="4" w:space="0" w:color="auto"/>
              <w:bottom w:val="single" w:sz="4" w:space="0" w:color="auto"/>
              <w:right w:val="single" w:sz="4" w:space="0" w:color="auto"/>
            </w:tcBorders>
            <w:hideMark/>
          </w:tcPr>
          <w:p w14:paraId="1081FFC7" w14:textId="77777777" w:rsidR="00E1669C" w:rsidRPr="00013034" w:rsidRDefault="00E1669C" w:rsidP="00A662DF">
            <w:pPr>
              <w:rPr>
                <w:rFonts w:cstheme="minorHAnsi"/>
                <w:b/>
                <w:bCs/>
                <w:sz w:val="24"/>
                <w:szCs w:val="24"/>
              </w:rPr>
            </w:pPr>
            <w:r w:rsidRPr="00013034">
              <w:rPr>
                <w:rFonts w:cstheme="minorHAnsi"/>
                <w:b/>
                <w:bCs/>
                <w:sz w:val="24"/>
                <w:szCs w:val="24"/>
              </w:rPr>
              <w:t>Year 3</w:t>
            </w:r>
          </w:p>
        </w:tc>
      </w:tr>
      <w:tr w:rsidR="00E1669C" w:rsidRPr="00AF45D4" w14:paraId="27BFDA8E" w14:textId="77777777" w:rsidTr="00A33AC9">
        <w:tc>
          <w:tcPr>
            <w:tcW w:w="3960" w:type="dxa"/>
            <w:tcBorders>
              <w:top w:val="single" w:sz="4" w:space="0" w:color="auto"/>
              <w:left w:val="single" w:sz="4" w:space="0" w:color="auto"/>
              <w:bottom w:val="single" w:sz="4" w:space="0" w:color="auto"/>
              <w:right w:val="single" w:sz="4" w:space="0" w:color="auto"/>
            </w:tcBorders>
            <w:hideMark/>
          </w:tcPr>
          <w:p w14:paraId="7AA0545F" w14:textId="77777777" w:rsidR="00E1669C" w:rsidRPr="00013034" w:rsidRDefault="00E1669C" w:rsidP="00A662DF">
            <w:pPr>
              <w:rPr>
                <w:rFonts w:cstheme="minorHAnsi"/>
                <w:sz w:val="24"/>
                <w:szCs w:val="24"/>
              </w:rPr>
            </w:pPr>
            <w:r w:rsidRPr="00013034">
              <w:rPr>
                <w:rFonts w:cstheme="minorHAnsi"/>
                <w:sz w:val="24"/>
                <w:szCs w:val="24"/>
              </w:rPr>
              <w:t xml:space="preserve">Overall score </w:t>
            </w:r>
          </w:p>
        </w:tc>
        <w:tc>
          <w:tcPr>
            <w:tcW w:w="1101" w:type="dxa"/>
            <w:tcBorders>
              <w:top w:val="single" w:sz="4" w:space="0" w:color="auto"/>
              <w:left w:val="single" w:sz="4" w:space="0" w:color="auto"/>
              <w:bottom w:val="single" w:sz="4" w:space="0" w:color="auto"/>
              <w:right w:val="single" w:sz="4" w:space="0" w:color="auto"/>
            </w:tcBorders>
            <w:hideMark/>
          </w:tcPr>
          <w:p w14:paraId="73D1BF5D" w14:textId="77777777" w:rsidR="00E1669C" w:rsidRPr="00013034" w:rsidRDefault="00E1669C" w:rsidP="00A662DF">
            <w:pPr>
              <w:rPr>
                <w:rFonts w:cstheme="minorHAnsi"/>
                <w:sz w:val="24"/>
                <w:szCs w:val="24"/>
              </w:rPr>
            </w:pPr>
            <w:r w:rsidRPr="00013034">
              <w:rPr>
                <w:rFonts w:cstheme="minorHAnsi"/>
                <w:sz w:val="24"/>
                <w:szCs w:val="24"/>
              </w:rPr>
              <w:t>54.75</w:t>
            </w:r>
          </w:p>
        </w:tc>
        <w:tc>
          <w:tcPr>
            <w:tcW w:w="1101" w:type="dxa"/>
            <w:tcBorders>
              <w:top w:val="single" w:sz="4" w:space="0" w:color="auto"/>
              <w:left w:val="single" w:sz="4" w:space="0" w:color="auto"/>
              <w:bottom w:val="single" w:sz="4" w:space="0" w:color="auto"/>
              <w:right w:val="single" w:sz="4" w:space="0" w:color="auto"/>
            </w:tcBorders>
            <w:hideMark/>
          </w:tcPr>
          <w:p w14:paraId="50A7408E" w14:textId="77777777" w:rsidR="00E1669C" w:rsidRPr="00013034" w:rsidRDefault="00E1669C" w:rsidP="00A662DF">
            <w:pPr>
              <w:rPr>
                <w:rFonts w:cstheme="minorHAnsi"/>
                <w:sz w:val="24"/>
                <w:szCs w:val="24"/>
              </w:rPr>
            </w:pPr>
            <w:r w:rsidRPr="00013034">
              <w:rPr>
                <w:rFonts w:cstheme="minorHAnsi"/>
                <w:sz w:val="24"/>
                <w:szCs w:val="24"/>
              </w:rPr>
              <w:t>55.86</w:t>
            </w:r>
          </w:p>
        </w:tc>
        <w:tc>
          <w:tcPr>
            <w:tcW w:w="1101" w:type="dxa"/>
            <w:tcBorders>
              <w:top w:val="single" w:sz="4" w:space="0" w:color="auto"/>
              <w:left w:val="single" w:sz="4" w:space="0" w:color="auto"/>
              <w:bottom w:val="single" w:sz="4" w:space="0" w:color="auto"/>
              <w:right w:val="single" w:sz="4" w:space="0" w:color="auto"/>
            </w:tcBorders>
            <w:hideMark/>
          </w:tcPr>
          <w:p w14:paraId="3B646579" w14:textId="77777777" w:rsidR="00E1669C" w:rsidRPr="00013034" w:rsidRDefault="00E1669C" w:rsidP="00A662DF">
            <w:pPr>
              <w:rPr>
                <w:rFonts w:cstheme="minorHAnsi"/>
                <w:sz w:val="24"/>
                <w:szCs w:val="24"/>
              </w:rPr>
            </w:pPr>
            <w:r w:rsidRPr="00013034">
              <w:rPr>
                <w:rFonts w:cstheme="minorHAnsi"/>
                <w:sz w:val="24"/>
                <w:szCs w:val="24"/>
              </w:rPr>
              <w:t>57.47</w:t>
            </w:r>
          </w:p>
        </w:tc>
        <w:tc>
          <w:tcPr>
            <w:tcW w:w="1102" w:type="dxa"/>
            <w:tcBorders>
              <w:top w:val="single" w:sz="4" w:space="0" w:color="auto"/>
              <w:left w:val="single" w:sz="4" w:space="0" w:color="auto"/>
              <w:bottom w:val="single" w:sz="4" w:space="0" w:color="auto"/>
              <w:right w:val="single" w:sz="4" w:space="0" w:color="auto"/>
            </w:tcBorders>
            <w:hideMark/>
          </w:tcPr>
          <w:p w14:paraId="15959D4A" w14:textId="77777777" w:rsidR="00E1669C" w:rsidRPr="00013034" w:rsidRDefault="00E1669C" w:rsidP="00A662DF">
            <w:pPr>
              <w:rPr>
                <w:rFonts w:cstheme="minorHAnsi"/>
                <w:sz w:val="24"/>
                <w:szCs w:val="24"/>
              </w:rPr>
            </w:pPr>
            <w:r w:rsidRPr="00013034">
              <w:rPr>
                <w:rFonts w:cstheme="minorHAnsi"/>
                <w:sz w:val="24"/>
                <w:szCs w:val="24"/>
              </w:rPr>
              <w:t>58.88</w:t>
            </w:r>
          </w:p>
        </w:tc>
      </w:tr>
    </w:tbl>
    <w:p w14:paraId="2C04A581" w14:textId="77777777" w:rsidR="00AB7578" w:rsidRPr="00AB7578" w:rsidRDefault="00AB7578" w:rsidP="00AB7578">
      <w:pPr>
        <w:autoSpaceDE w:val="0"/>
        <w:autoSpaceDN w:val="0"/>
        <w:adjustRightInd w:val="0"/>
        <w:spacing w:after="0" w:line="240" w:lineRule="auto"/>
        <w:ind w:left="360"/>
        <w:rPr>
          <w:rFonts w:cstheme="minorHAnsi"/>
          <w:sz w:val="24"/>
          <w:szCs w:val="24"/>
        </w:rPr>
      </w:pPr>
    </w:p>
    <w:p w14:paraId="42D6E005" w14:textId="7D8680B5" w:rsidR="00514444" w:rsidRPr="00CD6278" w:rsidRDefault="00514444" w:rsidP="00A662DF">
      <w:pPr>
        <w:pStyle w:val="ListParagraph"/>
        <w:numPr>
          <w:ilvl w:val="0"/>
          <w:numId w:val="7"/>
        </w:numPr>
        <w:autoSpaceDE w:val="0"/>
        <w:autoSpaceDN w:val="0"/>
        <w:adjustRightInd w:val="0"/>
        <w:spacing w:after="0" w:line="240" w:lineRule="auto"/>
        <w:contextualSpacing w:val="0"/>
        <w:rPr>
          <w:rFonts w:cstheme="minorHAnsi"/>
          <w:sz w:val="24"/>
          <w:szCs w:val="24"/>
        </w:rPr>
      </w:pPr>
      <w:r w:rsidRPr="00CD6278">
        <w:rPr>
          <w:rFonts w:eastAsia="Times New Roman" w:cstheme="minorHAnsi"/>
          <w:b/>
          <w:bCs/>
          <w:sz w:val="24"/>
          <w:szCs w:val="24"/>
          <w:u w:val="single"/>
        </w:rPr>
        <w:t>Access - Left Without Being Seen:</w:t>
      </w:r>
      <w:r w:rsidRPr="00CD6278">
        <w:rPr>
          <w:rFonts w:cstheme="minorHAnsi"/>
          <w:sz w:val="24"/>
          <w:szCs w:val="24"/>
        </w:rPr>
        <w:t xml:space="preserve"> </w:t>
      </w:r>
      <w:r w:rsidR="00CD6278" w:rsidRPr="00CD6278">
        <w:rPr>
          <w:rFonts w:cstheme="minorHAnsi"/>
          <w:sz w:val="24"/>
          <w:szCs w:val="24"/>
        </w:rPr>
        <w:t>Through a redesigned physical space and new patient throughput processes, the ED will be able to move patients to exam rooms more quickly, reducing wait times, overcrowding and the LWBS rate.</w:t>
      </w:r>
    </w:p>
    <w:p w14:paraId="485CF17D" w14:textId="4589C827" w:rsidR="00514444" w:rsidRPr="00AB7578" w:rsidRDefault="00514444" w:rsidP="00AB7578">
      <w:pPr>
        <w:autoSpaceDE w:val="0"/>
        <w:autoSpaceDN w:val="0"/>
        <w:adjustRightInd w:val="0"/>
        <w:spacing w:after="0" w:line="240" w:lineRule="auto"/>
        <w:ind w:left="1440"/>
        <w:rPr>
          <w:rFonts w:eastAsia="Times New Roman"/>
          <w:sz w:val="24"/>
          <w:szCs w:val="24"/>
        </w:rPr>
      </w:pPr>
      <w:r w:rsidRPr="00E53F9C">
        <w:rPr>
          <w:rFonts w:eastAsia="Times New Roman"/>
          <w:b/>
          <w:bCs/>
          <w:sz w:val="24"/>
          <w:szCs w:val="24"/>
        </w:rPr>
        <w:t>Numerator:</w:t>
      </w:r>
      <w:r w:rsidRPr="00E53F9C">
        <w:rPr>
          <w:rFonts w:eastAsia="Times New Roman"/>
          <w:sz w:val="24"/>
          <w:szCs w:val="24"/>
        </w:rPr>
        <w:t xml:space="preserve"> </w:t>
      </w:r>
      <w:r w:rsidR="00E53F9C" w:rsidRPr="00E53F9C">
        <w:rPr>
          <w:rFonts w:eastAsia="Times New Roman"/>
          <w:sz w:val="24"/>
          <w:szCs w:val="24"/>
        </w:rPr>
        <w:t>The number of patients leaving the ED without treatment, without being seen, or without an appropriate discharge.</w:t>
      </w:r>
    </w:p>
    <w:p w14:paraId="638283B2" w14:textId="08AD8D5B" w:rsidR="00514444" w:rsidRPr="00BE7F3F" w:rsidRDefault="00514444" w:rsidP="00A662DF">
      <w:pPr>
        <w:autoSpaceDE w:val="0"/>
        <w:autoSpaceDN w:val="0"/>
        <w:adjustRightInd w:val="0"/>
        <w:spacing w:after="0" w:line="240" w:lineRule="auto"/>
        <w:ind w:left="1440"/>
        <w:rPr>
          <w:rFonts w:eastAsia="Times New Roman"/>
          <w:sz w:val="24"/>
          <w:szCs w:val="24"/>
          <w:highlight w:val="yellow"/>
        </w:rPr>
      </w:pPr>
      <w:r w:rsidRPr="00915F27">
        <w:rPr>
          <w:rFonts w:eastAsia="Times New Roman"/>
          <w:b/>
          <w:sz w:val="24"/>
          <w:szCs w:val="24"/>
        </w:rPr>
        <w:t>Denominator:</w:t>
      </w:r>
      <w:r w:rsidRPr="00915F27">
        <w:rPr>
          <w:rFonts w:eastAsia="Times New Roman"/>
          <w:sz w:val="24"/>
          <w:szCs w:val="24"/>
        </w:rPr>
        <w:t xml:space="preserve"> The total number of patients who register in the ED to be seen. </w:t>
      </w:r>
      <w:r w:rsidRPr="00E20DEA">
        <w:rPr>
          <w:rFonts w:eastAsia="Times New Roman" w:cstheme="minorHAnsi"/>
          <w:color w:val="000000"/>
          <w:sz w:val="24"/>
          <w:szCs w:val="24"/>
          <w:highlight w:val="yellow"/>
        </w:rPr>
        <w:t xml:space="preserve"> </w:t>
      </w:r>
    </w:p>
    <w:tbl>
      <w:tblPr>
        <w:tblStyle w:val="TableGrid"/>
        <w:tblW w:w="0" w:type="auto"/>
        <w:tblInd w:w="715" w:type="dxa"/>
        <w:tblLayout w:type="fixed"/>
        <w:tblLook w:val="04A0" w:firstRow="1" w:lastRow="0" w:firstColumn="1" w:lastColumn="0" w:noHBand="0" w:noVBand="1"/>
      </w:tblPr>
      <w:tblGrid>
        <w:gridCol w:w="4680"/>
        <w:gridCol w:w="1080"/>
        <w:gridCol w:w="897"/>
        <w:gridCol w:w="989"/>
        <w:gridCol w:w="989"/>
      </w:tblGrid>
      <w:tr w:rsidR="00514444" w:rsidRPr="00E20DEA" w14:paraId="2703AF32" w14:textId="77777777" w:rsidTr="00BE7F3F">
        <w:tc>
          <w:tcPr>
            <w:tcW w:w="4680" w:type="dxa"/>
          </w:tcPr>
          <w:p w14:paraId="210335C8" w14:textId="6D6512DC" w:rsidR="00514444" w:rsidRPr="00BE7F3F" w:rsidRDefault="00514444">
            <w:pPr>
              <w:rPr>
                <w:rFonts w:eastAsia="Times New Roman" w:cstheme="minorHAnsi"/>
                <w:b/>
                <w:bCs/>
                <w:color w:val="000000"/>
                <w:sz w:val="24"/>
                <w:szCs w:val="24"/>
              </w:rPr>
            </w:pPr>
            <w:r w:rsidRPr="00BE7F3F">
              <w:rPr>
                <w:rFonts w:eastAsia="Times New Roman" w:cstheme="minorHAnsi"/>
                <w:b/>
                <w:bCs/>
                <w:color w:val="000000"/>
                <w:sz w:val="24"/>
                <w:szCs w:val="24"/>
              </w:rPr>
              <w:t>Quality Measure #</w:t>
            </w:r>
            <w:r w:rsidR="00636A5A">
              <w:rPr>
                <w:rFonts w:eastAsia="Times New Roman" w:cstheme="minorHAnsi"/>
                <w:b/>
                <w:bCs/>
                <w:color w:val="000000"/>
                <w:sz w:val="24"/>
                <w:szCs w:val="24"/>
              </w:rPr>
              <w:t>3</w:t>
            </w:r>
          </w:p>
        </w:tc>
        <w:tc>
          <w:tcPr>
            <w:tcW w:w="1080" w:type="dxa"/>
          </w:tcPr>
          <w:p w14:paraId="133305A3" w14:textId="77777777" w:rsidR="00514444" w:rsidRPr="00BE7F3F" w:rsidRDefault="00514444">
            <w:pPr>
              <w:rPr>
                <w:rFonts w:eastAsia="Times New Roman" w:cstheme="minorHAnsi"/>
                <w:b/>
                <w:bCs/>
                <w:color w:val="000000"/>
                <w:sz w:val="24"/>
                <w:szCs w:val="24"/>
              </w:rPr>
            </w:pPr>
            <w:r w:rsidRPr="00BE7F3F">
              <w:rPr>
                <w:rFonts w:eastAsia="Times New Roman" w:cstheme="minorHAnsi"/>
                <w:b/>
                <w:bCs/>
                <w:color w:val="000000"/>
                <w:sz w:val="24"/>
                <w:szCs w:val="24"/>
              </w:rPr>
              <w:t xml:space="preserve">Baseline </w:t>
            </w:r>
          </w:p>
        </w:tc>
        <w:tc>
          <w:tcPr>
            <w:tcW w:w="897" w:type="dxa"/>
          </w:tcPr>
          <w:p w14:paraId="276BF8BC" w14:textId="77777777" w:rsidR="00514444" w:rsidRPr="00BE7F3F" w:rsidRDefault="00514444">
            <w:pPr>
              <w:rPr>
                <w:rFonts w:eastAsia="Times New Roman" w:cstheme="minorHAnsi"/>
                <w:b/>
                <w:bCs/>
                <w:color w:val="000000"/>
                <w:sz w:val="24"/>
                <w:szCs w:val="24"/>
              </w:rPr>
            </w:pPr>
            <w:r w:rsidRPr="00BE7F3F">
              <w:rPr>
                <w:rFonts w:eastAsia="Times New Roman" w:cstheme="minorHAnsi"/>
                <w:b/>
                <w:bCs/>
                <w:color w:val="000000"/>
                <w:sz w:val="24"/>
                <w:szCs w:val="24"/>
              </w:rPr>
              <w:t>Year 1</w:t>
            </w:r>
          </w:p>
        </w:tc>
        <w:tc>
          <w:tcPr>
            <w:tcW w:w="989" w:type="dxa"/>
          </w:tcPr>
          <w:p w14:paraId="743218D0" w14:textId="77777777" w:rsidR="00514444" w:rsidRPr="00BE7F3F" w:rsidRDefault="00514444">
            <w:pPr>
              <w:rPr>
                <w:rFonts w:eastAsia="Times New Roman" w:cstheme="minorHAnsi"/>
                <w:b/>
                <w:bCs/>
                <w:color w:val="000000"/>
                <w:sz w:val="24"/>
                <w:szCs w:val="24"/>
              </w:rPr>
            </w:pPr>
            <w:r w:rsidRPr="00BE7F3F">
              <w:rPr>
                <w:rFonts w:eastAsia="Times New Roman" w:cstheme="minorHAnsi"/>
                <w:b/>
                <w:bCs/>
                <w:color w:val="000000"/>
                <w:sz w:val="24"/>
                <w:szCs w:val="24"/>
              </w:rPr>
              <w:t>Year 2</w:t>
            </w:r>
          </w:p>
        </w:tc>
        <w:tc>
          <w:tcPr>
            <w:tcW w:w="989" w:type="dxa"/>
          </w:tcPr>
          <w:p w14:paraId="40EEDF92" w14:textId="77777777" w:rsidR="00514444" w:rsidRPr="00BE7F3F" w:rsidRDefault="00514444">
            <w:pPr>
              <w:rPr>
                <w:rFonts w:eastAsia="Times New Roman" w:cstheme="minorHAnsi"/>
                <w:b/>
                <w:bCs/>
                <w:color w:val="000000"/>
                <w:sz w:val="24"/>
                <w:szCs w:val="24"/>
              </w:rPr>
            </w:pPr>
            <w:r w:rsidRPr="00BE7F3F">
              <w:rPr>
                <w:rFonts w:eastAsia="Times New Roman" w:cstheme="minorHAnsi"/>
                <w:b/>
                <w:bCs/>
                <w:color w:val="000000"/>
                <w:sz w:val="24"/>
                <w:szCs w:val="24"/>
              </w:rPr>
              <w:t>Year 3</w:t>
            </w:r>
          </w:p>
        </w:tc>
      </w:tr>
      <w:tr w:rsidR="00BE7F3F" w:rsidRPr="00E20DEA" w14:paraId="3B7944F2" w14:textId="77777777" w:rsidTr="00BE7F3F">
        <w:tc>
          <w:tcPr>
            <w:tcW w:w="4680" w:type="dxa"/>
          </w:tcPr>
          <w:p w14:paraId="5364CBC2" w14:textId="77777777" w:rsidR="00BE7F3F" w:rsidRPr="00BE7F3F" w:rsidRDefault="00BE7F3F" w:rsidP="00BE7F3F">
            <w:pPr>
              <w:rPr>
                <w:rFonts w:eastAsia="Times New Roman" w:cstheme="minorHAnsi"/>
                <w:color w:val="000000"/>
                <w:sz w:val="24"/>
                <w:szCs w:val="24"/>
              </w:rPr>
            </w:pPr>
            <w:r w:rsidRPr="00BE7F3F">
              <w:rPr>
                <w:rFonts w:eastAsia="Times New Roman" w:cstheme="minorHAnsi"/>
                <w:color w:val="000000"/>
                <w:sz w:val="24"/>
                <w:szCs w:val="24"/>
              </w:rPr>
              <w:t>Percent of patients who leave without being seen</w:t>
            </w:r>
          </w:p>
        </w:tc>
        <w:tc>
          <w:tcPr>
            <w:tcW w:w="1080" w:type="dxa"/>
          </w:tcPr>
          <w:p w14:paraId="5CE9ACF6" w14:textId="21501590" w:rsidR="00BE7F3F" w:rsidRPr="00BE7F3F" w:rsidRDefault="00BE7F3F" w:rsidP="00BE7F3F">
            <w:pPr>
              <w:jc w:val="center"/>
              <w:rPr>
                <w:rFonts w:eastAsia="Times New Roman" w:cstheme="minorHAnsi"/>
                <w:color w:val="000000"/>
                <w:sz w:val="24"/>
                <w:szCs w:val="24"/>
              </w:rPr>
            </w:pPr>
            <w:r w:rsidRPr="00BE7F3F">
              <w:rPr>
                <w:rFonts w:eastAsia="Times New Roman" w:cs="Arial"/>
                <w:color w:val="000000"/>
              </w:rPr>
              <w:t>3.18%</w:t>
            </w:r>
          </w:p>
        </w:tc>
        <w:tc>
          <w:tcPr>
            <w:tcW w:w="897" w:type="dxa"/>
          </w:tcPr>
          <w:p w14:paraId="0B9D5142" w14:textId="0067B51A" w:rsidR="00BE7F3F" w:rsidRPr="00BE7F3F" w:rsidRDefault="00BE7F3F" w:rsidP="00BE7F3F">
            <w:pPr>
              <w:jc w:val="center"/>
              <w:rPr>
                <w:rFonts w:eastAsia="Times New Roman" w:cstheme="minorHAnsi"/>
                <w:color w:val="000000"/>
                <w:sz w:val="24"/>
                <w:szCs w:val="24"/>
              </w:rPr>
            </w:pPr>
            <w:r w:rsidRPr="00BE7F3F">
              <w:rPr>
                <w:rFonts w:eastAsia="Times New Roman" w:cs="Arial"/>
                <w:color w:val="000000"/>
              </w:rPr>
              <w:t>3%</w:t>
            </w:r>
          </w:p>
        </w:tc>
        <w:tc>
          <w:tcPr>
            <w:tcW w:w="989" w:type="dxa"/>
          </w:tcPr>
          <w:p w14:paraId="2D42F611" w14:textId="5234B729" w:rsidR="00BE7F3F" w:rsidRPr="00BE7F3F" w:rsidRDefault="00BE7F3F" w:rsidP="00BE7F3F">
            <w:pPr>
              <w:jc w:val="center"/>
              <w:rPr>
                <w:rFonts w:eastAsia="Times New Roman" w:cstheme="minorHAnsi"/>
                <w:color w:val="000000"/>
                <w:sz w:val="24"/>
                <w:szCs w:val="24"/>
              </w:rPr>
            </w:pPr>
            <w:r w:rsidRPr="00BE7F3F">
              <w:rPr>
                <w:rFonts w:eastAsia="Times New Roman" w:cs="Arial"/>
                <w:color w:val="000000"/>
              </w:rPr>
              <w:t>2.5%</w:t>
            </w:r>
          </w:p>
        </w:tc>
        <w:tc>
          <w:tcPr>
            <w:tcW w:w="989" w:type="dxa"/>
          </w:tcPr>
          <w:p w14:paraId="7CE6C0A4" w14:textId="41E8D6FA" w:rsidR="00BE7F3F" w:rsidRPr="00BE7F3F" w:rsidRDefault="00BE7F3F" w:rsidP="00BE7F3F">
            <w:pPr>
              <w:jc w:val="center"/>
              <w:rPr>
                <w:rFonts w:eastAsia="Times New Roman" w:cstheme="minorHAnsi"/>
                <w:color w:val="000000"/>
                <w:sz w:val="24"/>
                <w:szCs w:val="24"/>
              </w:rPr>
            </w:pPr>
            <w:r w:rsidRPr="00BE7F3F">
              <w:rPr>
                <w:rFonts w:eastAsia="Times New Roman" w:cs="Arial"/>
                <w:color w:val="000000"/>
              </w:rPr>
              <w:t>2%</w:t>
            </w:r>
          </w:p>
        </w:tc>
      </w:tr>
    </w:tbl>
    <w:p w14:paraId="3656CB03" w14:textId="77777777" w:rsidR="00514444" w:rsidRPr="00E20DEA" w:rsidRDefault="00514444" w:rsidP="00514444">
      <w:pPr>
        <w:shd w:val="clear" w:color="auto" w:fill="FFFFFF"/>
        <w:spacing w:after="0" w:line="240" w:lineRule="auto"/>
        <w:rPr>
          <w:rFonts w:eastAsia="Times New Roman" w:cstheme="minorHAnsi"/>
          <w:color w:val="000000"/>
          <w:sz w:val="24"/>
          <w:szCs w:val="24"/>
          <w:highlight w:val="yellow"/>
        </w:rPr>
      </w:pPr>
    </w:p>
    <w:p w14:paraId="3AB6F66D" w14:textId="1DA9B497" w:rsidR="00514444" w:rsidRPr="002A3A2A" w:rsidRDefault="00514444" w:rsidP="00A662DF">
      <w:pPr>
        <w:pStyle w:val="ListParagraph"/>
        <w:numPr>
          <w:ilvl w:val="0"/>
          <w:numId w:val="7"/>
        </w:numPr>
        <w:autoSpaceDE w:val="0"/>
        <w:autoSpaceDN w:val="0"/>
        <w:adjustRightInd w:val="0"/>
        <w:spacing w:after="0" w:line="240" w:lineRule="auto"/>
        <w:contextualSpacing w:val="0"/>
        <w:rPr>
          <w:rFonts w:eastAsia="Times New Roman" w:cstheme="minorHAnsi"/>
          <w:b/>
          <w:bCs/>
          <w:sz w:val="24"/>
          <w:szCs w:val="24"/>
        </w:rPr>
      </w:pPr>
      <w:r w:rsidRPr="002A3A2A">
        <w:rPr>
          <w:rFonts w:eastAsia="Times New Roman" w:cstheme="minorHAnsi"/>
          <w:b/>
          <w:bCs/>
          <w:sz w:val="24"/>
          <w:szCs w:val="24"/>
          <w:u w:val="single"/>
        </w:rPr>
        <w:t xml:space="preserve">Access – </w:t>
      </w:r>
      <w:r w:rsidR="00C55F9D" w:rsidRPr="002A3A2A">
        <w:rPr>
          <w:rFonts w:eastAsia="Times New Roman" w:cstheme="minorHAnsi"/>
          <w:b/>
          <w:bCs/>
          <w:sz w:val="24"/>
          <w:szCs w:val="24"/>
          <w:u w:val="single"/>
        </w:rPr>
        <w:t>Door to Provider Time:</w:t>
      </w:r>
      <w:r w:rsidRPr="002A3A2A">
        <w:rPr>
          <w:rFonts w:eastAsia="Times New Roman" w:cstheme="minorHAnsi"/>
          <w:b/>
          <w:bCs/>
          <w:sz w:val="24"/>
          <w:szCs w:val="24"/>
        </w:rPr>
        <w:t xml:space="preserve"> </w:t>
      </w:r>
      <w:r w:rsidR="002A3A2A" w:rsidRPr="002A3A2A">
        <w:rPr>
          <w:rFonts w:eastAsia="Times New Roman" w:cs="Arial"/>
          <w:sz w:val="24"/>
          <w:szCs w:val="24"/>
        </w:rPr>
        <w:t>This metric will measure the amount of time it takes for a patient to move</w:t>
      </w:r>
      <w:r w:rsidR="002A3A2A" w:rsidRPr="002A3A2A">
        <w:rPr>
          <w:rFonts w:eastAsia="Times New Roman" w:cs="Arial"/>
          <w:i/>
          <w:iCs/>
          <w:sz w:val="24"/>
          <w:szCs w:val="24"/>
        </w:rPr>
        <w:t xml:space="preserve"> </w:t>
      </w:r>
      <w:r w:rsidR="002A3A2A" w:rsidRPr="002A3A2A">
        <w:rPr>
          <w:rFonts w:eastAsia="Times New Roman" w:cs="Arial"/>
          <w:sz w:val="24"/>
          <w:szCs w:val="24"/>
        </w:rPr>
        <w:t>from registration to being seen by a physician (or equivalent, such as a nurse practitioner or physician assistant), including the time between being seen in triage to being moved to a treatment area.</w:t>
      </w:r>
    </w:p>
    <w:p w14:paraId="18188041" w14:textId="50FB862C" w:rsidR="00514444" w:rsidRPr="00B12C60" w:rsidRDefault="00514444" w:rsidP="00623CD5">
      <w:pPr>
        <w:autoSpaceDE w:val="0"/>
        <w:autoSpaceDN w:val="0"/>
        <w:adjustRightInd w:val="0"/>
        <w:spacing w:after="0" w:line="240" w:lineRule="auto"/>
        <w:ind w:left="1440"/>
        <w:rPr>
          <w:rFonts w:eastAsia="Times New Roman" w:cstheme="minorHAnsi"/>
          <w:sz w:val="24"/>
          <w:szCs w:val="24"/>
        </w:rPr>
      </w:pPr>
      <w:r w:rsidRPr="00B12C60">
        <w:rPr>
          <w:rFonts w:eastAsia="Times New Roman" w:cstheme="minorHAnsi"/>
          <w:b/>
          <w:bCs/>
          <w:sz w:val="24"/>
          <w:szCs w:val="24"/>
        </w:rPr>
        <w:t>Numerator</w:t>
      </w:r>
      <w:r w:rsidR="005C71E7" w:rsidRPr="00B12C60">
        <w:rPr>
          <w:rFonts w:eastAsia="Times New Roman" w:cstheme="minorHAnsi"/>
          <w:b/>
          <w:bCs/>
          <w:sz w:val="24"/>
          <w:szCs w:val="24"/>
        </w:rPr>
        <w:t xml:space="preserve"> A</w:t>
      </w:r>
      <w:r w:rsidRPr="00B12C60">
        <w:rPr>
          <w:rFonts w:eastAsia="Times New Roman" w:cstheme="minorHAnsi"/>
          <w:b/>
          <w:bCs/>
          <w:sz w:val="24"/>
          <w:szCs w:val="24"/>
        </w:rPr>
        <w:t>:</w:t>
      </w:r>
      <w:r w:rsidRPr="00B12C60">
        <w:rPr>
          <w:rFonts w:eastAsia="Times New Roman" w:cstheme="minorHAnsi"/>
          <w:sz w:val="24"/>
          <w:szCs w:val="24"/>
        </w:rPr>
        <w:t xml:space="preserve"> </w:t>
      </w:r>
      <w:r w:rsidR="00623CD5" w:rsidRPr="00B12C60">
        <w:rPr>
          <w:rFonts w:eastAsia="Times New Roman" w:cstheme="minorHAnsi"/>
          <w:sz w:val="24"/>
          <w:szCs w:val="24"/>
        </w:rPr>
        <w:t>Total minutes from registration to triage area for all ED patients.</w:t>
      </w:r>
    </w:p>
    <w:p w14:paraId="7EFCEA1E" w14:textId="13954889" w:rsidR="00514444" w:rsidRPr="00B12C60" w:rsidRDefault="00514444" w:rsidP="00514444">
      <w:pPr>
        <w:autoSpaceDE w:val="0"/>
        <w:autoSpaceDN w:val="0"/>
        <w:adjustRightInd w:val="0"/>
        <w:spacing w:after="0" w:line="240" w:lineRule="auto"/>
        <w:ind w:left="1440"/>
        <w:rPr>
          <w:rFonts w:eastAsia="Times New Roman" w:cstheme="minorHAnsi"/>
          <w:sz w:val="24"/>
          <w:szCs w:val="24"/>
        </w:rPr>
      </w:pPr>
      <w:r w:rsidRPr="00B12C60">
        <w:rPr>
          <w:rFonts w:eastAsia="Times New Roman" w:cstheme="minorHAnsi"/>
          <w:b/>
          <w:bCs/>
          <w:sz w:val="24"/>
          <w:szCs w:val="24"/>
        </w:rPr>
        <w:t>Denominator</w:t>
      </w:r>
      <w:r w:rsidR="005C71E7" w:rsidRPr="00B12C60">
        <w:rPr>
          <w:rFonts w:eastAsia="Times New Roman" w:cstheme="minorHAnsi"/>
          <w:b/>
          <w:bCs/>
          <w:sz w:val="24"/>
          <w:szCs w:val="24"/>
        </w:rPr>
        <w:t xml:space="preserve"> A</w:t>
      </w:r>
      <w:r w:rsidRPr="00B12C60">
        <w:rPr>
          <w:rFonts w:eastAsia="Times New Roman" w:cstheme="minorHAnsi"/>
          <w:b/>
          <w:bCs/>
          <w:sz w:val="24"/>
          <w:szCs w:val="24"/>
        </w:rPr>
        <w:t xml:space="preserve">: </w:t>
      </w:r>
      <w:r w:rsidRPr="00B12C60">
        <w:rPr>
          <w:rFonts w:eastAsia="Times New Roman" w:cstheme="minorHAnsi"/>
          <w:sz w:val="24"/>
          <w:szCs w:val="24"/>
        </w:rPr>
        <w:t xml:space="preserve">Total number of ED patients </w:t>
      </w:r>
    </w:p>
    <w:p w14:paraId="4945F2E4" w14:textId="284A82B1" w:rsidR="0073027A" w:rsidRPr="00B12C60" w:rsidRDefault="0073027A" w:rsidP="00F452A2">
      <w:pPr>
        <w:autoSpaceDE w:val="0"/>
        <w:autoSpaceDN w:val="0"/>
        <w:adjustRightInd w:val="0"/>
        <w:spacing w:after="0" w:line="240" w:lineRule="auto"/>
        <w:ind w:left="1440"/>
        <w:rPr>
          <w:rFonts w:eastAsia="Times New Roman" w:cstheme="minorHAnsi"/>
          <w:sz w:val="24"/>
          <w:szCs w:val="24"/>
        </w:rPr>
      </w:pPr>
      <w:r w:rsidRPr="00B12C60">
        <w:rPr>
          <w:rFonts w:eastAsia="Times New Roman" w:cstheme="minorHAnsi"/>
          <w:b/>
          <w:bCs/>
          <w:sz w:val="24"/>
          <w:szCs w:val="24"/>
        </w:rPr>
        <w:lastRenderedPageBreak/>
        <w:t>Numerator</w:t>
      </w:r>
      <w:r w:rsidR="005C71E7" w:rsidRPr="00B12C60">
        <w:rPr>
          <w:rFonts w:eastAsia="Times New Roman" w:cstheme="minorHAnsi"/>
          <w:b/>
          <w:bCs/>
          <w:sz w:val="24"/>
          <w:szCs w:val="24"/>
        </w:rPr>
        <w:t xml:space="preserve"> B</w:t>
      </w:r>
      <w:r w:rsidRPr="00B12C60">
        <w:rPr>
          <w:rFonts w:eastAsia="Times New Roman" w:cstheme="minorHAnsi"/>
          <w:b/>
          <w:bCs/>
          <w:sz w:val="24"/>
          <w:szCs w:val="24"/>
        </w:rPr>
        <w:t>:</w:t>
      </w:r>
      <w:r w:rsidRPr="00B12C60">
        <w:rPr>
          <w:rFonts w:eastAsia="Times New Roman" w:cstheme="minorHAnsi"/>
          <w:sz w:val="24"/>
          <w:szCs w:val="24"/>
        </w:rPr>
        <w:t xml:space="preserve"> </w:t>
      </w:r>
      <w:r w:rsidR="00F452A2" w:rsidRPr="00B12C60">
        <w:rPr>
          <w:rFonts w:eastAsia="Times New Roman" w:cstheme="minorHAnsi"/>
          <w:sz w:val="24"/>
          <w:szCs w:val="24"/>
        </w:rPr>
        <w:t>Total minutes from triage to treatment area.</w:t>
      </w:r>
    </w:p>
    <w:p w14:paraId="1B83DF9C" w14:textId="6E62DF10" w:rsidR="0073027A" w:rsidRPr="00B12C60" w:rsidRDefault="0073027A" w:rsidP="0073027A">
      <w:pPr>
        <w:autoSpaceDE w:val="0"/>
        <w:autoSpaceDN w:val="0"/>
        <w:adjustRightInd w:val="0"/>
        <w:spacing w:after="0" w:line="240" w:lineRule="auto"/>
        <w:ind w:left="1440"/>
        <w:rPr>
          <w:rFonts w:eastAsia="Times New Roman" w:cstheme="minorHAnsi"/>
          <w:sz w:val="24"/>
          <w:szCs w:val="24"/>
        </w:rPr>
      </w:pPr>
      <w:r w:rsidRPr="00B12C60">
        <w:rPr>
          <w:rFonts w:eastAsia="Times New Roman" w:cstheme="minorHAnsi"/>
          <w:b/>
          <w:bCs/>
          <w:sz w:val="24"/>
          <w:szCs w:val="24"/>
        </w:rPr>
        <w:t>Denominator</w:t>
      </w:r>
      <w:r w:rsidR="005C71E7" w:rsidRPr="00B12C60">
        <w:rPr>
          <w:rFonts w:eastAsia="Times New Roman" w:cstheme="minorHAnsi"/>
          <w:b/>
          <w:bCs/>
          <w:sz w:val="24"/>
          <w:szCs w:val="24"/>
        </w:rPr>
        <w:t xml:space="preserve"> B</w:t>
      </w:r>
      <w:r w:rsidRPr="00B12C60">
        <w:rPr>
          <w:rFonts w:eastAsia="Times New Roman" w:cstheme="minorHAnsi"/>
          <w:b/>
          <w:bCs/>
          <w:sz w:val="24"/>
          <w:szCs w:val="24"/>
        </w:rPr>
        <w:t xml:space="preserve">: </w:t>
      </w:r>
      <w:r w:rsidRPr="00B12C60">
        <w:rPr>
          <w:rFonts w:eastAsia="Times New Roman" w:cstheme="minorHAnsi"/>
          <w:sz w:val="24"/>
          <w:szCs w:val="24"/>
        </w:rPr>
        <w:t xml:space="preserve">Total number of ED patients </w:t>
      </w:r>
    </w:p>
    <w:p w14:paraId="47AE7D0E" w14:textId="77777777" w:rsidR="00514444" w:rsidRPr="00B12C60" w:rsidRDefault="00514444" w:rsidP="00514444">
      <w:pPr>
        <w:autoSpaceDE w:val="0"/>
        <w:autoSpaceDN w:val="0"/>
        <w:adjustRightInd w:val="0"/>
        <w:spacing w:after="0" w:line="240" w:lineRule="auto"/>
        <w:rPr>
          <w:rFonts w:eastAsia="Times New Roman" w:cstheme="minorHAnsi"/>
          <w:b/>
          <w:bCs/>
          <w:sz w:val="24"/>
          <w:szCs w:val="24"/>
        </w:rPr>
      </w:pPr>
    </w:p>
    <w:tbl>
      <w:tblPr>
        <w:tblStyle w:val="TableGrid"/>
        <w:tblW w:w="0" w:type="auto"/>
        <w:tblInd w:w="715" w:type="dxa"/>
        <w:tblLayout w:type="fixed"/>
        <w:tblLook w:val="04A0" w:firstRow="1" w:lastRow="0" w:firstColumn="1" w:lastColumn="0" w:noHBand="0" w:noVBand="1"/>
      </w:tblPr>
      <w:tblGrid>
        <w:gridCol w:w="4680"/>
        <w:gridCol w:w="1080"/>
        <w:gridCol w:w="897"/>
        <w:gridCol w:w="989"/>
        <w:gridCol w:w="989"/>
      </w:tblGrid>
      <w:tr w:rsidR="00514444" w:rsidRPr="00B12C60" w14:paraId="11503E18" w14:textId="77777777" w:rsidTr="006E5833">
        <w:trPr>
          <w:cantSplit/>
          <w:tblHeader/>
        </w:trPr>
        <w:tc>
          <w:tcPr>
            <w:tcW w:w="4680" w:type="dxa"/>
          </w:tcPr>
          <w:p w14:paraId="0C005B2E" w14:textId="3E0059F5" w:rsidR="00514444" w:rsidRPr="00B12C60" w:rsidRDefault="00514444">
            <w:pPr>
              <w:rPr>
                <w:rFonts w:eastAsia="Times New Roman" w:cstheme="minorHAnsi"/>
                <w:b/>
                <w:bCs/>
                <w:color w:val="000000"/>
                <w:sz w:val="24"/>
                <w:szCs w:val="24"/>
              </w:rPr>
            </w:pPr>
            <w:r w:rsidRPr="00B12C60">
              <w:rPr>
                <w:rFonts w:eastAsia="Times New Roman" w:cstheme="minorHAnsi"/>
                <w:b/>
                <w:bCs/>
                <w:color w:val="000000"/>
                <w:sz w:val="24"/>
                <w:szCs w:val="24"/>
              </w:rPr>
              <w:t>Quality Measure #</w:t>
            </w:r>
            <w:r w:rsidR="00636A5A">
              <w:rPr>
                <w:rFonts w:eastAsia="Times New Roman" w:cstheme="minorHAnsi"/>
                <w:b/>
                <w:bCs/>
                <w:color w:val="000000"/>
                <w:sz w:val="24"/>
                <w:szCs w:val="24"/>
              </w:rPr>
              <w:t>4</w:t>
            </w:r>
          </w:p>
        </w:tc>
        <w:tc>
          <w:tcPr>
            <w:tcW w:w="1080" w:type="dxa"/>
          </w:tcPr>
          <w:p w14:paraId="04B6A611" w14:textId="77777777" w:rsidR="00514444" w:rsidRPr="00B12C60" w:rsidRDefault="00514444">
            <w:pPr>
              <w:rPr>
                <w:rFonts w:eastAsia="Times New Roman" w:cstheme="minorHAnsi"/>
                <w:b/>
                <w:bCs/>
                <w:color w:val="000000"/>
                <w:sz w:val="24"/>
                <w:szCs w:val="24"/>
              </w:rPr>
            </w:pPr>
            <w:r w:rsidRPr="00B12C60">
              <w:rPr>
                <w:rFonts w:eastAsia="Times New Roman" w:cstheme="minorHAnsi"/>
                <w:b/>
                <w:bCs/>
                <w:color w:val="000000"/>
                <w:sz w:val="24"/>
                <w:szCs w:val="24"/>
              </w:rPr>
              <w:t xml:space="preserve">Baseline </w:t>
            </w:r>
          </w:p>
        </w:tc>
        <w:tc>
          <w:tcPr>
            <w:tcW w:w="897" w:type="dxa"/>
          </w:tcPr>
          <w:p w14:paraId="6E0D900C" w14:textId="77777777" w:rsidR="00514444" w:rsidRPr="00B12C60" w:rsidRDefault="00514444">
            <w:pPr>
              <w:rPr>
                <w:rFonts w:eastAsia="Times New Roman" w:cstheme="minorHAnsi"/>
                <w:b/>
                <w:bCs/>
                <w:color w:val="000000"/>
                <w:sz w:val="24"/>
                <w:szCs w:val="24"/>
              </w:rPr>
            </w:pPr>
            <w:r w:rsidRPr="00B12C60">
              <w:rPr>
                <w:rFonts w:eastAsia="Times New Roman" w:cstheme="minorHAnsi"/>
                <w:b/>
                <w:bCs/>
                <w:color w:val="000000"/>
                <w:sz w:val="24"/>
                <w:szCs w:val="24"/>
              </w:rPr>
              <w:t>Year 1</w:t>
            </w:r>
          </w:p>
        </w:tc>
        <w:tc>
          <w:tcPr>
            <w:tcW w:w="989" w:type="dxa"/>
          </w:tcPr>
          <w:p w14:paraId="195C0D34" w14:textId="77777777" w:rsidR="00514444" w:rsidRPr="00B12C60" w:rsidRDefault="00514444">
            <w:pPr>
              <w:rPr>
                <w:rFonts w:eastAsia="Times New Roman" w:cstheme="minorHAnsi"/>
                <w:b/>
                <w:bCs/>
                <w:color w:val="000000"/>
                <w:sz w:val="24"/>
                <w:szCs w:val="24"/>
              </w:rPr>
            </w:pPr>
            <w:r w:rsidRPr="00B12C60">
              <w:rPr>
                <w:rFonts w:eastAsia="Times New Roman" w:cstheme="minorHAnsi"/>
                <w:b/>
                <w:bCs/>
                <w:color w:val="000000"/>
                <w:sz w:val="24"/>
                <w:szCs w:val="24"/>
              </w:rPr>
              <w:t>Year 2</w:t>
            </w:r>
          </w:p>
        </w:tc>
        <w:tc>
          <w:tcPr>
            <w:tcW w:w="989" w:type="dxa"/>
          </w:tcPr>
          <w:p w14:paraId="7B734CA5" w14:textId="77777777" w:rsidR="00514444" w:rsidRPr="00B12C60" w:rsidRDefault="00514444">
            <w:pPr>
              <w:rPr>
                <w:rFonts w:eastAsia="Times New Roman" w:cstheme="minorHAnsi"/>
                <w:b/>
                <w:bCs/>
                <w:color w:val="000000"/>
                <w:sz w:val="24"/>
                <w:szCs w:val="24"/>
              </w:rPr>
            </w:pPr>
            <w:r w:rsidRPr="00B12C60">
              <w:rPr>
                <w:rFonts w:eastAsia="Times New Roman" w:cstheme="minorHAnsi"/>
                <w:b/>
                <w:bCs/>
                <w:color w:val="000000"/>
                <w:sz w:val="24"/>
                <w:szCs w:val="24"/>
              </w:rPr>
              <w:t>Year 3</w:t>
            </w:r>
          </w:p>
        </w:tc>
      </w:tr>
      <w:tr w:rsidR="00B12C60" w:rsidRPr="00B12C60" w14:paraId="09F07FFC" w14:textId="77777777" w:rsidTr="006E5833">
        <w:trPr>
          <w:cantSplit/>
        </w:trPr>
        <w:tc>
          <w:tcPr>
            <w:tcW w:w="4680" w:type="dxa"/>
          </w:tcPr>
          <w:p w14:paraId="4E6AE4C7" w14:textId="0BFA1FB6" w:rsidR="00B12C60" w:rsidRPr="00B12C60" w:rsidRDefault="00B12C60" w:rsidP="00B12C60">
            <w:pPr>
              <w:rPr>
                <w:rFonts w:eastAsia="Times New Roman" w:cstheme="minorHAnsi"/>
                <w:color w:val="000000"/>
                <w:sz w:val="24"/>
                <w:szCs w:val="24"/>
              </w:rPr>
            </w:pPr>
            <w:r w:rsidRPr="00B12C60">
              <w:rPr>
                <w:rFonts w:eastAsia="Times New Roman" w:cs="Arial"/>
                <w:color w:val="000000"/>
              </w:rPr>
              <w:t>Average time registration to provider (minutes)</w:t>
            </w:r>
          </w:p>
        </w:tc>
        <w:tc>
          <w:tcPr>
            <w:tcW w:w="1080" w:type="dxa"/>
          </w:tcPr>
          <w:p w14:paraId="75D779C3" w14:textId="1B73C768" w:rsidR="00B12C60" w:rsidRPr="00B12C60" w:rsidRDefault="00B12C60" w:rsidP="00B12C60">
            <w:pPr>
              <w:jc w:val="center"/>
              <w:rPr>
                <w:rFonts w:eastAsia="Times New Roman" w:cstheme="minorHAnsi"/>
                <w:color w:val="000000"/>
                <w:sz w:val="24"/>
                <w:szCs w:val="24"/>
              </w:rPr>
            </w:pPr>
            <w:r w:rsidRPr="00B12C60">
              <w:rPr>
                <w:rFonts w:eastAsia="Times New Roman" w:cs="Arial"/>
                <w:color w:val="000000"/>
              </w:rPr>
              <w:t>64 min.</w:t>
            </w:r>
          </w:p>
        </w:tc>
        <w:tc>
          <w:tcPr>
            <w:tcW w:w="897" w:type="dxa"/>
          </w:tcPr>
          <w:p w14:paraId="66671504" w14:textId="2ADF98CD" w:rsidR="00B12C60" w:rsidRPr="00B12C60" w:rsidRDefault="00B12C60" w:rsidP="00B12C60">
            <w:pPr>
              <w:jc w:val="center"/>
              <w:rPr>
                <w:rFonts w:eastAsia="Times New Roman" w:cstheme="minorHAnsi"/>
                <w:color w:val="000000"/>
                <w:sz w:val="24"/>
                <w:szCs w:val="24"/>
              </w:rPr>
            </w:pPr>
            <w:r w:rsidRPr="00B12C60">
              <w:rPr>
                <w:rFonts w:eastAsia="Times New Roman" w:cs="Arial"/>
                <w:color w:val="000000"/>
              </w:rPr>
              <w:t>60 min.</w:t>
            </w:r>
          </w:p>
        </w:tc>
        <w:tc>
          <w:tcPr>
            <w:tcW w:w="989" w:type="dxa"/>
          </w:tcPr>
          <w:p w14:paraId="1B9E18F1" w14:textId="14AA4465" w:rsidR="00B12C60" w:rsidRPr="00B12C60" w:rsidRDefault="00B12C60" w:rsidP="00B12C60">
            <w:pPr>
              <w:jc w:val="center"/>
              <w:rPr>
                <w:rFonts w:eastAsia="Times New Roman" w:cstheme="minorHAnsi"/>
                <w:color w:val="000000"/>
                <w:sz w:val="24"/>
                <w:szCs w:val="24"/>
              </w:rPr>
            </w:pPr>
            <w:r w:rsidRPr="00B12C60">
              <w:rPr>
                <w:rFonts w:eastAsia="Times New Roman" w:cs="Arial"/>
                <w:color w:val="000000"/>
              </w:rPr>
              <w:t>45 min.</w:t>
            </w:r>
          </w:p>
        </w:tc>
        <w:tc>
          <w:tcPr>
            <w:tcW w:w="989" w:type="dxa"/>
          </w:tcPr>
          <w:p w14:paraId="1B2F8AE7" w14:textId="41A91058" w:rsidR="00B12C60" w:rsidRPr="00B12C60" w:rsidRDefault="00B12C60" w:rsidP="00B12C60">
            <w:pPr>
              <w:jc w:val="center"/>
              <w:rPr>
                <w:rFonts w:eastAsia="Times New Roman" w:cstheme="minorHAnsi"/>
                <w:color w:val="000000"/>
                <w:sz w:val="24"/>
                <w:szCs w:val="24"/>
              </w:rPr>
            </w:pPr>
            <w:r w:rsidRPr="00B12C60">
              <w:rPr>
                <w:rFonts w:eastAsia="Times New Roman" w:cs="Arial"/>
                <w:color w:val="000000"/>
              </w:rPr>
              <w:t>35 min.</w:t>
            </w:r>
          </w:p>
        </w:tc>
      </w:tr>
      <w:tr w:rsidR="00B12C60" w:rsidRPr="00E20DEA" w14:paraId="56BD9B4F" w14:textId="77777777" w:rsidTr="006E5833">
        <w:trPr>
          <w:cantSplit/>
        </w:trPr>
        <w:tc>
          <w:tcPr>
            <w:tcW w:w="4680" w:type="dxa"/>
          </w:tcPr>
          <w:p w14:paraId="722F0DE0" w14:textId="0DE4C9ED" w:rsidR="00B12C60" w:rsidRPr="00B12C60" w:rsidRDefault="00B12C60" w:rsidP="00B12C60">
            <w:pPr>
              <w:rPr>
                <w:rFonts w:eastAsia="Times New Roman" w:cstheme="minorHAnsi"/>
                <w:color w:val="000000"/>
                <w:sz w:val="24"/>
                <w:szCs w:val="24"/>
              </w:rPr>
            </w:pPr>
            <w:r w:rsidRPr="00B12C60">
              <w:rPr>
                <w:rFonts w:eastAsia="Times New Roman" w:cs="Arial"/>
                <w:color w:val="000000"/>
              </w:rPr>
              <w:t>Average time triage to treatment area (minutes)</w:t>
            </w:r>
          </w:p>
        </w:tc>
        <w:tc>
          <w:tcPr>
            <w:tcW w:w="1080" w:type="dxa"/>
          </w:tcPr>
          <w:p w14:paraId="12344436" w14:textId="1D23474A" w:rsidR="00B12C60" w:rsidRPr="00B12C60" w:rsidRDefault="00B12C60" w:rsidP="00B12C60">
            <w:pPr>
              <w:jc w:val="center"/>
              <w:rPr>
                <w:rFonts w:eastAsia="Times New Roman" w:cstheme="minorHAnsi"/>
                <w:color w:val="000000"/>
                <w:sz w:val="24"/>
                <w:szCs w:val="24"/>
              </w:rPr>
            </w:pPr>
            <w:r w:rsidRPr="00B12C60">
              <w:rPr>
                <w:rFonts w:eastAsia="Times New Roman" w:cs="Arial"/>
                <w:color w:val="000000"/>
              </w:rPr>
              <w:t>46 min.</w:t>
            </w:r>
          </w:p>
        </w:tc>
        <w:tc>
          <w:tcPr>
            <w:tcW w:w="897" w:type="dxa"/>
          </w:tcPr>
          <w:p w14:paraId="7A298C94" w14:textId="6D72B294" w:rsidR="00B12C60" w:rsidRPr="00B12C60" w:rsidRDefault="00B12C60" w:rsidP="00B12C60">
            <w:pPr>
              <w:jc w:val="center"/>
              <w:rPr>
                <w:rFonts w:eastAsia="Times New Roman" w:cstheme="minorHAnsi"/>
                <w:color w:val="000000"/>
                <w:sz w:val="24"/>
                <w:szCs w:val="24"/>
              </w:rPr>
            </w:pPr>
            <w:r w:rsidRPr="00B12C60">
              <w:rPr>
                <w:rFonts w:eastAsia="Times New Roman" w:cs="Arial"/>
                <w:color w:val="000000"/>
              </w:rPr>
              <w:t>40 min.</w:t>
            </w:r>
          </w:p>
        </w:tc>
        <w:tc>
          <w:tcPr>
            <w:tcW w:w="989" w:type="dxa"/>
          </w:tcPr>
          <w:p w14:paraId="2702F61D" w14:textId="6439C9A8" w:rsidR="00B12C60" w:rsidRPr="00B12C60" w:rsidRDefault="00B12C60" w:rsidP="00B12C60">
            <w:pPr>
              <w:jc w:val="center"/>
              <w:rPr>
                <w:rFonts w:eastAsia="Times New Roman" w:cstheme="minorHAnsi"/>
                <w:color w:val="000000"/>
                <w:sz w:val="24"/>
                <w:szCs w:val="24"/>
              </w:rPr>
            </w:pPr>
            <w:r w:rsidRPr="00B12C60">
              <w:rPr>
                <w:rFonts w:eastAsia="Times New Roman" w:cs="Arial"/>
                <w:color w:val="000000"/>
              </w:rPr>
              <w:t>30 min.</w:t>
            </w:r>
          </w:p>
        </w:tc>
        <w:tc>
          <w:tcPr>
            <w:tcW w:w="989" w:type="dxa"/>
          </w:tcPr>
          <w:p w14:paraId="37A88330" w14:textId="17FA0F78" w:rsidR="00B12C60" w:rsidRPr="00B12C60" w:rsidRDefault="00B12C60" w:rsidP="00B12C60">
            <w:pPr>
              <w:jc w:val="center"/>
              <w:rPr>
                <w:rFonts w:eastAsia="Times New Roman" w:cstheme="minorHAnsi"/>
                <w:color w:val="000000"/>
                <w:sz w:val="24"/>
                <w:szCs w:val="24"/>
              </w:rPr>
            </w:pPr>
            <w:r w:rsidRPr="00B12C60">
              <w:rPr>
                <w:rFonts w:eastAsia="Times New Roman" w:cs="Arial"/>
                <w:color w:val="000000"/>
              </w:rPr>
              <w:t>25 min.</w:t>
            </w:r>
          </w:p>
        </w:tc>
      </w:tr>
    </w:tbl>
    <w:p w14:paraId="186135CF" w14:textId="77777777" w:rsidR="00514444" w:rsidRPr="00814C16" w:rsidRDefault="00514444" w:rsidP="00AB7578">
      <w:pPr>
        <w:autoSpaceDE w:val="0"/>
        <w:autoSpaceDN w:val="0"/>
        <w:adjustRightInd w:val="0"/>
        <w:spacing w:after="0" w:line="240" w:lineRule="auto"/>
        <w:rPr>
          <w:rFonts w:eastAsia="Times New Roman" w:cstheme="minorHAnsi"/>
          <w:sz w:val="24"/>
          <w:szCs w:val="24"/>
        </w:rPr>
      </w:pPr>
    </w:p>
    <w:p w14:paraId="645A06A3" w14:textId="233A8999" w:rsidR="00514444" w:rsidRPr="00814C16" w:rsidRDefault="008F7038" w:rsidP="00A662DF">
      <w:pPr>
        <w:pStyle w:val="ListParagraph"/>
        <w:numPr>
          <w:ilvl w:val="0"/>
          <w:numId w:val="7"/>
        </w:numPr>
        <w:spacing w:after="0" w:line="240" w:lineRule="auto"/>
        <w:rPr>
          <w:rFonts w:eastAsia="Times New Roman" w:cstheme="minorHAnsi"/>
          <w:sz w:val="24"/>
          <w:szCs w:val="24"/>
        </w:rPr>
      </w:pPr>
      <w:r w:rsidRPr="00814C16">
        <w:rPr>
          <w:rFonts w:eastAsia="Times New Roman" w:cstheme="minorHAnsi"/>
          <w:b/>
          <w:bCs/>
          <w:sz w:val="24"/>
          <w:szCs w:val="24"/>
          <w:u w:val="single"/>
        </w:rPr>
        <w:t>Patient Experience: Length of Stay</w:t>
      </w:r>
      <w:r w:rsidR="00514444" w:rsidRPr="00814C16">
        <w:rPr>
          <w:rFonts w:cstheme="minorHAnsi"/>
          <w:sz w:val="24"/>
          <w:szCs w:val="24"/>
        </w:rPr>
        <w:t xml:space="preserve"> </w:t>
      </w:r>
      <w:r w:rsidR="004A60C1" w:rsidRPr="00814C16">
        <w:rPr>
          <w:rFonts w:eastAsia="Times New Roman" w:cs="Arial"/>
          <w:sz w:val="24"/>
          <w:szCs w:val="24"/>
        </w:rPr>
        <w:t>This metric will measure patients’ total length of stay in the ED from registration to discharge.</w:t>
      </w:r>
    </w:p>
    <w:tbl>
      <w:tblPr>
        <w:tblStyle w:val="TableGrid"/>
        <w:tblW w:w="0" w:type="auto"/>
        <w:tblInd w:w="715" w:type="dxa"/>
        <w:tblLook w:val="04A0" w:firstRow="1" w:lastRow="0" w:firstColumn="1" w:lastColumn="0" w:noHBand="0" w:noVBand="1"/>
      </w:tblPr>
      <w:tblGrid>
        <w:gridCol w:w="4719"/>
        <w:gridCol w:w="1054"/>
        <w:gridCol w:w="985"/>
        <w:gridCol w:w="897"/>
        <w:gridCol w:w="980"/>
      </w:tblGrid>
      <w:tr w:rsidR="00514444" w:rsidRPr="00814C16" w14:paraId="59F87544" w14:textId="77777777" w:rsidTr="004A3B63">
        <w:tc>
          <w:tcPr>
            <w:tcW w:w="4719" w:type="dxa"/>
          </w:tcPr>
          <w:p w14:paraId="6CBD7D25" w14:textId="305DEC10" w:rsidR="00514444" w:rsidRPr="00814C16" w:rsidRDefault="00514444">
            <w:pPr>
              <w:rPr>
                <w:rFonts w:cstheme="minorHAnsi"/>
                <w:b/>
                <w:bCs/>
                <w:sz w:val="24"/>
                <w:szCs w:val="24"/>
              </w:rPr>
            </w:pPr>
            <w:r w:rsidRPr="00814C16">
              <w:rPr>
                <w:rFonts w:cstheme="minorHAnsi"/>
                <w:b/>
                <w:bCs/>
                <w:sz w:val="24"/>
                <w:szCs w:val="24"/>
              </w:rPr>
              <w:t>Quality Measure #</w:t>
            </w:r>
            <w:r w:rsidR="00636A5A">
              <w:rPr>
                <w:rFonts w:cstheme="minorHAnsi"/>
                <w:b/>
                <w:bCs/>
                <w:sz w:val="24"/>
                <w:szCs w:val="24"/>
              </w:rPr>
              <w:t>5</w:t>
            </w:r>
          </w:p>
        </w:tc>
        <w:tc>
          <w:tcPr>
            <w:tcW w:w="1054" w:type="dxa"/>
          </w:tcPr>
          <w:p w14:paraId="3C76DDCB" w14:textId="77777777" w:rsidR="00514444" w:rsidRPr="00814C16" w:rsidRDefault="00514444">
            <w:pPr>
              <w:rPr>
                <w:rFonts w:cstheme="minorHAnsi"/>
                <w:b/>
                <w:bCs/>
                <w:sz w:val="24"/>
                <w:szCs w:val="24"/>
              </w:rPr>
            </w:pPr>
            <w:r w:rsidRPr="00814C16">
              <w:rPr>
                <w:rFonts w:cstheme="minorHAnsi"/>
                <w:b/>
                <w:bCs/>
                <w:sz w:val="24"/>
                <w:szCs w:val="24"/>
              </w:rPr>
              <w:t xml:space="preserve">Baseline </w:t>
            </w:r>
          </w:p>
        </w:tc>
        <w:tc>
          <w:tcPr>
            <w:tcW w:w="985" w:type="dxa"/>
          </w:tcPr>
          <w:p w14:paraId="37277735" w14:textId="77777777" w:rsidR="00514444" w:rsidRPr="00814C16" w:rsidRDefault="00514444">
            <w:pPr>
              <w:rPr>
                <w:rFonts w:cstheme="minorHAnsi"/>
                <w:b/>
                <w:bCs/>
                <w:sz w:val="24"/>
                <w:szCs w:val="24"/>
              </w:rPr>
            </w:pPr>
            <w:r w:rsidRPr="00814C16">
              <w:rPr>
                <w:rFonts w:cstheme="minorHAnsi"/>
                <w:b/>
                <w:bCs/>
                <w:sz w:val="24"/>
                <w:szCs w:val="24"/>
              </w:rPr>
              <w:t>Year 1</w:t>
            </w:r>
          </w:p>
        </w:tc>
        <w:tc>
          <w:tcPr>
            <w:tcW w:w="897" w:type="dxa"/>
          </w:tcPr>
          <w:p w14:paraId="00150A85" w14:textId="77777777" w:rsidR="00514444" w:rsidRPr="00814C16" w:rsidRDefault="00514444">
            <w:pPr>
              <w:rPr>
                <w:rFonts w:cstheme="minorHAnsi"/>
                <w:b/>
                <w:bCs/>
                <w:sz w:val="24"/>
                <w:szCs w:val="24"/>
              </w:rPr>
            </w:pPr>
            <w:r w:rsidRPr="00814C16">
              <w:rPr>
                <w:rFonts w:cstheme="minorHAnsi"/>
                <w:b/>
                <w:bCs/>
                <w:sz w:val="24"/>
                <w:szCs w:val="24"/>
              </w:rPr>
              <w:t>Year 2</w:t>
            </w:r>
          </w:p>
        </w:tc>
        <w:tc>
          <w:tcPr>
            <w:tcW w:w="980" w:type="dxa"/>
          </w:tcPr>
          <w:p w14:paraId="424130C3" w14:textId="77777777" w:rsidR="00514444" w:rsidRPr="00814C16" w:rsidRDefault="00514444">
            <w:pPr>
              <w:rPr>
                <w:rFonts w:cstheme="minorHAnsi"/>
                <w:b/>
                <w:bCs/>
                <w:sz w:val="24"/>
                <w:szCs w:val="24"/>
              </w:rPr>
            </w:pPr>
            <w:r w:rsidRPr="00814C16">
              <w:rPr>
                <w:rFonts w:cstheme="minorHAnsi"/>
                <w:b/>
                <w:bCs/>
                <w:sz w:val="24"/>
                <w:szCs w:val="24"/>
              </w:rPr>
              <w:t>Year 3</w:t>
            </w:r>
          </w:p>
        </w:tc>
      </w:tr>
      <w:tr w:rsidR="00814C16" w:rsidRPr="00E20DEA" w14:paraId="54DC6090" w14:textId="77777777" w:rsidTr="004A3B63">
        <w:tc>
          <w:tcPr>
            <w:tcW w:w="4719" w:type="dxa"/>
          </w:tcPr>
          <w:p w14:paraId="2BB7A3AC" w14:textId="01B76004" w:rsidR="00814C16" w:rsidRPr="00814C16" w:rsidRDefault="00814C16" w:rsidP="00814C16">
            <w:pPr>
              <w:rPr>
                <w:rFonts w:cstheme="minorHAnsi"/>
                <w:sz w:val="24"/>
                <w:szCs w:val="24"/>
              </w:rPr>
            </w:pPr>
            <w:r w:rsidRPr="00814C16">
              <w:rPr>
                <w:rFonts w:cs="Arial"/>
              </w:rPr>
              <w:t xml:space="preserve">Length of Stay </w:t>
            </w:r>
          </w:p>
        </w:tc>
        <w:tc>
          <w:tcPr>
            <w:tcW w:w="1054" w:type="dxa"/>
          </w:tcPr>
          <w:p w14:paraId="3F0EBB86" w14:textId="4055F899" w:rsidR="00814C16" w:rsidRPr="00814C16" w:rsidRDefault="00814C16" w:rsidP="00814C16">
            <w:pPr>
              <w:jc w:val="center"/>
              <w:rPr>
                <w:rFonts w:cstheme="minorHAnsi"/>
                <w:sz w:val="24"/>
                <w:szCs w:val="24"/>
              </w:rPr>
            </w:pPr>
            <w:r w:rsidRPr="00814C16">
              <w:rPr>
                <w:rFonts w:cs="Arial"/>
              </w:rPr>
              <w:t>265 min</w:t>
            </w:r>
          </w:p>
        </w:tc>
        <w:tc>
          <w:tcPr>
            <w:tcW w:w="985" w:type="dxa"/>
          </w:tcPr>
          <w:p w14:paraId="333CECCE" w14:textId="47A8E1A7" w:rsidR="00814C16" w:rsidRPr="00814C16" w:rsidRDefault="00814C16" w:rsidP="00814C16">
            <w:pPr>
              <w:jc w:val="center"/>
              <w:rPr>
                <w:rFonts w:cstheme="minorHAnsi"/>
                <w:sz w:val="24"/>
                <w:szCs w:val="24"/>
              </w:rPr>
            </w:pPr>
            <w:r w:rsidRPr="00814C16">
              <w:rPr>
                <w:rFonts w:cs="Arial"/>
              </w:rPr>
              <w:t>250 min</w:t>
            </w:r>
          </w:p>
        </w:tc>
        <w:tc>
          <w:tcPr>
            <w:tcW w:w="897" w:type="dxa"/>
          </w:tcPr>
          <w:p w14:paraId="43556E9B" w14:textId="6617EA12" w:rsidR="00814C16" w:rsidRPr="00814C16" w:rsidRDefault="00814C16" w:rsidP="00814C16">
            <w:pPr>
              <w:jc w:val="center"/>
              <w:rPr>
                <w:rFonts w:cstheme="minorHAnsi"/>
                <w:sz w:val="24"/>
                <w:szCs w:val="24"/>
              </w:rPr>
            </w:pPr>
            <w:r w:rsidRPr="00814C16">
              <w:rPr>
                <w:rFonts w:cs="Arial"/>
              </w:rPr>
              <w:t>225 min</w:t>
            </w:r>
          </w:p>
        </w:tc>
        <w:tc>
          <w:tcPr>
            <w:tcW w:w="980" w:type="dxa"/>
          </w:tcPr>
          <w:p w14:paraId="3F810CFF" w14:textId="295BFF82" w:rsidR="00814C16" w:rsidRPr="00814C16" w:rsidRDefault="00814C16" w:rsidP="00814C16">
            <w:pPr>
              <w:jc w:val="center"/>
              <w:rPr>
                <w:rFonts w:cstheme="minorHAnsi"/>
                <w:sz w:val="24"/>
                <w:szCs w:val="24"/>
              </w:rPr>
            </w:pPr>
            <w:r w:rsidRPr="00814C16">
              <w:rPr>
                <w:rFonts w:cs="Arial"/>
              </w:rPr>
              <w:t>200 min</w:t>
            </w:r>
          </w:p>
        </w:tc>
      </w:tr>
    </w:tbl>
    <w:p w14:paraId="5DECD7BB" w14:textId="77BA0FB6" w:rsidR="007179DD" w:rsidRPr="00E20DEA" w:rsidRDefault="007179DD" w:rsidP="00A662DF">
      <w:pPr>
        <w:spacing w:after="0" w:line="240" w:lineRule="auto"/>
        <w:rPr>
          <w:b/>
          <w:bCs/>
          <w:sz w:val="24"/>
          <w:szCs w:val="24"/>
          <w:highlight w:val="yellow"/>
        </w:rPr>
      </w:pPr>
    </w:p>
    <w:p w14:paraId="0B1EB9A2" w14:textId="24638459" w:rsidR="00C41090" w:rsidRPr="007179DD" w:rsidRDefault="007179DD" w:rsidP="00A662DF">
      <w:pPr>
        <w:pStyle w:val="Heading1"/>
        <w:spacing w:before="0" w:line="240" w:lineRule="auto"/>
        <w:rPr>
          <w:rFonts w:cstheme="minorHAnsi"/>
          <w:b w:val="0"/>
          <w:bCs/>
          <w:iCs/>
        </w:rPr>
      </w:pPr>
      <w:bookmarkStart w:id="30" w:name="_Toc144207784"/>
      <w:bookmarkStart w:id="31" w:name="_Toc192247645"/>
      <w:r w:rsidRPr="00DE268E">
        <w:rPr>
          <w:rFonts w:cstheme="minorHAnsi"/>
          <w:iCs/>
        </w:rPr>
        <w:t>REFERENCES</w:t>
      </w:r>
      <w:bookmarkEnd w:id="30"/>
      <w:bookmarkEnd w:id="31"/>
    </w:p>
    <w:sectPr w:rsidR="00C41090" w:rsidRPr="007179DD" w:rsidSect="00897353">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18046" w14:textId="77777777" w:rsidR="002416D9" w:rsidRDefault="002416D9" w:rsidP="0017637D">
      <w:pPr>
        <w:spacing w:after="0" w:line="240" w:lineRule="auto"/>
      </w:pPr>
      <w:r>
        <w:separator/>
      </w:r>
    </w:p>
  </w:endnote>
  <w:endnote w:type="continuationSeparator" w:id="0">
    <w:p w14:paraId="4C450FD7" w14:textId="77777777" w:rsidR="002416D9" w:rsidRDefault="002416D9" w:rsidP="0017637D">
      <w:pPr>
        <w:spacing w:after="0" w:line="240" w:lineRule="auto"/>
      </w:pPr>
      <w:r>
        <w:continuationSeparator/>
      </w:r>
    </w:p>
  </w:endnote>
  <w:endnote w:type="continuationNotice" w:id="1">
    <w:p w14:paraId="383182CE" w14:textId="77777777" w:rsidR="002416D9" w:rsidRDefault="002416D9">
      <w:pPr>
        <w:spacing w:after="0" w:line="240" w:lineRule="auto"/>
      </w:pPr>
    </w:p>
  </w:endnote>
  <w:endnote w:id="2">
    <w:p w14:paraId="40B2D1B8" w14:textId="0B10CC49" w:rsidR="0047202F" w:rsidRPr="00CF5C98" w:rsidRDefault="0047202F" w:rsidP="0047202F">
      <w:pPr>
        <w:pStyle w:val="EndnoteText"/>
        <w:rPr>
          <w:color w:val="2F5496" w:themeColor="accent1" w:themeShade="BF"/>
        </w:rPr>
      </w:pPr>
      <w:r>
        <w:rPr>
          <w:rStyle w:val="EndnoteReference"/>
        </w:rPr>
        <w:endnoteRef/>
      </w:r>
      <w:r>
        <w:t xml:space="preserve"> </w:t>
      </w:r>
      <w:hyperlink r:id="rId1" w:history="1">
        <w:r w:rsidRPr="006E4A5D">
          <w:rPr>
            <w:rStyle w:val="Hyperlink"/>
            <w:rFonts w:cstheme="minorHAnsi"/>
            <w:color w:val="000000" w:themeColor="text1"/>
            <w:u w:val="none"/>
            <w:shd w:val="clear" w:color="auto" w:fill="FFFFFF"/>
          </w:rPr>
          <w:t xml:space="preserve">U.S. Census Bureau, "Demographic Profile, July 1, 2022 (V2022) – </w:t>
        </w:r>
        <w:r w:rsidR="005B32E3" w:rsidRPr="006E4A5D">
          <w:rPr>
            <w:rStyle w:val="Hyperlink"/>
            <w:rFonts w:cstheme="minorHAnsi"/>
            <w:color w:val="000000" w:themeColor="text1"/>
            <w:u w:val="none"/>
            <w:shd w:val="clear" w:color="auto" w:fill="FFFFFF"/>
          </w:rPr>
          <w:t>Bristol</w:t>
        </w:r>
        <w:r w:rsidRPr="006E4A5D">
          <w:rPr>
            <w:rStyle w:val="Hyperlink"/>
            <w:rFonts w:cstheme="minorHAnsi"/>
            <w:color w:val="000000" w:themeColor="text1"/>
            <w:u w:val="none"/>
            <w:shd w:val="clear" w:color="auto" w:fill="FFFFFF"/>
          </w:rPr>
          <w:t xml:space="preserve"> County, MA," Quick Facts,</w:t>
        </w:r>
      </w:hyperlink>
      <w:r w:rsidRPr="006E4A5D">
        <w:rPr>
          <w:rFonts w:cstheme="minorHAnsi"/>
          <w:color w:val="000000" w:themeColor="text1"/>
          <w:shd w:val="clear" w:color="auto" w:fill="FFFFFF"/>
        </w:rPr>
        <w:t xml:space="preserve"> accessed </w:t>
      </w:r>
      <w:r w:rsidR="00A06234">
        <w:rPr>
          <w:rFonts w:cstheme="minorHAnsi"/>
          <w:color w:val="202124"/>
          <w:shd w:val="clear" w:color="auto" w:fill="FFFFFF"/>
        </w:rPr>
        <w:t>January 28,2025</w:t>
      </w:r>
      <w:r w:rsidRPr="00570BA3">
        <w:rPr>
          <w:rFonts w:cstheme="minorHAnsi"/>
        </w:rPr>
        <w:t xml:space="preserve">. </w:t>
      </w:r>
      <w:hyperlink r:id="rId2" w:history="1">
        <w:r w:rsidR="00A06234" w:rsidRPr="00A06234">
          <w:rPr>
            <w:rStyle w:val="Hyperlink"/>
            <w:color w:val="2F5496" w:themeColor="accent1" w:themeShade="BF"/>
          </w:rPr>
          <w:t>https://www.census.gov/quickfacts/fact/table/bristolcountymassachusetts/PST045224</w:t>
        </w:r>
      </w:hyperlink>
      <w:r w:rsidR="00A06234" w:rsidRPr="00A06234">
        <w:rPr>
          <w:color w:val="2F5496" w:themeColor="accent1" w:themeShade="BF"/>
        </w:rPr>
        <w:t xml:space="preserve"> </w:t>
      </w:r>
    </w:p>
  </w:endnote>
  <w:endnote w:id="3">
    <w:p w14:paraId="0E328524" w14:textId="45F03552" w:rsidR="00122B7A" w:rsidRPr="006E53E6" w:rsidRDefault="00122B7A" w:rsidP="00122B7A">
      <w:pPr>
        <w:autoSpaceDE w:val="0"/>
        <w:autoSpaceDN w:val="0"/>
        <w:adjustRightInd w:val="0"/>
        <w:spacing w:after="0" w:line="240" w:lineRule="auto"/>
        <w:rPr>
          <w:rFonts w:eastAsia="Times New Roman" w:cstheme="minorHAnsi"/>
          <w:sz w:val="20"/>
          <w:szCs w:val="20"/>
        </w:rPr>
      </w:pPr>
      <w:r w:rsidRPr="006E53E6">
        <w:rPr>
          <w:rStyle w:val="EndnoteReference"/>
          <w:rFonts w:cstheme="minorHAnsi"/>
          <w:sz w:val="20"/>
          <w:szCs w:val="20"/>
        </w:rPr>
        <w:endnoteRef/>
      </w:r>
      <w:r w:rsidRPr="006E53E6">
        <w:rPr>
          <w:rFonts w:cstheme="minorHAnsi"/>
          <w:sz w:val="20"/>
          <w:szCs w:val="20"/>
        </w:rPr>
        <w:t xml:space="preserve"> Kimberly Nordstrom et al., </w:t>
      </w:r>
      <w:hyperlink r:id="rId3" w:history="1">
        <w:r w:rsidRPr="006E4A5D">
          <w:rPr>
            <w:rStyle w:val="Hyperlink"/>
            <w:rFonts w:cstheme="minorHAnsi"/>
            <w:i/>
            <w:iCs/>
            <w:color w:val="000000" w:themeColor="text1"/>
            <w:sz w:val="20"/>
            <w:szCs w:val="20"/>
            <w:u w:val="none"/>
          </w:rPr>
          <w:t>Boarding of Mentally Ill Patients in Emergency Departments: American Psychiatric Association Resource Document</w:t>
        </w:r>
        <w:r w:rsidRPr="006E4A5D">
          <w:rPr>
            <w:rStyle w:val="Hyperlink"/>
            <w:rFonts w:cstheme="minorHAnsi"/>
            <w:color w:val="000000" w:themeColor="text1"/>
            <w:sz w:val="20"/>
            <w:szCs w:val="20"/>
            <w:u w:val="none"/>
          </w:rPr>
          <w:t>,</w:t>
        </w:r>
      </w:hyperlink>
      <w:r w:rsidRPr="006E4A5D">
        <w:rPr>
          <w:rFonts w:cstheme="minorHAnsi"/>
          <w:color w:val="000000" w:themeColor="text1"/>
          <w:sz w:val="20"/>
          <w:szCs w:val="20"/>
        </w:rPr>
        <w:t xml:space="preserve"> Western </w:t>
      </w:r>
      <w:r w:rsidRPr="006E53E6">
        <w:rPr>
          <w:rFonts w:cstheme="minorHAnsi"/>
          <w:sz w:val="20"/>
          <w:szCs w:val="20"/>
        </w:rPr>
        <w:t xml:space="preserve">Journal of Emergency Medicine, </w:t>
      </w:r>
      <w:hyperlink r:id="rId4" w:history="1">
        <w:r w:rsidRPr="00CF5C98">
          <w:rPr>
            <w:rStyle w:val="Hyperlink"/>
            <w:rFonts w:eastAsia="Times New Roman" w:cstheme="minorHAnsi"/>
            <w:color w:val="2F5496" w:themeColor="accent1" w:themeShade="BF"/>
            <w:sz w:val="20"/>
            <w:szCs w:val="20"/>
          </w:rPr>
          <w:t>https://www.ncbi.nlm.nih.gov/pmc/articles/PMC6754202/</w:t>
        </w:r>
      </w:hyperlink>
      <w:r w:rsidRPr="006E53E6">
        <w:rPr>
          <w:rFonts w:eastAsia="Times New Roman" w:cstheme="minorHAnsi"/>
          <w:sz w:val="20"/>
          <w:szCs w:val="20"/>
        </w:rPr>
        <w:t xml:space="preserve"> (Sept. 2019).</w:t>
      </w:r>
    </w:p>
  </w:endnote>
  <w:endnote w:id="4">
    <w:p w14:paraId="432A7B63" w14:textId="1D9BBAC8" w:rsidR="00122B7A" w:rsidRPr="006E53E6" w:rsidRDefault="00122B7A" w:rsidP="00122B7A">
      <w:pPr>
        <w:pStyle w:val="EndnoteText"/>
        <w:rPr>
          <w:rFonts w:cstheme="minorHAnsi"/>
          <w:highlight w:val="yellow"/>
        </w:rPr>
      </w:pPr>
      <w:r w:rsidRPr="00653B96">
        <w:rPr>
          <w:rStyle w:val="EndnoteReference"/>
          <w:rFonts w:cstheme="minorHAnsi"/>
        </w:rPr>
        <w:endnoteRef/>
      </w:r>
      <w:r w:rsidRPr="00653B96">
        <w:rPr>
          <w:rFonts w:cstheme="minorHAnsi"/>
        </w:rPr>
        <w:t xml:space="preserve"> Kimberly Nordstrom et al., </w:t>
      </w:r>
      <w:hyperlink r:id="rId5" w:history="1">
        <w:r w:rsidRPr="006E4A5D">
          <w:rPr>
            <w:rStyle w:val="Hyperlink"/>
            <w:rFonts w:cstheme="minorHAnsi"/>
            <w:i/>
            <w:iCs/>
            <w:color w:val="000000" w:themeColor="text1"/>
            <w:u w:val="none"/>
          </w:rPr>
          <w:t>Boarding of Mentally Ill Patients in Emergency Departments: American Psychiatric Association Resource Document</w:t>
        </w:r>
        <w:r w:rsidRPr="006E4A5D">
          <w:rPr>
            <w:rStyle w:val="Hyperlink"/>
            <w:rFonts w:cstheme="minorHAnsi"/>
            <w:color w:val="000000" w:themeColor="text1"/>
            <w:u w:val="none"/>
          </w:rPr>
          <w:t>,</w:t>
        </w:r>
      </w:hyperlink>
      <w:r w:rsidRPr="006E4A5D">
        <w:rPr>
          <w:rFonts w:cstheme="minorHAnsi"/>
          <w:color w:val="000000" w:themeColor="text1"/>
        </w:rPr>
        <w:t xml:space="preserve"> Western </w:t>
      </w:r>
      <w:r w:rsidRPr="00653B96">
        <w:rPr>
          <w:rFonts w:cstheme="minorHAnsi"/>
        </w:rPr>
        <w:t xml:space="preserve">Journal of Emergency Medicine, </w:t>
      </w:r>
      <w:hyperlink r:id="rId6" w:history="1">
        <w:r w:rsidRPr="00CF5C98">
          <w:rPr>
            <w:rStyle w:val="Hyperlink"/>
            <w:rFonts w:eastAsia="Times New Roman" w:cstheme="minorHAnsi"/>
            <w:color w:val="2F5496" w:themeColor="accent1" w:themeShade="BF"/>
          </w:rPr>
          <w:t>https://www.ncbi.nlm.nih.gov/pmc/articles/PMC6754202/</w:t>
        </w:r>
      </w:hyperlink>
      <w:r w:rsidRPr="00CF5C98">
        <w:rPr>
          <w:rFonts w:eastAsia="Times New Roman" w:cstheme="minorHAnsi"/>
          <w:color w:val="2F5496" w:themeColor="accent1" w:themeShade="BF"/>
        </w:rPr>
        <w:t xml:space="preserve"> </w:t>
      </w:r>
      <w:r w:rsidRPr="00653B96">
        <w:rPr>
          <w:rFonts w:eastAsia="Times New Roman" w:cstheme="minorHAnsi"/>
        </w:rPr>
        <w:t>(Sept. 2019).</w:t>
      </w:r>
    </w:p>
  </w:endnote>
  <w:endnote w:id="5">
    <w:p w14:paraId="4FCC5F7A" w14:textId="77777777" w:rsidR="00122B7A" w:rsidRPr="0014596E" w:rsidRDefault="00122B7A" w:rsidP="00122B7A">
      <w:pPr>
        <w:pStyle w:val="Default"/>
        <w:rPr>
          <w:rFonts w:asciiTheme="minorHAnsi" w:hAnsiTheme="minorHAnsi" w:cstheme="minorHAnsi"/>
          <w:i/>
          <w:iCs/>
          <w:sz w:val="20"/>
          <w:szCs w:val="20"/>
        </w:rPr>
      </w:pPr>
      <w:r w:rsidRPr="0014596E">
        <w:rPr>
          <w:rStyle w:val="EndnoteReference"/>
          <w:rFonts w:asciiTheme="minorHAnsi" w:hAnsiTheme="minorHAnsi" w:cstheme="minorHAnsi"/>
          <w:sz w:val="20"/>
          <w:szCs w:val="20"/>
        </w:rPr>
        <w:endnoteRef/>
      </w:r>
      <w:r w:rsidRPr="0014596E">
        <w:rPr>
          <w:rFonts w:asciiTheme="minorHAnsi" w:hAnsiTheme="minorHAnsi" w:cstheme="minorHAnsi"/>
          <w:sz w:val="20"/>
          <w:szCs w:val="20"/>
        </w:rPr>
        <w:t xml:space="preserve"> Jennifer L. Wiler et al., </w:t>
      </w:r>
      <w:r w:rsidRPr="0014596E">
        <w:rPr>
          <w:rFonts w:asciiTheme="minorHAnsi" w:hAnsiTheme="minorHAnsi" w:cstheme="minorHAnsi"/>
          <w:i/>
          <w:iCs/>
          <w:sz w:val="20"/>
          <w:szCs w:val="20"/>
        </w:rPr>
        <w:t>Care of the Psychiatric Patient in the Emergency Department –A Review of the Literature</w:t>
      </w:r>
      <w:r w:rsidRPr="0014596E">
        <w:rPr>
          <w:rFonts w:asciiTheme="minorHAnsi" w:hAnsiTheme="minorHAnsi" w:cstheme="minorHAnsi"/>
          <w:sz w:val="20"/>
          <w:szCs w:val="20"/>
        </w:rPr>
        <w:t>, American College of Emergency Physicians (Oct. 2014).</w:t>
      </w:r>
    </w:p>
  </w:endnote>
  <w:endnote w:id="6">
    <w:p w14:paraId="6E77B557" w14:textId="2BD83DB4" w:rsidR="00122B7A" w:rsidRPr="006E53E6" w:rsidRDefault="00122B7A" w:rsidP="00122B7A">
      <w:pPr>
        <w:pStyle w:val="EndnoteText"/>
        <w:rPr>
          <w:rFonts w:cstheme="minorHAnsi"/>
        </w:rPr>
      </w:pPr>
      <w:r w:rsidRPr="000E78AC">
        <w:rPr>
          <w:rStyle w:val="EndnoteReference"/>
          <w:rFonts w:cstheme="minorHAnsi"/>
        </w:rPr>
        <w:endnoteRef/>
      </w:r>
      <w:r w:rsidRPr="000E78AC">
        <w:rPr>
          <w:rFonts w:cstheme="minorHAnsi"/>
        </w:rPr>
        <w:t xml:space="preserve"> Kimberly Nordstrom et al., </w:t>
      </w:r>
      <w:hyperlink r:id="rId7" w:history="1">
        <w:r w:rsidRPr="006E4A5D">
          <w:rPr>
            <w:rStyle w:val="Hyperlink"/>
            <w:rFonts w:cstheme="minorHAnsi"/>
            <w:i/>
            <w:iCs/>
            <w:color w:val="000000" w:themeColor="text1"/>
            <w:u w:val="none"/>
          </w:rPr>
          <w:t>Boarding of Mentally Ill Patients in Emergency Departments: American Psychiatric Association Resource Document</w:t>
        </w:r>
        <w:r w:rsidRPr="006E4A5D">
          <w:rPr>
            <w:rStyle w:val="Hyperlink"/>
            <w:rFonts w:cstheme="minorHAnsi"/>
            <w:color w:val="000000" w:themeColor="text1"/>
            <w:u w:val="none"/>
          </w:rPr>
          <w:t>,</w:t>
        </w:r>
      </w:hyperlink>
      <w:r w:rsidRPr="006E4A5D">
        <w:rPr>
          <w:rFonts w:cstheme="minorHAnsi"/>
          <w:color w:val="000000" w:themeColor="text1"/>
        </w:rPr>
        <w:t xml:space="preserve"> Western </w:t>
      </w:r>
      <w:r w:rsidRPr="000E78AC">
        <w:rPr>
          <w:rFonts w:cstheme="minorHAnsi"/>
        </w:rPr>
        <w:t>Journal of Emergency Medicine,</w:t>
      </w:r>
      <w:r w:rsidRPr="00653B96">
        <w:rPr>
          <w:rFonts w:cstheme="minorHAnsi"/>
        </w:rPr>
        <w:t xml:space="preserve"> </w:t>
      </w:r>
      <w:hyperlink r:id="rId8" w:history="1">
        <w:r w:rsidRPr="00CF5C98">
          <w:rPr>
            <w:rStyle w:val="Hyperlink"/>
            <w:rFonts w:eastAsia="Times New Roman" w:cstheme="minorHAnsi"/>
            <w:color w:val="2F5496" w:themeColor="accent1" w:themeShade="BF"/>
          </w:rPr>
          <w:t>https://www.ncbi.nlm.nih.gov/pmc/articles/PMC6754202/</w:t>
        </w:r>
      </w:hyperlink>
      <w:r w:rsidRPr="00653B96">
        <w:rPr>
          <w:rFonts w:eastAsia="Times New Roman" w:cstheme="minorHAnsi"/>
        </w:rPr>
        <w:t xml:space="preserve"> (Sept. 2019).</w:t>
      </w:r>
    </w:p>
  </w:endnote>
  <w:endnote w:id="7">
    <w:p w14:paraId="6CA4CD1E" w14:textId="2782B476" w:rsidR="008E20CD" w:rsidRPr="006E53E6" w:rsidRDefault="008E20CD" w:rsidP="001E0367">
      <w:pPr>
        <w:pStyle w:val="EndnoteText"/>
        <w:rPr>
          <w:rFonts w:cstheme="minorHAnsi"/>
        </w:rPr>
      </w:pPr>
      <w:r w:rsidRPr="006E53E6">
        <w:rPr>
          <w:rStyle w:val="EndnoteReference"/>
          <w:rFonts w:cstheme="minorHAnsi"/>
        </w:rPr>
        <w:endnoteRef/>
      </w:r>
      <w:r w:rsidRPr="006E53E6">
        <w:rPr>
          <w:rFonts w:cstheme="minorHAnsi"/>
        </w:rPr>
        <w:t xml:space="preserve"> Marina Sartini e</w:t>
      </w:r>
      <w:r w:rsidRPr="006E4A5D">
        <w:rPr>
          <w:rFonts w:cstheme="minorHAnsi"/>
          <w:color w:val="000000" w:themeColor="text1"/>
        </w:rPr>
        <w:t xml:space="preserve">t al., </w:t>
      </w:r>
      <w:hyperlink r:id="rId9" w:history="1">
        <w:r w:rsidRPr="006E4A5D">
          <w:rPr>
            <w:rStyle w:val="Hyperlink"/>
            <w:rFonts w:eastAsia="Times New Roman" w:cstheme="minorHAnsi"/>
            <w:i/>
            <w:iCs/>
            <w:color w:val="000000" w:themeColor="text1"/>
            <w:u w:val="none"/>
          </w:rPr>
          <w:t>Overcrowding in Emergency Department: Causes Consequences, and Solutions—A Narrative Review</w:t>
        </w:r>
      </w:hyperlink>
      <w:r w:rsidRPr="006E4A5D">
        <w:rPr>
          <w:rFonts w:eastAsia="Times New Roman" w:cstheme="minorHAnsi"/>
          <w:color w:val="000000" w:themeColor="text1"/>
        </w:rPr>
        <w:t xml:space="preserve">, Healthcare </w:t>
      </w:r>
      <w:r w:rsidRPr="006E53E6">
        <w:rPr>
          <w:rFonts w:eastAsia="Times New Roman" w:cstheme="minorHAnsi"/>
        </w:rPr>
        <w:t>(Basel)</w:t>
      </w:r>
      <w:r w:rsidRPr="006E53E6">
        <w:rPr>
          <w:rFonts w:cstheme="minorHAnsi"/>
          <w:lang w:val="es-MX"/>
        </w:rPr>
        <w:t xml:space="preserve"> </w:t>
      </w:r>
      <w:hyperlink r:id="rId10" w:history="1">
        <w:r w:rsidRPr="00CF5C98">
          <w:rPr>
            <w:rStyle w:val="Hyperlink"/>
            <w:rFonts w:cstheme="minorHAnsi"/>
            <w:color w:val="2F5496" w:themeColor="accent1" w:themeShade="BF"/>
            <w:lang w:val="es-MX"/>
          </w:rPr>
          <w:t>https://www.ncbi.nlm.nih.gov/pmc/articles/PMC9498666/</w:t>
        </w:r>
      </w:hyperlink>
      <w:r w:rsidRPr="00CF5C98">
        <w:rPr>
          <w:rFonts w:cstheme="minorHAnsi"/>
          <w:color w:val="2F5496" w:themeColor="accent1" w:themeShade="BF"/>
          <w:lang w:val="es-MX"/>
        </w:rPr>
        <w:t xml:space="preserve"> </w:t>
      </w:r>
      <w:r w:rsidRPr="006E53E6">
        <w:rPr>
          <w:rFonts w:cstheme="minorHAnsi"/>
        </w:rPr>
        <w:t>(Aug. 25, 2022).</w:t>
      </w:r>
    </w:p>
  </w:endnote>
  <w:endnote w:id="8">
    <w:p w14:paraId="095DE107" w14:textId="057D122C" w:rsidR="008E20CD" w:rsidRPr="006E53E6" w:rsidRDefault="008E20CD" w:rsidP="001E0367">
      <w:pPr>
        <w:autoSpaceDE w:val="0"/>
        <w:autoSpaceDN w:val="0"/>
        <w:adjustRightInd w:val="0"/>
        <w:spacing w:after="0" w:line="240" w:lineRule="auto"/>
        <w:rPr>
          <w:rFonts w:eastAsia="Times New Roman" w:cstheme="minorHAnsi"/>
          <w:sz w:val="20"/>
          <w:szCs w:val="20"/>
        </w:rPr>
      </w:pPr>
      <w:r w:rsidRPr="006E53E6">
        <w:rPr>
          <w:rStyle w:val="EndnoteReference"/>
          <w:rFonts w:cstheme="minorHAnsi"/>
          <w:sz w:val="20"/>
          <w:szCs w:val="20"/>
        </w:rPr>
        <w:endnoteRef/>
      </w:r>
      <w:r w:rsidRPr="006E53E6">
        <w:rPr>
          <w:rFonts w:cstheme="minorHAnsi"/>
          <w:sz w:val="20"/>
          <w:szCs w:val="20"/>
        </w:rPr>
        <w:t xml:space="preserve"> Ula Hwang et al., </w:t>
      </w:r>
      <w:hyperlink r:id="rId11" w:history="1">
        <w:r w:rsidRPr="00771727">
          <w:rPr>
            <w:rStyle w:val="Hyperlink"/>
            <w:rFonts w:eastAsia="Times New Roman" w:cstheme="minorHAnsi"/>
            <w:i/>
            <w:iCs/>
            <w:color w:val="000000" w:themeColor="text1"/>
            <w:sz w:val="20"/>
            <w:szCs w:val="20"/>
            <w:u w:val="none"/>
          </w:rPr>
          <w:t>Emergency Department Crowding and Decreased Quality of Pain Care</w:t>
        </w:r>
        <w:r w:rsidRPr="00771727">
          <w:rPr>
            <w:rStyle w:val="Hyperlink"/>
            <w:rFonts w:eastAsia="Times New Roman" w:cstheme="minorHAnsi"/>
            <w:color w:val="000000" w:themeColor="text1"/>
            <w:sz w:val="20"/>
            <w:szCs w:val="20"/>
            <w:u w:val="none"/>
          </w:rPr>
          <w:t>,</w:t>
        </w:r>
      </w:hyperlink>
      <w:r w:rsidRPr="00771727">
        <w:rPr>
          <w:rFonts w:eastAsia="Times New Roman" w:cstheme="minorHAnsi"/>
          <w:color w:val="000000" w:themeColor="text1"/>
          <w:sz w:val="20"/>
          <w:szCs w:val="20"/>
        </w:rPr>
        <w:t xml:space="preserve"> Academic </w:t>
      </w:r>
      <w:r w:rsidRPr="006E53E6">
        <w:rPr>
          <w:rFonts w:eastAsia="Times New Roman" w:cstheme="minorHAnsi"/>
          <w:sz w:val="20"/>
          <w:szCs w:val="20"/>
        </w:rPr>
        <w:t>Emergency Medicine,</w:t>
      </w:r>
      <w:r w:rsidRPr="006E53E6">
        <w:rPr>
          <w:rFonts w:cstheme="minorHAnsi"/>
          <w:i/>
          <w:iCs/>
          <w:sz w:val="20"/>
          <w:szCs w:val="20"/>
        </w:rPr>
        <w:t xml:space="preserve"> </w:t>
      </w:r>
      <w:hyperlink r:id="rId12" w:history="1">
        <w:r w:rsidRPr="00CF5C98">
          <w:rPr>
            <w:rStyle w:val="Hyperlink"/>
            <w:rFonts w:cstheme="minorHAnsi"/>
            <w:i/>
            <w:iCs/>
            <w:color w:val="2F5496" w:themeColor="accent1" w:themeShade="BF"/>
            <w:sz w:val="20"/>
            <w:szCs w:val="20"/>
          </w:rPr>
          <w:t>https://www.ncbi.nlm.nih.gov/pmc/articles/PMC2729811/</w:t>
        </w:r>
      </w:hyperlink>
      <w:r w:rsidRPr="006E53E6">
        <w:rPr>
          <w:rFonts w:cstheme="minorHAnsi"/>
          <w:i/>
          <w:iCs/>
          <w:sz w:val="20"/>
          <w:szCs w:val="20"/>
        </w:rPr>
        <w:t xml:space="preserve"> (Dec 2008)</w:t>
      </w:r>
    </w:p>
  </w:endnote>
  <w:endnote w:id="9">
    <w:p w14:paraId="718E7706" w14:textId="4E45FB5B" w:rsidR="008E20CD" w:rsidRPr="006E53E6" w:rsidRDefault="008E20CD" w:rsidP="001E0367">
      <w:pPr>
        <w:pStyle w:val="EndnoteText"/>
        <w:rPr>
          <w:rFonts w:cstheme="minorHAnsi"/>
          <w:lang w:val="es-MX"/>
        </w:rPr>
      </w:pPr>
      <w:r w:rsidRPr="006E53E6">
        <w:rPr>
          <w:rStyle w:val="EndnoteReference"/>
          <w:rFonts w:cstheme="minorHAnsi"/>
        </w:rPr>
        <w:endnoteRef/>
      </w:r>
      <w:r w:rsidRPr="006E53E6">
        <w:rPr>
          <w:rFonts w:cstheme="minorHAnsi"/>
        </w:rPr>
        <w:t xml:space="preserve"> Ula Hwang et al., </w:t>
      </w:r>
      <w:hyperlink r:id="rId13" w:history="1">
        <w:r w:rsidRPr="00771727">
          <w:rPr>
            <w:rStyle w:val="Hyperlink"/>
            <w:rFonts w:eastAsia="Times New Roman" w:cstheme="minorHAnsi"/>
            <w:i/>
            <w:iCs/>
            <w:color w:val="000000" w:themeColor="text1"/>
            <w:u w:val="none"/>
          </w:rPr>
          <w:t>Emergency Department Crowding and Decreased Quality of Pain Care</w:t>
        </w:r>
        <w:r w:rsidRPr="00771727">
          <w:rPr>
            <w:rStyle w:val="Hyperlink"/>
            <w:rFonts w:eastAsia="Times New Roman" w:cstheme="minorHAnsi"/>
            <w:color w:val="000000" w:themeColor="text1"/>
            <w:u w:val="none"/>
          </w:rPr>
          <w:t>,</w:t>
        </w:r>
      </w:hyperlink>
      <w:r w:rsidRPr="00771727">
        <w:rPr>
          <w:rFonts w:eastAsia="Times New Roman" w:cstheme="minorHAnsi"/>
          <w:color w:val="000000" w:themeColor="text1"/>
        </w:rPr>
        <w:t xml:space="preserve"> Academic </w:t>
      </w:r>
      <w:r w:rsidRPr="006E53E6">
        <w:rPr>
          <w:rFonts w:eastAsia="Times New Roman" w:cstheme="minorHAnsi"/>
        </w:rPr>
        <w:t>Emergency Medicine,</w:t>
      </w:r>
      <w:r w:rsidRPr="006E53E6">
        <w:rPr>
          <w:rFonts w:cstheme="minorHAnsi"/>
          <w:i/>
          <w:iCs/>
        </w:rPr>
        <w:t xml:space="preserve"> </w:t>
      </w:r>
      <w:hyperlink r:id="rId14" w:history="1">
        <w:r w:rsidRPr="00CF5C98">
          <w:rPr>
            <w:rStyle w:val="Hyperlink"/>
            <w:rFonts w:cstheme="minorHAnsi"/>
            <w:i/>
            <w:iCs/>
            <w:color w:val="2F5496" w:themeColor="accent1" w:themeShade="BF"/>
          </w:rPr>
          <w:t>https://www.ncbi.nlm.nih.gov/pmc/articles/PMC2729811/</w:t>
        </w:r>
      </w:hyperlink>
      <w:r w:rsidRPr="006E53E6">
        <w:rPr>
          <w:rFonts w:cstheme="minorHAnsi"/>
          <w:i/>
          <w:iCs/>
        </w:rPr>
        <w:t xml:space="preserve"> (Dec 2008)</w:t>
      </w:r>
    </w:p>
  </w:endnote>
  <w:endnote w:id="10">
    <w:p w14:paraId="15B73524" w14:textId="22F019EB" w:rsidR="00362072" w:rsidRPr="00CF5C98" w:rsidRDefault="00362072">
      <w:pPr>
        <w:pStyle w:val="EndnoteText"/>
        <w:rPr>
          <w:color w:val="2F5496" w:themeColor="accent1" w:themeShade="BF"/>
        </w:rPr>
      </w:pPr>
      <w:r>
        <w:rPr>
          <w:rStyle w:val="EndnoteReference"/>
        </w:rPr>
        <w:endnoteRef/>
      </w:r>
      <w:r>
        <w:t xml:space="preserve"> </w:t>
      </w:r>
      <w:r w:rsidRPr="006E53E6">
        <w:rPr>
          <w:rFonts w:cstheme="minorHAnsi"/>
        </w:rPr>
        <w:t xml:space="preserve">John R. Richards et al., </w:t>
      </w:r>
      <w:hyperlink r:id="rId15" w:history="1">
        <w:r w:rsidRPr="00771727">
          <w:rPr>
            <w:rStyle w:val="Hyperlink"/>
            <w:rFonts w:cstheme="minorHAnsi"/>
            <w:i/>
            <w:iCs/>
            <w:color w:val="000000" w:themeColor="text1"/>
            <w:u w:val="none"/>
          </w:rPr>
          <w:t>Providing Care in Emergency Department Hallways: Demands, Dangers, and Deaths</w:t>
        </w:r>
        <w:r w:rsidRPr="00771727">
          <w:rPr>
            <w:rStyle w:val="Hyperlink"/>
            <w:rFonts w:cstheme="minorHAnsi"/>
            <w:color w:val="000000" w:themeColor="text1"/>
            <w:u w:val="none"/>
          </w:rPr>
          <w:t>,</w:t>
        </w:r>
      </w:hyperlink>
      <w:r w:rsidRPr="00771727">
        <w:rPr>
          <w:rFonts w:cstheme="minorHAnsi"/>
          <w:color w:val="000000" w:themeColor="text1"/>
        </w:rPr>
        <w:t xml:space="preserve"> </w:t>
      </w:r>
      <w:r w:rsidRPr="006E53E6">
        <w:rPr>
          <w:rFonts w:cstheme="minorHAnsi"/>
        </w:rPr>
        <w:t xml:space="preserve">Advances in Emergency Medicine, </w:t>
      </w:r>
      <w:hyperlink r:id="rId16" w:history="1">
        <w:r w:rsidRPr="00CF5C98">
          <w:rPr>
            <w:rStyle w:val="Hyperlink"/>
            <w:rFonts w:cstheme="minorHAnsi"/>
            <w:color w:val="2F5496" w:themeColor="accent1" w:themeShade="BF"/>
          </w:rPr>
          <w:t>https://www.hindawi.com/journals/aem/2014/495219/</w:t>
        </w:r>
      </w:hyperlink>
      <w:r w:rsidRPr="00CF5C98">
        <w:rPr>
          <w:rStyle w:val="Hyperlink"/>
          <w:rFonts w:cstheme="minorHAnsi"/>
          <w:i/>
          <w:iCs/>
          <w:color w:val="2F5496" w:themeColor="accent1" w:themeShade="BF"/>
        </w:rPr>
        <w:t xml:space="preserve"> </w:t>
      </w:r>
      <w:r w:rsidRPr="00CF5C98">
        <w:rPr>
          <w:rStyle w:val="Hyperlink"/>
          <w:rFonts w:cstheme="minorHAnsi"/>
          <w:color w:val="2F5496" w:themeColor="accent1" w:themeShade="BF"/>
        </w:rPr>
        <w:t>(Dec. 25, 2014).</w:t>
      </w:r>
      <w:r w:rsidRPr="00CF5C98">
        <w:rPr>
          <w:rFonts w:cstheme="minorHAnsi"/>
          <w:i/>
          <w:iCs/>
          <w:color w:val="2F5496" w:themeColor="accent1" w:themeShade="BF"/>
        </w:rPr>
        <w:t xml:space="preserve">   </w:t>
      </w:r>
    </w:p>
  </w:endnote>
  <w:endnote w:id="11">
    <w:p w14:paraId="2C3CF296" w14:textId="74C7672D" w:rsidR="00A07ECB" w:rsidRPr="006E53E6" w:rsidRDefault="00A07ECB">
      <w:pPr>
        <w:pStyle w:val="EndnoteText"/>
        <w:rPr>
          <w:rFonts w:cstheme="minorHAnsi"/>
        </w:rPr>
      </w:pPr>
      <w:r w:rsidRPr="006E53E6">
        <w:rPr>
          <w:rStyle w:val="EndnoteReference"/>
          <w:rFonts w:cstheme="minorHAnsi"/>
        </w:rPr>
        <w:endnoteRef/>
      </w:r>
      <w:r w:rsidRPr="006E53E6">
        <w:rPr>
          <w:rFonts w:cstheme="minorHAnsi"/>
        </w:rPr>
        <w:t xml:space="preserve"> Ula Hwang et al., </w:t>
      </w:r>
      <w:hyperlink r:id="rId17" w:history="1">
        <w:r w:rsidRPr="00771727">
          <w:rPr>
            <w:rStyle w:val="Hyperlink"/>
            <w:rFonts w:eastAsia="Times New Roman" w:cstheme="minorHAnsi"/>
            <w:i/>
            <w:iCs/>
            <w:color w:val="000000" w:themeColor="text1"/>
            <w:u w:val="none"/>
          </w:rPr>
          <w:t>Emergency Department Crowding and Decreased Quality of Pain Care</w:t>
        </w:r>
        <w:r w:rsidRPr="00771727">
          <w:rPr>
            <w:rStyle w:val="Hyperlink"/>
            <w:rFonts w:eastAsia="Times New Roman" w:cstheme="minorHAnsi"/>
            <w:color w:val="000000" w:themeColor="text1"/>
            <w:u w:val="none"/>
          </w:rPr>
          <w:t>,</w:t>
        </w:r>
      </w:hyperlink>
      <w:r w:rsidRPr="00771727">
        <w:rPr>
          <w:rFonts w:eastAsia="Times New Roman" w:cstheme="minorHAnsi"/>
          <w:color w:val="000000" w:themeColor="text1"/>
        </w:rPr>
        <w:t xml:space="preserve"> Academic </w:t>
      </w:r>
      <w:r w:rsidRPr="006E53E6">
        <w:rPr>
          <w:rFonts w:eastAsia="Times New Roman" w:cstheme="minorHAnsi"/>
        </w:rPr>
        <w:t>Emergency Medicine,</w:t>
      </w:r>
      <w:r w:rsidRPr="006E53E6">
        <w:rPr>
          <w:rFonts w:cstheme="minorHAnsi"/>
          <w:i/>
          <w:iCs/>
        </w:rPr>
        <w:t xml:space="preserve"> </w:t>
      </w:r>
      <w:hyperlink r:id="rId18" w:history="1">
        <w:r w:rsidRPr="00CF5C98">
          <w:rPr>
            <w:rStyle w:val="Hyperlink"/>
            <w:rFonts w:cstheme="minorHAnsi"/>
            <w:i/>
            <w:iCs/>
            <w:color w:val="2F5496" w:themeColor="accent1" w:themeShade="BF"/>
          </w:rPr>
          <w:t>https://www.ncbi.nlm.nih.gov/pmc/articles/PMC2729811/</w:t>
        </w:r>
      </w:hyperlink>
      <w:r w:rsidRPr="006E53E6">
        <w:rPr>
          <w:rFonts w:cstheme="minorHAnsi"/>
          <w:i/>
          <w:iCs/>
        </w:rPr>
        <w:t xml:space="preserve"> (Dec 2008)</w:t>
      </w:r>
    </w:p>
  </w:endnote>
  <w:endnote w:id="12">
    <w:p w14:paraId="64E50E98" w14:textId="3D775E5F" w:rsidR="00A07ECB" w:rsidRPr="006E53E6" w:rsidRDefault="00A07ECB">
      <w:pPr>
        <w:pStyle w:val="EndnoteText"/>
        <w:rPr>
          <w:rFonts w:cstheme="minorHAnsi"/>
        </w:rPr>
      </w:pPr>
      <w:r w:rsidRPr="006E53E6">
        <w:rPr>
          <w:rStyle w:val="EndnoteReference"/>
          <w:rFonts w:cstheme="minorHAnsi"/>
        </w:rPr>
        <w:endnoteRef/>
      </w:r>
      <w:r w:rsidRPr="006E53E6">
        <w:rPr>
          <w:rFonts w:cstheme="minorHAnsi"/>
        </w:rPr>
        <w:t xml:space="preserve"> Marina Sartini et </w:t>
      </w:r>
      <w:r w:rsidRPr="00771727">
        <w:rPr>
          <w:rFonts w:cstheme="minorHAnsi"/>
          <w:color w:val="000000" w:themeColor="text1"/>
        </w:rPr>
        <w:t xml:space="preserve">al., </w:t>
      </w:r>
      <w:hyperlink r:id="rId19" w:history="1">
        <w:r w:rsidRPr="00771727">
          <w:rPr>
            <w:rStyle w:val="Hyperlink"/>
            <w:rFonts w:eastAsia="Times New Roman" w:cstheme="minorHAnsi"/>
            <w:i/>
            <w:iCs/>
            <w:color w:val="000000" w:themeColor="text1"/>
            <w:u w:val="none"/>
          </w:rPr>
          <w:t>Overcrowding in Emergency Department: Causes Consequences, and Solutions—A Narrative Review</w:t>
        </w:r>
        <w:r w:rsidRPr="00771727">
          <w:rPr>
            <w:rStyle w:val="Hyperlink"/>
            <w:rFonts w:eastAsia="Times New Roman" w:cstheme="minorHAnsi"/>
            <w:color w:val="000000" w:themeColor="text1"/>
            <w:u w:val="none"/>
          </w:rPr>
          <w:t>,</w:t>
        </w:r>
      </w:hyperlink>
      <w:r w:rsidRPr="00771727">
        <w:rPr>
          <w:rFonts w:eastAsia="Times New Roman" w:cstheme="minorHAnsi"/>
          <w:color w:val="000000" w:themeColor="text1"/>
        </w:rPr>
        <w:t xml:space="preserve"> Healthcare </w:t>
      </w:r>
      <w:r w:rsidRPr="006E53E6">
        <w:rPr>
          <w:rFonts w:eastAsia="Times New Roman" w:cstheme="minorHAnsi"/>
        </w:rPr>
        <w:t>(Basel)</w:t>
      </w:r>
      <w:r w:rsidRPr="006E53E6">
        <w:rPr>
          <w:rFonts w:cstheme="minorHAnsi"/>
          <w:lang w:val="es-MX"/>
        </w:rPr>
        <w:t xml:space="preserve"> </w:t>
      </w:r>
      <w:hyperlink r:id="rId20" w:history="1">
        <w:r w:rsidRPr="00CF5C98">
          <w:rPr>
            <w:rStyle w:val="Hyperlink"/>
            <w:rFonts w:cstheme="minorHAnsi"/>
            <w:color w:val="2F5496" w:themeColor="accent1" w:themeShade="BF"/>
            <w:lang w:val="es-MX"/>
          </w:rPr>
          <w:t>https://www.ncbi.nlm.nih.gov/pmc/articles/PMC9498666/</w:t>
        </w:r>
      </w:hyperlink>
      <w:r w:rsidRPr="006E53E6">
        <w:rPr>
          <w:rFonts w:cstheme="minorHAnsi"/>
          <w:lang w:val="es-MX"/>
        </w:rPr>
        <w:t xml:space="preserve"> </w:t>
      </w:r>
      <w:r w:rsidRPr="006E53E6">
        <w:rPr>
          <w:rFonts w:cstheme="minorHAnsi"/>
        </w:rPr>
        <w:t>(Aug. 25, 2022).</w:t>
      </w:r>
    </w:p>
  </w:endnote>
  <w:endnote w:id="13">
    <w:p w14:paraId="7B7E46B2" w14:textId="55919772" w:rsidR="00D43A61" w:rsidRPr="006E53E6" w:rsidRDefault="00D43A61" w:rsidP="00E85C24">
      <w:pPr>
        <w:autoSpaceDE w:val="0"/>
        <w:autoSpaceDN w:val="0"/>
        <w:adjustRightInd w:val="0"/>
        <w:spacing w:after="0" w:line="240" w:lineRule="auto"/>
        <w:rPr>
          <w:rFonts w:eastAsia="Times New Roman" w:cstheme="minorHAnsi"/>
          <w:sz w:val="20"/>
          <w:szCs w:val="20"/>
        </w:rPr>
      </w:pPr>
      <w:r w:rsidRPr="006E53E6">
        <w:rPr>
          <w:rStyle w:val="EndnoteReference"/>
          <w:rFonts w:cstheme="minorHAnsi"/>
          <w:sz w:val="20"/>
          <w:szCs w:val="20"/>
        </w:rPr>
        <w:endnoteRef/>
      </w:r>
      <w:r w:rsidRPr="006E53E6">
        <w:rPr>
          <w:rFonts w:cstheme="minorHAnsi"/>
          <w:sz w:val="20"/>
          <w:szCs w:val="20"/>
        </w:rPr>
        <w:t xml:space="preserve"> </w:t>
      </w:r>
      <w:r w:rsidR="00726CB6">
        <w:rPr>
          <w:rFonts w:eastAsia="Times New Roman" w:cstheme="minorHAnsi"/>
          <w:sz w:val="20"/>
          <w:szCs w:val="20"/>
        </w:rPr>
        <w:t>P</w:t>
      </w:r>
      <w:r w:rsidRPr="006E53E6">
        <w:rPr>
          <w:rFonts w:eastAsia="Times New Roman" w:cstheme="minorHAnsi"/>
          <w:sz w:val="20"/>
          <w:szCs w:val="20"/>
        </w:rPr>
        <w:t xml:space="preserve">ing Huang </w:t>
      </w:r>
      <w:r w:rsidRPr="006E53E6">
        <w:rPr>
          <w:rFonts w:eastAsia="Times New Roman" w:cstheme="minorHAnsi"/>
          <w:i/>
          <w:iCs/>
          <w:sz w:val="20"/>
          <w:szCs w:val="20"/>
        </w:rPr>
        <w:t xml:space="preserve">et </w:t>
      </w:r>
      <w:r w:rsidRPr="006E53E6">
        <w:rPr>
          <w:rFonts w:eastAsia="Times New Roman" w:cstheme="minorHAnsi"/>
          <w:sz w:val="20"/>
          <w:szCs w:val="20"/>
        </w:rPr>
        <w:t xml:space="preserve">al., </w:t>
      </w:r>
      <w:r w:rsidRPr="006E53E6">
        <w:rPr>
          <w:rFonts w:eastAsia="Times New Roman" w:cstheme="minorHAnsi"/>
          <w:i/>
          <w:iCs/>
          <w:sz w:val="20"/>
          <w:szCs w:val="20"/>
        </w:rPr>
        <w:t xml:space="preserve">The impact of delays to admission from the emergency department on inpatient outcomes, </w:t>
      </w:r>
      <w:r w:rsidRPr="006E53E6">
        <w:rPr>
          <w:rFonts w:eastAsia="Times New Roman" w:cstheme="minorHAnsi"/>
          <w:sz w:val="20"/>
          <w:szCs w:val="20"/>
        </w:rPr>
        <w:t>10 BMC EMERGENCY MEDICINE 16 (2010).</w:t>
      </w:r>
    </w:p>
  </w:endnote>
  <w:endnote w:id="14">
    <w:p w14:paraId="0F554182" w14:textId="5DFCF93C" w:rsidR="00FF0C5D" w:rsidRDefault="00FF0C5D">
      <w:pPr>
        <w:pStyle w:val="EndnoteText"/>
      </w:pPr>
      <w:r>
        <w:rPr>
          <w:rStyle w:val="EndnoteReference"/>
        </w:rPr>
        <w:endnoteRef/>
      </w:r>
      <w:r>
        <w:t xml:space="preserve"> </w:t>
      </w:r>
      <w:r w:rsidR="00802C46" w:rsidRPr="00802C46">
        <w:t xml:space="preserve">Lindsey Woodworth and James F. Holmes, </w:t>
      </w:r>
      <w:hyperlink r:id="rId21" w:history="1">
        <w:r w:rsidR="00802C46" w:rsidRPr="00771727">
          <w:rPr>
            <w:rStyle w:val="Hyperlink"/>
            <w:i/>
            <w:iCs/>
            <w:color w:val="000000" w:themeColor="text1"/>
            <w:u w:val="none"/>
          </w:rPr>
          <w:t>Just A Minute: The Effect of Emergency Department Wait Time on the Cost of Care</w:t>
        </w:r>
      </w:hyperlink>
      <w:r w:rsidR="00802C46" w:rsidRPr="00771727">
        <w:rPr>
          <w:color w:val="000000" w:themeColor="text1"/>
        </w:rPr>
        <w:t xml:space="preserve">, </w:t>
      </w:r>
      <w:r w:rsidR="00802C46" w:rsidRPr="00802C46">
        <w:t xml:space="preserve">Economic Inquiry (Nov. 5, 2019), </w:t>
      </w:r>
      <w:hyperlink r:id="rId22" w:history="1">
        <w:r w:rsidR="00802C46" w:rsidRPr="00802C46">
          <w:rPr>
            <w:rStyle w:val="Hyperlink"/>
            <w:color w:val="2F5496" w:themeColor="accent1" w:themeShade="BF"/>
          </w:rPr>
          <w:t>https://onlinelibrary.wiley.com/doi/abs/10.1111/ecin.12849</w:t>
        </w:r>
      </w:hyperlink>
      <w:r w:rsidR="00802C46" w:rsidRPr="00802C46">
        <w:rPr>
          <w:color w:val="2F5496" w:themeColor="accent1" w:themeShade="BF"/>
        </w:rPr>
        <w:t>.</w:t>
      </w:r>
    </w:p>
  </w:endnote>
  <w:endnote w:id="15">
    <w:p w14:paraId="39E755D0" w14:textId="31FA21CF" w:rsidR="00E74919" w:rsidRDefault="00E74919">
      <w:pPr>
        <w:pStyle w:val="EndnoteText"/>
      </w:pPr>
      <w:r>
        <w:rPr>
          <w:rStyle w:val="EndnoteReference"/>
        </w:rPr>
        <w:endnoteRef/>
      </w:r>
      <w:r>
        <w:t xml:space="preserve"> </w:t>
      </w:r>
      <w:r w:rsidRPr="00802C46">
        <w:t xml:space="preserve">Lindsey Woodworth and </w:t>
      </w:r>
      <w:r w:rsidRPr="00771727">
        <w:rPr>
          <w:color w:val="000000" w:themeColor="text1"/>
        </w:rPr>
        <w:t xml:space="preserve">James F. Holmes, </w:t>
      </w:r>
      <w:hyperlink r:id="rId23" w:history="1">
        <w:r w:rsidRPr="00771727">
          <w:rPr>
            <w:rStyle w:val="Hyperlink"/>
            <w:i/>
            <w:iCs/>
            <w:color w:val="000000" w:themeColor="text1"/>
            <w:u w:val="none"/>
          </w:rPr>
          <w:t>Just A Minute: The Effect of Emergency Department Wait Time on the Cost of Care</w:t>
        </w:r>
      </w:hyperlink>
      <w:r w:rsidRPr="00771727">
        <w:rPr>
          <w:color w:val="000000" w:themeColor="text1"/>
        </w:rPr>
        <w:t xml:space="preserve">, Economic </w:t>
      </w:r>
      <w:r w:rsidRPr="00802C46">
        <w:t xml:space="preserve">Inquiry (Nov. 5, 2019), </w:t>
      </w:r>
      <w:hyperlink r:id="rId24" w:history="1">
        <w:r w:rsidRPr="00802C46">
          <w:rPr>
            <w:rStyle w:val="Hyperlink"/>
            <w:color w:val="2F5496" w:themeColor="accent1" w:themeShade="BF"/>
          </w:rPr>
          <w:t>https://onlinelibrary.wiley.com/doi/abs/10.1111/ecin.12849</w:t>
        </w:r>
      </w:hyperlink>
      <w:r w:rsidRPr="00802C46">
        <w:rPr>
          <w:color w:val="2F5496" w:themeColor="accent1" w:themeShade="BF"/>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Lora">
    <w:charset w:val="00"/>
    <w:family w:val="auto"/>
    <w:pitch w:val="variable"/>
    <w:sig w:usb0="A00002F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454527"/>
      <w:docPartObj>
        <w:docPartGallery w:val="Page Numbers (Bottom of Page)"/>
        <w:docPartUnique/>
      </w:docPartObj>
    </w:sdtPr>
    <w:sdtEndPr>
      <w:rPr>
        <w:noProof/>
      </w:rPr>
    </w:sdtEndPr>
    <w:sdtContent>
      <w:p w14:paraId="3D4B8190" w14:textId="6A8E5365" w:rsidR="00272CB1" w:rsidRDefault="00272CB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20</w:t>
        </w:r>
        <w:r>
          <w:rPr>
            <w:noProof/>
            <w:color w:val="2B579A"/>
            <w:shd w:val="clear" w:color="auto" w:fill="E6E6E6"/>
          </w:rPr>
          <w:fldChar w:fldCharType="end"/>
        </w:r>
      </w:p>
    </w:sdtContent>
  </w:sdt>
  <w:p w14:paraId="5D700CC9" w14:textId="77777777" w:rsidR="00272CB1" w:rsidRDefault="00272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0735" w14:textId="77777777" w:rsidR="002416D9" w:rsidRDefault="002416D9" w:rsidP="0017637D">
      <w:pPr>
        <w:spacing w:after="0" w:line="240" w:lineRule="auto"/>
      </w:pPr>
      <w:r>
        <w:separator/>
      </w:r>
    </w:p>
  </w:footnote>
  <w:footnote w:type="continuationSeparator" w:id="0">
    <w:p w14:paraId="3DAFFD66" w14:textId="77777777" w:rsidR="002416D9" w:rsidRDefault="002416D9" w:rsidP="0017637D">
      <w:pPr>
        <w:spacing w:after="0" w:line="240" w:lineRule="auto"/>
      </w:pPr>
      <w:r>
        <w:continuationSeparator/>
      </w:r>
    </w:p>
  </w:footnote>
  <w:footnote w:type="continuationNotice" w:id="1">
    <w:p w14:paraId="40984B4E" w14:textId="77777777" w:rsidR="002416D9" w:rsidRDefault="002416D9">
      <w:pPr>
        <w:spacing w:after="0" w:line="240" w:lineRule="auto"/>
      </w:pPr>
    </w:p>
  </w:footnote>
  <w:footnote w:id="2">
    <w:p w14:paraId="5FF1E991" w14:textId="77FACC43" w:rsidR="00822A80" w:rsidRPr="00EA6969" w:rsidRDefault="00822A80" w:rsidP="00EA6969">
      <w:pPr>
        <w:spacing w:after="0"/>
        <w:jc w:val="both"/>
        <w:rPr>
          <w:rFonts w:cstheme="minorHAnsi"/>
          <w:sz w:val="16"/>
          <w:szCs w:val="16"/>
        </w:rPr>
      </w:pPr>
      <w:r w:rsidRPr="00150A22">
        <w:rPr>
          <w:rStyle w:val="FootnoteReference"/>
          <w:sz w:val="16"/>
          <w:szCs w:val="16"/>
        </w:rPr>
        <w:footnoteRef/>
      </w:r>
      <w:r w:rsidRPr="00150A22">
        <w:rPr>
          <w:sz w:val="16"/>
          <w:szCs w:val="16"/>
        </w:rPr>
        <w:t xml:space="preserve"> Hallway stretchers are not reflected on the Hospital’s license and are only used during surges and periods of high demand. </w:t>
      </w:r>
      <w:r w:rsidR="00DA468C">
        <w:rPr>
          <w:sz w:val="16"/>
          <w:szCs w:val="16"/>
        </w:rPr>
        <w:t xml:space="preserve">Hallway stretcher volume data is not tracked. </w:t>
      </w:r>
      <w:r w:rsidR="00E82D1D" w:rsidRPr="00EA6969">
        <w:rPr>
          <w:rFonts w:cstheme="minorHAnsi"/>
          <w:sz w:val="16"/>
          <w:szCs w:val="16"/>
        </w:rPr>
        <w:t xml:space="preserve">Due to the expansion of ED beds through the Proposed Project, the utilization of hallway stretchers is expected to decrease. However, the new, expanded emergency department footprint provides greater potential capacity for hallway stretcher utilization in the event they are necessary to manage surge volumes caused by major events/disasters or should the hospital enter a CODE HELP scenario. </w:t>
      </w:r>
    </w:p>
  </w:footnote>
  <w:footnote w:id="3">
    <w:p w14:paraId="2CB0FDE1" w14:textId="4D15D06B" w:rsidR="00272CB1" w:rsidRPr="00A850FE" w:rsidRDefault="00272CB1">
      <w:pPr>
        <w:pStyle w:val="FootnoteText"/>
        <w:rPr>
          <w:rFonts w:cstheme="minorHAnsi"/>
          <w:sz w:val="16"/>
          <w:szCs w:val="16"/>
        </w:rPr>
      </w:pPr>
      <w:r w:rsidRPr="00A850FE">
        <w:rPr>
          <w:rStyle w:val="FootnoteReference"/>
          <w:rFonts w:cstheme="minorHAnsi"/>
          <w:sz w:val="16"/>
          <w:szCs w:val="16"/>
        </w:rPr>
        <w:footnoteRef/>
      </w:r>
      <w:r w:rsidRPr="00A850FE">
        <w:rPr>
          <w:rFonts w:cstheme="minorHAnsi"/>
          <w:sz w:val="16"/>
          <w:szCs w:val="16"/>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Holder…(2) If the Proposed Project is for a new facility and there is no existing patient panel, Patient Panel means the anticipated patients.</w:t>
      </w:r>
    </w:p>
  </w:footnote>
  <w:footnote w:id="4">
    <w:p w14:paraId="68F738F5" w14:textId="6F50EC70" w:rsidR="00854622" w:rsidRPr="00854622" w:rsidRDefault="00F757A0" w:rsidP="00F757A0">
      <w:pPr>
        <w:pStyle w:val="FootnoteText"/>
        <w:rPr>
          <w:rFonts w:eastAsia="Times New Roman" w:cstheme="minorHAnsi"/>
          <w:color w:val="000000"/>
          <w:sz w:val="16"/>
          <w:szCs w:val="16"/>
        </w:rPr>
      </w:pPr>
      <w:r w:rsidRPr="000F6AC4">
        <w:rPr>
          <w:rStyle w:val="FootnoteReference"/>
          <w:rFonts w:cstheme="minorHAnsi"/>
          <w:sz w:val="16"/>
          <w:szCs w:val="16"/>
        </w:rPr>
        <w:footnoteRef/>
      </w:r>
      <w:r w:rsidRPr="000F6AC4">
        <w:rPr>
          <w:rFonts w:cstheme="minorHAnsi"/>
          <w:sz w:val="16"/>
          <w:szCs w:val="16"/>
        </w:rPr>
        <w:t xml:space="preserve"> </w:t>
      </w:r>
      <w:r w:rsidRPr="000F6AC4">
        <w:rPr>
          <w:rFonts w:eastAsia="Times New Roman" w:cstheme="minorHAnsi"/>
          <w:color w:val="000000"/>
          <w:sz w:val="16"/>
          <w:szCs w:val="16"/>
        </w:rPr>
        <w:t>Includes genders other than male/female, as well as patients for whom a gender is not specified</w:t>
      </w:r>
      <w:r w:rsidR="00854622">
        <w:rPr>
          <w:rFonts w:eastAsia="Times New Roman" w:cstheme="minorHAnsi"/>
          <w:color w:val="000000"/>
          <w:sz w:val="16"/>
          <w:szCs w:val="16"/>
        </w:rPr>
        <w:t>.</w:t>
      </w:r>
    </w:p>
  </w:footnote>
  <w:footnote w:id="5">
    <w:p w14:paraId="10A52DFF" w14:textId="77777777" w:rsidR="00EF43A5" w:rsidRPr="00EF43A5" w:rsidRDefault="00EF43A5" w:rsidP="00EF43A5">
      <w:pPr>
        <w:pStyle w:val="FootnoteText"/>
        <w:rPr>
          <w:sz w:val="16"/>
          <w:szCs w:val="16"/>
        </w:rPr>
      </w:pPr>
      <w:r w:rsidRPr="00EF43A5">
        <w:rPr>
          <w:sz w:val="16"/>
          <w:szCs w:val="16"/>
          <w:vertAlign w:val="superscript"/>
        </w:rPr>
        <w:footnoteRef/>
      </w:r>
      <w:r w:rsidRPr="00EF43A5">
        <w:rPr>
          <w:sz w:val="16"/>
          <w:szCs w:val="16"/>
        </w:rPr>
        <w:t xml:space="preserve"> The Emergency Severity Index (ESI) is a five-level triage tool used in emergency departments (EDs) to categorize patients based on their acuity and resource needs: </w:t>
      </w:r>
    </w:p>
    <w:p w14:paraId="2BE24344" w14:textId="3B5F123C" w:rsidR="00EF43A5" w:rsidRPr="00EF43A5" w:rsidRDefault="00EF43A5" w:rsidP="00EF43A5">
      <w:pPr>
        <w:pStyle w:val="FootnoteText"/>
        <w:numPr>
          <w:ilvl w:val="0"/>
          <w:numId w:val="18"/>
        </w:numPr>
        <w:rPr>
          <w:sz w:val="16"/>
          <w:szCs w:val="16"/>
        </w:rPr>
      </w:pPr>
      <w:r w:rsidRPr="00EF43A5">
        <w:rPr>
          <w:sz w:val="16"/>
          <w:szCs w:val="16"/>
        </w:rPr>
        <w:t>Level 1: Most urgent</w:t>
      </w:r>
      <w:r w:rsidR="00D02233">
        <w:rPr>
          <w:sz w:val="16"/>
          <w:szCs w:val="16"/>
        </w:rPr>
        <w:t xml:space="preserve">. </w:t>
      </w:r>
      <w:r w:rsidR="00D02233" w:rsidRPr="00D02233">
        <w:rPr>
          <w:sz w:val="16"/>
          <w:szCs w:val="16"/>
        </w:rPr>
        <w:t>Immediate, life-saving intervention required without delay</w:t>
      </w:r>
      <w:r w:rsidR="00D02233">
        <w:rPr>
          <w:sz w:val="16"/>
          <w:szCs w:val="16"/>
        </w:rPr>
        <w:t>.</w:t>
      </w:r>
    </w:p>
    <w:p w14:paraId="223B40F3" w14:textId="38AA2C9B" w:rsidR="00EF43A5" w:rsidRPr="00EF43A5" w:rsidRDefault="00EF43A5" w:rsidP="00EF43A5">
      <w:pPr>
        <w:pStyle w:val="FootnoteText"/>
        <w:numPr>
          <w:ilvl w:val="0"/>
          <w:numId w:val="18"/>
        </w:numPr>
        <w:rPr>
          <w:sz w:val="16"/>
          <w:szCs w:val="16"/>
        </w:rPr>
      </w:pPr>
      <w:r w:rsidRPr="00EF43A5">
        <w:rPr>
          <w:sz w:val="16"/>
          <w:szCs w:val="16"/>
        </w:rPr>
        <w:t>Level 2: Needs care within 15 minutes</w:t>
      </w:r>
      <w:r w:rsidR="00D02233">
        <w:rPr>
          <w:sz w:val="16"/>
          <w:szCs w:val="16"/>
        </w:rPr>
        <w:t>, h</w:t>
      </w:r>
      <w:r w:rsidR="00D02233" w:rsidRPr="00D02233">
        <w:rPr>
          <w:sz w:val="16"/>
          <w:szCs w:val="16"/>
        </w:rPr>
        <w:t>igh risk of deterioration, or signs of a time-critical problem</w:t>
      </w:r>
      <w:r w:rsidR="00D02233">
        <w:rPr>
          <w:sz w:val="16"/>
          <w:szCs w:val="16"/>
        </w:rPr>
        <w:t>.</w:t>
      </w:r>
    </w:p>
    <w:p w14:paraId="56377B6C" w14:textId="737DF6BE" w:rsidR="00EF43A5" w:rsidRPr="00EF43A5" w:rsidRDefault="00EF43A5" w:rsidP="00EF43A5">
      <w:pPr>
        <w:pStyle w:val="FootnoteText"/>
        <w:numPr>
          <w:ilvl w:val="0"/>
          <w:numId w:val="18"/>
        </w:numPr>
        <w:rPr>
          <w:sz w:val="16"/>
          <w:szCs w:val="16"/>
        </w:rPr>
      </w:pPr>
      <w:r w:rsidRPr="00EF43A5">
        <w:rPr>
          <w:sz w:val="16"/>
          <w:szCs w:val="16"/>
        </w:rPr>
        <w:t>Level 3: Needs care within 15 minutes</w:t>
      </w:r>
      <w:r w:rsidR="007057D1">
        <w:rPr>
          <w:sz w:val="16"/>
          <w:szCs w:val="16"/>
        </w:rPr>
        <w:t>, patient s</w:t>
      </w:r>
      <w:r w:rsidR="007057D1" w:rsidRPr="007057D1">
        <w:rPr>
          <w:sz w:val="16"/>
          <w:szCs w:val="16"/>
        </w:rPr>
        <w:t>table, with multiple types of resources needed to investigate or treat</w:t>
      </w:r>
      <w:r w:rsidR="00D02233">
        <w:rPr>
          <w:sz w:val="16"/>
          <w:szCs w:val="16"/>
        </w:rPr>
        <w:t>.</w:t>
      </w:r>
    </w:p>
    <w:p w14:paraId="2986D393" w14:textId="63FEAB42" w:rsidR="00EF43A5" w:rsidRPr="00EF43A5" w:rsidRDefault="00EF43A5" w:rsidP="00EF43A5">
      <w:pPr>
        <w:pStyle w:val="FootnoteText"/>
        <w:numPr>
          <w:ilvl w:val="0"/>
          <w:numId w:val="18"/>
        </w:numPr>
        <w:rPr>
          <w:sz w:val="16"/>
          <w:szCs w:val="16"/>
        </w:rPr>
      </w:pPr>
      <w:r w:rsidRPr="00EF43A5">
        <w:rPr>
          <w:sz w:val="16"/>
          <w:szCs w:val="16"/>
        </w:rPr>
        <w:t>Level 4: Needs care within 30 minutes</w:t>
      </w:r>
      <w:r w:rsidR="007057D1">
        <w:rPr>
          <w:sz w:val="16"/>
          <w:szCs w:val="16"/>
        </w:rPr>
        <w:t>, patient s</w:t>
      </w:r>
      <w:r w:rsidR="007057D1" w:rsidRPr="007057D1">
        <w:rPr>
          <w:sz w:val="16"/>
          <w:szCs w:val="16"/>
        </w:rPr>
        <w:t>table, with only one type of resource anticipated</w:t>
      </w:r>
      <w:r w:rsidR="007057D1">
        <w:rPr>
          <w:sz w:val="16"/>
          <w:szCs w:val="16"/>
        </w:rPr>
        <w:t>.</w:t>
      </w:r>
    </w:p>
    <w:p w14:paraId="4E91150F" w14:textId="238DCF9E" w:rsidR="00EF43A5" w:rsidRPr="00D25B92" w:rsidRDefault="00EF43A5" w:rsidP="00D25B92">
      <w:pPr>
        <w:pStyle w:val="FootnoteText"/>
        <w:numPr>
          <w:ilvl w:val="0"/>
          <w:numId w:val="18"/>
        </w:numPr>
        <w:rPr>
          <w:sz w:val="16"/>
          <w:szCs w:val="16"/>
        </w:rPr>
      </w:pPr>
      <w:r w:rsidRPr="00EF43A5">
        <w:rPr>
          <w:sz w:val="16"/>
          <w:szCs w:val="16"/>
        </w:rPr>
        <w:t>Level 5: Least urgent</w:t>
      </w:r>
      <w:r w:rsidR="007057D1">
        <w:rPr>
          <w:sz w:val="16"/>
          <w:szCs w:val="16"/>
        </w:rPr>
        <w:t>, patient s</w:t>
      </w:r>
      <w:r w:rsidR="007057D1" w:rsidRPr="007057D1">
        <w:rPr>
          <w:sz w:val="16"/>
          <w:szCs w:val="16"/>
        </w:rPr>
        <w:t>table, with no resources anticipated except oral or topical medications, or prescriptions</w:t>
      </w:r>
      <w:r w:rsidR="007057D1">
        <w:rPr>
          <w:sz w:val="16"/>
          <w:szCs w:val="16"/>
        </w:rPr>
        <w:t>.</w:t>
      </w:r>
    </w:p>
  </w:footnote>
  <w:footnote w:id="6">
    <w:p w14:paraId="5E4C7202" w14:textId="77777777" w:rsidR="007057D1" w:rsidRPr="00D25B92" w:rsidRDefault="007057D1" w:rsidP="007057D1">
      <w:pPr>
        <w:pStyle w:val="FootnoteText"/>
        <w:rPr>
          <w:sz w:val="16"/>
          <w:szCs w:val="16"/>
        </w:rPr>
      </w:pPr>
      <w:r w:rsidRPr="00D25B92">
        <w:rPr>
          <w:rStyle w:val="FootnoteReference"/>
          <w:sz w:val="16"/>
          <w:szCs w:val="16"/>
        </w:rPr>
        <w:footnoteRef/>
      </w:r>
      <w:r w:rsidRPr="00D25B92">
        <w:rPr>
          <w:sz w:val="16"/>
          <w:szCs w:val="16"/>
        </w:rPr>
        <w:t xml:space="preserve"> Due to a change in EMR systems, FY2021 is missing 18 days (October 1 – October 18)</w:t>
      </w:r>
    </w:p>
  </w:footnote>
  <w:footnote w:id="7">
    <w:p w14:paraId="73D16001" w14:textId="27508A1A" w:rsidR="005A5B21" w:rsidRPr="00FD6661" w:rsidRDefault="005A5B21" w:rsidP="00FD6661">
      <w:pPr>
        <w:spacing w:after="0"/>
        <w:rPr>
          <w:rFonts w:cstheme="minorHAnsi"/>
          <w:b/>
          <w:bCs/>
          <w:sz w:val="16"/>
          <w:szCs w:val="16"/>
        </w:rPr>
      </w:pPr>
      <w:r w:rsidRPr="00FD6661">
        <w:rPr>
          <w:rStyle w:val="FootnoteReference"/>
          <w:sz w:val="16"/>
          <w:szCs w:val="16"/>
        </w:rPr>
        <w:footnoteRef/>
      </w:r>
      <w:r w:rsidRPr="00FD6661">
        <w:rPr>
          <w:sz w:val="16"/>
          <w:szCs w:val="16"/>
        </w:rPr>
        <w:t xml:space="preserve"> </w:t>
      </w:r>
      <w:r w:rsidR="00FD6661" w:rsidRPr="00FD6661">
        <w:rPr>
          <w:rFonts w:cstheme="minorHAnsi"/>
          <w:color w:val="000000" w:themeColor="text1"/>
          <w:sz w:val="16"/>
          <w:szCs w:val="16"/>
        </w:rPr>
        <w:t>All patients who LWBS, elope or leave AMA receive a follow-up call pursuant to hospital policy and are encouraged to return for care.</w:t>
      </w:r>
      <w:r w:rsidR="00FD6661" w:rsidRPr="00FD6661">
        <w:rPr>
          <w:rFonts w:cstheme="minorHAnsi"/>
          <w:b/>
          <w:bCs/>
          <w:sz w:val="16"/>
          <w:szCs w:val="16"/>
        </w:rPr>
        <w:t xml:space="preserve"> </w:t>
      </w:r>
    </w:p>
  </w:footnote>
  <w:footnote w:id="8">
    <w:p w14:paraId="22497D83" w14:textId="741FE7E2" w:rsidR="00D25B92" w:rsidRPr="00D25B92" w:rsidRDefault="00D25B92">
      <w:pPr>
        <w:pStyle w:val="FootnoteText"/>
        <w:rPr>
          <w:sz w:val="16"/>
          <w:szCs w:val="16"/>
        </w:rPr>
      </w:pPr>
      <w:r w:rsidRPr="00D25B92">
        <w:rPr>
          <w:rStyle w:val="FootnoteReference"/>
          <w:sz w:val="16"/>
          <w:szCs w:val="16"/>
        </w:rPr>
        <w:footnoteRef/>
      </w:r>
      <w:r w:rsidRPr="00D25B92">
        <w:rPr>
          <w:sz w:val="16"/>
          <w:szCs w:val="16"/>
        </w:rPr>
        <w:t xml:space="preserve"> </w:t>
      </w:r>
      <w:r w:rsidRPr="00D25B92">
        <w:rPr>
          <w:rFonts w:cstheme="minorHAnsi"/>
          <w:color w:val="000000" w:themeColor="text1"/>
          <w:sz w:val="16"/>
          <w:szCs w:val="16"/>
        </w:rPr>
        <w:t>A psych boarder is a patient who must wait in the ED or on a medical-surgical floor for any amount of time after the decision to admit is made and until a psychiatric inpatient bed is available.</w:t>
      </w:r>
    </w:p>
  </w:footnote>
  <w:footnote w:id="9">
    <w:p w14:paraId="19DE4CA1" w14:textId="210497C5" w:rsidR="00D25B92" w:rsidRPr="00D25B92" w:rsidRDefault="00D25B92">
      <w:pPr>
        <w:pStyle w:val="FootnoteText"/>
        <w:rPr>
          <w:rFonts w:cstheme="minorHAnsi"/>
          <w:sz w:val="16"/>
          <w:szCs w:val="16"/>
        </w:rPr>
      </w:pPr>
      <w:r w:rsidRPr="00D25B92">
        <w:rPr>
          <w:rStyle w:val="FootnoteReference"/>
          <w:rFonts w:cstheme="minorHAnsi"/>
          <w:sz w:val="16"/>
          <w:szCs w:val="16"/>
        </w:rPr>
        <w:footnoteRef/>
      </w:r>
      <w:r w:rsidRPr="00D25B92">
        <w:rPr>
          <w:rFonts w:cstheme="minorHAnsi"/>
          <w:sz w:val="16"/>
          <w:szCs w:val="16"/>
        </w:rPr>
        <w:t xml:space="preserve"> </w:t>
      </w:r>
      <w:r w:rsidRPr="00D25B92">
        <w:rPr>
          <w:rFonts w:cstheme="minorHAnsi"/>
          <w:color w:val="000000" w:themeColor="text1"/>
          <w:sz w:val="16"/>
          <w:szCs w:val="16"/>
        </w:rPr>
        <w:t xml:space="preserve">A medical boarder in the ED is a patient who has been admitted to the hospital but is kept in the ED greater than 2 hours after the decision to admit because there are no inpatient beds available.  </w:t>
      </w:r>
    </w:p>
  </w:footnote>
  <w:footnote w:id="10">
    <w:p w14:paraId="5BE61ECD" w14:textId="77777777" w:rsidR="00D02233" w:rsidRDefault="00D02233" w:rsidP="003D7779">
      <w:pPr>
        <w:pStyle w:val="FootnoteText"/>
      </w:pPr>
      <w:r>
        <w:rPr>
          <w:rStyle w:val="FootnoteReference"/>
        </w:rPr>
        <w:footnoteRef/>
      </w:r>
      <w:r>
        <w:t xml:space="preserve"> </w:t>
      </w:r>
      <w:bookmarkStart w:id="7" w:name="_Hlk184110627"/>
      <w:r w:rsidRPr="009B4A9A">
        <w:rPr>
          <w:sz w:val="16"/>
          <w:szCs w:val="16"/>
        </w:rPr>
        <w:t xml:space="preserve">While the number of </w:t>
      </w:r>
      <w:r>
        <w:rPr>
          <w:sz w:val="16"/>
          <w:szCs w:val="16"/>
        </w:rPr>
        <w:t xml:space="preserve">Code Help </w:t>
      </w:r>
      <w:r w:rsidRPr="009B4A9A">
        <w:rPr>
          <w:sz w:val="16"/>
          <w:szCs w:val="16"/>
        </w:rPr>
        <w:t>activation</w:t>
      </w:r>
      <w:r>
        <w:rPr>
          <w:sz w:val="16"/>
          <w:szCs w:val="16"/>
        </w:rPr>
        <w:t xml:space="preserve">s decreased </w:t>
      </w:r>
      <w:r w:rsidRPr="009B4A9A">
        <w:rPr>
          <w:sz w:val="16"/>
          <w:szCs w:val="16"/>
        </w:rPr>
        <w:t>in FY2024</w:t>
      </w:r>
      <w:r>
        <w:rPr>
          <w:sz w:val="16"/>
          <w:szCs w:val="16"/>
        </w:rPr>
        <w:t xml:space="preserve">, the number of days in Code Help remained relatively consistent with 214 days in FY2023 and 199 days in FY2024. </w:t>
      </w:r>
      <w:bookmarkEnd w:id="7"/>
    </w:p>
  </w:footnote>
  <w:footnote w:id="11">
    <w:p w14:paraId="5005FF06" w14:textId="42A0A7E0" w:rsidR="00BC1709" w:rsidRPr="00BC1709" w:rsidRDefault="00BC1709">
      <w:pPr>
        <w:pStyle w:val="FootnoteText"/>
        <w:rPr>
          <w:sz w:val="16"/>
          <w:szCs w:val="16"/>
        </w:rPr>
      </w:pPr>
      <w:r w:rsidRPr="00BC1709">
        <w:rPr>
          <w:rStyle w:val="FootnoteReference"/>
          <w:sz w:val="16"/>
          <w:szCs w:val="16"/>
        </w:rPr>
        <w:footnoteRef/>
      </w:r>
      <w:r w:rsidRPr="00BC1709">
        <w:rPr>
          <w:sz w:val="16"/>
          <w:szCs w:val="16"/>
        </w:rPr>
        <w:t xml:space="preserve"> </w:t>
      </w:r>
      <w:r w:rsidRPr="00BC1709">
        <w:rPr>
          <w:rFonts w:cstheme="minorHAnsi"/>
          <w:color w:val="000000" w:themeColor="text1"/>
          <w:sz w:val="16"/>
          <w:szCs w:val="16"/>
        </w:rPr>
        <w:t>The Innova Group specializes in healthcare strategic, operational, financial and facility planning and are recognized as both thought partners and thought leaders in the field, respected for their ability to generate credible analyses that lead to actionable results.</w:t>
      </w:r>
    </w:p>
  </w:footnote>
  <w:footnote w:id="12">
    <w:p w14:paraId="385CC10D" w14:textId="77777777" w:rsidR="00272CB1" w:rsidRPr="00B44DD3" w:rsidRDefault="00272CB1" w:rsidP="003E1CDA">
      <w:pPr>
        <w:pStyle w:val="FootnoteText"/>
        <w:rPr>
          <w:sz w:val="16"/>
          <w:szCs w:val="16"/>
        </w:rPr>
      </w:pPr>
      <w:r w:rsidRPr="00B44DD3">
        <w:rPr>
          <w:rStyle w:val="FootnoteReference"/>
          <w:sz w:val="16"/>
          <w:szCs w:val="16"/>
        </w:rPr>
        <w:footnoteRef/>
      </w:r>
      <w:r w:rsidRPr="00B44DD3">
        <w:rPr>
          <w:sz w:val="16"/>
          <w:szCs w:val="16"/>
        </w:rPr>
        <w:t xml:space="preserve"> Community Engagement Standards for Community Health Planning Guideline</w:t>
      </w:r>
    </w:p>
  </w:footnote>
  <w:footnote w:id="13">
    <w:p w14:paraId="5966E8BC" w14:textId="1844A4E4" w:rsidR="00272CB1" w:rsidRPr="0010344C" w:rsidRDefault="00272CB1" w:rsidP="003E1CDA">
      <w:pPr>
        <w:pStyle w:val="FootnoteText"/>
        <w:rPr>
          <w:sz w:val="18"/>
          <w:szCs w:val="18"/>
        </w:rPr>
      </w:pPr>
      <w:r w:rsidRPr="00B44DD3">
        <w:rPr>
          <w:rStyle w:val="FootnoteReference"/>
          <w:sz w:val="16"/>
          <w:szCs w:val="16"/>
        </w:rPr>
        <w:footnoteRef/>
      </w:r>
      <w:r w:rsidRPr="0040704E">
        <w:rPr>
          <w:color w:val="000000" w:themeColor="text1"/>
          <w:sz w:val="16"/>
          <w:szCs w:val="16"/>
        </w:rPr>
        <w:t xml:space="preserve"> </w:t>
      </w:r>
      <w:hyperlink r:id="rId1" w:history="1">
        <w:r w:rsidRPr="0040704E">
          <w:rPr>
            <w:rStyle w:val="Hyperlink"/>
            <w:color w:val="000000" w:themeColor="text1"/>
            <w:sz w:val="16"/>
            <w:szCs w:val="16"/>
            <w:u w:val="none"/>
          </w:rPr>
          <w:t>DoN Regulation 100.210 (A)(1)(e).</w:t>
        </w:r>
      </w:hyperlink>
      <w:r w:rsidRPr="00B44DD3">
        <w:rPr>
          <w:sz w:val="16"/>
          <w:szCs w:val="16"/>
        </w:rPr>
        <w:t xml:space="preserve"> </w:t>
      </w:r>
      <w:hyperlink r:id="rId2" w:history="1">
        <w:r w:rsidRPr="00B44DD3">
          <w:rPr>
            <w:rStyle w:val="Hyperlink"/>
            <w:sz w:val="16"/>
            <w:szCs w:val="16"/>
          </w:rPr>
          <w:t>Available at https://www.mass.gov/files/documents/2018/12/31/jud-lib-105cmr100.pdf</w:t>
        </w:r>
      </w:hyperlink>
      <w:r w:rsidRPr="0010344C">
        <w:rPr>
          <w:sz w:val="18"/>
          <w:szCs w:val="18"/>
        </w:rPr>
        <w:t xml:space="preserve"> </w:t>
      </w:r>
    </w:p>
  </w:footnote>
  <w:footnote w:id="14">
    <w:p w14:paraId="366B12C6" w14:textId="77777777" w:rsidR="00E85C24" w:rsidRPr="00D43A61" w:rsidRDefault="00E85C24" w:rsidP="00E85C24">
      <w:pPr>
        <w:pStyle w:val="FootnoteText"/>
        <w:rPr>
          <w:rFonts w:cstheme="minorHAnsi"/>
          <w:sz w:val="16"/>
          <w:szCs w:val="16"/>
        </w:rPr>
      </w:pPr>
      <w:r w:rsidRPr="00D43A61">
        <w:rPr>
          <w:rStyle w:val="FootnoteReference"/>
          <w:rFonts w:cstheme="minorHAnsi"/>
          <w:sz w:val="16"/>
          <w:szCs w:val="16"/>
        </w:rPr>
        <w:footnoteRef/>
      </w:r>
      <w:r w:rsidRPr="00D43A61">
        <w:rPr>
          <w:rFonts w:cstheme="minorHAnsi"/>
          <w:sz w:val="16"/>
          <w:szCs w:val="16"/>
        </w:rPr>
        <w:t xml:space="preserve"> The Hospital’s Code Help Policy sets forth the following triggers for activating Code Help: Total number/volume of patients in the ED or the acuity of the patients, maximum licensed treatment beds are reached; Inability to accommodate patient needs with current resources, staff and/or equipment; the ED is unable to care for existing patients; ED waiting room volume and duration of wait time, i.e., Priority 3 patients waiting &gt;2 hours and/or the ED is unable to accept any new patients into the treatment area; Inpatients holding in the ED with all inpatient locations full; and/or Inability to manage ambulance volume. </w:t>
      </w:r>
    </w:p>
    <w:p w14:paraId="44BC165D" w14:textId="77777777" w:rsidR="00E85C24" w:rsidRDefault="00E85C24" w:rsidP="00E85C24">
      <w:pPr>
        <w:pStyle w:val="FootnoteText"/>
      </w:pPr>
    </w:p>
  </w:footnote>
  <w:footnote w:id="15">
    <w:p w14:paraId="24F61D2F" w14:textId="77777777" w:rsidR="008E4932" w:rsidRPr="004C2201" w:rsidRDefault="008E4932" w:rsidP="008E4932">
      <w:pPr>
        <w:pStyle w:val="FootnoteText"/>
        <w:rPr>
          <w:sz w:val="16"/>
          <w:szCs w:val="16"/>
        </w:rPr>
      </w:pPr>
      <w:r w:rsidRPr="004C2201">
        <w:rPr>
          <w:rStyle w:val="FootnoteReference"/>
          <w:sz w:val="16"/>
          <w:szCs w:val="16"/>
        </w:rPr>
        <w:footnoteRef/>
      </w:r>
      <w:r w:rsidRPr="004C2201">
        <w:rPr>
          <w:sz w:val="16"/>
          <w:szCs w:val="16"/>
        </w:rPr>
        <w:t xml:space="preserve"> </w:t>
      </w:r>
      <w:r w:rsidRPr="004C2201">
        <w:rPr>
          <w:rFonts w:eastAsia="Times New Roman" w:cstheme="minorHAnsi"/>
          <w:sz w:val="16"/>
          <w:szCs w:val="16"/>
        </w:rPr>
        <w:t>Reasonableness is defined within the context of this report as supportable and proper, given the underlying</w:t>
      </w:r>
      <w:r w:rsidRPr="004C2201">
        <w:rPr>
          <w:rFonts w:cstheme="minorHAnsi"/>
          <w:sz w:val="16"/>
          <w:szCs w:val="16"/>
        </w:rPr>
        <w:t xml:space="preserve"> </w:t>
      </w:r>
      <w:r w:rsidRPr="004C2201">
        <w:rPr>
          <w:rFonts w:eastAsia="Times New Roman" w:cstheme="minorHAnsi"/>
          <w:sz w:val="16"/>
          <w:szCs w:val="16"/>
        </w:rPr>
        <w:t>information.</w:t>
      </w:r>
    </w:p>
  </w:footnote>
  <w:footnote w:id="16">
    <w:p w14:paraId="10CA6ABB" w14:textId="67F9EC60" w:rsidR="008E4932" w:rsidRPr="004C2201" w:rsidRDefault="008E4932" w:rsidP="008E4932">
      <w:pPr>
        <w:autoSpaceDE w:val="0"/>
        <w:autoSpaceDN w:val="0"/>
        <w:adjustRightInd w:val="0"/>
        <w:rPr>
          <w:rFonts w:cstheme="minorHAnsi"/>
          <w:sz w:val="16"/>
          <w:szCs w:val="16"/>
        </w:rPr>
      </w:pPr>
      <w:r w:rsidRPr="004C2201">
        <w:rPr>
          <w:rStyle w:val="FootnoteReference"/>
          <w:rFonts w:cstheme="minorHAnsi"/>
          <w:sz w:val="16"/>
          <w:szCs w:val="16"/>
        </w:rPr>
        <w:footnoteRef/>
      </w:r>
      <w:r w:rsidRPr="004C2201">
        <w:rPr>
          <w:sz w:val="16"/>
          <w:szCs w:val="16"/>
        </w:rPr>
        <w:t xml:space="preserve"> </w:t>
      </w:r>
      <w:r w:rsidRPr="004C2201">
        <w:rPr>
          <w:rFonts w:cstheme="minorHAnsi"/>
          <w:sz w:val="16"/>
          <w:szCs w:val="16"/>
        </w:rPr>
        <w:t xml:space="preserve">Feasibility is defined as based on the assumptions used, the plan is not likely to result in insufficient funds available for capital and ongoing operating costs necessary to support the proposed project without negative impacts or consequences to </w:t>
      </w:r>
      <w:r w:rsidR="004E420D">
        <w:rPr>
          <w:rFonts w:cstheme="minorHAnsi"/>
          <w:sz w:val="16"/>
          <w:szCs w:val="16"/>
        </w:rPr>
        <w:t xml:space="preserve">the </w:t>
      </w:r>
      <w:r w:rsidRPr="004C2201">
        <w:rPr>
          <w:rFonts w:cstheme="minorHAnsi"/>
          <w:sz w:val="16"/>
          <w:szCs w:val="16"/>
        </w:rPr>
        <w:t>existing Patient Panel.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4432"/>
    <w:multiLevelType w:val="hybridMultilevel"/>
    <w:tmpl w:val="A3C2F9CA"/>
    <w:lvl w:ilvl="0" w:tplc="247AA878">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2944A2"/>
    <w:multiLevelType w:val="hybridMultilevel"/>
    <w:tmpl w:val="F58EF8B0"/>
    <w:lvl w:ilvl="0" w:tplc="296EAF9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C5251"/>
    <w:multiLevelType w:val="hybridMultilevel"/>
    <w:tmpl w:val="6F90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E12D4"/>
    <w:multiLevelType w:val="hybridMultilevel"/>
    <w:tmpl w:val="DD602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F611A"/>
    <w:multiLevelType w:val="multilevel"/>
    <w:tmpl w:val="E1BCA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2E4EE1"/>
    <w:multiLevelType w:val="multilevel"/>
    <w:tmpl w:val="B7BE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 w15:restartNumberingAfterBreak="0">
    <w:nsid w:val="36D006A8"/>
    <w:multiLevelType w:val="multilevel"/>
    <w:tmpl w:val="23B654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D96512"/>
    <w:multiLevelType w:val="multilevel"/>
    <w:tmpl w:val="83386DD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4234382"/>
    <w:multiLevelType w:val="multilevel"/>
    <w:tmpl w:val="0B38AE8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 w15:restartNumberingAfterBreak="0">
    <w:nsid w:val="4B83356F"/>
    <w:multiLevelType w:val="multilevel"/>
    <w:tmpl w:val="4B1CD72A"/>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 w15:restartNumberingAfterBreak="0">
    <w:nsid w:val="4D3C2C94"/>
    <w:multiLevelType w:val="multilevel"/>
    <w:tmpl w:val="F020AA42"/>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749B3"/>
    <w:multiLevelType w:val="hybridMultilevel"/>
    <w:tmpl w:val="5740C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A15776"/>
    <w:multiLevelType w:val="hybridMultilevel"/>
    <w:tmpl w:val="FA0099AA"/>
    <w:lvl w:ilvl="0" w:tplc="B506314C">
      <w:start w:val="1"/>
      <w:numFmt w:val="decimal"/>
      <w:lvlText w:val="%1)"/>
      <w:lvlJc w:val="left"/>
      <w:pPr>
        <w:ind w:left="720" w:hanging="360"/>
      </w:pPr>
      <w:rPr>
        <w:rFonts w:asciiTheme="minorHAnsi" w:eastAsia="Arial"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E701F"/>
    <w:multiLevelType w:val="hybridMultilevel"/>
    <w:tmpl w:val="E8F8354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8349FD"/>
    <w:multiLevelType w:val="hybridMultilevel"/>
    <w:tmpl w:val="E8F8354C"/>
    <w:lvl w:ilvl="0" w:tplc="035882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CE0633"/>
    <w:multiLevelType w:val="hybridMultilevel"/>
    <w:tmpl w:val="93DE38D6"/>
    <w:lvl w:ilvl="0" w:tplc="F2B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2F07B2"/>
    <w:multiLevelType w:val="hybridMultilevel"/>
    <w:tmpl w:val="180E1BA0"/>
    <w:lvl w:ilvl="0" w:tplc="A4840F66">
      <w:start w:val="1"/>
      <w:numFmt w:val="decimal"/>
      <w:lvlText w:val="%1)"/>
      <w:lvlJc w:val="left"/>
      <w:pPr>
        <w:ind w:left="990" w:hanging="360"/>
      </w:pPr>
      <w:rPr>
        <w:rFonts w:asciiTheme="minorHAnsi" w:hAnsiTheme="minorHAnsi" w:cstheme="minorHAnsi" w:hint="default"/>
        <w:b/>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C653EE7"/>
    <w:multiLevelType w:val="hybridMultilevel"/>
    <w:tmpl w:val="A8CC1BEA"/>
    <w:lvl w:ilvl="0" w:tplc="47C857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B7736E"/>
    <w:multiLevelType w:val="hybridMultilevel"/>
    <w:tmpl w:val="77FC76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11B617A"/>
    <w:multiLevelType w:val="hybridMultilevel"/>
    <w:tmpl w:val="D504AC4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A24068"/>
    <w:multiLevelType w:val="multilevel"/>
    <w:tmpl w:val="4178E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C558E3"/>
    <w:multiLevelType w:val="hybridMultilevel"/>
    <w:tmpl w:val="CAB64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85706394">
    <w:abstractNumId w:val="26"/>
  </w:num>
  <w:num w:numId="2" w16cid:durableId="121659562">
    <w:abstractNumId w:val="24"/>
  </w:num>
  <w:num w:numId="3" w16cid:durableId="1442989524">
    <w:abstractNumId w:val="10"/>
  </w:num>
  <w:num w:numId="4" w16cid:durableId="1000505054">
    <w:abstractNumId w:val="17"/>
  </w:num>
  <w:num w:numId="5" w16cid:durableId="1490243935">
    <w:abstractNumId w:val="20"/>
  </w:num>
  <w:num w:numId="6" w16cid:durableId="2107648776">
    <w:abstractNumId w:val="19"/>
  </w:num>
  <w:num w:numId="7" w16cid:durableId="1272012509">
    <w:abstractNumId w:val="22"/>
  </w:num>
  <w:num w:numId="8" w16cid:durableId="439691815">
    <w:abstractNumId w:val="21"/>
  </w:num>
  <w:num w:numId="9" w16cid:durableId="1471090044">
    <w:abstractNumId w:val="4"/>
  </w:num>
  <w:num w:numId="10" w16cid:durableId="1618444258">
    <w:abstractNumId w:val="27"/>
  </w:num>
  <w:num w:numId="11" w16cid:durableId="803431336">
    <w:abstractNumId w:val="6"/>
  </w:num>
  <w:num w:numId="12" w16cid:durableId="1804107474">
    <w:abstractNumId w:val="11"/>
  </w:num>
  <w:num w:numId="13" w16cid:durableId="821509815">
    <w:abstractNumId w:val="15"/>
  </w:num>
  <w:num w:numId="14" w16cid:durableId="1251425427">
    <w:abstractNumId w:val="7"/>
  </w:num>
  <w:num w:numId="15" w16cid:durableId="70465832">
    <w:abstractNumId w:val="9"/>
  </w:num>
  <w:num w:numId="16" w16cid:durableId="1239251066">
    <w:abstractNumId w:val="8"/>
  </w:num>
  <w:num w:numId="17" w16cid:durableId="1564608030">
    <w:abstractNumId w:val="5"/>
  </w:num>
  <w:num w:numId="18" w16cid:durableId="25444973">
    <w:abstractNumId w:val="2"/>
  </w:num>
  <w:num w:numId="19" w16cid:durableId="824665655">
    <w:abstractNumId w:val="0"/>
  </w:num>
  <w:num w:numId="20" w16cid:durableId="251664578">
    <w:abstractNumId w:val="3"/>
  </w:num>
  <w:num w:numId="21" w16cid:durableId="829252075">
    <w:abstractNumId w:val="18"/>
  </w:num>
  <w:num w:numId="22" w16cid:durableId="104548288">
    <w:abstractNumId w:val="23"/>
  </w:num>
  <w:num w:numId="23" w16cid:durableId="507988214">
    <w:abstractNumId w:val="16"/>
  </w:num>
  <w:num w:numId="24" w16cid:durableId="149177680">
    <w:abstractNumId w:val="25"/>
  </w:num>
  <w:num w:numId="25" w16cid:durableId="140074775">
    <w:abstractNumId w:val="12"/>
  </w:num>
  <w:num w:numId="26" w16cid:durableId="627854629">
    <w:abstractNumId w:val="14"/>
  </w:num>
  <w:num w:numId="27" w16cid:durableId="324092734">
    <w:abstractNumId w:val="13"/>
  </w:num>
  <w:num w:numId="28" w16cid:durableId="64693302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71"/>
    <w:rsid w:val="00000766"/>
    <w:rsid w:val="00000D50"/>
    <w:rsid w:val="00001452"/>
    <w:rsid w:val="00001551"/>
    <w:rsid w:val="0000184C"/>
    <w:rsid w:val="00001B5A"/>
    <w:rsid w:val="00002F91"/>
    <w:rsid w:val="000040EE"/>
    <w:rsid w:val="00004699"/>
    <w:rsid w:val="00004B2A"/>
    <w:rsid w:val="00005B62"/>
    <w:rsid w:val="00006393"/>
    <w:rsid w:val="0000676E"/>
    <w:rsid w:val="00006E50"/>
    <w:rsid w:val="0000729A"/>
    <w:rsid w:val="00007A08"/>
    <w:rsid w:val="00011244"/>
    <w:rsid w:val="00011642"/>
    <w:rsid w:val="0001189D"/>
    <w:rsid w:val="00011A01"/>
    <w:rsid w:val="00011A29"/>
    <w:rsid w:val="00011A55"/>
    <w:rsid w:val="00011AA2"/>
    <w:rsid w:val="00011EC9"/>
    <w:rsid w:val="000120BB"/>
    <w:rsid w:val="000123C5"/>
    <w:rsid w:val="0001246B"/>
    <w:rsid w:val="00012BB3"/>
    <w:rsid w:val="00013034"/>
    <w:rsid w:val="0001384C"/>
    <w:rsid w:val="00013859"/>
    <w:rsid w:val="000138BD"/>
    <w:rsid w:val="000139A7"/>
    <w:rsid w:val="00014974"/>
    <w:rsid w:val="00014A71"/>
    <w:rsid w:val="00014C9E"/>
    <w:rsid w:val="000151FA"/>
    <w:rsid w:val="00016549"/>
    <w:rsid w:val="00017030"/>
    <w:rsid w:val="0001797B"/>
    <w:rsid w:val="00017F00"/>
    <w:rsid w:val="0002054A"/>
    <w:rsid w:val="000208BF"/>
    <w:rsid w:val="000228BC"/>
    <w:rsid w:val="00022D92"/>
    <w:rsid w:val="00023267"/>
    <w:rsid w:val="00024F01"/>
    <w:rsid w:val="00025196"/>
    <w:rsid w:val="000256C3"/>
    <w:rsid w:val="00026DE6"/>
    <w:rsid w:val="00030766"/>
    <w:rsid w:val="00031046"/>
    <w:rsid w:val="00031581"/>
    <w:rsid w:val="00031A5E"/>
    <w:rsid w:val="000324AC"/>
    <w:rsid w:val="000324D2"/>
    <w:rsid w:val="000325FE"/>
    <w:rsid w:val="00032C30"/>
    <w:rsid w:val="00032EB5"/>
    <w:rsid w:val="000334BE"/>
    <w:rsid w:val="000334E7"/>
    <w:rsid w:val="0003370E"/>
    <w:rsid w:val="00033749"/>
    <w:rsid w:val="0003405B"/>
    <w:rsid w:val="0003466B"/>
    <w:rsid w:val="0003581F"/>
    <w:rsid w:val="00035D73"/>
    <w:rsid w:val="00035F0B"/>
    <w:rsid w:val="000360DB"/>
    <w:rsid w:val="00036AB0"/>
    <w:rsid w:val="00036D6D"/>
    <w:rsid w:val="0003703E"/>
    <w:rsid w:val="000377DD"/>
    <w:rsid w:val="00040062"/>
    <w:rsid w:val="000405FA"/>
    <w:rsid w:val="00040E91"/>
    <w:rsid w:val="00040ED6"/>
    <w:rsid w:val="00041CBB"/>
    <w:rsid w:val="00041E0D"/>
    <w:rsid w:val="00041F66"/>
    <w:rsid w:val="000424B1"/>
    <w:rsid w:val="00042559"/>
    <w:rsid w:val="000427AB"/>
    <w:rsid w:val="00042F5C"/>
    <w:rsid w:val="00043B29"/>
    <w:rsid w:val="00043B60"/>
    <w:rsid w:val="00043F4C"/>
    <w:rsid w:val="00043F7B"/>
    <w:rsid w:val="0004465C"/>
    <w:rsid w:val="000454D6"/>
    <w:rsid w:val="00046A3F"/>
    <w:rsid w:val="00046C7B"/>
    <w:rsid w:val="00046CC1"/>
    <w:rsid w:val="00047478"/>
    <w:rsid w:val="00047513"/>
    <w:rsid w:val="000507D3"/>
    <w:rsid w:val="00050A3A"/>
    <w:rsid w:val="00051FA2"/>
    <w:rsid w:val="000532F0"/>
    <w:rsid w:val="0005445F"/>
    <w:rsid w:val="00055531"/>
    <w:rsid w:val="00055FD6"/>
    <w:rsid w:val="0005623C"/>
    <w:rsid w:val="00056310"/>
    <w:rsid w:val="00056988"/>
    <w:rsid w:val="00057082"/>
    <w:rsid w:val="00057674"/>
    <w:rsid w:val="0005775F"/>
    <w:rsid w:val="000579B0"/>
    <w:rsid w:val="00057A4A"/>
    <w:rsid w:val="00057DA9"/>
    <w:rsid w:val="00057F3D"/>
    <w:rsid w:val="00060059"/>
    <w:rsid w:val="00062574"/>
    <w:rsid w:val="00062CF8"/>
    <w:rsid w:val="00063C7E"/>
    <w:rsid w:val="000641F1"/>
    <w:rsid w:val="0006441C"/>
    <w:rsid w:val="00064BE9"/>
    <w:rsid w:val="00064DC2"/>
    <w:rsid w:val="00064E42"/>
    <w:rsid w:val="00065F76"/>
    <w:rsid w:val="0006601B"/>
    <w:rsid w:val="00066092"/>
    <w:rsid w:val="00066246"/>
    <w:rsid w:val="00066269"/>
    <w:rsid w:val="00066682"/>
    <w:rsid w:val="00066973"/>
    <w:rsid w:val="000674D1"/>
    <w:rsid w:val="00067961"/>
    <w:rsid w:val="00070272"/>
    <w:rsid w:val="000703FA"/>
    <w:rsid w:val="00071489"/>
    <w:rsid w:val="00071A17"/>
    <w:rsid w:val="00071CC7"/>
    <w:rsid w:val="000722EA"/>
    <w:rsid w:val="0007282F"/>
    <w:rsid w:val="00072B2D"/>
    <w:rsid w:val="00073974"/>
    <w:rsid w:val="00073B66"/>
    <w:rsid w:val="0007476F"/>
    <w:rsid w:val="00075169"/>
    <w:rsid w:val="00075746"/>
    <w:rsid w:val="00075E7A"/>
    <w:rsid w:val="00076306"/>
    <w:rsid w:val="0007664A"/>
    <w:rsid w:val="00076C67"/>
    <w:rsid w:val="00076C81"/>
    <w:rsid w:val="00076EF5"/>
    <w:rsid w:val="00076FBC"/>
    <w:rsid w:val="000772F2"/>
    <w:rsid w:val="000775A2"/>
    <w:rsid w:val="00077C00"/>
    <w:rsid w:val="0008062F"/>
    <w:rsid w:val="000809D6"/>
    <w:rsid w:val="00080BAC"/>
    <w:rsid w:val="00080F7E"/>
    <w:rsid w:val="000812F0"/>
    <w:rsid w:val="00082D4A"/>
    <w:rsid w:val="00082F3B"/>
    <w:rsid w:val="000831D8"/>
    <w:rsid w:val="0008371D"/>
    <w:rsid w:val="00083E4A"/>
    <w:rsid w:val="000844BC"/>
    <w:rsid w:val="00084C68"/>
    <w:rsid w:val="00086B6A"/>
    <w:rsid w:val="0008732B"/>
    <w:rsid w:val="00087FA5"/>
    <w:rsid w:val="000901FC"/>
    <w:rsid w:val="0009066A"/>
    <w:rsid w:val="00090D6F"/>
    <w:rsid w:val="00091809"/>
    <w:rsid w:val="00092250"/>
    <w:rsid w:val="000925AC"/>
    <w:rsid w:val="00092868"/>
    <w:rsid w:val="00093059"/>
    <w:rsid w:val="000956C1"/>
    <w:rsid w:val="00096857"/>
    <w:rsid w:val="000968AB"/>
    <w:rsid w:val="00096AA4"/>
    <w:rsid w:val="00096E2C"/>
    <w:rsid w:val="00097500"/>
    <w:rsid w:val="0009795F"/>
    <w:rsid w:val="00097BE0"/>
    <w:rsid w:val="00097C15"/>
    <w:rsid w:val="00097CC1"/>
    <w:rsid w:val="000A0A56"/>
    <w:rsid w:val="000A1340"/>
    <w:rsid w:val="000A1751"/>
    <w:rsid w:val="000A1F97"/>
    <w:rsid w:val="000A269B"/>
    <w:rsid w:val="000A2D3C"/>
    <w:rsid w:val="000A3592"/>
    <w:rsid w:val="000A3BF2"/>
    <w:rsid w:val="000A3C38"/>
    <w:rsid w:val="000A4738"/>
    <w:rsid w:val="000A4AC4"/>
    <w:rsid w:val="000A55E1"/>
    <w:rsid w:val="000A5D24"/>
    <w:rsid w:val="000A5D87"/>
    <w:rsid w:val="000A5F9F"/>
    <w:rsid w:val="000A6046"/>
    <w:rsid w:val="000A68A9"/>
    <w:rsid w:val="000A729A"/>
    <w:rsid w:val="000A7AFD"/>
    <w:rsid w:val="000B06A1"/>
    <w:rsid w:val="000B0D1A"/>
    <w:rsid w:val="000B0DC7"/>
    <w:rsid w:val="000B1332"/>
    <w:rsid w:val="000B17E6"/>
    <w:rsid w:val="000B215A"/>
    <w:rsid w:val="000B2C26"/>
    <w:rsid w:val="000B3D50"/>
    <w:rsid w:val="000B41C2"/>
    <w:rsid w:val="000B446D"/>
    <w:rsid w:val="000B4A83"/>
    <w:rsid w:val="000B5D27"/>
    <w:rsid w:val="000B686B"/>
    <w:rsid w:val="000B716A"/>
    <w:rsid w:val="000B767A"/>
    <w:rsid w:val="000B791A"/>
    <w:rsid w:val="000C0647"/>
    <w:rsid w:val="000C305F"/>
    <w:rsid w:val="000C471F"/>
    <w:rsid w:val="000C4D10"/>
    <w:rsid w:val="000C59F5"/>
    <w:rsid w:val="000C5E86"/>
    <w:rsid w:val="000C5F22"/>
    <w:rsid w:val="000C5F89"/>
    <w:rsid w:val="000C7140"/>
    <w:rsid w:val="000CD500"/>
    <w:rsid w:val="000D03FE"/>
    <w:rsid w:val="000D0E88"/>
    <w:rsid w:val="000D0EA7"/>
    <w:rsid w:val="000D1161"/>
    <w:rsid w:val="000D2550"/>
    <w:rsid w:val="000D25C0"/>
    <w:rsid w:val="000D2985"/>
    <w:rsid w:val="000D311A"/>
    <w:rsid w:val="000D3280"/>
    <w:rsid w:val="000D32BD"/>
    <w:rsid w:val="000D3356"/>
    <w:rsid w:val="000D3DD0"/>
    <w:rsid w:val="000D3F21"/>
    <w:rsid w:val="000D4624"/>
    <w:rsid w:val="000D48AA"/>
    <w:rsid w:val="000D59A0"/>
    <w:rsid w:val="000D5FB2"/>
    <w:rsid w:val="000D67F2"/>
    <w:rsid w:val="000D6B8C"/>
    <w:rsid w:val="000D6FDB"/>
    <w:rsid w:val="000D76D5"/>
    <w:rsid w:val="000D7FC6"/>
    <w:rsid w:val="000E00FD"/>
    <w:rsid w:val="000E076B"/>
    <w:rsid w:val="000E1212"/>
    <w:rsid w:val="000E1528"/>
    <w:rsid w:val="000E3611"/>
    <w:rsid w:val="000E3A82"/>
    <w:rsid w:val="000E3AFF"/>
    <w:rsid w:val="000E3B11"/>
    <w:rsid w:val="000E3CCB"/>
    <w:rsid w:val="000E3F3F"/>
    <w:rsid w:val="000E40C1"/>
    <w:rsid w:val="000E4131"/>
    <w:rsid w:val="000E495C"/>
    <w:rsid w:val="000E55EB"/>
    <w:rsid w:val="000E69B0"/>
    <w:rsid w:val="000E6F21"/>
    <w:rsid w:val="000E78AC"/>
    <w:rsid w:val="000E7D1B"/>
    <w:rsid w:val="000E7E02"/>
    <w:rsid w:val="000F057A"/>
    <w:rsid w:val="000F0F70"/>
    <w:rsid w:val="000F0FA3"/>
    <w:rsid w:val="000F1918"/>
    <w:rsid w:val="000F1C89"/>
    <w:rsid w:val="000F264F"/>
    <w:rsid w:val="000F2D9B"/>
    <w:rsid w:val="000F2DC8"/>
    <w:rsid w:val="000F2F0C"/>
    <w:rsid w:val="000F2FAC"/>
    <w:rsid w:val="000F3E44"/>
    <w:rsid w:val="000F3F55"/>
    <w:rsid w:val="000F4190"/>
    <w:rsid w:val="000F5186"/>
    <w:rsid w:val="000F5532"/>
    <w:rsid w:val="000F6AC4"/>
    <w:rsid w:val="000F6B27"/>
    <w:rsid w:val="000F6DE7"/>
    <w:rsid w:val="000F742B"/>
    <w:rsid w:val="000F75C9"/>
    <w:rsid w:val="000F785D"/>
    <w:rsid w:val="000F7F55"/>
    <w:rsid w:val="001002AD"/>
    <w:rsid w:val="001003B9"/>
    <w:rsid w:val="001005D7"/>
    <w:rsid w:val="0010103D"/>
    <w:rsid w:val="00101354"/>
    <w:rsid w:val="00101782"/>
    <w:rsid w:val="00101A85"/>
    <w:rsid w:val="00101DC1"/>
    <w:rsid w:val="00102654"/>
    <w:rsid w:val="00103394"/>
    <w:rsid w:val="0010344C"/>
    <w:rsid w:val="001034EB"/>
    <w:rsid w:val="00103567"/>
    <w:rsid w:val="001039D0"/>
    <w:rsid w:val="001045F2"/>
    <w:rsid w:val="00104733"/>
    <w:rsid w:val="00104BD5"/>
    <w:rsid w:val="00105562"/>
    <w:rsid w:val="00105566"/>
    <w:rsid w:val="001055DE"/>
    <w:rsid w:val="00106026"/>
    <w:rsid w:val="00106091"/>
    <w:rsid w:val="00106E8B"/>
    <w:rsid w:val="00107369"/>
    <w:rsid w:val="00107BAD"/>
    <w:rsid w:val="00107BF3"/>
    <w:rsid w:val="00107E4E"/>
    <w:rsid w:val="001100E5"/>
    <w:rsid w:val="0011205B"/>
    <w:rsid w:val="00112412"/>
    <w:rsid w:val="00112442"/>
    <w:rsid w:val="00112F1A"/>
    <w:rsid w:val="00112F9C"/>
    <w:rsid w:val="001135C3"/>
    <w:rsid w:val="001145F8"/>
    <w:rsid w:val="0011521C"/>
    <w:rsid w:val="00116498"/>
    <w:rsid w:val="001171C4"/>
    <w:rsid w:val="0012085E"/>
    <w:rsid w:val="00120AFF"/>
    <w:rsid w:val="0012158F"/>
    <w:rsid w:val="00121E42"/>
    <w:rsid w:val="001227A4"/>
    <w:rsid w:val="00122B7A"/>
    <w:rsid w:val="00122EBD"/>
    <w:rsid w:val="001237D7"/>
    <w:rsid w:val="00123E59"/>
    <w:rsid w:val="00124503"/>
    <w:rsid w:val="001247F8"/>
    <w:rsid w:val="00125C0F"/>
    <w:rsid w:val="00125C16"/>
    <w:rsid w:val="00126522"/>
    <w:rsid w:val="00126C6D"/>
    <w:rsid w:val="00127749"/>
    <w:rsid w:val="00130C3E"/>
    <w:rsid w:val="00130E35"/>
    <w:rsid w:val="001313C9"/>
    <w:rsid w:val="001317C8"/>
    <w:rsid w:val="001323AE"/>
    <w:rsid w:val="00132560"/>
    <w:rsid w:val="00132A24"/>
    <w:rsid w:val="00132E3C"/>
    <w:rsid w:val="0013392F"/>
    <w:rsid w:val="00133C1E"/>
    <w:rsid w:val="00133DBD"/>
    <w:rsid w:val="00133DDE"/>
    <w:rsid w:val="00134B27"/>
    <w:rsid w:val="00134B3A"/>
    <w:rsid w:val="00134B4E"/>
    <w:rsid w:val="00135033"/>
    <w:rsid w:val="001361ED"/>
    <w:rsid w:val="001369F4"/>
    <w:rsid w:val="00137187"/>
    <w:rsid w:val="001400AC"/>
    <w:rsid w:val="00140A97"/>
    <w:rsid w:val="001410DD"/>
    <w:rsid w:val="00141804"/>
    <w:rsid w:val="0014259F"/>
    <w:rsid w:val="00142675"/>
    <w:rsid w:val="0014278E"/>
    <w:rsid w:val="0014347C"/>
    <w:rsid w:val="00143587"/>
    <w:rsid w:val="00143612"/>
    <w:rsid w:val="001438DE"/>
    <w:rsid w:val="00144D32"/>
    <w:rsid w:val="0014596E"/>
    <w:rsid w:val="00146941"/>
    <w:rsid w:val="0014785D"/>
    <w:rsid w:val="00147EC4"/>
    <w:rsid w:val="00150318"/>
    <w:rsid w:val="001505E2"/>
    <w:rsid w:val="00150A22"/>
    <w:rsid w:val="00150A4C"/>
    <w:rsid w:val="00151371"/>
    <w:rsid w:val="001516F6"/>
    <w:rsid w:val="00151D86"/>
    <w:rsid w:val="00152372"/>
    <w:rsid w:val="001529E2"/>
    <w:rsid w:val="00152F46"/>
    <w:rsid w:val="0015395D"/>
    <w:rsid w:val="00153A6B"/>
    <w:rsid w:val="00153C36"/>
    <w:rsid w:val="00155EAA"/>
    <w:rsid w:val="00155F55"/>
    <w:rsid w:val="001577DE"/>
    <w:rsid w:val="001602E9"/>
    <w:rsid w:val="0016069D"/>
    <w:rsid w:val="001608FC"/>
    <w:rsid w:val="00160AB0"/>
    <w:rsid w:val="00160F24"/>
    <w:rsid w:val="00160F7B"/>
    <w:rsid w:val="001610D5"/>
    <w:rsid w:val="001626F0"/>
    <w:rsid w:val="00162CE4"/>
    <w:rsid w:val="0016497D"/>
    <w:rsid w:val="00164D50"/>
    <w:rsid w:val="00164FAD"/>
    <w:rsid w:val="001658C1"/>
    <w:rsid w:val="001665B1"/>
    <w:rsid w:val="0016697C"/>
    <w:rsid w:val="00166F95"/>
    <w:rsid w:val="00167571"/>
    <w:rsid w:val="0017011D"/>
    <w:rsid w:val="001703BC"/>
    <w:rsid w:val="00171435"/>
    <w:rsid w:val="0017200E"/>
    <w:rsid w:val="0017256E"/>
    <w:rsid w:val="00172591"/>
    <w:rsid w:val="00173618"/>
    <w:rsid w:val="00173986"/>
    <w:rsid w:val="00174C6E"/>
    <w:rsid w:val="00174EF8"/>
    <w:rsid w:val="001752D9"/>
    <w:rsid w:val="00175C8A"/>
    <w:rsid w:val="0017637D"/>
    <w:rsid w:val="00176CEF"/>
    <w:rsid w:val="00177AC1"/>
    <w:rsid w:val="00180871"/>
    <w:rsid w:val="00180C79"/>
    <w:rsid w:val="0018124F"/>
    <w:rsid w:val="00181C32"/>
    <w:rsid w:val="001834EC"/>
    <w:rsid w:val="00183586"/>
    <w:rsid w:val="00184C33"/>
    <w:rsid w:val="0018692A"/>
    <w:rsid w:val="00186F0C"/>
    <w:rsid w:val="00187A6A"/>
    <w:rsid w:val="00187C03"/>
    <w:rsid w:val="00187D11"/>
    <w:rsid w:val="00187FC0"/>
    <w:rsid w:val="0019010E"/>
    <w:rsid w:val="001901E8"/>
    <w:rsid w:val="00191CF7"/>
    <w:rsid w:val="00192C76"/>
    <w:rsid w:val="00193129"/>
    <w:rsid w:val="00193839"/>
    <w:rsid w:val="00193EB0"/>
    <w:rsid w:val="001947F1"/>
    <w:rsid w:val="00194920"/>
    <w:rsid w:val="00194AA3"/>
    <w:rsid w:val="00195C69"/>
    <w:rsid w:val="00195FB3"/>
    <w:rsid w:val="00196030"/>
    <w:rsid w:val="001972BF"/>
    <w:rsid w:val="001977EC"/>
    <w:rsid w:val="00197B3E"/>
    <w:rsid w:val="001A0341"/>
    <w:rsid w:val="001A1E6B"/>
    <w:rsid w:val="001A20A3"/>
    <w:rsid w:val="001A2669"/>
    <w:rsid w:val="001A57D6"/>
    <w:rsid w:val="001A68F8"/>
    <w:rsid w:val="001A6E48"/>
    <w:rsid w:val="001A6EB3"/>
    <w:rsid w:val="001A6EB9"/>
    <w:rsid w:val="001A6FED"/>
    <w:rsid w:val="001A7DA1"/>
    <w:rsid w:val="001B0396"/>
    <w:rsid w:val="001B0EEF"/>
    <w:rsid w:val="001B2144"/>
    <w:rsid w:val="001B248B"/>
    <w:rsid w:val="001B2ECC"/>
    <w:rsid w:val="001B59FA"/>
    <w:rsid w:val="001B5B5C"/>
    <w:rsid w:val="001B5DC0"/>
    <w:rsid w:val="001B6B2C"/>
    <w:rsid w:val="001B6CE8"/>
    <w:rsid w:val="001B71E8"/>
    <w:rsid w:val="001C02C6"/>
    <w:rsid w:val="001C02E9"/>
    <w:rsid w:val="001C0A38"/>
    <w:rsid w:val="001C0C4E"/>
    <w:rsid w:val="001C101D"/>
    <w:rsid w:val="001C1C28"/>
    <w:rsid w:val="001C2816"/>
    <w:rsid w:val="001C3BC6"/>
    <w:rsid w:val="001C67EB"/>
    <w:rsid w:val="001C6CAB"/>
    <w:rsid w:val="001C791A"/>
    <w:rsid w:val="001D084A"/>
    <w:rsid w:val="001D0BE3"/>
    <w:rsid w:val="001D1C8A"/>
    <w:rsid w:val="001D3427"/>
    <w:rsid w:val="001D3571"/>
    <w:rsid w:val="001D47E9"/>
    <w:rsid w:val="001D570C"/>
    <w:rsid w:val="001D5868"/>
    <w:rsid w:val="001D6AA8"/>
    <w:rsid w:val="001E00BE"/>
    <w:rsid w:val="001E0367"/>
    <w:rsid w:val="001E03D8"/>
    <w:rsid w:val="001E09B9"/>
    <w:rsid w:val="001E0EFD"/>
    <w:rsid w:val="001E1470"/>
    <w:rsid w:val="001E14B2"/>
    <w:rsid w:val="001E15F4"/>
    <w:rsid w:val="001E17E4"/>
    <w:rsid w:val="001E2279"/>
    <w:rsid w:val="001E2691"/>
    <w:rsid w:val="001E283E"/>
    <w:rsid w:val="001E28BB"/>
    <w:rsid w:val="001E2C67"/>
    <w:rsid w:val="001E3080"/>
    <w:rsid w:val="001E3A34"/>
    <w:rsid w:val="001E4B38"/>
    <w:rsid w:val="001E525E"/>
    <w:rsid w:val="001E5270"/>
    <w:rsid w:val="001E54B3"/>
    <w:rsid w:val="001E56CA"/>
    <w:rsid w:val="001E5732"/>
    <w:rsid w:val="001E5BF2"/>
    <w:rsid w:val="001E6423"/>
    <w:rsid w:val="001F0639"/>
    <w:rsid w:val="001F09AD"/>
    <w:rsid w:val="001F16DE"/>
    <w:rsid w:val="001F1763"/>
    <w:rsid w:val="001F18E2"/>
    <w:rsid w:val="001F213D"/>
    <w:rsid w:val="001F54CE"/>
    <w:rsid w:val="001F6344"/>
    <w:rsid w:val="001F7A7E"/>
    <w:rsid w:val="00200E14"/>
    <w:rsid w:val="00200F75"/>
    <w:rsid w:val="00202906"/>
    <w:rsid w:val="002043B4"/>
    <w:rsid w:val="002050D3"/>
    <w:rsid w:val="002052AB"/>
    <w:rsid w:val="002054B0"/>
    <w:rsid w:val="002058ED"/>
    <w:rsid w:val="00206695"/>
    <w:rsid w:val="00207A0D"/>
    <w:rsid w:val="00210AED"/>
    <w:rsid w:val="00210EB4"/>
    <w:rsid w:val="002114DB"/>
    <w:rsid w:val="00211EE2"/>
    <w:rsid w:val="00211F53"/>
    <w:rsid w:val="0021249E"/>
    <w:rsid w:val="002135AD"/>
    <w:rsid w:val="00213C5C"/>
    <w:rsid w:val="00213E00"/>
    <w:rsid w:val="00214311"/>
    <w:rsid w:val="00214CC9"/>
    <w:rsid w:val="002159E5"/>
    <w:rsid w:val="00216285"/>
    <w:rsid w:val="002170DF"/>
    <w:rsid w:val="002201DF"/>
    <w:rsid w:val="0022028B"/>
    <w:rsid w:val="00220821"/>
    <w:rsid w:val="0022090C"/>
    <w:rsid w:val="00220BCB"/>
    <w:rsid w:val="002214D0"/>
    <w:rsid w:val="002223E8"/>
    <w:rsid w:val="00223234"/>
    <w:rsid w:val="00223374"/>
    <w:rsid w:val="002237F0"/>
    <w:rsid w:val="002239C2"/>
    <w:rsid w:val="002248D2"/>
    <w:rsid w:val="00224D8B"/>
    <w:rsid w:val="00224ED2"/>
    <w:rsid w:val="00224EE0"/>
    <w:rsid w:val="00225E37"/>
    <w:rsid w:val="00227182"/>
    <w:rsid w:val="002278B7"/>
    <w:rsid w:val="00230729"/>
    <w:rsid w:val="00230883"/>
    <w:rsid w:val="00230F44"/>
    <w:rsid w:val="002327CA"/>
    <w:rsid w:val="00233D71"/>
    <w:rsid w:val="0023423D"/>
    <w:rsid w:val="00234CFF"/>
    <w:rsid w:val="002355BC"/>
    <w:rsid w:val="00235731"/>
    <w:rsid w:val="0023652D"/>
    <w:rsid w:val="002371FF"/>
    <w:rsid w:val="002377B2"/>
    <w:rsid w:val="00237F02"/>
    <w:rsid w:val="002400EB"/>
    <w:rsid w:val="002416D9"/>
    <w:rsid w:val="0024256A"/>
    <w:rsid w:val="0024289A"/>
    <w:rsid w:val="002429B2"/>
    <w:rsid w:val="00242D27"/>
    <w:rsid w:val="00243E4A"/>
    <w:rsid w:val="002442B8"/>
    <w:rsid w:val="00244788"/>
    <w:rsid w:val="0024480F"/>
    <w:rsid w:val="00244CC8"/>
    <w:rsid w:val="00246C00"/>
    <w:rsid w:val="00246F10"/>
    <w:rsid w:val="0024706A"/>
    <w:rsid w:val="002475FD"/>
    <w:rsid w:val="00250035"/>
    <w:rsid w:val="00250142"/>
    <w:rsid w:val="00250910"/>
    <w:rsid w:val="00250BAA"/>
    <w:rsid w:val="0025118B"/>
    <w:rsid w:val="0025221B"/>
    <w:rsid w:val="0025244D"/>
    <w:rsid w:val="00252886"/>
    <w:rsid w:val="0025426F"/>
    <w:rsid w:val="002545A8"/>
    <w:rsid w:val="00254A3F"/>
    <w:rsid w:val="002563E0"/>
    <w:rsid w:val="00256CE1"/>
    <w:rsid w:val="002572C8"/>
    <w:rsid w:val="00257999"/>
    <w:rsid w:val="0026036D"/>
    <w:rsid w:val="0026091C"/>
    <w:rsid w:val="002610FF"/>
    <w:rsid w:val="00261234"/>
    <w:rsid w:val="00261252"/>
    <w:rsid w:val="00261637"/>
    <w:rsid w:val="00262952"/>
    <w:rsid w:val="002637A2"/>
    <w:rsid w:val="00263E66"/>
    <w:rsid w:val="00263FB5"/>
    <w:rsid w:val="00264FB7"/>
    <w:rsid w:val="00265584"/>
    <w:rsid w:val="0026575E"/>
    <w:rsid w:val="00265CE4"/>
    <w:rsid w:val="002668B1"/>
    <w:rsid w:val="00267470"/>
    <w:rsid w:val="0026798D"/>
    <w:rsid w:val="00267A96"/>
    <w:rsid w:val="0027024C"/>
    <w:rsid w:val="0027026A"/>
    <w:rsid w:val="00270B43"/>
    <w:rsid w:val="00271440"/>
    <w:rsid w:val="00271905"/>
    <w:rsid w:val="00272CB1"/>
    <w:rsid w:val="0027313C"/>
    <w:rsid w:val="002732FC"/>
    <w:rsid w:val="00273C77"/>
    <w:rsid w:val="002742C0"/>
    <w:rsid w:val="0027605B"/>
    <w:rsid w:val="00276466"/>
    <w:rsid w:val="00277225"/>
    <w:rsid w:val="002776BE"/>
    <w:rsid w:val="00277797"/>
    <w:rsid w:val="00280035"/>
    <w:rsid w:val="00280622"/>
    <w:rsid w:val="0028075F"/>
    <w:rsid w:val="00280816"/>
    <w:rsid w:val="00280B16"/>
    <w:rsid w:val="00280E03"/>
    <w:rsid w:val="00280F6A"/>
    <w:rsid w:val="002817A9"/>
    <w:rsid w:val="00281A92"/>
    <w:rsid w:val="00281F95"/>
    <w:rsid w:val="00283726"/>
    <w:rsid w:val="00283E27"/>
    <w:rsid w:val="00283E93"/>
    <w:rsid w:val="00283F07"/>
    <w:rsid w:val="00284157"/>
    <w:rsid w:val="00284E66"/>
    <w:rsid w:val="00285941"/>
    <w:rsid w:val="00285EB3"/>
    <w:rsid w:val="002866C2"/>
    <w:rsid w:val="002866F1"/>
    <w:rsid w:val="00287860"/>
    <w:rsid w:val="00287B15"/>
    <w:rsid w:val="0029040E"/>
    <w:rsid w:val="00290BA5"/>
    <w:rsid w:val="00290E5C"/>
    <w:rsid w:val="00292C75"/>
    <w:rsid w:val="00292F51"/>
    <w:rsid w:val="00293A73"/>
    <w:rsid w:val="00293F08"/>
    <w:rsid w:val="0029449B"/>
    <w:rsid w:val="00294C50"/>
    <w:rsid w:val="0029502B"/>
    <w:rsid w:val="002950F9"/>
    <w:rsid w:val="00295E4D"/>
    <w:rsid w:val="00296863"/>
    <w:rsid w:val="00296B5B"/>
    <w:rsid w:val="00296C0D"/>
    <w:rsid w:val="00296DB4"/>
    <w:rsid w:val="00296F1D"/>
    <w:rsid w:val="00297435"/>
    <w:rsid w:val="00297734"/>
    <w:rsid w:val="002A09FF"/>
    <w:rsid w:val="002A135B"/>
    <w:rsid w:val="002A23BC"/>
    <w:rsid w:val="002A27AA"/>
    <w:rsid w:val="002A314A"/>
    <w:rsid w:val="002A3A2A"/>
    <w:rsid w:val="002A3EBC"/>
    <w:rsid w:val="002A3FE0"/>
    <w:rsid w:val="002A4674"/>
    <w:rsid w:val="002A51AD"/>
    <w:rsid w:val="002A5813"/>
    <w:rsid w:val="002A5E8A"/>
    <w:rsid w:val="002A61F4"/>
    <w:rsid w:val="002A77D1"/>
    <w:rsid w:val="002B00C6"/>
    <w:rsid w:val="002B05B4"/>
    <w:rsid w:val="002B1086"/>
    <w:rsid w:val="002B1B0D"/>
    <w:rsid w:val="002B1CAF"/>
    <w:rsid w:val="002B1CDB"/>
    <w:rsid w:val="002B1DC4"/>
    <w:rsid w:val="002B23EE"/>
    <w:rsid w:val="002B30FC"/>
    <w:rsid w:val="002B32FB"/>
    <w:rsid w:val="002B3C57"/>
    <w:rsid w:val="002B4156"/>
    <w:rsid w:val="002B46FA"/>
    <w:rsid w:val="002B4EB9"/>
    <w:rsid w:val="002B56B7"/>
    <w:rsid w:val="002B697A"/>
    <w:rsid w:val="002B783B"/>
    <w:rsid w:val="002B7FCE"/>
    <w:rsid w:val="002C0ABB"/>
    <w:rsid w:val="002C0C9D"/>
    <w:rsid w:val="002C18C5"/>
    <w:rsid w:val="002C1914"/>
    <w:rsid w:val="002C262F"/>
    <w:rsid w:val="002C29FF"/>
    <w:rsid w:val="002C3245"/>
    <w:rsid w:val="002C37FC"/>
    <w:rsid w:val="002C3BAF"/>
    <w:rsid w:val="002C3FD1"/>
    <w:rsid w:val="002C4339"/>
    <w:rsid w:val="002C50CE"/>
    <w:rsid w:val="002C5E1E"/>
    <w:rsid w:val="002C62E8"/>
    <w:rsid w:val="002C6F5E"/>
    <w:rsid w:val="002C71E7"/>
    <w:rsid w:val="002C76D7"/>
    <w:rsid w:val="002C7DB7"/>
    <w:rsid w:val="002D0B9A"/>
    <w:rsid w:val="002D1A9B"/>
    <w:rsid w:val="002D4138"/>
    <w:rsid w:val="002D48C3"/>
    <w:rsid w:val="002D48F1"/>
    <w:rsid w:val="002D60D8"/>
    <w:rsid w:val="002D6269"/>
    <w:rsid w:val="002D64FB"/>
    <w:rsid w:val="002D66E1"/>
    <w:rsid w:val="002D6E33"/>
    <w:rsid w:val="002D7438"/>
    <w:rsid w:val="002D7BB9"/>
    <w:rsid w:val="002D7C07"/>
    <w:rsid w:val="002E0315"/>
    <w:rsid w:val="002E065F"/>
    <w:rsid w:val="002E127D"/>
    <w:rsid w:val="002E206C"/>
    <w:rsid w:val="002E25AE"/>
    <w:rsid w:val="002E357F"/>
    <w:rsid w:val="002E39EF"/>
    <w:rsid w:val="002E3C0F"/>
    <w:rsid w:val="002E433B"/>
    <w:rsid w:val="002E52E2"/>
    <w:rsid w:val="002E6C77"/>
    <w:rsid w:val="002F055F"/>
    <w:rsid w:val="002F07BD"/>
    <w:rsid w:val="002F0B65"/>
    <w:rsid w:val="002F0BC0"/>
    <w:rsid w:val="002F1769"/>
    <w:rsid w:val="002F212A"/>
    <w:rsid w:val="002F2D2A"/>
    <w:rsid w:val="002F2DF7"/>
    <w:rsid w:val="002F2E5C"/>
    <w:rsid w:val="002F30F0"/>
    <w:rsid w:val="002F478F"/>
    <w:rsid w:val="002F4EC3"/>
    <w:rsid w:val="002F4F5B"/>
    <w:rsid w:val="002F5367"/>
    <w:rsid w:val="002F622C"/>
    <w:rsid w:val="002F6230"/>
    <w:rsid w:val="002F6474"/>
    <w:rsid w:val="002F6868"/>
    <w:rsid w:val="002F6B7E"/>
    <w:rsid w:val="002F7433"/>
    <w:rsid w:val="002F7BF7"/>
    <w:rsid w:val="002F7E90"/>
    <w:rsid w:val="00300294"/>
    <w:rsid w:val="00300AD7"/>
    <w:rsid w:val="00300AEA"/>
    <w:rsid w:val="00300FC7"/>
    <w:rsid w:val="0030186F"/>
    <w:rsid w:val="003024EC"/>
    <w:rsid w:val="00302591"/>
    <w:rsid w:val="00302866"/>
    <w:rsid w:val="0030375C"/>
    <w:rsid w:val="00303F68"/>
    <w:rsid w:val="00304569"/>
    <w:rsid w:val="0030497D"/>
    <w:rsid w:val="003049E3"/>
    <w:rsid w:val="00304DFB"/>
    <w:rsid w:val="003061C6"/>
    <w:rsid w:val="003064C2"/>
    <w:rsid w:val="003072B2"/>
    <w:rsid w:val="00307C51"/>
    <w:rsid w:val="00307E4F"/>
    <w:rsid w:val="003123AA"/>
    <w:rsid w:val="003134EE"/>
    <w:rsid w:val="003135CB"/>
    <w:rsid w:val="003138F0"/>
    <w:rsid w:val="00313BA5"/>
    <w:rsid w:val="0031406A"/>
    <w:rsid w:val="00314617"/>
    <w:rsid w:val="00317009"/>
    <w:rsid w:val="0031700D"/>
    <w:rsid w:val="00317D7C"/>
    <w:rsid w:val="003211FA"/>
    <w:rsid w:val="003227B8"/>
    <w:rsid w:val="00322BB4"/>
    <w:rsid w:val="00322E89"/>
    <w:rsid w:val="003234D2"/>
    <w:rsid w:val="00324310"/>
    <w:rsid w:val="00324FDF"/>
    <w:rsid w:val="00325067"/>
    <w:rsid w:val="00325193"/>
    <w:rsid w:val="00325DAD"/>
    <w:rsid w:val="00326202"/>
    <w:rsid w:val="00326E48"/>
    <w:rsid w:val="00326EDC"/>
    <w:rsid w:val="003275C9"/>
    <w:rsid w:val="00327E83"/>
    <w:rsid w:val="00327F4A"/>
    <w:rsid w:val="00331759"/>
    <w:rsid w:val="0033231E"/>
    <w:rsid w:val="00332628"/>
    <w:rsid w:val="003327E0"/>
    <w:rsid w:val="003332CA"/>
    <w:rsid w:val="0033338A"/>
    <w:rsid w:val="0033386F"/>
    <w:rsid w:val="00334D26"/>
    <w:rsid w:val="0033526C"/>
    <w:rsid w:val="00336007"/>
    <w:rsid w:val="003360E2"/>
    <w:rsid w:val="00336450"/>
    <w:rsid w:val="003374E2"/>
    <w:rsid w:val="0033791A"/>
    <w:rsid w:val="00337B85"/>
    <w:rsid w:val="003401AF"/>
    <w:rsid w:val="00340E88"/>
    <w:rsid w:val="00340ECA"/>
    <w:rsid w:val="0034154F"/>
    <w:rsid w:val="00341818"/>
    <w:rsid w:val="003418A2"/>
    <w:rsid w:val="003419B2"/>
    <w:rsid w:val="003420F7"/>
    <w:rsid w:val="0034317C"/>
    <w:rsid w:val="00343E8E"/>
    <w:rsid w:val="00345506"/>
    <w:rsid w:val="003457FF"/>
    <w:rsid w:val="00345964"/>
    <w:rsid w:val="00346488"/>
    <w:rsid w:val="00346A32"/>
    <w:rsid w:val="0034708C"/>
    <w:rsid w:val="00347796"/>
    <w:rsid w:val="00347BCB"/>
    <w:rsid w:val="00347FB5"/>
    <w:rsid w:val="00347FB9"/>
    <w:rsid w:val="003504E8"/>
    <w:rsid w:val="00350632"/>
    <w:rsid w:val="00351218"/>
    <w:rsid w:val="00351600"/>
    <w:rsid w:val="0035170A"/>
    <w:rsid w:val="003520D5"/>
    <w:rsid w:val="0035233D"/>
    <w:rsid w:val="0035247C"/>
    <w:rsid w:val="003527C8"/>
    <w:rsid w:val="003532C7"/>
    <w:rsid w:val="003533B7"/>
    <w:rsid w:val="003535E8"/>
    <w:rsid w:val="0035437C"/>
    <w:rsid w:val="003552C1"/>
    <w:rsid w:val="00355529"/>
    <w:rsid w:val="003568F4"/>
    <w:rsid w:val="00356D23"/>
    <w:rsid w:val="00357045"/>
    <w:rsid w:val="003571C6"/>
    <w:rsid w:val="00357899"/>
    <w:rsid w:val="00361814"/>
    <w:rsid w:val="00361911"/>
    <w:rsid w:val="00361D19"/>
    <w:rsid w:val="00361DC5"/>
    <w:rsid w:val="00361FAE"/>
    <w:rsid w:val="00362072"/>
    <w:rsid w:val="00362267"/>
    <w:rsid w:val="003625E6"/>
    <w:rsid w:val="00362B39"/>
    <w:rsid w:val="00362C92"/>
    <w:rsid w:val="00362FB6"/>
    <w:rsid w:val="003630B6"/>
    <w:rsid w:val="003634E3"/>
    <w:rsid w:val="003649E3"/>
    <w:rsid w:val="003653BA"/>
    <w:rsid w:val="003656F3"/>
    <w:rsid w:val="003659EE"/>
    <w:rsid w:val="00365A1F"/>
    <w:rsid w:val="0036668B"/>
    <w:rsid w:val="00367033"/>
    <w:rsid w:val="00371999"/>
    <w:rsid w:val="00372AF7"/>
    <w:rsid w:val="00372D0D"/>
    <w:rsid w:val="00373234"/>
    <w:rsid w:val="00373E72"/>
    <w:rsid w:val="00373F67"/>
    <w:rsid w:val="00374033"/>
    <w:rsid w:val="003742DC"/>
    <w:rsid w:val="00376764"/>
    <w:rsid w:val="00376AD5"/>
    <w:rsid w:val="00377AFC"/>
    <w:rsid w:val="003815A0"/>
    <w:rsid w:val="00381D21"/>
    <w:rsid w:val="0038214E"/>
    <w:rsid w:val="003822E9"/>
    <w:rsid w:val="00383083"/>
    <w:rsid w:val="00383FA5"/>
    <w:rsid w:val="003843FE"/>
    <w:rsid w:val="00384DDC"/>
    <w:rsid w:val="00384FBB"/>
    <w:rsid w:val="00385FE2"/>
    <w:rsid w:val="0038600E"/>
    <w:rsid w:val="003860B2"/>
    <w:rsid w:val="00387906"/>
    <w:rsid w:val="00391503"/>
    <w:rsid w:val="003915CB"/>
    <w:rsid w:val="0039177C"/>
    <w:rsid w:val="003921DC"/>
    <w:rsid w:val="003923F3"/>
    <w:rsid w:val="00392BCA"/>
    <w:rsid w:val="00392C0A"/>
    <w:rsid w:val="0039302C"/>
    <w:rsid w:val="00393690"/>
    <w:rsid w:val="00394182"/>
    <w:rsid w:val="0039533D"/>
    <w:rsid w:val="0039705E"/>
    <w:rsid w:val="00397E16"/>
    <w:rsid w:val="003A004B"/>
    <w:rsid w:val="003A0277"/>
    <w:rsid w:val="003A0C72"/>
    <w:rsid w:val="003A14C0"/>
    <w:rsid w:val="003A18FD"/>
    <w:rsid w:val="003A2632"/>
    <w:rsid w:val="003A2FB2"/>
    <w:rsid w:val="003A360B"/>
    <w:rsid w:val="003A523E"/>
    <w:rsid w:val="003A5696"/>
    <w:rsid w:val="003A5973"/>
    <w:rsid w:val="003A5CBA"/>
    <w:rsid w:val="003A6616"/>
    <w:rsid w:val="003A6DDC"/>
    <w:rsid w:val="003A78FE"/>
    <w:rsid w:val="003A7AF8"/>
    <w:rsid w:val="003A7B29"/>
    <w:rsid w:val="003B01AA"/>
    <w:rsid w:val="003B118F"/>
    <w:rsid w:val="003B14E2"/>
    <w:rsid w:val="003B17C7"/>
    <w:rsid w:val="003B22B0"/>
    <w:rsid w:val="003B2FD6"/>
    <w:rsid w:val="003B39F5"/>
    <w:rsid w:val="003B3B52"/>
    <w:rsid w:val="003B3F46"/>
    <w:rsid w:val="003B424F"/>
    <w:rsid w:val="003B48BB"/>
    <w:rsid w:val="003B521C"/>
    <w:rsid w:val="003B636E"/>
    <w:rsid w:val="003C06F9"/>
    <w:rsid w:val="003C09E4"/>
    <w:rsid w:val="003C13C1"/>
    <w:rsid w:val="003C14A0"/>
    <w:rsid w:val="003C1656"/>
    <w:rsid w:val="003C1A7B"/>
    <w:rsid w:val="003C1C47"/>
    <w:rsid w:val="003C1CDB"/>
    <w:rsid w:val="003C243E"/>
    <w:rsid w:val="003C24B0"/>
    <w:rsid w:val="003C2CE5"/>
    <w:rsid w:val="003C337C"/>
    <w:rsid w:val="003C3CA7"/>
    <w:rsid w:val="003C5D3C"/>
    <w:rsid w:val="003C5F94"/>
    <w:rsid w:val="003C6095"/>
    <w:rsid w:val="003C718B"/>
    <w:rsid w:val="003C7959"/>
    <w:rsid w:val="003C7B13"/>
    <w:rsid w:val="003D12BC"/>
    <w:rsid w:val="003D143C"/>
    <w:rsid w:val="003D215C"/>
    <w:rsid w:val="003D29CB"/>
    <w:rsid w:val="003D2DE6"/>
    <w:rsid w:val="003D355D"/>
    <w:rsid w:val="003D35D8"/>
    <w:rsid w:val="003D36BE"/>
    <w:rsid w:val="003D47B7"/>
    <w:rsid w:val="003D4B5D"/>
    <w:rsid w:val="003D4E85"/>
    <w:rsid w:val="003D4FB2"/>
    <w:rsid w:val="003D640E"/>
    <w:rsid w:val="003D6509"/>
    <w:rsid w:val="003D6A2E"/>
    <w:rsid w:val="003D6D34"/>
    <w:rsid w:val="003D70CE"/>
    <w:rsid w:val="003D7779"/>
    <w:rsid w:val="003D781C"/>
    <w:rsid w:val="003E0A0C"/>
    <w:rsid w:val="003E12E7"/>
    <w:rsid w:val="003E1CDA"/>
    <w:rsid w:val="003E2A91"/>
    <w:rsid w:val="003E2B77"/>
    <w:rsid w:val="003E30AC"/>
    <w:rsid w:val="003E3AA3"/>
    <w:rsid w:val="003E3F57"/>
    <w:rsid w:val="003E4122"/>
    <w:rsid w:val="003E494B"/>
    <w:rsid w:val="003E5301"/>
    <w:rsid w:val="003E6023"/>
    <w:rsid w:val="003E785D"/>
    <w:rsid w:val="003E796C"/>
    <w:rsid w:val="003E7F00"/>
    <w:rsid w:val="003F126B"/>
    <w:rsid w:val="003F157C"/>
    <w:rsid w:val="003F194B"/>
    <w:rsid w:val="003F2B2B"/>
    <w:rsid w:val="003F2E8C"/>
    <w:rsid w:val="003F3909"/>
    <w:rsid w:val="003F3ADC"/>
    <w:rsid w:val="003F4948"/>
    <w:rsid w:val="003F518B"/>
    <w:rsid w:val="003F560D"/>
    <w:rsid w:val="003F64AB"/>
    <w:rsid w:val="003F71DF"/>
    <w:rsid w:val="00401553"/>
    <w:rsid w:val="00401C95"/>
    <w:rsid w:val="00401EE1"/>
    <w:rsid w:val="004024F2"/>
    <w:rsid w:val="004037BD"/>
    <w:rsid w:val="004045FB"/>
    <w:rsid w:val="00404C8D"/>
    <w:rsid w:val="00404CB6"/>
    <w:rsid w:val="00404E99"/>
    <w:rsid w:val="00405580"/>
    <w:rsid w:val="00405707"/>
    <w:rsid w:val="00405DC3"/>
    <w:rsid w:val="00406500"/>
    <w:rsid w:val="00406CED"/>
    <w:rsid w:val="0040704E"/>
    <w:rsid w:val="00407C83"/>
    <w:rsid w:val="00410C6A"/>
    <w:rsid w:val="004112A7"/>
    <w:rsid w:val="0041207B"/>
    <w:rsid w:val="0041216B"/>
    <w:rsid w:val="00412B53"/>
    <w:rsid w:val="00412FEB"/>
    <w:rsid w:val="004134F5"/>
    <w:rsid w:val="00413B24"/>
    <w:rsid w:val="00414290"/>
    <w:rsid w:val="00414636"/>
    <w:rsid w:val="00415201"/>
    <w:rsid w:val="00415B40"/>
    <w:rsid w:val="00415C3A"/>
    <w:rsid w:val="00417174"/>
    <w:rsid w:val="0042094C"/>
    <w:rsid w:val="00420BBD"/>
    <w:rsid w:val="00421033"/>
    <w:rsid w:val="00421B65"/>
    <w:rsid w:val="00422853"/>
    <w:rsid w:val="00422911"/>
    <w:rsid w:val="00423B5C"/>
    <w:rsid w:val="004246C7"/>
    <w:rsid w:val="00425E59"/>
    <w:rsid w:val="00426188"/>
    <w:rsid w:val="00426563"/>
    <w:rsid w:val="00426BF1"/>
    <w:rsid w:val="00426D34"/>
    <w:rsid w:val="0042725F"/>
    <w:rsid w:val="0042733A"/>
    <w:rsid w:val="00427457"/>
    <w:rsid w:val="004277FE"/>
    <w:rsid w:val="00427E76"/>
    <w:rsid w:val="00430372"/>
    <w:rsid w:val="004303B9"/>
    <w:rsid w:val="00430D1C"/>
    <w:rsid w:val="00432070"/>
    <w:rsid w:val="004324E1"/>
    <w:rsid w:val="00432F15"/>
    <w:rsid w:val="00433121"/>
    <w:rsid w:val="00434DA8"/>
    <w:rsid w:val="00435061"/>
    <w:rsid w:val="004358F9"/>
    <w:rsid w:val="004361F4"/>
    <w:rsid w:val="00437AB3"/>
    <w:rsid w:val="00437C8D"/>
    <w:rsid w:val="00437CE8"/>
    <w:rsid w:val="004410D3"/>
    <w:rsid w:val="0044144C"/>
    <w:rsid w:val="00441799"/>
    <w:rsid w:val="00441D82"/>
    <w:rsid w:val="00442AEB"/>
    <w:rsid w:val="004436AA"/>
    <w:rsid w:val="00443864"/>
    <w:rsid w:val="00443BD5"/>
    <w:rsid w:val="00443FDC"/>
    <w:rsid w:val="004450D6"/>
    <w:rsid w:val="00445E2E"/>
    <w:rsid w:val="004466CB"/>
    <w:rsid w:val="00446C83"/>
    <w:rsid w:val="0044729D"/>
    <w:rsid w:val="004475D1"/>
    <w:rsid w:val="0044784C"/>
    <w:rsid w:val="00450161"/>
    <w:rsid w:val="00450274"/>
    <w:rsid w:val="00450986"/>
    <w:rsid w:val="0045104E"/>
    <w:rsid w:val="0045158C"/>
    <w:rsid w:val="00451BFD"/>
    <w:rsid w:val="00451CBB"/>
    <w:rsid w:val="004522F1"/>
    <w:rsid w:val="00452D33"/>
    <w:rsid w:val="0045310E"/>
    <w:rsid w:val="00453282"/>
    <w:rsid w:val="004538A0"/>
    <w:rsid w:val="0045475F"/>
    <w:rsid w:val="004548BA"/>
    <w:rsid w:val="00454E8E"/>
    <w:rsid w:val="004559CC"/>
    <w:rsid w:val="0045606F"/>
    <w:rsid w:val="004565FF"/>
    <w:rsid w:val="00456B90"/>
    <w:rsid w:val="00456D25"/>
    <w:rsid w:val="004579FD"/>
    <w:rsid w:val="00457EE6"/>
    <w:rsid w:val="00460AA3"/>
    <w:rsid w:val="00460D90"/>
    <w:rsid w:val="00460FCF"/>
    <w:rsid w:val="0046146A"/>
    <w:rsid w:val="00461DC3"/>
    <w:rsid w:val="00462BE3"/>
    <w:rsid w:val="00463188"/>
    <w:rsid w:val="00464A2B"/>
    <w:rsid w:val="00464A47"/>
    <w:rsid w:val="00466934"/>
    <w:rsid w:val="00466A14"/>
    <w:rsid w:val="00466A89"/>
    <w:rsid w:val="004670A0"/>
    <w:rsid w:val="00467374"/>
    <w:rsid w:val="004673D0"/>
    <w:rsid w:val="0046758C"/>
    <w:rsid w:val="00467AE4"/>
    <w:rsid w:val="004707B4"/>
    <w:rsid w:val="004708D5"/>
    <w:rsid w:val="00470F0B"/>
    <w:rsid w:val="0047202F"/>
    <w:rsid w:val="00473189"/>
    <w:rsid w:val="00473AEB"/>
    <w:rsid w:val="00474E94"/>
    <w:rsid w:val="00474F6C"/>
    <w:rsid w:val="00475816"/>
    <w:rsid w:val="00476006"/>
    <w:rsid w:val="00477A2E"/>
    <w:rsid w:val="004802A7"/>
    <w:rsid w:val="00481B73"/>
    <w:rsid w:val="00481F90"/>
    <w:rsid w:val="00482026"/>
    <w:rsid w:val="004825ED"/>
    <w:rsid w:val="0048382F"/>
    <w:rsid w:val="00483A25"/>
    <w:rsid w:val="00485B04"/>
    <w:rsid w:val="0048741D"/>
    <w:rsid w:val="004875F2"/>
    <w:rsid w:val="004900E3"/>
    <w:rsid w:val="004901EF"/>
    <w:rsid w:val="00490848"/>
    <w:rsid w:val="004908BC"/>
    <w:rsid w:val="00490B5C"/>
    <w:rsid w:val="00491664"/>
    <w:rsid w:val="00491F29"/>
    <w:rsid w:val="004920D8"/>
    <w:rsid w:val="0049228E"/>
    <w:rsid w:val="0049231A"/>
    <w:rsid w:val="0049259A"/>
    <w:rsid w:val="00492F4C"/>
    <w:rsid w:val="00494346"/>
    <w:rsid w:val="00494BC5"/>
    <w:rsid w:val="00494DDB"/>
    <w:rsid w:val="00495712"/>
    <w:rsid w:val="00495872"/>
    <w:rsid w:val="0049665E"/>
    <w:rsid w:val="00497916"/>
    <w:rsid w:val="00497CC6"/>
    <w:rsid w:val="004A08B0"/>
    <w:rsid w:val="004A1062"/>
    <w:rsid w:val="004A11AC"/>
    <w:rsid w:val="004A11F6"/>
    <w:rsid w:val="004A12C1"/>
    <w:rsid w:val="004A1915"/>
    <w:rsid w:val="004A2A08"/>
    <w:rsid w:val="004A3035"/>
    <w:rsid w:val="004A3B63"/>
    <w:rsid w:val="004A4242"/>
    <w:rsid w:val="004A42D5"/>
    <w:rsid w:val="004A43F8"/>
    <w:rsid w:val="004A4488"/>
    <w:rsid w:val="004A461A"/>
    <w:rsid w:val="004A46B3"/>
    <w:rsid w:val="004A54E1"/>
    <w:rsid w:val="004A5D40"/>
    <w:rsid w:val="004A5F26"/>
    <w:rsid w:val="004A60C1"/>
    <w:rsid w:val="004A67BF"/>
    <w:rsid w:val="004A71EF"/>
    <w:rsid w:val="004A7791"/>
    <w:rsid w:val="004A7F8D"/>
    <w:rsid w:val="004B01AC"/>
    <w:rsid w:val="004B06A7"/>
    <w:rsid w:val="004B0781"/>
    <w:rsid w:val="004B12B4"/>
    <w:rsid w:val="004B165B"/>
    <w:rsid w:val="004B242F"/>
    <w:rsid w:val="004B2D30"/>
    <w:rsid w:val="004B2E16"/>
    <w:rsid w:val="004B3C98"/>
    <w:rsid w:val="004B4BAE"/>
    <w:rsid w:val="004B56DA"/>
    <w:rsid w:val="004B589A"/>
    <w:rsid w:val="004B6352"/>
    <w:rsid w:val="004B6F03"/>
    <w:rsid w:val="004B7B9D"/>
    <w:rsid w:val="004B7D7F"/>
    <w:rsid w:val="004C0140"/>
    <w:rsid w:val="004C08F3"/>
    <w:rsid w:val="004C13E8"/>
    <w:rsid w:val="004C1CA7"/>
    <w:rsid w:val="004C1EDD"/>
    <w:rsid w:val="004C25F6"/>
    <w:rsid w:val="004C288C"/>
    <w:rsid w:val="004C2EF5"/>
    <w:rsid w:val="004C3BEA"/>
    <w:rsid w:val="004C4791"/>
    <w:rsid w:val="004C543D"/>
    <w:rsid w:val="004C6B15"/>
    <w:rsid w:val="004C732F"/>
    <w:rsid w:val="004D0B05"/>
    <w:rsid w:val="004D0E8E"/>
    <w:rsid w:val="004D1182"/>
    <w:rsid w:val="004D197B"/>
    <w:rsid w:val="004D2665"/>
    <w:rsid w:val="004D27A4"/>
    <w:rsid w:val="004D2B5A"/>
    <w:rsid w:val="004D31EF"/>
    <w:rsid w:val="004D3391"/>
    <w:rsid w:val="004D35FA"/>
    <w:rsid w:val="004D441C"/>
    <w:rsid w:val="004D4AD4"/>
    <w:rsid w:val="004D5A4F"/>
    <w:rsid w:val="004D61AA"/>
    <w:rsid w:val="004D6685"/>
    <w:rsid w:val="004D74BE"/>
    <w:rsid w:val="004D761C"/>
    <w:rsid w:val="004D78EA"/>
    <w:rsid w:val="004D7C4A"/>
    <w:rsid w:val="004E019C"/>
    <w:rsid w:val="004E0268"/>
    <w:rsid w:val="004E0BC3"/>
    <w:rsid w:val="004E1741"/>
    <w:rsid w:val="004E186D"/>
    <w:rsid w:val="004E18D0"/>
    <w:rsid w:val="004E18F3"/>
    <w:rsid w:val="004E1A62"/>
    <w:rsid w:val="004E36ED"/>
    <w:rsid w:val="004E3927"/>
    <w:rsid w:val="004E3E85"/>
    <w:rsid w:val="004E420D"/>
    <w:rsid w:val="004E5357"/>
    <w:rsid w:val="004E6193"/>
    <w:rsid w:val="004E656E"/>
    <w:rsid w:val="004E6BEB"/>
    <w:rsid w:val="004E727C"/>
    <w:rsid w:val="004E7701"/>
    <w:rsid w:val="004E7A21"/>
    <w:rsid w:val="004E7C62"/>
    <w:rsid w:val="004F023E"/>
    <w:rsid w:val="004F0B2B"/>
    <w:rsid w:val="004F20F3"/>
    <w:rsid w:val="004F2B7E"/>
    <w:rsid w:val="004F2CA0"/>
    <w:rsid w:val="004F3958"/>
    <w:rsid w:val="004F430F"/>
    <w:rsid w:val="004F68B6"/>
    <w:rsid w:val="004F6E2A"/>
    <w:rsid w:val="004F71AD"/>
    <w:rsid w:val="004F72C9"/>
    <w:rsid w:val="00500AE2"/>
    <w:rsid w:val="0050158A"/>
    <w:rsid w:val="00501F81"/>
    <w:rsid w:val="00502AB0"/>
    <w:rsid w:val="00502F83"/>
    <w:rsid w:val="0050315B"/>
    <w:rsid w:val="0050339B"/>
    <w:rsid w:val="0050369D"/>
    <w:rsid w:val="00503C10"/>
    <w:rsid w:val="005044E5"/>
    <w:rsid w:val="0050520C"/>
    <w:rsid w:val="005053C8"/>
    <w:rsid w:val="0050647D"/>
    <w:rsid w:val="00506F69"/>
    <w:rsid w:val="00507F78"/>
    <w:rsid w:val="005103E3"/>
    <w:rsid w:val="0051109C"/>
    <w:rsid w:val="005114DF"/>
    <w:rsid w:val="00512A41"/>
    <w:rsid w:val="00512AA2"/>
    <w:rsid w:val="00513147"/>
    <w:rsid w:val="00513316"/>
    <w:rsid w:val="00513817"/>
    <w:rsid w:val="00514444"/>
    <w:rsid w:val="005156E3"/>
    <w:rsid w:val="005167A6"/>
    <w:rsid w:val="005173A4"/>
    <w:rsid w:val="0051793F"/>
    <w:rsid w:val="00517BD3"/>
    <w:rsid w:val="00520A3B"/>
    <w:rsid w:val="00520A84"/>
    <w:rsid w:val="00520C0E"/>
    <w:rsid w:val="0052171F"/>
    <w:rsid w:val="00521D6E"/>
    <w:rsid w:val="00521F3C"/>
    <w:rsid w:val="005222B1"/>
    <w:rsid w:val="005227BF"/>
    <w:rsid w:val="00522FAD"/>
    <w:rsid w:val="0052365A"/>
    <w:rsid w:val="00523D7F"/>
    <w:rsid w:val="00524D65"/>
    <w:rsid w:val="005253ED"/>
    <w:rsid w:val="005259F8"/>
    <w:rsid w:val="00525B4D"/>
    <w:rsid w:val="005264B2"/>
    <w:rsid w:val="005269BB"/>
    <w:rsid w:val="00526ADE"/>
    <w:rsid w:val="005271BF"/>
    <w:rsid w:val="0052799E"/>
    <w:rsid w:val="005304F2"/>
    <w:rsid w:val="005309E7"/>
    <w:rsid w:val="00531A2A"/>
    <w:rsid w:val="00531C83"/>
    <w:rsid w:val="00532F96"/>
    <w:rsid w:val="00533673"/>
    <w:rsid w:val="00533A88"/>
    <w:rsid w:val="0053477E"/>
    <w:rsid w:val="005348E0"/>
    <w:rsid w:val="00534F83"/>
    <w:rsid w:val="00535637"/>
    <w:rsid w:val="00535910"/>
    <w:rsid w:val="005367D4"/>
    <w:rsid w:val="00536EB4"/>
    <w:rsid w:val="00537EB4"/>
    <w:rsid w:val="00540C9A"/>
    <w:rsid w:val="00542EF9"/>
    <w:rsid w:val="005433EF"/>
    <w:rsid w:val="0054392F"/>
    <w:rsid w:val="00544D25"/>
    <w:rsid w:val="00544FF5"/>
    <w:rsid w:val="005454EA"/>
    <w:rsid w:val="005465D7"/>
    <w:rsid w:val="00546F7D"/>
    <w:rsid w:val="00546FD9"/>
    <w:rsid w:val="00550671"/>
    <w:rsid w:val="005520B7"/>
    <w:rsid w:val="00552255"/>
    <w:rsid w:val="005523EA"/>
    <w:rsid w:val="00553007"/>
    <w:rsid w:val="00553725"/>
    <w:rsid w:val="00553AB8"/>
    <w:rsid w:val="005545D5"/>
    <w:rsid w:val="005549A2"/>
    <w:rsid w:val="00554A70"/>
    <w:rsid w:val="005557F2"/>
    <w:rsid w:val="00555BB5"/>
    <w:rsid w:val="00556222"/>
    <w:rsid w:val="005563E4"/>
    <w:rsid w:val="005569E5"/>
    <w:rsid w:val="00557634"/>
    <w:rsid w:val="0055775E"/>
    <w:rsid w:val="00560B6D"/>
    <w:rsid w:val="00561278"/>
    <w:rsid w:val="00561DB7"/>
    <w:rsid w:val="00562A90"/>
    <w:rsid w:val="00562B8C"/>
    <w:rsid w:val="00563AE0"/>
    <w:rsid w:val="00563B11"/>
    <w:rsid w:val="005640E3"/>
    <w:rsid w:val="00564455"/>
    <w:rsid w:val="0056497E"/>
    <w:rsid w:val="00564FF3"/>
    <w:rsid w:val="00565202"/>
    <w:rsid w:val="0056543C"/>
    <w:rsid w:val="0056598A"/>
    <w:rsid w:val="0056670C"/>
    <w:rsid w:val="005670A8"/>
    <w:rsid w:val="005670E0"/>
    <w:rsid w:val="00567D21"/>
    <w:rsid w:val="00567F2B"/>
    <w:rsid w:val="00567FD5"/>
    <w:rsid w:val="005707E4"/>
    <w:rsid w:val="00570FC5"/>
    <w:rsid w:val="00571318"/>
    <w:rsid w:val="0057195F"/>
    <w:rsid w:val="0057259D"/>
    <w:rsid w:val="005749AC"/>
    <w:rsid w:val="00574F77"/>
    <w:rsid w:val="00575025"/>
    <w:rsid w:val="00575A1C"/>
    <w:rsid w:val="00576994"/>
    <w:rsid w:val="0057706F"/>
    <w:rsid w:val="0057791C"/>
    <w:rsid w:val="00577D2F"/>
    <w:rsid w:val="00580012"/>
    <w:rsid w:val="005808C8"/>
    <w:rsid w:val="00580AAE"/>
    <w:rsid w:val="00580CAC"/>
    <w:rsid w:val="00581265"/>
    <w:rsid w:val="00581645"/>
    <w:rsid w:val="00581CCF"/>
    <w:rsid w:val="00582059"/>
    <w:rsid w:val="00582CF0"/>
    <w:rsid w:val="00583D62"/>
    <w:rsid w:val="00583FFE"/>
    <w:rsid w:val="005840F9"/>
    <w:rsid w:val="005848E1"/>
    <w:rsid w:val="00585B6A"/>
    <w:rsid w:val="005861EA"/>
    <w:rsid w:val="00586A08"/>
    <w:rsid w:val="00586D36"/>
    <w:rsid w:val="00587AA5"/>
    <w:rsid w:val="00590098"/>
    <w:rsid w:val="00590313"/>
    <w:rsid w:val="005907FF"/>
    <w:rsid w:val="00590B4F"/>
    <w:rsid w:val="0059156B"/>
    <w:rsid w:val="00593179"/>
    <w:rsid w:val="005942BC"/>
    <w:rsid w:val="0059437E"/>
    <w:rsid w:val="00594625"/>
    <w:rsid w:val="0059582B"/>
    <w:rsid w:val="00595965"/>
    <w:rsid w:val="00595C92"/>
    <w:rsid w:val="005960A2"/>
    <w:rsid w:val="0059690C"/>
    <w:rsid w:val="00596951"/>
    <w:rsid w:val="00596CD0"/>
    <w:rsid w:val="00596F3C"/>
    <w:rsid w:val="00597244"/>
    <w:rsid w:val="00597489"/>
    <w:rsid w:val="00597C96"/>
    <w:rsid w:val="005A0DB5"/>
    <w:rsid w:val="005A1F59"/>
    <w:rsid w:val="005A2CD3"/>
    <w:rsid w:val="005A3D08"/>
    <w:rsid w:val="005A3E90"/>
    <w:rsid w:val="005A4234"/>
    <w:rsid w:val="005A4450"/>
    <w:rsid w:val="005A5610"/>
    <w:rsid w:val="005A57E3"/>
    <w:rsid w:val="005A5B21"/>
    <w:rsid w:val="005A5CE6"/>
    <w:rsid w:val="005A6E71"/>
    <w:rsid w:val="005A7329"/>
    <w:rsid w:val="005B0278"/>
    <w:rsid w:val="005B0398"/>
    <w:rsid w:val="005B06AF"/>
    <w:rsid w:val="005B0A36"/>
    <w:rsid w:val="005B138B"/>
    <w:rsid w:val="005B14D8"/>
    <w:rsid w:val="005B17FA"/>
    <w:rsid w:val="005B1BCF"/>
    <w:rsid w:val="005B32E3"/>
    <w:rsid w:val="005B3CA7"/>
    <w:rsid w:val="005B415A"/>
    <w:rsid w:val="005B448C"/>
    <w:rsid w:val="005B48BE"/>
    <w:rsid w:val="005B4A09"/>
    <w:rsid w:val="005B56A9"/>
    <w:rsid w:val="005B5747"/>
    <w:rsid w:val="005B57C6"/>
    <w:rsid w:val="005B5F98"/>
    <w:rsid w:val="005B6188"/>
    <w:rsid w:val="005B68F6"/>
    <w:rsid w:val="005B6D59"/>
    <w:rsid w:val="005B7251"/>
    <w:rsid w:val="005B732C"/>
    <w:rsid w:val="005B7599"/>
    <w:rsid w:val="005C0485"/>
    <w:rsid w:val="005C0498"/>
    <w:rsid w:val="005C1EB6"/>
    <w:rsid w:val="005C2194"/>
    <w:rsid w:val="005C2EAF"/>
    <w:rsid w:val="005C31C8"/>
    <w:rsid w:val="005C34A2"/>
    <w:rsid w:val="005C36E0"/>
    <w:rsid w:val="005C3EED"/>
    <w:rsid w:val="005C43DE"/>
    <w:rsid w:val="005C4DD4"/>
    <w:rsid w:val="005C4EF5"/>
    <w:rsid w:val="005C510D"/>
    <w:rsid w:val="005C549B"/>
    <w:rsid w:val="005C5FF6"/>
    <w:rsid w:val="005C6EF4"/>
    <w:rsid w:val="005C71E7"/>
    <w:rsid w:val="005C724D"/>
    <w:rsid w:val="005C778C"/>
    <w:rsid w:val="005C78ED"/>
    <w:rsid w:val="005C7EE8"/>
    <w:rsid w:val="005D0C04"/>
    <w:rsid w:val="005D26B7"/>
    <w:rsid w:val="005D32F3"/>
    <w:rsid w:val="005D362D"/>
    <w:rsid w:val="005D3F17"/>
    <w:rsid w:val="005D41B7"/>
    <w:rsid w:val="005D41E3"/>
    <w:rsid w:val="005D51D6"/>
    <w:rsid w:val="005D5281"/>
    <w:rsid w:val="005D6611"/>
    <w:rsid w:val="005D6765"/>
    <w:rsid w:val="005D6CD8"/>
    <w:rsid w:val="005D6E80"/>
    <w:rsid w:val="005E0292"/>
    <w:rsid w:val="005E06B5"/>
    <w:rsid w:val="005E1471"/>
    <w:rsid w:val="005E20BB"/>
    <w:rsid w:val="005E216F"/>
    <w:rsid w:val="005E2209"/>
    <w:rsid w:val="005E327C"/>
    <w:rsid w:val="005E7005"/>
    <w:rsid w:val="005F0A08"/>
    <w:rsid w:val="005F1579"/>
    <w:rsid w:val="005F2DE7"/>
    <w:rsid w:val="005F3EBB"/>
    <w:rsid w:val="005F446C"/>
    <w:rsid w:val="005F4A9E"/>
    <w:rsid w:val="005F4B9F"/>
    <w:rsid w:val="005F4E4B"/>
    <w:rsid w:val="005F5229"/>
    <w:rsid w:val="005F5567"/>
    <w:rsid w:val="005F5CEF"/>
    <w:rsid w:val="005F612A"/>
    <w:rsid w:val="005F62A7"/>
    <w:rsid w:val="005F6939"/>
    <w:rsid w:val="005F7D3A"/>
    <w:rsid w:val="005F7D65"/>
    <w:rsid w:val="00600150"/>
    <w:rsid w:val="006001EB"/>
    <w:rsid w:val="006003AC"/>
    <w:rsid w:val="00600415"/>
    <w:rsid w:val="0060059D"/>
    <w:rsid w:val="00600AA5"/>
    <w:rsid w:val="00601EEB"/>
    <w:rsid w:val="006035B6"/>
    <w:rsid w:val="00604330"/>
    <w:rsid w:val="00604D21"/>
    <w:rsid w:val="00604FCE"/>
    <w:rsid w:val="0060524B"/>
    <w:rsid w:val="00605499"/>
    <w:rsid w:val="006056C6"/>
    <w:rsid w:val="00605C73"/>
    <w:rsid w:val="006065DD"/>
    <w:rsid w:val="00606A1D"/>
    <w:rsid w:val="00607025"/>
    <w:rsid w:val="0060761E"/>
    <w:rsid w:val="00607850"/>
    <w:rsid w:val="006078F6"/>
    <w:rsid w:val="006100F5"/>
    <w:rsid w:val="0061053D"/>
    <w:rsid w:val="0061097D"/>
    <w:rsid w:val="00610C19"/>
    <w:rsid w:val="00610EBD"/>
    <w:rsid w:val="00611034"/>
    <w:rsid w:val="00611079"/>
    <w:rsid w:val="0061142C"/>
    <w:rsid w:val="006117AA"/>
    <w:rsid w:val="006121FA"/>
    <w:rsid w:val="0061319F"/>
    <w:rsid w:val="0061377B"/>
    <w:rsid w:val="006137AB"/>
    <w:rsid w:val="0061428E"/>
    <w:rsid w:val="00614766"/>
    <w:rsid w:val="00614981"/>
    <w:rsid w:val="00614EC5"/>
    <w:rsid w:val="0061656A"/>
    <w:rsid w:val="00616B3B"/>
    <w:rsid w:val="00617D03"/>
    <w:rsid w:val="006208CB"/>
    <w:rsid w:val="00620D0B"/>
    <w:rsid w:val="00621297"/>
    <w:rsid w:val="00621F84"/>
    <w:rsid w:val="006227A6"/>
    <w:rsid w:val="00623306"/>
    <w:rsid w:val="00623CD5"/>
    <w:rsid w:val="00623E73"/>
    <w:rsid w:val="0062440B"/>
    <w:rsid w:val="00625248"/>
    <w:rsid w:val="00625877"/>
    <w:rsid w:val="00625FFC"/>
    <w:rsid w:val="00626F76"/>
    <w:rsid w:val="0063004E"/>
    <w:rsid w:val="006301A9"/>
    <w:rsid w:val="006302B5"/>
    <w:rsid w:val="00633260"/>
    <w:rsid w:val="00633AC9"/>
    <w:rsid w:val="0063416B"/>
    <w:rsid w:val="00634515"/>
    <w:rsid w:val="0063502C"/>
    <w:rsid w:val="00635926"/>
    <w:rsid w:val="00635C5A"/>
    <w:rsid w:val="00635F6D"/>
    <w:rsid w:val="00635F72"/>
    <w:rsid w:val="006360E0"/>
    <w:rsid w:val="0063612A"/>
    <w:rsid w:val="00636A5A"/>
    <w:rsid w:val="00636BDF"/>
    <w:rsid w:val="00637364"/>
    <w:rsid w:val="00637D90"/>
    <w:rsid w:val="006405DF"/>
    <w:rsid w:val="006408CA"/>
    <w:rsid w:val="00640F67"/>
    <w:rsid w:val="0064155B"/>
    <w:rsid w:val="00644467"/>
    <w:rsid w:val="006445E8"/>
    <w:rsid w:val="00645FA1"/>
    <w:rsid w:val="00646267"/>
    <w:rsid w:val="0064626A"/>
    <w:rsid w:val="00646D47"/>
    <w:rsid w:val="00647628"/>
    <w:rsid w:val="00647853"/>
    <w:rsid w:val="00647A1C"/>
    <w:rsid w:val="00647CA3"/>
    <w:rsid w:val="00647F38"/>
    <w:rsid w:val="006504D8"/>
    <w:rsid w:val="006508AC"/>
    <w:rsid w:val="00650B64"/>
    <w:rsid w:val="00650F92"/>
    <w:rsid w:val="00652B5A"/>
    <w:rsid w:val="00652E79"/>
    <w:rsid w:val="00653B96"/>
    <w:rsid w:val="00653BC2"/>
    <w:rsid w:val="00654083"/>
    <w:rsid w:val="00654446"/>
    <w:rsid w:val="00654B81"/>
    <w:rsid w:val="00654F7A"/>
    <w:rsid w:val="00655AC6"/>
    <w:rsid w:val="00656582"/>
    <w:rsid w:val="00656A79"/>
    <w:rsid w:val="00656FAD"/>
    <w:rsid w:val="00657169"/>
    <w:rsid w:val="006578AD"/>
    <w:rsid w:val="00657F98"/>
    <w:rsid w:val="006601B7"/>
    <w:rsid w:val="006607D0"/>
    <w:rsid w:val="006608F5"/>
    <w:rsid w:val="00661124"/>
    <w:rsid w:val="006614D6"/>
    <w:rsid w:val="00661A1A"/>
    <w:rsid w:val="00661D37"/>
    <w:rsid w:val="006623D8"/>
    <w:rsid w:val="006625E3"/>
    <w:rsid w:val="006627D9"/>
    <w:rsid w:val="00664607"/>
    <w:rsid w:val="006647FB"/>
    <w:rsid w:val="006648D9"/>
    <w:rsid w:val="00664C20"/>
    <w:rsid w:val="00664D5B"/>
    <w:rsid w:val="00664FC5"/>
    <w:rsid w:val="00665225"/>
    <w:rsid w:val="006654C7"/>
    <w:rsid w:val="0066579E"/>
    <w:rsid w:val="00666184"/>
    <w:rsid w:val="006672D1"/>
    <w:rsid w:val="006673B2"/>
    <w:rsid w:val="006674E1"/>
    <w:rsid w:val="00667C53"/>
    <w:rsid w:val="00667E9B"/>
    <w:rsid w:val="00670314"/>
    <w:rsid w:val="00670D34"/>
    <w:rsid w:val="00671438"/>
    <w:rsid w:val="00671C95"/>
    <w:rsid w:val="0067479F"/>
    <w:rsid w:val="00674978"/>
    <w:rsid w:val="00676117"/>
    <w:rsid w:val="0067623E"/>
    <w:rsid w:val="0067681B"/>
    <w:rsid w:val="0067695B"/>
    <w:rsid w:val="00676CE9"/>
    <w:rsid w:val="00677745"/>
    <w:rsid w:val="006779B8"/>
    <w:rsid w:val="00677BF1"/>
    <w:rsid w:val="00677FAC"/>
    <w:rsid w:val="006802EE"/>
    <w:rsid w:val="00680325"/>
    <w:rsid w:val="006833FF"/>
    <w:rsid w:val="006839D1"/>
    <w:rsid w:val="00683ACF"/>
    <w:rsid w:val="00683ED5"/>
    <w:rsid w:val="00684A75"/>
    <w:rsid w:val="00684CCC"/>
    <w:rsid w:val="00684D63"/>
    <w:rsid w:val="00684DC9"/>
    <w:rsid w:val="00685994"/>
    <w:rsid w:val="00687DE2"/>
    <w:rsid w:val="00687E6C"/>
    <w:rsid w:val="0069016C"/>
    <w:rsid w:val="00691480"/>
    <w:rsid w:val="0069279A"/>
    <w:rsid w:val="006940FA"/>
    <w:rsid w:val="00694615"/>
    <w:rsid w:val="00694664"/>
    <w:rsid w:val="0069522E"/>
    <w:rsid w:val="006964BF"/>
    <w:rsid w:val="00696DA2"/>
    <w:rsid w:val="00696E87"/>
    <w:rsid w:val="006970DD"/>
    <w:rsid w:val="006973C2"/>
    <w:rsid w:val="006976D3"/>
    <w:rsid w:val="006A01C2"/>
    <w:rsid w:val="006A0458"/>
    <w:rsid w:val="006A1E06"/>
    <w:rsid w:val="006A2549"/>
    <w:rsid w:val="006A2997"/>
    <w:rsid w:val="006A3078"/>
    <w:rsid w:val="006A403E"/>
    <w:rsid w:val="006A481A"/>
    <w:rsid w:val="006A4A62"/>
    <w:rsid w:val="006A4E02"/>
    <w:rsid w:val="006A559D"/>
    <w:rsid w:val="006A6B4A"/>
    <w:rsid w:val="006A718D"/>
    <w:rsid w:val="006A7232"/>
    <w:rsid w:val="006A7670"/>
    <w:rsid w:val="006A7AD1"/>
    <w:rsid w:val="006A7C13"/>
    <w:rsid w:val="006B0008"/>
    <w:rsid w:val="006B0E0B"/>
    <w:rsid w:val="006B0E9A"/>
    <w:rsid w:val="006B18D9"/>
    <w:rsid w:val="006B1EBC"/>
    <w:rsid w:val="006B1F04"/>
    <w:rsid w:val="006B2752"/>
    <w:rsid w:val="006B3CBE"/>
    <w:rsid w:val="006B4069"/>
    <w:rsid w:val="006B437E"/>
    <w:rsid w:val="006B4C97"/>
    <w:rsid w:val="006B4ED9"/>
    <w:rsid w:val="006B569C"/>
    <w:rsid w:val="006B5C2A"/>
    <w:rsid w:val="006B66D0"/>
    <w:rsid w:val="006B7563"/>
    <w:rsid w:val="006B7DED"/>
    <w:rsid w:val="006C039E"/>
    <w:rsid w:val="006C045F"/>
    <w:rsid w:val="006C0DE7"/>
    <w:rsid w:val="006C15EF"/>
    <w:rsid w:val="006C1EC4"/>
    <w:rsid w:val="006C2ABB"/>
    <w:rsid w:val="006C3591"/>
    <w:rsid w:val="006C38D3"/>
    <w:rsid w:val="006C3975"/>
    <w:rsid w:val="006C3B9A"/>
    <w:rsid w:val="006C3F77"/>
    <w:rsid w:val="006C4537"/>
    <w:rsid w:val="006C46DA"/>
    <w:rsid w:val="006C4E66"/>
    <w:rsid w:val="006C52C8"/>
    <w:rsid w:val="006C55A8"/>
    <w:rsid w:val="006C5ADB"/>
    <w:rsid w:val="006C6374"/>
    <w:rsid w:val="006C6EE1"/>
    <w:rsid w:val="006C780C"/>
    <w:rsid w:val="006C7B5A"/>
    <w:rsid w:val="006D1101"/>
    <w:rsid w:val="006D1F65"/>
    <w:rsid w:val="006D2659"/>
    <w:rsid w:val="006D317B"/>
    <w:rsid w:val="006D3862"/>
    <w:rsid w:val="006D3DFE"/>
    <w:rsid w:val="006D3F8D"/>
    <w:rsid w:val="006D5187"/>
    <w:rsid w:val="006D51EB"/>
    <w:rsid w:val="006D543A"/>
    <w:rsid w:val="006D54D3"/>
    <w:rsid w:val="006D575C"/>
    <w:rsid w:val="006D5EC6"/>
    <w:rsid w:val="006D7347"/>
    <w:rsid w:val="006D73BA"/>
    <w:rsid w:val="006D7741"/>
    <w:rsid w:val="006D7788"/>
    <w:rsid w:val="006D78F0"/>
    <w:rsid w:val="006D7E74"/>
    <w:rsid w:val="006E0B67"/>
    <w:rsid w:val="006E18EC"/>
    <w:rsid w:val="006E241F"/>
    <w:rsid w:val="006E24FE"/>
    <w:rsid w:val="006E26E9"/>
    <w:rsid w:val="006E2879"/>
    <w:rsid w:val="006E2A42"/>
    <w:rsid w:val="006E3C48"/>
    <w:rsid w:val="006E42B6"/>
    <w:rsid w:val="006E4A5D"/>
    <w:rsid w:val="006E5249"/>
    <w:rsid w:val="006E53E6"/>
    <w:rsid w:val="006E5833"/>
    <w:rsid w:val="006E5A3B"/>
    <w:rsid w:val="006E69E7"/>
    <w:rsid w:val="006F0202"/>
    <w:rsid w:val="006F032B"/>
    <w:rsid w:val="006F06B8"/>
    <w:rsid w:val="006F12E9"/>
    <w:rsid w:val="006F1413"/>
    <w:rsid w:val="006F17FB"/>
    <w:rsid w:val="006F1FCE"/>
    <w:rsid w:val="006F2598"/>
    <w:rsid w:val="006F2A2E"/>
    <w:rsid w:val="006F32D6"/>
    <w:rsid w:val="006F32E2"/>
    <w:rsid w:val="006F42DD"/>
    <w:rsid w:val="006F4BC1"/>
    <w:rsid w:val="006F55A0"/>
    <w:rsid w:val="006F5976"/>
    <w:rsid w:val="006F6783"/>
    <w:rsid w:val="006F6D2A"/>
    <w:rsid w:val="006F70CA"/>
    <w:rsid w:val="006F74B4"/>
    <w:rsid w:val="00700B5D"/>
    <w:rsid w:val="00701842"/>
    <w:rsid w:val="007026CE"/>
    <w:rsid w:val="0070326E"/>
    <w:rsid w:val="0070341A"/>
    <w:rsid w:val="007038D3"/>
    <w:rsid w:val="0070406C"/>
    <w:rsid w:val="00704BF1"/>
    <w:rsid w:val="00705254"/>
    <w:rsid w:val="00705718"/>
    <w:rsid w:val="007057D1"/>
    <w:rsid w:val="007058C9"/>
    <w:rsid w:val="00705B6C"/>
    <w:rsid w:val="007071CB"/>
    <w:rsid w:val="00707B6B"/>
    <w:rsid w:val="00707FEE"/>
    <w:rsid w:val="00710454"/>
    <w:rsid w:val="00710875"/>
    <w:rsid w:val="00712082"/>
    <w:rsid w:val="0071291B"/>
    <w:rsid w:val="00712ED9"/>
    <w:rsid w:val="00713463"/>
    <w:rsid w:val="00714B64"/>
    <w:rsid w:val="00714DF7"/>
    <w:rsid w:val="00716282"/>
    <w:rsid w:val="00716319"/>
    <w:rsid w:val="00716F0F"/>
    <w:rsid w:val="00717133"/>
    <w:rsid w:val="007171FD"/>
    <w:rsid w:val="007179D7"/>
    <w:rsid w:val="007179DD"/>
    <w:rsid w:val="00717F5F"/>
    <w:rsid w:val="00720C7F"/>
    <w:rsid w:val="00721DCD"/>
    <w:rsid w:val="007224C9"/>
    <w:rsid w:val="00722539"/>
    <w:rsid w:val="00722734"/>
    <w:rsid w:val="00723EE2"/>
    <w:rsid w:val="00723FC4"/>
    <w:rsid w:val="00724130"/>
    <w:rsid w:val="00724588"/>
    <w:rsid w:val="0072475D"/>
    <w:rsid w:val="00724995"/>
    <w:rsid w:val="007249DC"/>
    <w:rsid w:val="00724DE7"/>
    <w:rsid w:val="00725BB6"/>
    <w:rsid w:val="007261AB"/>
    <w:rsid w:val="00726CB6"/>
    <w:rsid w:val="00726DFA"/>
    <w:rsid w:val="00727512"/>
    <w:rsid w:val="0072767B"/>
    <w:rsid w:val="0073027A"/>
    <w:rsid w:val="00730688"/>
    <w:rsid w:val="007313AA"/>
    <w:rsid w:val="00732F7F"/>
    <w:rsid w:val="0073328B"/>
    <w:rsid w:val="007332FA"/>
    <w:rsid w:val="00735882"/>
    <w:rsid w:val="00735E14"/>
    <w:rsid w:val="00737997"/>
    <w:rsid w:val="00740564"/>
    <w:rsid w:val="00740EDA"/>
    <w:rsid w:val="00741C3F"/>
    <w:rsid w:val="0074205E"/>
    <w:rsid w:val="00743051"/>
    <w:rsid w:val="0074347C"/>
    <w:rsid w:val="007436A2"/>
    <w:rsid w:val="00743934"/>
    <w:rsid w:val="00743CE5"/>
    <w:rsid w:val="00743F0D"/>
    <w:rsid w:val="00744250"/>
    <w:rsid w:val="007447DC"/>
    <w:rsid w:val="00744B0D"/>
    <w:rsid w:val="00744B44"/>
    <w:rsid w:val="00744B8D"/>
    <w:rsid w:val="00744C7C"/>
    <w:rsid w:val="00744CAC"/>
    <w:rsid w:val="00745383"/>
    <w:rsid w:val="007455B7"/>
    <w:rsid w:val="00746450"/>
    <w:rsid w:val="00746531"/>
    <w:rsid w:val="007503C4"/>
    <w:rsid w:val="00750FA4"/>
    <w:rsid w:val="007517BE"/>
    <w:rsid w:val="00751C87"/>
    <w:rsid w:val="00752062"/>
    <w:rsid w:val="00752291"/>
    <w:rsid w:val="0075315B"/>
    <w:rsid w:val="0075421F"/>
    <w:rsid w:val="00754737"/>
    <w:rsid w:val="007557A8"/>
    <w:rsid w:val="00756477"/>
    <w:rsid w:val="007568CD"/>
    <w:rsid w:val="00756C2B"/>
    <w:rsid w:val="00756F0E"/>
    <w:rsid w:val="007578FD"/>
    <w:rsid w:val="00757990"/>
    <w:rsid w:val="0076136D"/>
    <w:rsid w:val="007618A7"/>
    <w:rsid w:val="00761DAE"/>
    <w:rsid w:val="00762952"/>
    <w:rsid w:val="00764CD4"/>
    <w:rsid w:val="00765377"/>
    <w:rsid w:val="00765436"/>
    <w:rsid w:val="00765850"/>
    <w:rsid w:val="007662AE"/>
    <w:rsid w:val="007665C4"/>
    <w:rsid w:val="00767BB5"/>
    <w:rsid w:val="00770843"/>
    <w:rsid w:val="00770DF3"/>
    <w:rsid w:val="00771116"/>
    <w:rsid w:val="00771727"/>
    <w:rsid w:val="00771D31"/>
    <w:rsid w:val="00773D57"/>
    <w:rsid w:val="007741A0"/>
    <w:rsid w:val="0077474A"/>
    <w:rsid w:val="007749A5"/>
    <w:rsid w:val="0077520D"/>
    <w:rsid w:val="007752AC"/>
    <w:rsid w:val="00775B19"/>
    <w:rsid w:val="00775F9D"/>
    <w:rsid w:val="0077670B"/>
    <w:rsid w:val="007767DD"/>
    <w:rsid w:val="007770E6"/>
    <w:rsid w:val="007771BA"/>
    <w:rsid w:val="007774EA"/>
    <w:rsid w:val="007775A8"/>
    <w:rsid w:val="007777C4"/>
    <w:rsid w:val="0077783D"/>
    <w:rsid w:val="00777FC4"/>
    <w:rsid w:val="00780350"/>
    <w:rsid w:val="00780BDC"/>
    <w:rsid w:val="0078103F"/>
    <w:rsid w:val="00782566"/>
    <w:rsid w:val="007831DD"/>
    <w:rsid w:val="00783530"/>
    <w:rsid w:val="007836F1"/>
    <w:rsid w:val="00783880"/>
    <w:rsid w:val="0078462E"/>
    <w:rsid w:val="00784FFD"/>
    <w:rsid w:val="007852A9"/>
    <w:rsid w:val="007858CE"/>
    <w:rsid w:val="00785DF3"/>
    <w:rsid w:val="0078606C"/>
    <w:rsid w:val="00786646"/>
    <w:rsid w:val="007867A5"/>
    <w:rsid w:val="00786C49"/>
    <w:rsid w:val="00787727"/>
    <w:rsid w:val="00790474"/>
    <w:rsid w:val="0079082E"/>
    <w:rsid w:val="00790DC9"/>
    <w:rsid w:val="00791CBC"/>
    <w:rsid w:val="00791CC4"/>
    <w:rsid w:val="007921EF"/>
    <w:rsid w:val="00792A7F"/>
    <w:rsid w:val="00793698"/>
    <w:rsid w:val="00793A50"/>
    <w:rsid w:val="00793B21"/>
    <w:rsid w:val="00793E91"/>
    <w:rsid w:val="00794445"/>
    <w:rsid w:val="007947D7"/>
    <w:rsid w:val="00794925"/>
    <w:rsid w:val="007955DC"/>
    <w:rsid w:val="007962AA"/>
    <w:rsid w:val="0079665D"/>
    <w:rsid w:val="00796AED"/>
    <w:rsid w:val="00797F2B"/>
    <w:rsid w:val="00797F39"/>
    <w:rsid w:val="007A0C69"/>
    <w:rsid w:val="007A0E2F"/>
    <w:rsid w:val="007A0E44"/>
    <w:rsid w:val="007A1378"/>
    <w:rsid w:val="007A143E"/>
    <w:rsid w:val="007A26E9"/>
    <w:rsid w:val="007A2F26"/>
    <w:rsid w:val="007A3A65"/>
    <w:rsid w:val="007A4F3A"/>
    <w:rsid w:val="007A554C"/>
    <w:rsid w:val="007A58C8"/>
    <w:rsid w:val="007A5E9D"/>
    <w:rsid w:val="007A5F54"/>
    <w:rsid w:val="007A6CB6"/>
    <w:rsid w:val="007A74E8"/>
    <w:rsid w:val="007B100A"/>
    <w:rsid w:val="007B226B"/>
    <w:rsid w:val="007B336B"/>
    <w:rsid w:val="007B3403"/>
    <w:rsid w:val="007B3802"/>
    <w:rsid w:val="007B3E70"/>
    <w:rsid w:val="007B4244"/>
    <w:rsid w:val="007B4494"/>
    <w:rsid w:val="007B51AB"/>
    <w:rsid w:val="007B5788"/>
    <w:rsid w:val="007B5969"/>
    <w:rsid w:val="007B5E37"/>
    <w:rsid w:val="007B7E42"/>
    <w:rsid w:val="007C0632"/>
    <w:rsid w:val="007C0E02"/>
    <w:rsid w:val="007C190B"/>
    <w:rsid w:val="007C2FC0"/>
    <w:rsid w:val="007C3983"/>
    <w:rsid w:val="007C4192"/>
    <w:rsid w:val="007C461B"/>
    <w:rsid w:val="007C5537"/>
    <w:rsid w:val="007C5B2D"/>
    <w:rsid w:val="007C664E"/>
    <w:rsid w:val="007C7D4F"/>
    <w:rsid w:val="007C7E3D"/>
    <w:rsid w:val="007D003D"/>
    <w:rsid w:val="007D0585"/>
    <w:rsid w:val="007D08E7"/>
    <w:rsid w:val="007D0939"/>
    <w:rsid w:val="007D190F"/>
    <w:rsid w:val="007D31EE"/>
    <w:rsid w:val="007D3325"/>
    <w:rsid w:val="007D3A35"/>
    <w:rsid w:val="007D4376"/>
    <w:rsid w:val="007D4482"/>
    <w:rsid w:val="007D48F4"/>
    <w:rsid w:val="007D4901"/>
    <w:rsid w:val="007D4961"/>
    <w:rsid w:val="007D53F6"/>
    <w:rsid w:val="007D58E0"/>
    <w:rsid w:val="007D5ADD"/>
    <w:rsid w:val="007D602B"/>
    <w:rsid w:val="007D631E"/>
    <w:rsid w:val="007D6615"/>
    <w:rsid w:val="007D73BD"/>
    <w:rsid w:val="007D7847"/>
    <w:rsid w:val="007E038E"/>
    <w:rsid w:val="007E0650"/>
    <w:rsid w:val="007E07F7"/>
    <w:rsid w:val="007E16E5"/>
    <w:rsid w:val="007E1BD0"/>
    <w:rsid w:val="007E2082"/>
    <w:rsid w:val="007E2F1C"/>
    <w:rsid w:val="007E3270"/>
    <w:rsid w:val="007E37D1"/>
    <w:rsid w:val="007E39BB"/>
    <w:rsid w:val="007E45D4"/>
    <w:rsid w:val="007E55C4"/>
    <w:rsid w:val="007E5FDE"/>
    <w:rsid w:val="007E6E10"/>
    <w:rsid w:val="007E6F5D"/>
    <w:rsid w:val="007E7F20"/>
    <w:rsid w:val="007F0129"/>
    <w:rsid w:val="007F0E64"/>
    <w:rsid w:val="007F17CD"/>
    <w:rsid w:val="007F1B42"/>
    <w:rsid w:val="007F1E54"/>
    <w:rsid w:val="007F22F6"/>
    <w:rsid w:val="007F25CD"/>
    <w:rsid w:val="007F28CF"/>
    <w:rsid w:val="007F2B0D"/>
    <w:rsid w:val="007F3676"/>
    <w:rsid w:val="007F378F"/>
    <w:rsid w:val="007F3DD9"/>
    <w:rsid w:val="007F4E88"/>
    <w:rsid w:val="007F5BC7"/>
    <w:rsid w:val="007F6042"/>
    <w:rsid w:val="007F641C"/>
    <w:rsid w:val="007F78F0"/>
    <w:rsid w:val="007F7B94"/>
    <w:rsid w:val="008009EF"/>
    <w:rsid w:val="00800BAE"/>
    <w:rsid w:val="008011B5"/>
    <w:rsid w:val="0080212F"/>
    <w:rsid w:val="008029C9"/>
    <w:rsid w:val="00802C46"/>
    <w:rsid w:val="00802F21"/>
    <w:rsid w:val="00802F78"/>
    <w:rsid w:val="00803B0A"/>
    <w:rsid w:val="00803C4A"/>
    <w:rsid w:val="0080453A"/>
    <w:rsid w:val="00804C70"/>
    <w:rsid w:val="00804DA0"/>
    <w:rsid w:val="0080505B"/>
    <w:rsid w:val="00805068"/>
    <w:rsid w:val="008051B8"/>
    <w:rsid w:val="00806003"/>
    <w:rsid w:val="00806019"/>
    <w:rsid w:val="0080672A"/>
    <w:rsid w:val="00806A00"/>
    <w:rsid w:val="008073E3"/>
    <w:rsid w:val="00807B69"/>
    <w:rsid w:val="008101B1"/>
    <w:rsid w:val="0081076A"/>
    <w:rsid w:val="00810961"/>
    <w:rsid w:val="0081160C"/>
    <w:rsid w:val="00811FB5"/>
    <w:rsid w:val="00812D2D"/>
    <w:rsid w:val="00812D44"/>
    <w:rsid w:val="00813C36"/>
    <w:rsid w:val="00813CE3"/>
    <w:rsid w:val="0081416B"/>
    <w:rsid w:val="0081434F"/>
    <w:rsid w:val="00814A13"/>
    <w:rsid w:val="00814C16"/>
    <w:rsid w:val="00814C19"/>
    <w:rsid w:val="00814D58"/>
    <w:rsid w:val="008150F1"/>
    <w:rsid w:val="00815AD2"/>
    <w:rsid w:val="00816600"/>
    <w:rsid w:val="008166FA"/>
    <w:rsid w:val="00816750"/>
    <w:rsid w:val="0081692E"/>
    <w:rsid w:val="00817685"/>
    <w:rsid w:val="008205E6"/>
    <w:rsid w:val="008211DA"/>
    <w:rsid w:val="008213E7"/>
    <w:rsid w:val="00821C02"/>
    <w:rsid w:val="00822A80"/>
    <w:rsid w:val="00822FB9"/>
    <w:rsid w:val="008231FE"/>
    <w:rsid w:val="00824733"/>
    <w:rsid w:val="0082480B"/>
    <w:rsid w:val="00824963"/>
    <w:rsid w:val="00824CBE"/>
    <w:rsid w:val="008252E3"/>
    <w:rsid w:val="0082624C"/>
    <w:rsid w:val="00827045"/>
    <w:rsid w:val="00827B8E"/>
    <w:rsid w:val="00827F92"/>
    <w:rsid w:val="00830E6D"/>
    <w:rsid w:val="008326C8"/>
    <w:rsid w:val="00832CA5"/>
    <w:rsid w:val="0083342A"/>
    <w:rsid w:val="00834207"/>
    <w:rsid w:val="00834CE5"/>
    <w:rsid w:val="008354C8"/>
    <w:rsid w:val="008358F8"/>
    <w:rsid w:val="008360DE"/>
    <w:rsid w:val="00836648"/>
    <w:rsid w:val="00836C66"/>
    <w:rsid w:val="00837441"/>
    <w:rsid w:val="00840622"/>
    <w:rsid w:val="00841236"/>
    <w:rsid w:val="008415D0"/>
    <w:rsid w:val="0084201A"/>
    <w:rsid w:val="008425F8"/>
    <w:rsid w:val="00842A2F"/>
    <w:rsid w:val="0084441B"/>
    <w:rsid w:val="00844959"/>
    <w:rsid w:val="00845381"/>
    <w:rsid w:val="008454E1"/>
    <w:rsid w:val="008458AA"/>
    <w:rsid w:val="00845B24"/>
    <w:rsid w:val="00845BB9"/>
    <w:rsid w:val="0084670C"/>
    <w:rsid w:val="00846EF6"/>
    <w:rsid w:val="008475FC"/>
    <w:rsid w:val="00847A5F"/>
    <w:rsid w:val="00850CBC"/>
    <w:rsid w:val="008516AA"/>
    <w:rsid w:val="008518C0"/>
    <w:rsid w:val="00852368"/>
    <w:rsid w:val="00852911"/>
    <w:rsid w:val="008530BB"/>
    <w:rsid w:val="008537CB"/>
    <w:rsid w:val="0085396B"/>
    <w:rsid w:val="008539D5"/>
    <w:rsid w:val="00853D23"/>
    <w:rsid w:val="00854622"/>
    <w:rsid w:val="008549CD"/>
    <w:rsid w:val="00854F8C"/>
    <w:rsid w:val="00855AE7"/>
    <w:rsid w:val="00856566"/>
    <w:rsid w:val="008565D2"/>
    <w:rsid w:val="00856C2C"/>
    <w:rsid w:val="00856D8F"/>
    <w:rsid w:val="008574FD"/>
    <w:rsid w:val="008621B8"/>
    <w:rsid w:val="00862362"/>
    <w:rsid w:val="00862AD7"/>
    <w:rsid w:val="00862D51"/>
    <w:rsid w:val="00862D58"/>
    <w:rsid w:val="008637F6"/>
    <w:rsid w:val="00863CD3"/>
    <w:rsid w:val="00863E75"/>
    <w:rsid w:val="008648B4"/>
    <w:rsid w:val="008649EB"/>
    <w:rsid w:val="00864AD8"/>
    <w:rsid w:val="00864EE8"/>
    <w:rsid w:val="0086541A"/>
    <w:rsid w:val="008658B1"/>
    <w:rsid w:val="008667FF"/>
    <w:rsid w:val="00866CE5"/>
    <w:rsid w:val="00867928"/>
    <w:rsid w:val="008711FD"/>
    <w:rsid w:val="008712EE"/>
    <w:rsid w:val="0087154B"/>
    <w:rsid w:val="00871582"/>
    <w:rsid w:val="00872B4A"/>
    <w:rsid w:val="00873636"/>
    <w:rsid w:val="0087367C"/>
    <w:rsid w:val="00874532"/>
    <w:rsid w:val="00874BFC"/>
    <w:rsid w:val="00874FC5"/>
    <w:rsid w:val="00875728"/>
    <w:rsid w:val="00876003"/>
    <w:rsid w:val="00876115"/>
    <w:rsid w:val="00876585"/>
    <w:rsid w:val="0087685B"/>
    <w:rsid w:val="00876DDE"/>
    <w:rsid w:val="0088016D"/>
    <w:rsid w:val="0088047C"/>
    <w:rsid w:val="00882048"/>
    <w:rsid w:val="00882D97"/>
    <w:rsid w:val="0088322B"/>
    <w:rsid w:val="00883277"/>
    <w:rsid w:val="008837E7"/>
    <w:rsid w:val="0088429E"/>
    <w:rsid w:val="008844B9"/>
    <w:rsid w:val="008847AB"/>
    <w:rsid w:val="00884947"/>
    <w:rsid w:val="00884D33"/>
    <w:rsid w:val="00885D3B"/>
    <w:rsid w:val="008863D1"/>
    <w:rsid w:val="00890422"/>
    <w:rsid w:val="00891085"/>
    <w:rsid w:val="0089146B"/>
    <w:rsid w:val="00891C6E"/>
    <w:rsid w:val="00891E42"/>
    <w:rsid w:val="00892057"/>
    <w:rsid w:val="0089256E"/>
    <w:rsid w:val="008927BB"/>
    <w:rsid w:val="0089304F"/>
    <w:rsid w:val="0089315A"/>
    <w:rsid w:val="008938DB"/>
    <w:rsid w:val="0089509C"/>
    <w:rsid w:val="0089557C"/>
    <w:rsid w:val="0089599E"/>
    <w:rsid w:val="00896080"/>
    <w:rsid w:val="008962F4"/>
    <w:rsid w:val="00896C71"/>
    <w:rsid w:val="0089714E"/>
    <w:rsid w:val="00897353"/>
    <w:rsid w:val="00897AC4"/>
    <w:rsid w:val="008A0163"/>
    <w:rsid w:val="008A1723"/>
    <w:rsid w:val="008A1DA1"/>
    <w:rsid w:val="008A201D"/>
    <w:rsid w:val="008A2174"/>
    <w:rsid w:val="008A2CC5"/>
    <w:rsid w:val="008A2D5E"/>
    <w:rsid w:val="008A43ED"/>
    <w:rsid w:val="008A43F4"/>
    <w:rsid w:val="008A4468"/>
    <w:rsid w:val="008A44F7"/>
    <w:rsid w:val="008A4AE6"/>
    <w:rsid w:val="008A4EE3"/>
    <w:rsid w:val="008A5176"/>
    <w:rsid w:val="008A5186"/>
    <w:rsid w:val="008A616B"/>
    <w:rsid w:val="008A6285"/>
    <w:rsid w:val="008A653A"/>
    <w:rsid w:val="008A67F6"/>
    <w:rsid w:val="008A6C9D"/>
    <w:rsid w:val="008A7254"/>
    <w:rsid w:val="008A7D55"/>
    <w:rsid w:val="008A7D7C"/>
    <w:rsid w:val="008B0855"/>
    <w:rsid w:val="008B17DD"/>
    <w:rsid w:val="008B1871"/>
    <w:rsid w:val="008B3D97"/>
    <w:rsid w:val="008B4506"/>
    <w:rsid w:val="008B5238"/>
    <w:rsid w:val="008B537C"/>
    <w:rsid w:val="008B5BD9"/>
    <w:rsid w:val="008B7CB9"/>
    <w:rsid w:val="008C017E"/>
    <w:rsid w:val="008C0B5A"/>
    <w:rsid w:val="008C0D1A"/>
    <w:rsid w:val="008C0D95"/>
    <w:rsid w:val="008C1160"/>
    <w:rsid w:val="008C1ACC"/>
    <w:rsid w:val="008C2783"/>
    <w:rsid w:val="008C2CF0"/>
    <w:rsid w:val="008C3357"/>
    <w:rsid w:val="008C3446"/>
    <w:rsid w:val="008C35B2"/>
    <w:rsid w:val="008C37E9"/>
    <w:rsid w:val="008C3CFA"/>
    <w:rsid w:val="008C4827"/>
    <w:rsid w:val="008C4EFA"/>
    <w:rsid w:val="008C54A0"/>
    <w:rsid w:val="008C5A06"/>
    <w:rsid w:val="008C5D18"/>
    <w:rsid w:val="008C606A"/>
    <w:rsid w:val="008C6104"/>
    <w:rsid w:val="008C671A"/>
    <w:rsid w:val="008C75BE"/>
    <w:rsid w:val="008C767F"/>
    <w:rsid w:val="008D0E5D"/>
    <w:rsid w:val="008D14CB"/>
    <w:rsid w:val="008D14EA"/>
    <w:rsid w:val="008D178F"/>
    <w:rsid w:val="008D1C11"/>
    <w:rsid w:val="008D333B"/>
    <w:rsid w:val="008D34A0"/>
    <w:rsid w:val="008D38A9"/>
    <w:rsid w:val="008D3D6E"/>
    <w:rsid w:val="008D4553"/>
    <w:rsid w:val="008D5C22"/>
    <w:rsid w:val="008D5E0C"/>
    <w:rsid w:val="008D6345"/>
    <w:rsid w:val="008D670E"/>
    <w:rsid w:val="008D6923"/>
    <w:rsid w:val="008D6ED7"/>
    <w:rsid w:val="008D7589"/>
    <w:rsid w:val="008D786A"/>
    <w:rsid w:val="008D7CB9"/>
    <w:rsid w:val="008E01F8"/>
    <w:rsid w:val="008E1FAD"/>
    <w:rsid w:val="008E20CD"/>
    <w:rsid w:val="008E3F2B"/>
    <w:rsid w:val="008E4115"/>
    <w:rsid w:val="008E458E"/>
    <w:rsid w:val="008E4932"/>
    <w:rsid w:val="008E4CF7"/>
    <w:rsid w:val="008E57EB"/>
    <w:rsid w:val="008E630C"/>
    <w:rsid w:val="008E6504"/>
    <w:rsid w:val="008E72F5"/>
    <w:rsid w:val="008E77A2"/>
    <w:rsid w:val="008F0717"/>
    <w:rsid w:val="008F248F"/>
    <w:rsid w:val="008F249A"/>
    <w:rsid w:val="008F2FC9"/>
    <w:rsid w:val="008F307F"/>
    <w:rsid w:val="008F32AD"/>
    <w:rsid w:val="008F39AD"/>
    <w:rsid w:val="008F469D"/>
    <w:rsid w:val="008F5DAF"/>
    <w:rsid w:val="008F5DF8"/>
    <w:rsid w:val="008F629D"/>
    <w:rsid w:val="008F6795"/>
    <w:rsid w:val="008F6FBB"/>
    <w:rsid w:val="008F7038"/>
    <w:rsid w:val="008F7468"/>
    <w:rsid w:val="0090069E"/>
    <w:rsid w:val="00900C3E"/>
    <w:rsid w:val="00901E06"/>
    <w:rsid w:val="00901E1D"/>
    <w:rsid w:val="009023A4"/>
    <w:rsid w:val="009025EC"/>
    <w:rsid w:val="00903424"/>
    <w:rsid w:val="009036CC"/>
    <w:rsid w:val="00904172"/>
    <w:rsid w:val="00904BDA"/>
    <w:rsid w:val="00904F92"/>
    <w:rsid w:val="009053D3"/>
    <w:rsid w:val="0090565B"/>
    <w:rsid w:val="0090582C"/>
    <w:rsid w:val="00905E6A"/>
    <w:rsid w:val="0090778D"/>
    <w:rsid w:val="0091008F"/>
    <w:rsid w:val="00910898"/>
    <w:rsid w:val="0091092D"/>
    <w:rsid w:val="009111BF"/>
    <w:rsid w:val="009111F9"/>
    <w:rsid w:val="0091192F"/>
    <w:rsid w:val="009126C8"/>
    <w:rsid w:val="00913287"/>
    <w:rsid w:val="0091368A"/>
    <w:rsid w:val="009137C5"/>
    <w:rsid w:val="00913B5E"/>
    <w:rsid w:val="00913E5F"/>
    <w:rsid w:val="0091576D"/>
    <w:rsid w:val="009158F1"/>
    <w:rsid w:val="00915976"/>
    <w:rsid w:val="00915F27"/>
    <w:rsid w:val="00916FC1"/>
    <w:rsid w:val="009215D5"/>
    <w:rsid w:val="009217A3"/>
    <w:rsid w:val="00922B52"/>
    <w:rsid w:val="009237B4"/>
    <w:rsid w:val="00926274"/>
    <w:rsid w:val="00926324"/>
    <w:rsid w:val="00926528"/>
    <w:rsid w:val="00926B44"/>
    <w:rsid w:val="009301D6"/>
    <w:rsid w:val="00930BA0"/>
    <w:rsid w:val="00930EC1"/>
    <w:rsid w:val="00931426"/>
    <w:rsid w:val="0093196A"/>
    <w:rsid w:val="00932AB0"/>
    <w:rsid w:val="009337F3"/>
    <w:rsid w:val="00934392"/>
    <w:rsid w:val="00934DBB"/>
    <w:rsid w:val="009351FD"/>
    <w:rsid w:val="00935B83"/>
    <w:rsid w:val="00935EC2"/>
    <w:rsid w:val="0093633C"/>
    <w:rsid w:val="0093651C"/>
    <w:rsid w:val="0093695D"/>
    <w:rsid w:val="009373C0"/>
    <w:rsid w:val="0093794D"/>
    <w:rsid w:val="00940201"/>
    <w:rsid w:val="009409B6"/>
    <w:rsid w:val="00940AB0"/>
    <w:rsid w:val="009425AB"/>
    <w:rsid w:val="00942C25"/>
    <w:rsid w:val="0094361C"/>
    <w:rsid w:val="00943C5E"/>
    <w:rsid w:val="00943EC2"/>
    <w:rsid w:val="009442B9"/>
    <w:rsid w:val="00945233"/>
    <w:rsid w:val="00946365"/>
    <w:rsid w:val="009464F3"/>
    <w:rsid w:val="00946892"/>
    <w:rsid w:val="00946AB3"/>
    <w:rsid w:val="0094710B"/>
    <w:rsid w:val="0094745B"/>
    <w:rsid w:val="00947E4C"/>
    <w:rsid w:val="009506DF"/>
    <w:rsid w:val="009507EA"/>
    <w:rsid w:val="00951E73"/>
    <w:rsid w:val="009520B0"/>
    <w:rsid w:val="009524A5"/>
    <w:rsid w:val="00952543"/>
    <w:rsid w:val="009527AE"/>
    <w:rsid w:val="00952935"/>
    <w:rsid w:val="009547A5"/>
    <w:rsid w:val="009550C7"/>
    <w:rsid w:val="00955295"/>
    <w:rsid w:val="00957142"/>
    <w:rsid w:val="00957953"/>
    <w:rsid w:val="0096085D"/>
    <w:rsid w:val="00960A15"/>
    <w:rsid w:val="00960B5C"/>
    <w:rsid w:val="00960BFC"/>
    <w:rsid w:val="0096164F"/>
    <w:rsid w:val="00961EE2"/>
    <w:rsid w:val="00962E7A"/>
    <w:rsid w:val="00962EAC"/>
    <w:rsid w:val="0096378D"/>
    <w:rsid w:val="0096380D"/>
    <w:rsid w:val="00963C44"/>
    <w:rsid w:val="009642B5"/>
    <w:rsid w:val="00965A0F"/>
    <w:rsid w:val="009668E1"/>
    <w:rsid w:val="00966C0D"/>
    <w:rsid w:val="009673E9"/>
    <w:rsid w:val="009675E9"/>
    <w:rsid w:val="00967969"/>
    <w:rsid w:val="00967C1F"/>
    <w:rsid w:val="00971D91"/>
    <w:rsid w:val="00972864"/>
    <w:rsid w:val="00972D91"/>
    <w:rsid w:val="00972EA8"/>
    <w:rsid w:val="009730EB"/>
    <w:rsid w:val="0097325C"/>
    <w:rsid w:val="00973AA0"/>
    <w:rsid w:val="00973B6C"/>
    <w:rsid w:val="00973F1C"/>
    <w:rsid w:val="0097451E"/>
    <w:rsid w:val="0097685F"/>
    <w:rsid w:val="00976B6F"/>
    <w:rsid w:val="00976C09"/>
    <w:rsid w:val="00976DBF"/>
    <w:rsid w:val="00976E75"/>
    <w:rsid w:val="009774AF"/>
    <w:rsid w:val="00977501"/>
    <w:rsid w:val="00980247"/>
    <w:rsid w:val="0098143C"/>
    <w:rsid w:val="009823CE"/>
    <w:rsid w:val="0098316A"/>
    <w:rsid w:val="009832A7"/>
    <w:rsid w:val="00983B95"/>
    <w:rsid w:val="00983CF0"/>
    <w:rsid w:val="00985AF8"/>
    <w:rsid w:val="00986CB2"/>
    <w:rsid w:val="009908A3"/>
    <w:rsid w:val="00991521"/>
    <w:rsid w:val="009922B3"/>
    <w:rsid w:val="00993655"/>
    <w:rsid w:val="0099432C"/>
    <w:rsid w:val="00994AF2"/>
    <w:rsid w:val="00995D64"/>
    <w:rsid w:val="0099746C"/>
    <w:rsid w:val="009A223B"/>
    <w:rsid w:val="009A2A5E"/>
    <w:rsid w:val="009A2B48"/>
    <w:rsid w:val="009A2FDA"/>
    <w:rsid w:val="009A3463"/>
    <w:rsid w:val="009A4033"/>
    <w:rsid w:val="009A4266"/>
    <w:rsid w:val="009A4794"/>
    <w:rsid w:val="009A4A70"/>
    <w:rsid w:val="009A4E12"/>
    <w:rsid w:val="009A4EE9"/>
    <w:rsid w:val="009A4F6B"/>
    <w:rsid w:val="009A508C"/>
    <w:rsid w:val="009A50EA"/>
    <w:rsid w:val="009A5596"/>
    <w:rsid w:val="009A568F"/>
    <w:rsid w:val="009A5744"/>
    <w:rsid w:val="009A5AC8"/>
    <w:rsid w:val="009A61B6"/>
    <w:rsid w:val="009A73B4"/>
    <w:rsid w:val="009A7975"/>
    <w:rsid w:val="009B00F8"/>
    <w:rsid w:val="009B08E7"/>
    <w:rsid w:val="009B0EA4"/>
    <w:rsid w:val="009B14FD"/>
    <w:rsid w:val="009B3B7D"/>
    <w:rsid w:val="009B474D"/>
    <w:rsid w:val="009B5BBF"/>
    <w:rsid w:val="009B6633"/>
    <w:rsid w:val="009B6E8D"/>
    <w:rsid w:val="009C026F"/>
    <w:rsid w:val="009C04E0"/>
    <w:rsid w:val="009C099B"/>
    <w:rsid w:val="009C150F"/>
    <w:rsid w:val="009C202F"/>
    <w:rsid w:val="009C273C"/>
    <w:rsid w:val="009C2CCF"/>
    <w:rsid w:val="009C2CD5"/>
    <w:rsid w:val="009C3A03"/>
    <w:rsid w:val="009C4C14"/>
    <w:rsid w:val="009C5B56"/>
    <w:rsid w:val="009C6041"/>
    <w:rsid w:val="009C6174"/>
    <w:rsid w:val="009C6302"/>
    <w:rsid w:val="009C654B"/>
    <w:rsid w:val="009C6CEF"/>
    <w:rsid w:val="009C76FC"/>
    <w:rsid w:val="009D012F"/>
    <w:rsid w:val="009D0306"/>
    <w:rsid w:val="009D13D9"/>
    <w:rsid w:val="009D16FA"/>
    <w:rsid w:val="009D1701"/>
    <w:rsid w:val="009D1921"/>
    <w:rsid w:val="009D1F14"/>
    <w:rsid w:val="009D1F76"/>
    <w:rsid w:val="009D2797"/>
    <w:rsid w:val="009D2A6B"/>
    <w:rsid w:val="009D2AD6"/>
    <w:rsid w:val="009D2BDA"/>
    <w:rsid w:val="009D2D05"/>
    <w:rsid w:val="009D31AB"/>
    <w:rsid w:val="009D392B"/>
    <w:rsid w:val="009D39D5"/>
    <w:rsid w:val="009D40FF"/>
    <w:rsid w:val="009D423D"/>
    <w:rsid w:val="009D4369"/>
    <w:rsid w:val="009D5C51"/>
    <w:rsid w:val="009D6611"/>
    <w:rsid w:val="009D708A"/>
    <w:rsid w:val="009D765E"/>
    <w:rsid w:val="009D7FC4"/>
    <w:rsid w:val="009E0952"/>
    <w:rsid w:val="009E0E2E"/>
    <w:rsid w:val="009E15B5"/>
    <w:rsid w:val="009E1DD5"/>
    <w:rsid w:val="009E20B2"/>
    <w:rsid w:val="009E279F"/>
    <w:rsid w:val="009E28BD"/>
    <w:rsid w:val="009E2B0C"/>
    <w:rsid w:val="009E2CC7"/>
    <w:rsid w:val="009E2F45"/>
    <w:rsid w:val="009E34F6"/>
    <w:rsid w:val="009E3D6B"/>
    <w:rsid w:val="009E4B98"/>
    <w:rsid w:val="009E521D"/>
    <w:rsid w:val="009E7CA4"/>
    <w:rsid w:val="009E7FFA"/>
    <w:rsid w:val="009F0522"/>
    <w:rsid w:val="009F0E51"/>
    <w:rsid w:val="009F27B7"/>
    <w:rsid w:val="009F2DFF"/>
    <w:rsid w:val="009F2FC4"/>
    <w:rsid w:val="009F3023"/>
    <w:rsid w:val="009F37E1"/>
    <w:rsid w:val="009F3914"/>
    <w:rsid w:val="009F430B"/>
    <w:rsid w:val="009F44A3"/>
    <w:rsid w:val="009F4637"/>
    <w:rsid w:val="009F49C7"/>
    <w:rsid w:val="009F53A4"/>
    <w:rsid w:val="009F5D5A"/>
    <w:rsid w:val="00A000FF"/>
    <w:rsid w:val="00A00200"/>
    <w:rsid w:val="00A0045D"/>
    <w:rsid w:val="00A0068E"/>
    <w:rsid w:val="00A036FA"/>
    <w:rsid w:val="00A04DAC"/>
    <w:rsid w:val="00A05F4E"/>
    <w:rsid w:val="00A06234"/>
    <w:rsid w:val="00A06B38"/>
    <w:rsid w:val="00A07A4C"/>
    <w:rsid w:val="00A07C5D"/>
    <w:rsid w:val="00A07ECB"/>
    <w:rsid w:val="00A07EF4"/>
    <w:rsid w:val="00A07FCA"/>
    <w:rsid w:val="00A113A1"/>
    <w:rsid w:val="00A11C81"/>
    <w:rsid w:val="00A12038"/>
    <w:rsid w:val="00A12343"/>
    <w:rsid w:val="00A12983"/>
    <w:rsid w:val="00A12A13"/>
    <w:rsid w:val="00A13325"/>
    <w:rsid w:val="00A146A7"/>
    <w:rsid w:val="00A1488C"/>
    <w:rsid w:val="00A14A3A"/>
    <w:rsid w:val="00A14F62"/>
    <w:rsid w:val="00A15076"/>
    <w:rsid w:val="00A151C6"/>
    <w:rsid w:val="00A155B4"/>
    <w:rsid w:val="00A15936"/>
    <w:rsid w:val="00A15E4E"/>
    <w:rsid w:val="00A16241"/>
    <w:rsid w:val="00A16CC5"/>
    <w:rsid w:val="00A16FB0"/>
    <w:rsid w:val="00A175CE"/>
    <w:rsid w:val="00A17D73"/>
    <w:rsid w:val="00A17DAB"/>
    <w:rsid w:val="00A20094"/>
    <w:rsid w:val="00A207B0"/>
    <w:rsid w:val="00A20B71"/>
    <w:rsid w:val="00A20DF6"/>
    <w:rsid w:val="00A20EEE"/>
    <w:rsid w:val="00A21A6C"/>
    <w:rsid w:val="00A220AD"/>
    <w:rsid w:val="00A228DB"/>
    <w:rsid w:val="00A22F8B"/>
    <w:rsid w:val="00A230A8"/>
    <w:rsid w:val="00A238AD"/>
    <w:rsid w:val="00A23C15"/>
    <w:rsid w:val="00A2476D"/>
    <w:rsid w:val="00A247AB"/>
    <w:rsid w:val="00A24A31"/>
    <w:rsid w:val="00A24EAA"/>
    <w:rsid w:val="00A24FE7"/>
    <w:rsid w:val="00A2508A"/>
    <w:rsid w:val="00A252BD"/>
    <w:rsid w:val="00A256BA"/>
    <w:rsid w:val="00A2602E"/>
    <w:rsid w:val="00A26AA7"/>
    <w:rsid w:val="00A271D9"/>
    <w:rsid w:val="00A275C2"/>
    <w:rsid w:val="00A307F2"/>
    <w:rsid w:val="00A31281"/>
    <w:rsid w:val="00A31549"/>
    <w:rsid w:val="00A31E4B"/>
    <w:rsid w:val="00A321C6"/>
    <w:rsid w:val="00A3334F"/>
    <w:rsid w:val="00A3345D"/>
    <w:rsid w:val="00A3392D"/>
    <w:rsid w:val="00A33AC9"/>
    <w:rsid w:val="00A34184"/>
    <w:rsid w:val="00A34285"/>
    <w:rsid w:val="00A34B2B"/>
    <w:rsid w:val="00A34E47"/>
    <w:rsid w:val="00A35527"/>
    <w:rsid w:val="00A3798D"/>
    <w:rsid w:val="00A40347"/>
    <w:rsid w:val="00A40793"/>
    <w:rsid w:val="00A40EEF"/>
    <w:rsid w:val="00A41C08"/>
    <w:rsid w:val="00A41EB4"/>
    <w:rsid w:val="00A427BE"/>
    <w:rsid w:val="00A4310F"/>
    <w:rsid w:val="00A459BD"/>
    <w:rsid w:val="00A45C36"/>
    <w:rsid w:val="00A463EC"/>
    <w:rsid w:val="00A471C2"/>
    <w:rsid w:val="00A4724B"/>
    <w:rsid w:val="00A47BD7"/>
    <w:rsid w:val="00A47C99"/>
    <w:rsid w:val="00A505FE"/>
    <w:rsid w:val="00A50AF5"/>
    <w:rsid w:val="00A51CE2"/>
    <w:rsid w:val="00A52450"/>
    <w:rsid w:val="00A5372B"/>
    <w:rsid w:val="00A55425"/>
    <w:rsid w:val="00A56F71"/>
    <w:rsid w:val="00A60DC1"/>
    <w:rsid w:val="00A60E5A"/>
    <w:rsid w:val="00A61192"/>
    <w:rsid w:val="00A611D0"/>
    <w:rsid w:val="00A61486"/>
    <w:rsid w:val="00A61A04"/>
    <w:rsid w:val="00A62447"/>
    <w:rsid w:val="00A624E5"/>
    <w:rsid w:val="00A62534"/>
    <w:rsid w:val="00A6324A"/>
    <w:rsid w:val="00A636BD"/>
    <w:rsid w:val="00A662DF"/>
    <w:rsid w:val="00A712F0"/>
    <w:rsid w:val="00A7157A"/>
    <w:rsid w:val="00A718B6"/>
    <w:rsid w:val="00A71CA3"/>
    <w:rsid w:val="00A721D4"/>
    <w:rsid w:val="00A725E2"/>
    <w:rsid w:val="00A740A7"/>
    <w:rsid w:val="00A74FEE"/>
    <w:rsid w:val="00A75258"/>
    <w:rsid w:val="00A76131"/>
    <w:rsid w:val="00A811EC"/>
    <w:rsid w:val="00A81DD6"/>
    <w:rsid w:val="00A82591"/>
    <w:rsid w:val="00A82BE9"/>
    <w:rsid w:val="00A832C1"/>
    <w:rsid w:val="00A850FE"/>
    <w:rsid w:val="00A851D3"/>
    <w:rsid w:val="00A859B6"/>
    <w:rsid w:val="00A86503"/>
    <w:rsid w:val="00A86E69"/>
    <w:rsid w:val="00A87914"/>
    <w:rsid w:val="00A90DD8"/>
    <w:rsid w:val="00A911E9"/>
    <w:rsid w:val="00A91BA2"/>
    <w:rsid w:val="00A9242C"/>
    <w:rsid w:val="00A93146"/>
    <w:rsid w:val="00A93325"/>
    <w:rsid w:val="00A9368D"/>
    <w:rsid w:val="00A943DE"/>
    <w:rsid w:val="00A96AC6"/>
    <w:rsid w:val="00A96AEE"/>
    <w:rsid w:val="00A96D34"/>
    <w:rsid w:val="00A96F9F"/>
    <w:rsid w:val="00A9725F"/>
    <w:rsid w:val="00A97538"/>
    <w:rsid w:val="00A97FCC"/>
    <w:rsid w:val="00AA01BA"/>
    <w:rsid w:val="00AA08C7"/>
    <w:rsid w:val="00AA0B37"/>
    <w:rsid w:val="00AA0F82"/>
    <w:rsid w:val="00AA1291"/>
    <w:rsid w:val="00AA1456"/>
    <w:rsid w:val="00AA1A6D"/>
    <w:rsid w:val="00AA3565"/>
    <w:rsid w:val="00AA3BCA"/>
    <w:rsid w:val="00AA3DEA"/>
    <w:rsid w:val="00AA4C56"/>
    <w:rsid w:val="00AA4D78"/>
    <w:rsid w:val="00AA545D"/>
    <w:rsid w:val="00AA55A6"/>
    <w:rsid w:val="00AA5629"/>
    <w:rsid w:val="00AA6754"/>
    <w:rsid w:val="00AA69EC"/>
    <w:rsid w:val="00AA6FE4"/>
    <w:rsid w:val="00AA707F"/>
    <w:rsid w:val="00AA738A"/>
    <w:rsid w:val="00AA7881"/>
    <w:rsid w:val="00AA79FD"/>
    <w:rsid w:val="00AA7C01"/>
    <w:rsid w:val="00AB04DC"/>
    <w:rsid w:val="00AB0E39"/>
    <w:rsid w:val="00AB0FCA"/>
    <w:rsid w:val="00AB128F"/>
    <w:rsid w:val="00AB1624"/>
    <w:rsid w:val="00AB1733"/>
    <w:rsid w:val="00AB1EF0"/>
    <w:rsid w:val="00AB24DC"/>
    <w:rsid w:val="00AB2B72"/>
    <w:rsid w:val="00AB2C53"/>
    <w:rsid w:val="00AB2D69"/>
    <w:rsid w:val="00AB337F"/>
    <w:rsid w:val="00AB3733"/>
    <w:rsid w:val="00AB43CF"/>
    <w:rsid w:val="00AB4A6D"/>
    <w:rsid w:val="00AB5BC1"/>
    <w:rsid w:val="00AB6A9D"/>
    <w:rsid w:val="00AB7073"/>
    <w:rsid w:val="00AB7578"/>
    <w:rsid w:val="00AB7DB2"/>
    <w:rsid w:val="00AB7F00"/>
    <w:rsid w:val="00AC07A1"/>
    <w:rsid w:val="00AC0839"/>
    <w:rsid w:val="00AC213C"/>
    <w:rsid w:val="00AC231A"/>
    <w:rsid w:val="00AC2B98"/>
    <w:rsid w:val="00AC33BF"/>
    <w:rsid w:val="00AC3BBB"/>
    <w:rsid w:val="00AC4A16"/>
    <w:rsid w:val="00AC4DA0"/>
    <w:rsid w:val="00AC5570"/>
    <w:rsid w:val="00AC688A"/>
    <w:rsid w:val="00AC6B7A"/>
    <w:rsid w:val="00AC6FA2"/>
    <w:rsid w:val="00AC7469"/>
    <w:rsid w:val="00AD09DB"/>
    <w:rsid w:val="00AD1CFC"/>
    <w:rsid w:val="00AD1EFE"/>
    <w:rsid w:val="00AD2438"/>
    <w:rsid w:val="00AD25D8"/>
    <w:rsid w:val="00AD2639"/>
    <w:rsid w:val="00AD36F0"/>
    <w:rsid w:val="00AD380E"/>
    <w:rsid w:val="00AD384C"/>
    <w:rsid w:val="00AD3D32"/>
    <w:rsid w:val="00AD406F"/>
    <w:rsid w:val="00AD43FC"/>
    <w:rsid w:val="00AD4494"/>
    <w:rsid w:val="00AD45DE"/>
    <w:rsid w:val="00AD62AC"/>
    <w:rsid w:val="00AD6A26"/>
    <w:rsid w:val="00AD6A37"/>
    <w:rsid w:val="00AD72F5"/>
    <w:rsid w:val="00AE007D"/>
    <w:rsid w:val="00AE0A4F"/>
    <w:rsid w:val="00AE12EA"/>
    <w:rsid w:val="00AE13A9"/>
    <w:rsid w:val="00AE1FF3"/>
    <w:rsid w:val="00AE25AA"/>
    <w:rsid w:val="00AE25D5"/>
    <w:rsid w:val="00AE34BB"/>
    <w:rsid w:val="00AE36C4"/>
    <w:rsid w:val="00AE38C5"/>
    <w:rsid w:val="00AE4001"/>
    <w:rsid w:val="00AE43D0"/>
    <w:rsid w:val="00AE4F1B"/>
    <w:rsid w:val="00AE56F1"/>
    <w:rsid w:val="00AE5D14"/>
    <w:rsid w:val="00AE6422"/>
    <w:rsid w:val="00AE65B9"/>
    <w:rsid w:val="00AE6F01"/>
    <w:rsid w:val="00AE6F76"/>
    <w:rsid w:val="00AE765A"/>
    <w:rsid w:val="00AE7CFE"/>
    <w:rsid w:val="00AF0044"/>
    <w:rsid w:val="00AF1025"/>
    <w:rsid w:val="00AF13E9"/>
    <w:rsid w:val="00AF14C4"/>
    <w:rsid w:val="00AF25BB"/>
    <w:rsid w:val="00AF2CAC"/>
    <w:rsid w:val="00AF2CBC"/>
    <w:rsid w:val="00AF2FB5"/>
    <w:rsid w:val="00AF31A0"/>
    <w:rsid w:val="00AF3DD9"/>
    <w:rsid w:val="00AF5769"/>
    <w:rsid w:val="00AF58B2"/>
    <w:rsid w:val="00AF58D5"/>
    <w:rsid w:val="00AF640C"/>
    <w:rsid w:val="00B011F1"/>
    <w:rsid w:val="00B01BC2"/>
    <w:rsid w:val="00B021B1"/>
    <w:rsid w:val="00B0249D"/>
    <w:rsid w:val="00B03039"/>
    <w:rsid w:val="00B033DF"/>
    <w:rsid w:val="00B04C4C"/>
    <w:rsid w:val="00B050A3"/>
    <w:rsid w:val="00B05DF7"/>
    <w:rsid w:val="00B06D96"/>
    <w:rsid w:val="00B06E7A"/>
    <w:rsid w:val="00B1062A"/>
    <w:rsid w:val="00B107F8"/>
    <w:rsid w:val="00B10A15"/>
    <w:rsid w:val="00B12C60"/>
    <w:rsid w:val="00B12D50"/>
    <w:rsid w:val="00B134DF"/>
    <w:rsid w:val="00B13D97"/>
    <w:rsid w:val="00B14349"/>
    <w:rsid w:val="00B150D2"/>
    <w:rsid w:val="00B154CB"/>
    <w:rsid w:val="00B15FD9"/>
    <w:rsid w:val="00B16936"/>
    <w:rsid w:val="00B16E3F"/>
    <w:rsid w:val="00B16F77"/>
    <w:rsid w:val="00B1729E"/>
    <w:rsid w:val="00B20D30"/>
    <w:rsid w:val="00B21758"/>
    <w:rsid w:val="00B21DDB"/>
    <w:rsid w:val="00B224D3"/>
    <w:rsid w:val="00B229FA"/>
    <w:rsid w:val="00B2391C"/>
    <w:rsid w:val="00B23C9B"/>
    <w:rsid w:val="00B2406A"/>
    <w:rsid w:val="00B240C1"/>
    <w:rsid w:val="00B255FB"/>
    <w:rsid w:val="00B269B1"/>
    <w:rsid w:val="00B27723"/>
    <w:rsid w:val="00B27A18"/>
    <w:rsid w:val="00B27E26"/>
    <w:rsid w:val="00B307A7"/>
    <w:rsid w:val="00B30878"/>
    <w:rsid w:val="00B309F0"/>
    <w:rsid w:val="00B30C38"/>
    <w:rsid w:val="00B30F18"/>
    <w:rsid w:val="00B311E0"/>
    <w:rsid w:val="00B31449"/>
    <w:rsid w:val="00B324EE"/>
    <w:rsid w:val="00B32A7F"/>
    <w:rsid w:val="00B32B4F"/>
    <w:rsid w:val="00B32D55"/>
    <w:rsid w:val="00B33957"/>
    <w:rsid w:val="00B346FC"/>
    <w:rsid w:val="00B34846"/>
    <w:rsid w:val="00B35B33"/>
    <w:rsid w:val="00B36A66"/>
    <w:rsid w:val="00B370DC"/>
    <w:rsid w:val="00B371E0"/>
    <w:rsid w:val="00B375EE"/>
    <w:rsid w:val="00B400A6"/>
    <w:rsid w:val="00B402C8"/>
    <w:rsid w:val="00B402C9"/>
    <w:rsid w:val="00B41C1C"/>
    <w:rsid w:val="00B42B7F"/>
    <w:rsid w:val="00B43610"/>
    <w:rsid w:val="00B43BB6"/>
    <w:rsid w:val="00B4411E"/>
    <w:rsid w:val="00B44DD3"/>
    <w:rsid w:val="00B45756"/>
    <w:rsid w:val="00B4582F"/>
    <w:rsid w:val="00B459B1"/>
    <w:rsid w:val="00B45C94"/>
    <w:rsid w:val="00B4607C"/>
    <w:rsid w:val="00B46C3E"/>
    <w:rsid w:val="00B47B72"/>
    <w:rsid w:val="00B47D5E"/>
    <w:rsid w:val="00B50189"/>
    <w:rsid w:val="00B50292"/>
    <w:rsid w:val="00B50665"/>
    <w:rsid w:val="00B50957"/>
    <w:rsid w:val="00B51946"/>
    <w:rsid w:val="00B524B5"/>
    <w:rsid w:val="00B52786"/>
    <w:rsid w:val="00B53DB2"/>
    <w:rsid w:val="00B5441C"/>
    <w:rsid w:val="00B54DF6"/>
    <w:rsid w:val="00B55AC8"/>
    <w:rsid w:val="00B564CD"/>
    <w:rsid w:val="00B56901"/>
    <w:rsid w:val="00B5694F"/>
    <w:rsid w:val="00B60D2C"/>
    <w:rsid w:val="00B60ED6"/>
    <w:rsid w:val="00B61621"/>
    <w:rsid w:val="00B629A6"/>
    <w:rsid w:val="00B62B50"/>
    <w:rsid w:val="00B62E48"/>
    <w:rsid w:val="00B630AD"/>
    <w:rsid w:val="00B63606"/>
    <w:rsid w:val="00B6483D"/>
    <w:rsid w:val="00B64947"/>
    <w:rsid w:val="00B649F2"/>
    <w:rsid w:val="00B64F51"/>
    <w:rsid w:val="00B65178"/>
    <w:rsid w:val="00B655A5"/>
    <w:rsid w:val="00B662A0"/>
    <w:rsid w:val="00B666B9"/>
    <w:rsid w:val="00B66A08"/>
    <w:rsid w:val="00B675A1"/>
    <w:rsid w:val="00B67635"/>
    <w:rsid w:val="00B678B9"/>
    <w:rsid w:val="00B700D1"/>
    <w:rsid w:val="00B706FD"/>
    <w:rsid w:val="00B71C41"/>
    <w:rsid w:val="00B71ED7"/>
    <w:rsid w:val="00B71EF0"/>
    <w:rsid w:val="00B71F50"/>
    <w:rsid w:val="00B729AE"/>
    <w:rsid w:val="00B72E77"/>
    <w:rsid w:val="00B73649"/>
    <w:rsid w:val="00B73CC6"/>
    <w:rsid w:val="00B74C6F"/>
    <w:rsid w:val="00B751DF"/>
    <w:rsid w:val="00B7645B"/>
    <w:rsid w:val="00B76843"/>
    <w:rsid w:val="00B80CD0"/>
    <w:rsid w:val="00B8124E"/>
    <w:rsid w:val="00B812D8"/>
    <w:rsid w:val="00B81600"/>
    <w:rsid w:val="00B818B6"/>
    <w:rsid w:val="00B82A66"/>
    <w:rsid w:val="00B82F08"/>
    <w:rsid w:val="00B83073"/>
    <w:rsid w:val="00B83098"/>
    <w:rsid w:val="00B83D08"/>
    <w:rsid w:val="00B847FC"/>
    <w:rsid w:val="00B84AF0"/>
    <w:rsid w:val="00B84B50"/>
    <w:rsid w:val="00B84F53"/>
    <w:rsid w:val="00B8508F"/>
    <w:rsid w:val="00B85ED7"/>
    <w:rsid w:val="00B8639F"/>
    <w:rsid w:val="00B871B8"/>
    <w:rsid w:val="00B87686"/>
    <w:rsid w:val="00B902FD"/>
    <w:rsid w:val="00B9114D"/>
    <w:rsid w:val="00B91ADB"/>
    <w:rsid w:val="00B9288A"/>
    <w:rsid w:val="00B928D8"/>
    <w:rsid w:val="00B92963"/>
    <w:rsid w:val="00B936E7"/>
    <w:rsid w:val="00B936F9"/>
    <w:rsid w:val="00B94996"/>
    <w:rsid w:val="00B94F86"/>
    <w:rsid w:val="00B950F4"/>
    <w:rsid w:val="00B9536B"/>
    <w:rsid w:val="00B95DF6"/>
    <w:rsid w:val="00B977AB"/>
    <w:rsid w:val="00B979AA"/>
    <w:rsid w:val="00B97B2E"/>
    <w:rsid w:val="00B97EBA"/>
    <w:rsid w:val="00BA009F"/>
    <w:rsid w:val="00BA038B"/>
    <w:rsid w:val="00BA0CD7"/>
    <w:rsid w:val="00BA18B2"/>
    <w:rsid w:val="00BA245F"/>
    <w:rsid w:val="00BA2928"/>
    <w:rsid w:val="00BA2E5C"/>
    <w:rsid w:val="00BA304D"/>
    <w:rsid w:val="00BA3196"/>
    <w:rsid w:val="00BA45CA"/>
    <w:rsid w:val="00BA4700"/>
    <w:rsid w:val="00BA4907"/>
    <w:rsid w:val="00BA4D41"/>
    <w:rsid w:val="00BA5456"/>
    <w:rsid w:val="00BA5910"/>
    <w:rsid w:val="00BA5AD6"/>
    <w:rsid w:val="00BA5C5F"/>
    <w:rsid w:val="00BA5D36"/>
    <w:rsid w:val="00BA602C"/>
    <w:rsid w:val="00BA6512"/>
    <w:rsid w:val="00BA6B62"/>
    <w:rsid w:val="00BA7943"/>
    <w:rsid w:val="00BB1015"/>
    <w:rsid w:val="00BB1028"/>
    <w:rsid w:val="00BB1886"/>
    <w:rsid w:val="00BB1A61"/>
    <w:rsid w:val="00BB3474"/>
    <w:rsid w:val="00BB36EB"/>
    <w:rsid w:val="00BB377E"/>
    <w:rsid w:val="00BB3B36"/>
    <w:rsid w:val="00BB41DB"/>
    <w:rsid w:val="00BB5A32"/>
    <w:rsid w:val="00BB5E00"/>
    <w:rsid w:val="00BB6503"/>
    <w:rsid w:val="00BB673F"/>
    <w:rsid w:val="00BB67B6"/>
    <w:rsid w:val="00BB69FD"/>
    <w:rsid w:val="00BB7632"/>
    <w:rsid w:val="00BC0558"/>
    <w:rsid w:val="00BC0925"/>
    <w:rsid w:val="00BC0C7E"/>
    <w:rsid w:val="00BC0E2E"/>
    <w:rsid w:val="00BC1709"/>
    <w:rsid w:val="00BC18C8"/>
    <w:rsid w:val="00BC1D18"/>
    <w:rsid w:val="00BC3112"/>
    <w:rsid w:val="00BC3503"/>
    <w:rsid w:val="00BC3563"/>
    <w:rsid w:val="00BC3A7F"/>
    <w:rsid w:val="00BC40AD"/>
    <w:rsid w:val="00BC45B3"/>
    <w:rsid w:val="00BC47CF"/>
    <w:rsid w:val="00BC4D52"/>
    <w:rsid w:val="00BC528E"/>
    <w:rsid w:val="00BC6828"/>
    <w:rsid w:val="00BC6BC7"/>
    <w:rsid w:val="00BC6CF6"/>
    <w:rsid w:val="00BC6E27"/>
    <w:rsid w:val="00BC79D4"/>
    <w:rsid w:val="00BD0D98"/>
    <w:rsid w:val="00BD1411"/>
    <w:rsid w:val="00BD14FA"/>
    <w:rsid w:val="00BD178D"/>
    <w:rsid w:val="00BD2DBF"/>
    <w:rsid w:val="00BD39AC"/>
    <w:rsid w:val="00BD3C3E"/>
    <w:rsid w:val="00BD435F"/>
    <w:rsid w:val="00BD4574"/>
    <w:rsid w:val="00BD4A4B"/>
    <w:rsid w:val="00BD4A8B"/>
    <w:rsid w:val="00BD4C2E"/>
    <w:rsid w:val="00BD53F4"/>
    <w:rsid w:val="00BD5DFA"/>
    <w:rsid w:val="00BD6437"/>
    <w:rsid w:val="00BD6929"/>
    <w:rsid w:val="00BD6D3D"/>
    <w:rsid w:val="00BD7CCD"/>
    <w:rsid w:val="00BE0D85"/>
    <w:rsid w:val="00BE1711"/>
    <w:rsid w:val="00BE3D09"/>
    <w:rsid w:val="00BE3FCA"/>
    <w:rsid w:val="00BE41FB"/>
    <w:rsid w:val="00BE530D"/>
    <w:rsid w:val="00BE74E8"/>
    <w:rsid w:val="00BE76AC"/>
    <w:rsid w:val="00BE7F3F"/>
    <w:rsid w:val="00BF1061"/>
    <w:rsid w:val="00BF1633"/>
    <w:rsid w:val="00BF1F28"/>
    <w:rsid w:val="00BF2530"/>
    <w:rsid w:val="00BF2B16"/>
    <w:rsid w:val="00BF2E3A"/>
    <w:rsid w:val="00BF3523"/>
    <w:rsid w:val="00BF35CC"/>
    <w:rsid w:val="00BF41B8"/>
    <w:rsid w:val="00BF4FFC"/>
    <w:rsid w:val="00BF573A"/>
    <w:rsid w:val="00BF62EC"/>
    <w:rsid w:val="00BF688B"/>
    <w:rsid w:val="00BF6D07"/>
    <w:rsid w:val="00BF75C4"/>
    <w:rsid w:val="00BF75F5"/>
    <w:rsid w:val="00BF7B8A"/>
    <w:rsid w:val="00C00F7E"/>
    <w:rsid w:val="00C0139F"/>
    <w:rsid w:val="00C01441"/>
    <w:rsid w:val="00C02029"/>
    <w:rsid w:val="00C02E38"/>
    <w:rsid w:val="00C043F4"/>
    <w:rsid w:val="00C049FF"/>
    <w:rsid w:val="00C04D7B"/>
    <w:rsid w:val="00C04D8D"/>
    <w:rsid w:val="00C05F3B"/>
    <w:rsid w:val="00C05F6C"/>
    <w:rsid w:val="00C06189"/>
    <w:rsid w:val="00C06623"/>
    <w:rsid w:val="00C070A0"/>
    <w:rsid w:val="00C07E52"/>
    <w:rsid w:val="00C1026B"/>
    <w:rsid w:val="00C1068D"/>
    <w:rsid w:val="00C120DC"/>
    <w:rsid w:val="00C12302"/>
    <w:rsid w:val="00C12878"/>
    <w:rsid w:val="00C13098"/>
    <w:rsid w:val="00C13671"/>
    <w:rsid w:val="00C13E8E"/>
    <w:rsid w:val="00C1491F"/>
    <w:rsid w:val="00C15487"/>
    <w:rsid w:val="00C16731"/>
    <w:rsid w:val="00C16CD6"/>
    <w:rsid w:val="00C1716E"/>
    <w:rsid w:val="00C179EA"/>
    <w:rsid w:val="00C202E1"/>
    <w:rsid w:val="00C208C3"/>
    <w:rsid w:val="00C2130B"/>
    <w:rsid w:val="00C22C7F"/>
    <w:rsid w:val="00C22F0F"/>
    <w:rsid w:val="00C24874"/>
    <w:rsid w:val="00C24BD6"/>
    <w:rsid w:val="00C24BFA"/>
    <w:rsid w:val="00C24C29"/>
    <w:rsid w:val="00C2522E"/>
    <w:rsid w:val="00C25C20"/>
    <w:rsid w:val="00C270A4"/>
    <w:rsid w:val="00C27183"/>
    <w:rsid w:val="00C2723C"/>
    <w:rsid w:val="00C2725E"/>
    <w:rsid w:val="00C2787A"/>
    <w:rsid w:val="00C27CCC"/>
    <w:rsid w:val="00C301C9"/>
    <w:rsid w:val="00C3033D"/>
    <w:rsid w:val="00C308DC"/>
    <w:rsid w:val="00C30ED8"/>
    <w:rsid w:val="00C322E3"/>
    <w:rsid w:val="00C323B6"/>
    <w:rsid w:val="00C33165"/>
    <w:rsid w:val="00C33404"/>
    <w:rsid w:val="00C33703"/>
    <w:rsid w:val="00C34E2B"/>
    <w:rsid w:val="00C353B8"/>
    <w:rsid w:val="00C360EF"/>
    <w:rsid w:val="00C36459"/>
    <w:rsid w:val="00C3689E"/>
    <w:rsid w:val="00C36E60"/>
    <w:rsid w:val="00C36F27"/>
    <w:rsid w:val="00C370B9"/>
    <w:rsid w:val="00C375A0"/>
    <w:rsid w:val="00C3771F"/>
    <w:rsid w:val="00C40266"/>
    <w:rsid w:val="00C408C2"/>
    <w:rsid w:val="00C41090"/>
    <w:rsid w:val="00C41559"/>
    <w:rsid w:val="00C41735"/>
    <w:rsid w:val="00C41901"/>
    <w:rsid w:val="00C419F2"/>
    <w:rsid w:val="00C41B82"/>
    <w:rsid w:val="00C42879"/>
    <w:rsid w:val="00C441AC"/>
    <w:rsid w:val="00C441D6"/>
    <w:rsid w:val="00C442CE"/>
    <w:rsid w:val="00C44D30"/>
    <w:rsid w:val="00C45A0D"/>
    <w:rsid w:val="00C464EA"/>
    <w:rsid w:val="00C465F4"/>
    <w:rsid w:val="00C50897"/>
    <w:rsid w:val="00C50C45"/>
    <w:rsid w:val="00C50D9D"/>
    <w:rsid w:val="00C52AD8"/>
    <w:rsid w:val="00C52D16"/>
    <w:rsid w:val="00C52D56"/>
    <w:rsid w:val="00C530BF"/>
    <w:rsid w:val="00C5394A"/>
    <w:rsid w:val="00C53963"/>
    <w:rsid w:val="00C53D7E"/>
    <w:rsid w:val="00C53DA0"/>
    <w:rsid w:val="00C53F46"/>
    <w:rsid w:val="00C5405B"/>
    <w:rsid w:val="00C54114"/>
    <w:rsid w:val="00C54B41"/>
    <w:rsid w:val="00C54D75"/>
    <w:rsid w:val="00C54DC6"/>
    <w:rsid w:val="00C55F9D"/>
    <w:rsid w:val="00C5604D"/>
    <w:rsid w:val="00C56791"/>
    <w:rsid w:val="00C56B77"/>
    <w:rsid w:val="00C56DA6"/>
    <w:rsid w:val="00C57446"/>
    <w:rsid w:val="00C60932"/>
    <w:rsid w:val="00C60951"/>
    <w:rsid w:val="00C61040"/>
    <w:rsid w:val="00C61C8F"/>
    <w:rsid w:val="00C61DB4"/>
    <w:rsid w:val="00C61E86"/>
    <w:rsid w:val="00C62459"/>
    <w:rsid w:val="00C63838"/>
    <w:rsid w:val="00C63D6B"/>
    <w:rsid w:val="00C641FD"/>
    <w:rsid w:val="00C64B33"/>
    <w:rsid w:val="00C64F3D"/>
    <w:rsid w:val="00C65EFB"/>
    <w:rsid w:val="00C6671E"/>
    <w:rsid w:val="00C67247"/>
    <w:rsid w:val="00C67E7D"/>
    <w:rsid w:val="00C700CC"/>
    <w:rsid w:val="00C70A16"/>
    <w:rsid w:val="00C713CD"/>
    <w:rsid w:val="00C717FF"/>
    <w:rsid w:val="00C71D4C"/>
    <w:rsid w:val="00C72383"/>
    <w:rsid w:val="00C72688"/>
    <w:rsid w:val="00C73193"/>
    <w:rsid w:val="00C75273"/>
    <w:rsid w:val="00C7592A"/>
    <w:rsid w:val="00C75F8F"/>
    <w:rsid w:val="00C7603B"/>
    <w:rsid w:val="00C761B1"/>
    <w:rsid w:val="00C76F9C"/>
    <w:rsid w:val="00C77EBC"/>
    <w:rsid w:val="00C80E51"/>
    <w:rsid w:val="00C81A54"/>
    <w:rsid w:val="00C82B55"/>
    <w:rsid w:val="00C845BF"/>
    <w:rsid w:val="00C849E6"/>
    <w:rsid w:val="00C84A3A"/>
    <w:rsid w:val="00C84EAE"/>
    <w:rsid w:val="00C85A2E"/>
    <w:rsid w:val="00C87188"/>
    <w:rsid w:val="00C87568"/>
    <w:rsid w:val="00C877E4"/>
    <w:rsid w:val="00C909B6"/>
    <w:rsid w:val="00C90C8A"/>
    <w:rsid w:val="00C90E78"/>
    <w:rsid w:val="00C91C80"/>
    <w:rsid w:val="00C92055"/>
    <w:rsid w:val="00C93878"/>
    <w:rsid w:val="00C93AF8"/>
    <w:rsid w:val="00C93F70"/>
    <w:rsid w:val="00C9583A"/>
    <w:rsid w:val="00C96247"/>
    <w:rsid w:val="00CA03DE"/>
    <w:rsid w:val="00CA042E"/>
    <w:rsid w:val="00CA109F"/>
    <w:rsid w:val="00CA2251"/>
    <w:rsid w:val="00CA28A2"/>
    <w:rsid w:val="00CA28B3"/>
    <w:rsid w:val="00CA28DC"/>
    <w:rsid w:val="00CA29E6"/>
    <w:rsid w:val="00CA395A"/>
    <w:rsid w:val="00CA397C"/>
    <w:rsid w:val="00CA398E"/>
    <w:rsid w:val="00CA4721"/>
    <w:rsid w:val="00CA60A9"/>
    <w:rsid w:val="00CA754D"/>
    <w:rsid w:val="00CB0207"/>
    <w:rsid w:val="00CB04A3"/>
    <w:rsid w:val="00CB08A5"/>
    <w:rsid w:val="00CB09D9"/>
    <w:rsid w:val="00CB0ABC"/>
    <w:rsid w:val="00CB1160"/>
    <w:rsid w:val="00CB14A5"/>
    <w:rsid w:val="00CB2440"/>
    <w:rsid w:val="00CB29D8"/>
    <w:rsid w:val="00CB2DA0"/>
    <w:rsid w:val="00CB351C"/>
    <w:rsid w:val="00CB3A0A"/>
    <w:rsid w:val="00CB4796"/>
    <w:rsid w:val="00CB4F73"/>
    <w:rsid w:val="00CB528B"/>
    <w:rsid w:val="00CB5B31"/>
    <w:rsid w:val="00CB6499"/>
    <w:rsid w:val="00CB72CC"/>
    <w:rsid w:val="00CC020C"/>
    <w:rsid w:val="00CC0249"/>
    <w:rsid w:val="00CC0CAE"/>
    <w:rsid w:val="00CC2645"/>
    <w:rsid w:val="00CC2AE8"/>
    <w:rsid w:val="00CC2D4F"/>
    <w:rsid w:val="00CC3814"/>
    <w:rsid w:val="00CC3BAC"/>
    <w:rsid w:val="00CC4218"/>
    <w:rsid w:val="00CC45C8"/>
    <w:rsid w:val="00CC46A2"/>
    <w:rsid w:val="00CC4DB3"/>
    <w:rsid w:val="00CC6ADB"/>
    <w:rsid w:val="00CC76F1"/>
    <w:rsid w:val="00CD09BA"/>
    <w:rsid w:val="00CD1361"/>
    <w:rsid w:val="00CD2074"/>
    <w:rsid w:val="00CD29BB"/>
    <w:rsid w:val="00CD480E"/>
    <w:rsid w:val="00CD50B4"/>
    <w:rsid w:val="00CD511D"/>
    <w:rsid w:val="00CD52B0"/>
    <w:rsid w:val="00CD5995"/>
    <w:rsid w:val="00CD6278"/>
    <w:rsid w:val="00CD77DD"/>
    <w:rsid w:val="00CD7C3D"/>
    <w:rsid w:val="00CE154C"/>
    <w:rsid w:val="00CE1926"/>
    <w:rsid w:val="00CE2415"/>
    <w:rsid w:val="00CE30E4"/>
    <w:rsid w:val="00CE334A"/>
    <w:rsid w:val="00CE3415"/>
    <w:rsid w:val="00CE349A"/>
    <w:rsid w:val="00CE3670"/>
    <w:rsid w:val="00CE3BAA"/>
    <w:rsid w:val="00CE3C2A"/>
    <w:rsid w:val="00CE3C34"/>
    <w:rsid w:val="00CE4804"/>
    <w:rsid w:val="00CE5094"/>
    <w:rsid w:val="00CE5A79"/>
    <w:rsid w:val="00CE6FFA"/>
    <w:rsid w:val="00CE7AFB"/>
    <w:rsid w:val="00CE7B5E"/>
    <w:rsid w:val="00CF01A5"/>
    <w:rsid w:val="00CF0300"/>
    <w:rsid w:val="00CF03AB"/>
    <w:rsid w:val="00CF12FA"/>
    <w:rsid w:val="00CF2AC9"/>
    <w:rsid w:val="00CF3201"/>
    <w:rsid w:val="00CF3335"/>
    <w:rsid w:val="00CF3551"/>
    <w:rsid w:val="00CF4195"/>
    <w:rsid w:val="00CF434B"/>
    <w:rsid w:val="00CF443C"/>
    <w:rsid w:val="00CF4AC6"/>
    <w:rsid w:val="00CF51F9"/>
    <w:rsid w:val="00CF5430"/>
    <w:rsid w:val="00CF5C98"/>
    <w:rsid w:val="00CF6137"/>
    <w:rsid w:val="00CF7ED8"/>
    <w:rsid w:val="00D00B6F"/>
    <w:rsid w:val="00D0116F"/>
    <w:rsid w:val="00D016C2"/>
    <w:rsid w:val="00D01CE1"/>
    <w:rsid w:val="00D02233"/>
    <w:rsid w:val="00D02DF7"/>
    <w:rsid w:val="00D03AAF"/>
    <w:rsid w:val="00D041EB"/>
    <w:rsid w:val="00D04436"/>
    <w:rsid w:val="00D04813"/>
    <w:rsid w:val="00D05AA1"/>
    <w:rsid w:val="00D1042B"/>
    <w:rsid w:val="00D10A6C"/>
    <w:rsid w:val="00D1108C"/>
    <w:rsid w:val="00D11701"/>
    <w:rsid w:val="00D11F12"/>
    <w:rsid w:val="00D11FC3"/>
    <w:rsid w:val="00D12013"/>
    <w:rsid w:val="00D1219D"/>
    <w:rsid w:val="00D1265B"/>
    <w:rsid w:val="00D1274F"/>
    <w:rsid w:val="00D12C95"/>
    <w:rsid w:val="00D152BA"/>
    <w:rsid w:val="00D15990"/>
    <w:rsid w:val="00D1663C"/>
    <w:rsid w:val="00D169C8"/>
    <w:rsid w:val="00D16AD8"/>
    <w:rsid w:val="00D179EB"/>
    <w:rsid w:val="00D17E8F"/>
    <w:rsid w:val="00D20757"/>
    <w:rsid w:val="00D20C9E"/>
    <w:rsid w:val="00D21FBE"/>
    <w:rsid w:val="00D22194"/>
    <w:rsid w:val="00D224B5"/>
    <w:rsid w:val="00D22A51"/>
    <w:rsid w:val="00D22E6F"/>
    <w:rsid w:val="00D23ACF"/>
    <w:rsid w:val="00D241E1"/>
    <w:rsid w:val="00D24649"/>
    <w:rsid w:val="00D24931"/>
    <w:rsid w:val="00D24A16"/>
    <w:rsid w:val="00D25B92"/>
    <w:rsid w:val="00D26DA6"/>
    <w:rsid w:val="00D270D6"/>
    <w:rsid w:val="00D27368"/>
    <w:rsid w:val="00D274CA"/>
    <w:rsid w:val="00D2758F"/>
    <w:rsid w:val="00D276EB"/>
    <w:rsid w:val="00D30389"/>
    <w:rsid w:val="00D304BF"/>
    <w:rsid w:val="00D30E62"/>
    <w:rsid w:val="00D312CB"/>
    <w:rsid w:val="00D31CA5"/>
    <w:rsid w:val="00D32614"/>
    <w:rsid w:val="00D32784"/>
    <w:rsid w:val="00D32E93"/>
    <w:rsid w:val="00D33699"/>
    <w:rsid w:val="00D33C1E"/>
    <w:rsid w:val="00D33F51"/>
    <w:rsid w:val="00D34417"/>
    <w:rsid w:val="00D36D44"/>
    <w:rsid w:val="00D40631"/>
    <w:rsid w:val="00D408CF"/>
    <w:rsid w:val="00D40A42"/>
    <w:rsid w:val="00D40C69"/>
    <w:rsid w:val="00D41570"/>
    <w:rsid w:val="00D41678"/>
    <w:rsid w:val="00D416B5"/>
    <w:rsid w:val="00D41C3D"/>
    <w:rsid w:val="00D42D33"/>
    <w:rsid w:val="00D42E68"/>
    <w:rsid w:val="00D43A61"/>
    <w:rsid w:val="00D4498F"/>
    <w:rsid w:val="00D45B02"/>
    <w:rsid w:val="00D4696F"/>
    <w:rsid w:val="00D469E5"/>
    <w:rsid w:val="00D46FD0"/>
    <w:rsid w:val="00D47EB3"/>
    <w:rsid w:val="00D47F64"/>
    <w:rsid w:val="00D50C9B"/>
    <w:rsid w:val="00D51DF0"/>
    <w:rsid w:val="00D528B7"/>
    <w:rsid w:val="00D53551"/>
    <w:rsid w:val="00D53DDC"/>
    <w:rsid w:val="00D53EE1"/>
    <w:rsid w:val="00D54707"/>
    <w:rsid w:val="00D5478E"/>
    <w:rsid w:val="00D54E53"/>
    <w:rsid w:val="00D550F9"/>
    <w:rsid w:val="00D554C1"/>
    <w:rsid w:val="00D555ED"/>
    <w:rsid w:val="00D55E38"/>
    <w:rsid w:val="00D56498"/>
    <w:rsid w:val="00D56574"/>
    <w:rsid w:val="00D56D5E"/>
    <w:rsid w:val="00D56F42"/>
    <w:rsid w:val="00D57593"/>
    <w:rsid w:val="00D57998"/>
    <w:rsid w:val="00D60AA1"/>
    <w:rsid w:val="00D60C87"/>
    <w:rsid w:val="00D6157F"/>
    <w:rsid w:val="00D616C1"/>
    <w:rsid w:val="00D61F12"/>
    <w:rsid w:val="00D62ACC"/>
    <w:rsid w:val="00D62BD4"/>
    <w:rsid w:val="00D62FF4"/>
    <w:rsid w:val="00D63342"/>
    <w:rsid w:val="00D6491E"/>
    <w:rsid w:val="00D651C7"/>
    <w:rsid w:val="00D65F11"/>
    <w:rsid w:val="00D65FBD"/>
    <w:rsid w:val="00D67225"/>
    <w:rsid w:val="00D6737B"/>
    <w:rsid w:val="00D6784E"/>
    <w:rsid w:val="00D67A2F"/>
    <w:rsid w:val="00D70215"/>
    <w:rsid w:val="00D70878"/>
    <w:rsid w:val="00D71AFB"/>
    <w:rsid w:val="00D7401D"/>
    <w:rsid w:val="00D7518E"/>
    <w:rsid w:val="00D75499"/>
    <w:rsid w:val="00D7654F"/>
    <w:rsid w:val="00D76625"/>
    <w:rsid w:val="00D76B3D"/>
    <w:rsid w:val="00D775B5"/>
    <w:rsid w:val="00D806F0"/>
    <w:rsid w:val="00D8181D"/>
    <w:rsid w:val="00D81EB8"/>
    <w:rsid w:val="00D8289D"/>
    <w:rsid w:val="00D82CD0"/>
    <w:rsid w:val="00D835DE"/>
    <w:rsid w:val="00D83CE2"/>
    <w:rsid w:val="00D84085"/>
    <w:rsid w:val="00D84503"/>
    <w:rsid w:val="00D84FE4"/>
    <w:rsid w:val="00D850AF"/>
    <w:rsid w:val="00D8553F"/>
    <w:rsid w:val="00D85968"/>
    <w:rsid w:val="00D8596C"/>
    <w:rsid w:val="00D8605E"/>
    <w:rsid w:val="00D86AAD"/>
    <w:rsid w:val="00D86E6B"/>
    <w:rsid w:val="00D87FAC"/>
    <w:rsid w:val="00D9068B"/>
    <w:rsid w:val="00D908BD"/>
    <w:rsid w:val="00D90CCB"/>
    <w:rsid w:val="00D90CF9"/>
    <w:rsid w:val="00D90D0E"/>
    <w:rsid w:val="00D913C0"/>
    <w:rsid w:val="00D92130"/>
    <w:rsid w:val="00D92734"/>
    <w:rsid w:val="00D9319C"/>
    <w:rsid w:val="00D933AF"/>
    <w:rsid w:val="00D94BB1"/>
    <w:rsid w:val="00D95B3F"/>
    <w:rsid w:val="00D96472"/>
    <w:rsid w:val="00D967A0"/>
    <w:rsid w:val="00D9758E"/>
    <w:rsid w:val="00D97626"/>
    <w:rsid w:val="00D978D9"/>
    <w:rsid w:val="00D97EA9"/>
    <w:rsid w:val="00DA034F"/>
    <w:rsid w:val="00DA13C2"/>
    <w:rsid w:val="00DA181A"/>
    <w:rsid w:val="00DA1D76"/>
    <w:rsid w:val="00DA20DF"/>
    <w:rsid w:val="00DA2157"/>
    <w:rsid w:val="00DA2FB5"/>
    <w:rsid w:val="00DA39E5"/>
    <w:rsid w:val="00DA3F34"/>
    <w:rsid w:val="00DA40E9"/>
    <w:rsid w:val="00DA468C"/>
    <w:rsid w:val="00DA5303"/>
    <w:rsid w:val="00DA5B55"/>
    <w:rsid w:val="00DA5CAF"/>
    <w:rsid w:val="00DA6175"/>
    <w:rsid w:val="00DA6E61"/>
    <w:rsid w:val="00DA78DB"/>
    <w:rsid w:val="00DA7EC9"/>
    <w:rsid w:val="00DB0143"/>
    <w:rsid w:val="00DB08C8"/>
    <w:rsid w:val="00DB0ED3"/>
    <w:rsid w:val="00DB14E9"/>
    <w:rsid w:val="00DB1ED0"/>
    <w:rsid w:val="00DB3344"/>
    <w:rsid w:val="00DB364C"/>
    <w:rsid w:val="00DB394D"/>
    <w:rsid w:val="00DB58E9"/>
    <w:rsid w:val="00DB592C"/>
    <w:rsid w:val="00DB7EA8"/>
    <w:rsid w:val="00DC011A"/>
    <w:rsid w:val="00DC01DB"/>
    <w:rsid w:val="00DC05D6"/>
    <w:rsid w:val="00DC1D35"/>
    <w:rsid w:val="00DC1DC6"/>
    <w:rsid w:val="00DC1F86"/>
    <w:rsid w:val="00DC22C3"/>
    <w:rsid w:val="00DC35E5"/>
    <w:rsid w:val="00DC388C"/>
    <w:rsid w:val="00DC490B"/>
    <w:rsid w:val="00DC513F"/>
    <w:rsid w:val="00DC5631"/>
    <w:rsid w:val="00DC5A43"/>
    <w:rsid w:val="00DC5BC2"/>
    <w:rsid w:val="00DC5C1B"/>
    <w:rsid w:val="00DC6012"/>
    <w:rsid w:val="00DC6448"/>
    <w:rsid w:val="00DC66BC"/>
    <w:rsid w:val="00DC6CFD"/>
    <w:rsid w:val="00DC7CFE"/>
    <w:rsid w:val="00DC7DBE"/>
    <w:rsid w:val="00DD17F8"/>
    <w:rsid w:val="00DD1B43"/>
    <w:rsid w:val="00DD3154"/>
    <w:rsid w:val="00DD3861"/>
    <w:rsid w:val="00DD3F5C"/>
    <w:rsid w:val="00DD4321"/>
    <w:rsid w:val="00DD5045"/>
    <w:rsid w:val="00DD50DA"/>
    <w:rsid w:val="00DD5957"/>
    <w:rsid w:val="00DD59B4"/>
    <w:rsid w:val="00DD5D47"/>
    <w:rsid w:val="00DD6183"/>
    <w:rsid w:val="00DD665C"/>
    <w:rsid w:val="00DD7CB2"/>
    <w:rsid w:val="00DE0077"/>
    <w:rsid w:val="00DE04D0"/>
    <w:rsid w:val="00DE0897"/>
    <w:rsid w:val="00DE08B6"/>
    <w:rsid w:val="00DE0AF1"/>
    <w:rsid w:val="00DE0B36"/>
    <w:rsid w:val="00DE0C5D"/>
    <w:rsid w:val="00DE1403"/>
    <w:rsid w:val="00DE16B1"/>
    <w:rsid w:val="00DE2156"/>
    <w:rsid w:val="00DE268E"/>
    <w:rsid w:val="00DE32EC"/>
    <w:rsid w:val="00DE35B0"/>
    <w:rsid w:val="00DE3969"/>
    <w:rsid w:val="00DE39E0"/>
    <w:rsid w:val="00DE404E"/>
    <w:rsid w:val="00DE408E"/>
    <w:rsid w:val="00DE4C72"/>
    <w:rsid w:val="00DE5276"/>
    <w:rsid w:val="00DE575A"/>
    <w:rsid w:val="00DE5B63"/>
    <w:rsid w:val="00DE6178"/>
    <w:rsid w:val="00DE6FD0"/>
    <w:rsid w:val="00DE7081"/>
    <w:rsid w:val="00DE7810"/>
    <w:rsid w:val="00DE7EE1"/>
    <w:rsid w:val="00DF052B"/>
    <w:rsid w:val="00DF0C54"/>
    <w:rsid w:val="00DF18FC"/>
    <w:rsid w:val="00DF1B77"/>
    <w:rsid w:val="00DF1BF5"/>
    <w:rsid w:val="00DF20AC"/>
    <w:rsid w:val="00DF26E1"/>
    <w:rsid w:val="00DF2B61"/>
    <w:rsid w:val="00DF3D6F"/>
    <w:rsid w:val="00DF5E40"/>
    <w:rsid w:val="00DF5FF4"/>
    <w:rsid w:val="00DF6160"/>
    <w:rsid w:val="00DF667D"/>
    <w:rsid w:val="00DF6AC8"/>
    <w:rsid w:val="00DF70C3"/>
    <w:rsid w:val="00DF7C27"/>
    <w:rsid w:val="00E001D5"/>
    <w:rsid w:val="00E003FB"/>
    <w:rsid w:val="00E0041A"/>
    <w:rsid w:val="00E0074F"/>
    <w:rsid w:val="00E01509"/>
    <w:rsid w:val="00E0165D"/>
    <w:rsid w:val="00E02D49"/>
    <w:rsid w:val="00E02E7E"/>
    <w:rsid w:val="00E03F71"/>
    <w:rsid w:val="00E040E9"/>
    <w:rsid w:val="00E043DC"/>
    <w:rsid w:val="00E04A1E"/>
    <w:rsid w:val="00E04F72"/>
    <w:rsid w:val="00E0532E"/>
    <w:rsid w:val="00E053E5"/>
    <w:rsid w:val="00E0633C"/>
    <w:rsid w:val="00E0666F"/>
    <w:rsid w:val="00E06AEB"/>
    <w:rsid w:val="00E074F7"/>
    <w:rsid w:val="00E075C7"/>
    <w:rsid w:val="00E07B98"/>
    <w:rsid w:val="00E1097B"/>
    <w:rsid w:val="00E10A7B"/>
    <w:rsid w:val="00E11998"/>
    <w:rsid w:val="00E1255F"/>
    <w:rsid w:val="00E1279E"/>
    <w:rsid w:val="00E1281F"/>
    <w:rsid w:val="00E13070"/>
    <w:rsid w:val="00E13C8F"/>
    <w:rsid w:val="00E13F24"/>
    <w:rsid w:val="00E14986"/>
    <w:rsid w:val="00E14AD4"/>
    <w:rsid w:val="00E15DD3"/>
    <w:rsid w:val="00E1669C"/>
    <w:rsid w:val="00E16C84"/>
    <w:rsid w:val="00E173FB"/>
    <w:rsid w:val="00E1745C"/>
    <w:rsid w:val="00E17F2E"/>
    <w:rsid w:val="00E2038E"/>
    <w:rsid w:val="00E20705"/>
    <w:rsid w:val="00E20D86"/>
    <w:rsid w:val="00E20DEA"/>
    <w:rsid w:val="00E21675"/>
    <w:rsid w:val="00E21B16"/>
    <w:rsid w:val="00E22216"/>
    <w:rsid w:val="00E23935"/>
    <w:rsid w:val="00E23ACA"/>
    <w:rsid w:val="00E23B5C"/>
    <w:rsid w:val="00E23D61"/>
    <w:rsid w:val="00E240DF"/>
    <w:rsid w:val="00E24D72"/>
    <w:rsid w:val="00E256F0"/>
    <w:rsid w:val="00E2628E"/>
    <w:rsid w:val="00E26617"/>
    <w:rsid w:val="00E26825"/>
    <w:rsid w:val="00E26F4F"/>
    <w:rsid w:val="00E26F6D"/>
    <w:rsid w:val="00E27194"/>
    <w:rsid w:val="00E27548"/>
    <w:rsid w:val="00E27BD4"/>
    <w:rsid w:val="00E304ED"/>
    <w:rsid w:val="00E30F3A"/>
    <w:rsid w:val="00E31126"/>
    <w:rsid w:val="00E316F1"/>
    <w:rsid w:val="00E31E9D"/>
    <w:rsid w:val="00E32BD8"/>
    <w:rsid w:val="00E330F1"/>
    <w:rsid w:val="00E33439"/>
    <w:rsid w:val="00E34295"/>
    <w:rsid w:val="00E3446D"/>
    <w:rsid w:val="00E376A5"/>
    <w:rsid w:val="00E406AE"/>
    <w:rsid w:val="00E414BC"/>
    <w:rsid w:val="00E42D80"/>
    <w:rsid w:val="00E42F49"/>
    <w:rsid w:val="00E43458"/>
    <w:rsid w:val="00E43C92"/>
    <w:rsid w:val="00E444A9"/>
    <w:rsid w:val="00E44B88"/>
    <w:rsid w:val="00E44BF1"/>
    <w:rsid w:val="00E45334"/>
    <w:rsid w:val="00E4564D"/>
    <w:rsid w:val="00E46274"/>
    <w:rsid w:val="00E50F35"/>
    <w:rsid w:val="00E51013"/>
    <w:rsid w:val="00E52613"/>
    <w:rsid w:val="00E52FE2"/>
    <w:rsid w:val="00E538DA"/>
    <w:rsid w:val="00E53A48"/>
    <w:rsid w:val="00E53F9C"/>
    <w:rsid w:val="00E54CFE"/>
    <w:rsid w:val="00E54F1D"/>
    <w:rsid w:val="00E558BE"/>
    <w:rsid w:val="00E56877"/>
    <w:rsid w:val="00E570B0"/>
    <w:rsid w:val="00E57128"/>
    <w:rsid w:val="00E572B6"/>
    <w:rsid w:val="00E57384"/>
    <w:rsid w:val="00E576A7"/>
    <w:rsid w:val="00E579C1"/>
    <w:rsid w:val="00E57E6D"/>
    <w:rsid w:val="00E601E2"/>
    <w:rsid w:val="00E6069E"/>
    <w:rsid w:val="00E61D4B"/>
    <w:rsid w:val="00E62485"/>
    <w:rsid w:val="00E62A17"/>
    <w:rsid w:val="00E62D61"/>
    <w:rsid w:val="00E644AD"/>
    <w:rsid w:val="00E644D7"/>
    <w:rsid w:val="00E64937"/>
    <w:rsid w:val="00E65B11"/>
    <w:rsid w:val="00E668F4"/>
    <w:rsid w:val="00E67279"/>
    <w:rsid w:val="00E67381"/>
    <w:rsid w:val="00E6772F"/>
    <w:rsid w:val="00E67814"/>
    <w:rsid w:val="00E67A80"/>
    <w:rsid w:val="00E709DF"/>
    <w:rsid w:val="00E70EC2"/>
    <w:rsid w:val="00E7110D"/>
    <w:rsid w:val="00E7238C"/>
    <w:rsid w:val="00E724AC"/>
    <w:rsid w:val="00E726C7"/>
    <w:rsid w:val="00E72821"/>
    <w:rsid w:val="00E729AE"/>
    <w:rsid w:val="00E72B07"/>
    <w:rsid w:val="00E72FE7"/>
    <w:rsid w:val="00E73136"/>
    <w:rsid w:val="00E738A9"/>
    <w:rsid w:val="00E73BEB"/>
    <w:rsid w:val="00E73E91"/>
    <w:rsid w:val="00E73F3F"/>
    <w:rsid w:val="00E7478E"/>
    <w:rsid w:val="00E748CA"/>
    <w:rsid w:val="00E74919"/>
    <w:rsid w:val="00E74FC8"/>
    <w:rsid w:val="00E7547D"/>
    <w:rsid w:val="00E75521"/>
    <w:rsid w:val="00E75C2D"/>
    <w:rsid w:val="00E763AD"/>
    <w:rsid w:val="00E76908"/>
    <w:rsid w:val="00E812C6"/>
    <w:rsid w:val="00E81637"/>
    <w:rsid w:val="00E81A67"/>
    <w:rsid w:val="00E82D1D"/>
    <w:rsid w:val="00E82F01"/>
    <w:rsid w:val="00E82FDA"/>
    <w:rsid w:val="00E8308C"/>
    <w:rsid w:val="00E83931"/>
    <w:rsid w:val="00E842A7"/>
    <w:rsid w:val="00E84F3A"/>
    <w:rsid w:val="00E85571"/>
    <w:rsid w:val="00E85C24"/>
    <w:rsid w:val="00E86016"/>
    <w:rsid w:val="00E86200"/>
    <w:rsid w:val="00E863D3"/>
    <w:rsid w:val="00E87239"/>
    <w:rsid w:val="00E87941"/>
    <w:rsid w:val="00E90234"/>
    <w:rsid w:val="00E90538"/>
    <w:rsid w:val="00E905E9"/>
    <w:rsid w:val="00E90E2E"/>
    <w:rsid w:val="00E90F35"/>
    <w:rsid w:val="00E91B31"/>
    <w:rsid w:val="00E91B45"/>
    <w:rsid w:val="00E91DDD"/>
    <w:rsid w:val="00E91E3D"/>
    <w:rsid w:val="00E92072"/>
    <w:rsid w:val="00E92186"/>
    <w:rsid w:val="00E93D1E"/>
    <w:rsid w:val="00E94020"/>
    <w:rsid w:val="00E9431D"/>
    <w:rsid w:val="00E95187"/>
    <w:rsid w:val="00E95C65"/>
    <w:rsid w:val="00EA0225"/>
    <w:rsid w:val="00EA025B"/>
    <w:rsid w:val="00EA05E0"/>
    <w:rsid w:val="00EA070E"/>
    <w:rsid w:val="00EA0C09"/>
    <w:rsid w:val="00EA0F04"/>
    <w:rsid w:val="00EA11F7"/>
    <w:rsid w:val="00EA175A"/>
    <w:rsid w:val="00EA27CF"/>
    <w:rsid w:val="00EA2BCE"/>
    <w:rsid w:val="00EA6969"/>
    <w:rsid w:val="00EB00C5"/>
    <w:rsid w:val="00EB0A2D"/>
    <w:rsid w:val="00EB1E6F"/>
    <w:rsid w:val="00EB1E8F"/>
    <w:rsid w:val="00EB2928"/>
    <w:rsid w:val="00EB318F"/>
    <w:rsid w:val="00EB3356"/>
    <w:rsid w:val="00EB3A8F"/>
    <w:rsid w:val="00EB4FCF"/>
    <w:rsid w:val="00EB51D5"/>
    <w:rsid w:val="00EB6943"/>
    <w:rsid w:val="00EB6BB2"/>
    <w:rsid w:val="00EB7033"/>
    <w:rsid w:val="00EC0091"/>
    <w:rsid w:val="00EC0676"/>
    <w:rsid w:val="00EC0C82"/>
    <w:rsid w:val="00EC13E6"/>
    <w:rsid w:val="00EC1BBA"/>
    <w:rsid w:val="00EC2A16"/>
    <w:rsid w:val="00EC2CBB"/>
    <w:rsid w:val="00EC3A53"/>
    <w:rsid w:val="00EC3EBB"/>
    <w:rsid w:val="00EC4749"/>
    <w:rsid w:val="00EC5E06"/>
    <w:rsid w:val="00EC6419"/>
    <w:rsid w:val="00EC68C9"/>
    <w:rsid w:val="00EC6DD0"/>
    <w:rsid w:val="00EC70D7"/>
    <w:rsid w:val="00EC7363"/>
    <w:rsid w:val="00EC7F3C"/>
    <w:rsid w:val="00ED0DD4"/>
    <w:rsid w:val="00ED0ED1"/>
    <w:rsid w:val="00ED1205"/>
    <w:rsid w:val="00ED275F"/>
    <w:rsid w:val="00ED3A39"/>
    <w:rsid w:val="00ED3BCC"/>
    <w:rsid w:val="00ED5111"/>
    <w:rsid w:val="00ED522E"/>
    <w:rsid w:val="00ED6025"/>
    <w:rsid w:val="00ED699E"/>
    <w:rsid w:val="00ED6E19"/>
    <w:rsid w:val="00ED73D4"/>
    <w:rsid w:val="00EE0EF0"/>
    <w:rsid w:val="00EE12A7"/>
    <w:rsid w:val="00EE140A"/>
    <w:rsid w:val="00EE1D2A"/>
    <w:rsid w:val="00EE3A0D"/>
    <w:rsid w:val="00EE5295"/>
    <w:rsid w:val="00EE53E9"/>
    <w:rsid w:val="00EE57FA"/>
    <w:rsid w:val="00EE5D0A"/>
    <w:rsid w:val="00EE67EF"/>
    <w:rsid w:val="00EE7167"/>
    <w:rsid w:val="00EE7BC9"/>
    <w:rsid w:val="00EE7F8B"/>
    <w:rsid w:val="00EF01F7"/>
    <w:rsid w:val="00EF1CF7"/>
    <w:rsid w:val="00EF20A7"/>
    <w:rsid w:val="00EF21C0"/>
    <w:rsid w:val="00EF2458"/>
    <w:rsid w:val="00EF3053"/>
    <w:rsid w:val="00EF30F8"/>
    <w:rsid w:val="00EF43A5"/>
    <w:rsid w:val="00EF554F"/>
    <w:rsid w:val="00EF6D82"/>
    <w:rsid w:val="00EF6F94"/>
    <w:rsid w:val="00EF6FA1"/>
    <w:rsid w:val="00F000A9"/>
    <w:rsid w:val="00F0037C"/>
    <w:rsid w:val="00F00C21"/>
    <w:rsid w:val="00F013CC"/>
    <w:rsid w:val="00F02060"/>
    <w:rsid w:val="00F0216B"/>
    <w:rsid w:val="00F032CE"/>
    <w:rsid w:val="00F035A1"/>
    <w:rsid w:val="00F0373A"/>
    <w:rsid w:val="00F038AE"/>
    <w:rsid w:val="00F03990"/>
    <w:rsid w:val="00F03DE6"/>
    <w:rsid w:val="00F04AA0"/>
    <w:rsid w:val="00F075E0"/>
    <w:rsid w:val="00F07E1E"/>
    <w:rsid w:val="00F07EF9"/>
    <w:rsid w:val="00F104C4"/>
    <w:rsid w:val="00F112E1"/>
    <w:rsid w:val="00F114E3"/>
    <w:rsid w:val="00F116FC"/>
    <w:rsid w:val="00F11821"/>
    <w:rsid w:val="00F11E68"/>
    <w:rsid w:val="00F126E5"/>
    <w:rsid w:val="00F133AF"/>
    <w:rsid w:val="00F13A0C"/>
    <w:rsid w:val="00F14E19"/>
    <w:rsid w:val="00F14FCE"/>
    <w:rsid w:val="00F1591A"/>
    <w:rsid w:val="00F15C4C"/>
    <w:rsid w:val="00F16590"/>
    <w:rsid w:val="00F16681"/>
    <w:rsid w:val="00F16DDD"/>
    <w:rsid w:val="00F172E9"/>
    <w:rsid w:val="00F173F1"/>
    <w:rsid w:val="00F17C55"/>
    <w:rsid w:val="00F20279"/>
    <w:rsid w:val="00F20395"/>
    <w:rsid w:val="00F22CCA"/>
    <w:rsid w:val="00F22D8F"/>
    <w:rsid w:val="00F23EB0"/>
    <w:rsid w:val="00F2438A"/>
    <w:rsid w:val="00F244D9"/>
    <w:rsid w:val="00F244E1"/>
    <w:rsid w:val="00F24749"/>
    <w:rsid w:val="00F24D13"/>
    <w:rsid w:val="00F25626"/>
    <w:rsid w:val="00F258F7"/>
    <w:rsid w:val="00F25A5D"/>
    <w:rsid w:val="00F265D0"/>
    <w:rsid w:val="00F27223"/>
    <w:rsid w:val="00F306C7"/>
    <w:rsid w:val="00F306C9"/>
    <w:rsid w:val="00F30AEB"/>
    <w:rsid w:val="00F31194"/>
    <w:rsid w:val="00F3222A"/>
    <w:rsid w:val="00F32842"/>
    <w:rsid w:val="00F3352D"/>
    <w:rsid w:val="00F34F16"/>
    <w:rsid w:val="00F3518F"/>
    <w:rsid w:val="00F354FF"/>
    <w:rsid w:val="00F3568F"/>
    <w:rsid w:val="00F366BD"/>
    <w:rsid w:val="00F3687E"/>
    <w:rsid w:val="00F36A92"/>
    <w:rsid w:val="00F36FAB"/>
    <w:rsid w:val="00F3732B"/>
    <w:rsid w:val="00F37F44"/>
    <w:rsid w:val="00F40C24"/>
    <w:rsid w:val="00F420D0"/>
    <w:rsid w:val="00F4250E"/>
    <w:rsid w:val="00F42963"/>
    <w:rsid w:val="00F43709"/>
    <w:rsid w:val="00F439EF"/>
    <w:rsid w:val="00F43DB5"/>
    <w:rsid w:val="00F4438F"/>
    <w:rsid w:val="00F4442A"/>
    <w:rsid w:val="00F44C19"/>
    <w:rsid w:val="00F452A2"/>
    <w:rsid w:val="00F45407"/>
    <w:rsid w:val="00F46039"/>
    <w:rsid w:val="00F463DA"/>
    <w:rsid w:val="00F47DD6"/>
    <w:rsid w:val="00F47DFC"/>
    <w:rsid w:val="00F5009C"/>
    <w:rsid w:val="00F503CE"/>
    <w:rsid w:val="00F5041A"/>
    <w:rsid w:val="00F51013"/>
    <w:rsid w:val="00F51588"/>
    <w:rsid w:val="00F5182F"/>
    <w:rsid w:val="00F51ADD"/>
    <w:rsid w:val="00F5217E"/>
    <w:rsid w:val="00F52BF0"/>
    <w:rsid w:val="00F534F7"/>
    <w:rsid w:val="00F53C7F"/>
    <w:rsid w:val="00F54869"/>
    <w:rsid w:val="00F5531E"/>
    <w:rsid w:val="00F559EB"/>
    <w:rsid w:val="00F55D41"/>
    <w:rsid w:val="00F56096"/>
    <w:rsid w:val="00F56A9F"/>
    <w:rsid w:val="00F56D36"/>
    <w:rsid w:val="00F56FD2"/>
    <w:rsid w:val="00F577C5"/>
    <w:rsid w:val="00F600ED"/>
    <w:rsid w:val="00F60839"/>
    <w:rsid w:val="00F60A9B"/>
    <w:rsid w:val="00F61B75"/>
    <w:rsid w:val="00F61F5A"/>
    <w:rsid w:val="00F623E1"/>
    <w:rsid w:val="00F62668"/>
    <w:rsid w:val="00F62E1E"/>
    <w:rsid w:val="00F6332C"/>
    <w:rsid w:val="00F63BC6"/>
    <w:rsid w:val="00F644BD"/>
    <w:rsid w:val="00F64765"/>
    <w:rsid w:val="00F66715"/>
    <w:rsid w:val="00F67509"/>
    <w:rsid w:val="00F6790E"/>
    <w:rsid w:val="00F67C18"/>
    <w:rsid w:val="00F71535"/>
    <w:rsid w:val="00F72808"/>
    <w:rsid w:val="00F72A0E"/>
    <w:rsid w:val="00F73339"/>
    <w:rsid w:val="00F74D33"/>
    <w:rsid w:val="00F75511"/>
    <w:rsid w:val="00F757A0"/>
    <w:rsid w:val="00F75943"/>
    <w:rsid w:val="00F75CE9"/>
    <w:rsid w:val="00F76747"/>
    <w:rsid w:val="00F76869"/>
    <w:rsid w:val="00F77D5D"/>
    <w:rsid w:val="00F802CD"/>
    <w:rsid w:val="00F804E0"/>
    <w:rsid w:val="00F805E7"/>
    <w:rsid w:val="00F80A95"/>
    <w:rsid w:val="00F80E65"/>
    <w:rsid w:val="00F820AF"/>
    <w:rsid w:val="00F82424"/>
    <w:rsid w:val="00F83141"/>
    <w:rsid w:val="00F8381A"/>
    <w:rsid w:val="00F83833"/>
    <w:rsid w:val="00F84EA9"/>
    <w:rsid w:val="00F84FDD"/>
    <w:rsid w:val="00F853DF"/>
    <w:rsid w:val="00F8553B"/>
    <w:rsid w:val="00F86285"/>
    <w:rsid w:val="00F87247"/>
    <w:rsid w:val="00F90401"/>
    <w:rsid w:val="00F91128"/>
    <w:rsid w:val="00F930A6"/>
    <w:rsid w:val="00F930EB"/>
    <w:rsid w:val="00F939B9"/>
    <w:rsid w:val="00F93F39"/>
    <w:rsid w:val="00F94DD8"/>
    <w:rsid w:val="00F951A3"/>
    <w:rsid w:val="00F95843"/>
    <w:rsid w:val="00F95D31"/>
    <w:rsid w:val="00F962C6"/>
    <w:rsid w:val="00F9691C"/>
    <w:rsid w:val="00F96DB9"/>
    <w:rsid w:val="00F975AA"/>
    <w:rsid w:val="00FA07E6"/>
    <w:rsid w:val="00FA0AB5"/>
    <w:rsid w:val="00FA18CE"/>
    <w:rsid w:val="00FA1B98"/>
    <w:rsid w:val="00FA2979"/>
    <w:rsid w:val="00FA2B34"/>
    <w:rsid w:val="00FA3333"/>
    <w:rsid w:val="00FA3ACB"/>
    <w:rsid w:val="00FA501E"/>
    <w:rsid w:val="00FA530A"/>
    <w:rsid w:val="00FA57A2"/>
    <w:rsid w:val="00FA5A21"/>
    <w:rsid w:val="00FA6171"/>
    <w:rsid w:val="00FA6789"/>
    <w:rsid w:val="00FA6CD1"/>
    <w:rsid w:val="00FA70A5"/>
    <w:rsid w:val="00FA7115"/>
    <w:rsid w:val="00FA74CC"/>
    <w:rsid w:val="00FA7B14"/>
    <w:rsid w:val="00FA7B36"/>
    <w:rsid w:val="00FB0093"/>
    <w:rsid w:val="00FB0D32"/>
    <w:rsid w:val="00FB0FF9"/>
    <w:rsid w:val="00FB1028"/>
    <w:rsid w:val="00FB1215"/>
    <w:rsid w:val="00FB1617"/>
    <w:rsid w:val="00FB16E5"/>
    <w:rsid w:val="00FB213E"/>
    <w:rsid w:val="00FB2600"/>
    <w:rsid w:val="00FB30FD"/>
    <w:rsid w:val="00FB3209"/>
    <w:rsid w:val="00FB37B1"/>
    <w:rsid w:val="00FB4AC2"/>
    <w:rsid w:val="00FB4DD9"/>
    <w:rsid w:val="00FB5DE4"/>
    <w:rsid w:val="00FB65BE"/>
    <w:rsid w:val="00FB6C45"/>
    <w:rsid w:val="00FB729C"/>
    <w:rsid w:val="00FB7558"/>
    <w:rsid w:val="00FC078C"/>
    <w:rsid w:val="00FC0B21"/>
    <w:rsid w:val="00FC0EB5"/>
    <w:rsid w:val="00FC19EF"/>
    <w:rsid w:val="00FC1CA7"/>
    <w:rsid w:val="00FC228A"/>
    <w:rsid w:val="00FC2771"/>
    <w:rsid w:val="00FC3261"/>
    <w:rsid w:val="00FC3C19"/>
    <w:rsid w:val="00FC3DA7"/>
    <w:rsid w:val="00FC3FB8"/>
    <w:rsid w:val="00FC575D"/>
    <w:rsid w:val="00FC5BB3"/>
    <w:rsid w:val="00FC5EA4"/>
    <w:rsid w:val="00FC6BE0"/>
    <w:rsid w:val="00FC7CB2"/>
    <w:rsid w:val="00FD02FF"/>
    <w:rsid w:val="00FD0453"/>
    <w:rsid w:val="00FD0A01"/>
    <w:rsid w:val="00FD1F41"/>
    <w:rsid w:val="00FD2132"/>
    <w:rsid w:val="00FD2D44"/>
    <w:rsid w:val="00FD3401"/>
    <w:rsid w:val="00FD4212"/>
    <w:rsid w:val="00FD4875"/>
    <w:rsid w:val="00FD493E"/>
    <w:rsid w:val="00FD4AD5"/>
    <w:rsid w:val="00FD4EAE"/>
    <w:rsid w:val="00FD6546"/>
    <w:rsid w:val="00FD6661"/>
    <w:rsid w:val="00FD6D0E"/>
    <w:rsid w:val="00FD7F53"/>
    <w:rsid w:val="00FE03B1"/>
    <w:rsid w:val="00FE0737"/>
    <w:rsid w:val="00FE2432"/>
    <w:rsid w:val="00FE25AE"/>
    <w:rsid w:val="00FE2C1D"/>
    <w:rsid w:val="00FE2F4D"/>
    <w:rsid w:val="00FE347B"/>
    <w:rsid w:val="00FE362C"/>
    <w:rsid w:val="00FE41E6"/>
    <w:rsid w:val="00FE4A92"/>
    <w:rsid w:val="00FE5DFB"/>
    <w:rsid w:val="00FE6A3F"/>
    <w:rsid w:val="00FE6CBD"/>
    <w:rsid w:val="00FE6F83"/>
    <w:rsid w:val="00FE787C"/>
    <w:rsid w:val="00FF0615"/>
    <w:rsid w:val="00FF0B58"/>
    <w:rsid w:val="00FF0C5D"/>
    <w:rsid w:val="00FF2B29"/>
    <w:rsid w:val="00FF3100"/>
    <w:rsid w:val="00FF31D8"/>
    <w:rsid w:val="00FF373C"/>
    <w:rsid w:val="00FF3A58"/>
    <w:rsid w:val="00FF3E51"/>
    <w:rsid w:val="00FF43B2"/>
    <w:rsid w:val="00FF45ED"/>
    <w:rsid w:val="00FF5203"/>
    <w:rsid w:val="00FF54A4"/>
    <w:rsid w:val="00FF5B36"/>
    <w:rsid w:val="00FF63F5"/>
    <w:rsid w:val="00FF6443"/>
    <w:rsid w:val="00FF6AE6"/>
    <w:rsid w:val="00FF6D1B"/>
    <w:rsid w:val="00FF7133"/>
    <w:rsid w:val="00FF76E0"/>
    <w:rsid w:val="013B43F3"/>
    <w:rsid w:val="01CA5C7B"/>
    <w:rsid w:val="02127DAD"/>
    <w:rsid w:val="0256F792"/>
    <w:rsid w:val="02609164"/>
    <w:rsid w:val="0294480F"/>
    <w:rsid w:val="030CCB61"/>
    <w:rsid w:val="05263CBD"/>
    <w:rsid w:val="063869C5"/>
    <w:rsid w:val="080B26C3"/>
    <w:rsid w:val="0858335A"/>
    <w:rsid w:val="086FC5EA"/>
    <w:rsid w:val="08B5C60A"/>
    <w:rsid w:val="08D30E79"/>
    <w:rsid w:val="09A548EB"/>
    <w:rsid w:val="0A686CB3"/>
    <w:rsid w:val="0AC58A85"/>
    <w:rsid w:val="0AFEBC43"/>
    <w:rsid w:val="0C8BC4C9"/>
    <w:rsid w:val="0D8A5442"/>
    <w:rsid w:val="0E251960"/>
    <w:rsid w:val="0E32A145"/>
    <w:rsid w:val="0F4DC5E5"/>
    <w:rsid w:val="10F2992C"/>
    <w:rsid w:val="114F0AE4"/>
    <w:rsid w:val="11C84396"/>
    <w:rsid w:val="15B1D49A"/>
    <w:rsid w:val="16B9F4AF"/>
    <w:rsid w:val="1791AA4A"/>
    <w:rsid w:val="1B2CE680"/>
    <w:rsid w:val="1B727931"/>
    <w:rsid w:val="1DC79038"/>
    <w:rsid w:val="1E097D67"/>
    <w:rsid w:val="202C0BA9"/>
    <w:rsid w:val="20CCA75D"/>
    <w:rsid w:val="20F3F92B"/>
    <w:rsid w:val="214356C9"/>
    <w:rsid w:val="2173C761"/>
    <w:rsid w:val="2349C83E"/>
    <w:rsid w:val="2366E046"/>
    <w:rsid w:val="24D219CA"/>
    <w:rsid w:val="25867DA6"/>
    <w:rsid w:val="2594F47B"/>
    <w:rsid w:val="261F7E4E"/>
    <w:rsid w:val="264BE631"/>
    <w:rsid w:val="268DB4B2"/>
    <w:rsid w:val="2707A83D"/>
    <w:rsid w:val="2786CD00"/>
    <w:rsid w:val="2AD30C41"/>
    <w:rsid w:val="2B11D84E"/>
    <w:rsid w:val="2D450274"/>
    <w:rsid w:val="2E619987"/>
    <w:rsid w:val="303C5D9F"/>
    <w:rsid w:val="3154DFA2"/>
    <w:rsid w:val="318483E4"/>
    <w:rsid w:val="36B1F2F2"/>
    <w:rsid w:val="38FA39FC"/>
    <w:rsid w:val="3A13F404"/>
    <w:rsid w:val="3B4D81E4"/>
    <w:rsid w:val="3BDCD3A6"/>
    <w:rsid w:val="40108AEB"/>
    <w:rsid w:val="40DC48FE"/>
    <w:rsid w:val="43A5B1DC"/>
    <w:rsid w:val="4431EC18"/>
    <w:rsid w:val="44A7FC69"/>
    <w:rsid w:val="4519D7D6"/>
    <w:rsid w:val="469C7A19"/>
    <w:rsid w:val="46F63C50"/>
    <w:rsid w:val="47AB7E01"/>
    <w:rsid w:val="481B8036"/>
    <w:rsid w:val="48502D46"/>
    <w:rsid w:val="49326B5B"/>
    <w:rsid w:val="4A2E4AA2"/>
    <w:rsid w:val="4AED5D95"/>
    <w:rsid w:val="4BB2FD79"/>
    <w:rsid w:val="4D345BDB"/>
    <w:rsid w:val="4E898A69"/>
    <w:rsid w:val="4FC53C47"/>
    <w:rsid w:val="50CB77F1"/>
    <w:rsid w:val="517F20A0"/>
    <w:rsid w:val="5189BED5"/>
    <w:rsid w:val="5347D4F6"/>
    <w:rsid w:val="53AC48CA"/>
    <w:rsid w:val="5464A4E6"/>
    <w:rsid w:val="546E1B61"/>
    <w:rsid w:val="548C1213"/>
    <w:rsid w:val="5509B122"/>
    <w:rsid w:val="5531405E"/>
    <w:rsid w:val="5682DB7B"/>
    <w:rsid w:val="58140045"/>
    <w:rsid w:val="5ADC40CF"/>
    <w:rsid w:val="5BB20D05"/>
    <w:rsid w:val="5BCC2C8A"/>
    <w:rsid w:val="5EDD1B2A"/>
    <w:rsid w:val="608FEA00"/>
    <w:rsid w:val="62BBA2AA"/>
    <w:rsid w:val="637DAF94"/>
    <w:rsid w:val="63851C9E"/>
    <w:rsid w:val="63A47CD2"/>
    <w:rsid w:val="64F944EF"/>
    <w:rsid w:val="67D75F3A"/>
    <w:rsid w:val="67DC66BF"/>
    <w:rsid w:val="6A62B53C"/>
    <w:rsid w:val="6C724E22"/>
    <w:rsid w:val="6D3BFEA2"/>
    <w:rsid w:val="6DC1CA40"/>
    <w:rsid w:val="6DFA530A"/>
    <w:rsid w:val="70707695"/>
    <w:rsid w:val="70FCDFD8"/>
    <w:rsid w:val="71142023"/>
    <w:rsid w:val="71F7843A"/>
    <w:rsid w:val="745B8DE0"/>
    <w:rsid w:val="747D404F"/>
    <w:rsid w:val="74D51896"/>
    <w:rsid w:val="765B96B6"/>
    <w:rsid w:val="79C66475"/>
    <w:rsid w:val="7A05C1FA"/>
    <w:rsid w:val="7BC48D6F"/>
    <w:rsid w:val="7C1F937F"/>
    <w:rsid w:val="7C222A01"/>
    <w:rsid w:val="7CB7DB10"/>
    <w:rsid w:val="7DFAFD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F14F"/>
  <w15:docId w15:val="{5920FF59-CD8A-4279-8F86-8BD97738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B0"/>
  </w:style>
  <w:style w:type="paragraph" w:styleId="Heading1">
    <w:name w:val="heading 1"/>
    <w:basedOn w:val="Normal"/>
    <w:next w:val="Normal"/>
    <w:link w:val="Heading1Char"/>
    <w:uiPriority w:val="9"/>
    <w:qFormat/>
    <w:rsid w:val="0093651C"/>
    <w:pPr>
      <w:keepNext/>
      <w:keepLines/>
      <w:spacing w:before="240" w:after="0"/>
      <w:outlineLvl w:val="0"/>
    </w:pPr>
    <w:rPr>
      <w:rFonts w:eastAsiaTheme="majorEastAsia" w:cstheme="majorBidi"/>
      <w:b/>
      <w:color w:val="1F4E79" w:themeColor="accent5" w:themeShade="80"/>
      <w:sz w:val="28"/>
      <w:szCs w:val="32"/>
    </w:rPr>
  </w:style>
  <w:style w:type="paragraph" w:styleId="Heading2">
    <w:name w:val="heading 2"/>
    <w:basedOn w:val="Normal"/>
    <w:next w:val="Normal"/>
    <w:link w:val="Heading2Char"/>
    <w:uiPriority w:val="9"/>
    <w:unhideWhenUsed/>
    <w:qFormat/>
    <w:rsid w:val="002B05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CD62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AB0"/>
  </w:style>
  <w:style w:type="paragraph" w:styleId="NoSpacing">
    <w:name w:val="No Spacing"/>
    <w:uiPriority w:val="1"/>
    <w:qFormat/>
    <w:rsid w:val="00160AB0"/>
    <w:pPr>
      <w:spacing w:after="0" w:line="240" w:lineRule="auto"/>
    </w:pPr>
  </w:style>
  <w:style w:type="paragraph" w:styleId="FootnoteText">
    <w:name w:val="footnote text"/>
    <w:basedOn w:val="Normal"/>
    <w:link w:val="FootnoteTextChar"/>
    <w:uiPriority w:val="99"/>
    <w:unhideWhenUsed/>
    <w:rsid w:val="0017637D"/>
    <w:pPr>
      <w:spacing w:after="0" w:line="240" w:lineRule="auto"/>
    </w:pPr>
    <w:rPr>
      <w:sz w:val="20"/>
      <w:szCs w:val="20"/>
    </w:rPr>
  </w:style>
  <w:style w:type="character" w:customStyle="1" w:styleId="FootnoteTextChar">
    <w:name w:val="Footnote Text Char"/>
    <w:basedOn w:val="DefaultParagraphFont"/>
    <w:link w:val="FootnoteText"/>
    <w:uiPriority w:val="99"/>
    <w:rsid w:val="0017637D"/>
    <w:rPr>
      <w:sz w:val="20"/>
      <w:szCs w:val="20"/>
    </w:rPr>
  </w:style>
  <w:style w:type="character" w:styleId="FootnoteReference">
    <w:name w:val="footnote reference"/>
    <w:basedOn w:val="DefaultParagraphFont"/>
    <w:uiPriority w:val="99"/>
    <w:unhideWhenUsed/>
    <w:rsid w:val="0017637D"/>
    <w:rPr>
      <w:vertAlign w:val="superscript"/>
    </w:rPr>
  </w:style>
  <w:style w:type="paragraph" w:styleId="ListParagraph">
    <w:name w:val="List Paragraph"/>
    <w:basedOn w:val="Normal"/>
    <w:link w:val="ListParagraphChar"/>
    <w:uiPriority w:val="34"/>
    <w:qFormat/>
    <w:rsid w:val="005C0498"/>
    <w:pPr>
      <w:ind w:left="720"/>
      <w:contextualSpacing/>
    </w:pPr>
  </w:style>
  <w:style w:type="table" w:customStyle="1" w:styleId="GridTable4-Accent11">
    <w:name w:val="Grid Table 4 - Accent 11"/>
    <w:basedOn w:val="TableNormal"/>
    <w:uiPriority w:val="49"/>
    <w:rsid w:val="00897353"/>
    <w:pPr>
      <w:spacing w:after="0" w:line="240" w:lineRule="auto"/>
    </w:pPr>
    <w:tblPr>
      <w:tblStyleRowBandSize w:val="1"/>
      <w:tblStyleColBandSize w:val="1"/>
      <w:tblBorders>
        <w:top w:val="single" w:sz="4" w:space="0" w:color="9FACD2"/>
        <w:left w:val="single" w:sz="4" w:space="0" w:color="9FACD2"/>
        <w:bottom w:val="single" w:sz="4" w:space="0" w:color="9FACD2"/>
        <w:right w:val="single" w:sz="4" w:space="0" w:color="9FACD2"/>
        <w:insideH w:val="single" w:sz="4" w:space="0" w:color="9FACD2"/>
        <w:insideV w:val="single" w:sz="4" w:space="0" w:color="9FACD2"/>
      </w:tblBorders>
    </w:tblPr>
    <w:tblStylePr w:type="firstRow">
      <w:rPr>
        <w:b/>
        <w:bCs/>
        <w:color w:val="FFFFFF"/>
      </w:rPr>
      <w:tblPr/>
      <w:tcPr>
        <w:tcBorders>
          <w:top w:val="single" w:sz="4" w:space="0" w:color="6076B4"/>
          <w:left w:val="single" w:sz="4" w:space="0" w:color="6076B4"/>
          <w:bottom w:val="single" w:sz="4" w:space="0" w:color="6076B4"/>
          <w:right w:val="single" w:sz="4" w:space="0" w:color="6076B4"/>
          <w:insideH w:val="nil"/>
          <w:insideV w:val="nil"/>
        </w:tcBorders>
        <w:shd w:val="clear" w:color="auto" w:fill="6076B4"/>
      </w:tcPr>
    </w:tblStylePr>
    <w:tblStylePr w:type="lastRow">
      <w:rPr>
        <w:b/>
        <w:bCs/>
      </w:rPr>
      <w:tblPr/>
      <w:tcPr>
        <w:tcBorders>
          <w:top w:val="double" w:sz="4" w:space="0" w:color="6076B4"/>
        </w:tcBorders>
      </w:tcPr>
    </w:tblStylePr>
    <w:tblStylePr w:type="firstCol">
      <w:rPr>
        <w:b/>
        <w:bCs/>
      </w:rPr>
    </w:tblStylePr>
    <w:tblStylePr w:type="lastCol">
      <w:rPr>
        <w:b/>
        <w:bCs/>
      </w:rPr>
    </w:tblStylePr>
    <w:tblStylePr w:type="band1Vert">
      <w:tblPr/>
      <w:tcPr>
        <w:shd w:val="clear" w:color="auto" w:fill="DFE3F0"/>
      </w:tcPr>
    </w:tblStylePr>
    <w:tblStylePr w:type="band1Horz">
      <w:tblPr/>
      <w:tcPr>
        <w:shd w:val="clear" w:color="auto" w:fill="DFE3F0"/>
      </w:tcPr>
    </w:tblStylePr>
  </w:style>
  <w:style w:type="paragraph" w:styleId="Footer">
    <w:name w:val="footer"/>
    <w:basedOn w:val="Normal"/>
    <w:link w:val="FooterChar"/>
    <w:uiPriority w:val="99"/>
    <w:unhideWhenUsed/>
    <w:rsid w:val="003E1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CDA"/>
  </w:style>
  <w:style w:type="character" w:styleId="Hyperlink">
    <w:name w:val="Hyperlink"/>
    <w:basedOn w:val="DefaultParagraphFont"/>
    <w:uiPriority w:val="99"/>
    <w:unhideWhenUsed/>
    <w:rsid w:val="003E1CDA"/>
    <w:rPr>
      <w:color w:val="0563C1" w:themeColor="hyperlink"/>
      <w:u w:val="single"/>
    </w:rPr>
  </w:style>
  <w:style w:type="character" w:customStyle="1" w:styleId="UnresolvedMention1">
    <w:name w:val="Unresolved Mention1"/>
    <w:basedOn w:val="DefaultParagraphFont"/>
    <w:uiPriority w:val="99"/>
    <w:semiHidden/>
    <w:unhideWhenUsed/>
    <w:rsid w:val="008252E3"/>
    <w:rPr>
      <w:color w:val="605E5C"/>
      <w:shd w:val="clear" w:color="auto" w:fill="E1DFDD"/>
    </w:rPr>
  </w:style>
  <w:style w:type="character" w:styleId="CommentReference">
    <w:name w:val="annotation reference"/>
    <w:basedOn w:val="DefaultParagraphFont"/>
    <w:uiPriority w:val="99"/>
    <w:semiHidden/>
    <w:unhideWhenUsed/>
    <w:rsid w:val="00B71F50"/>
    <w:rPr>
      <w:sz w:val="16"/>
      <w:szCs w:val="16"/>
    </w:rPr>
  </w:style>
  <w:style w:type="paragraph" w:styleId="CommentText">
    <w:name w:val="annotation text"/>
    <w:basedOn w:val="Normal"/>
    <w:link w:val="CommentTextChar"/>
    <w:uiPriority w:val="99"/>
    <w:unhideWhenUsed/>
    <w:rsid w:val="00B71F50"/>
    <w:pPr>
      <w:spacing w:line="240" w:lineRule="auto"/>
    </w:pPr>
    <w:rPr>
      <w:sz w:val="20"/>
      <w:szCs w:val="20"/>
    </w:rPr>
  </w:style>
  <w:style w:type="character" w:customStyle="1" w:styleId="CommentTextChar">
    <w:name w:val="Comment Text Char"/>
    <w:basedOn w:val="DefaultParagraphFont"/>
    <w:link w:val="CommentText"/>
    <w:uiPriority w:val="99"/>
    <w:rsid w:val="00B71F50"/>
    <w:rPr>
      <w:sz w:val="20"/>
      <w:szCs w:val="20"/>
    </w:rPr>
  </w:style>
  <w:style w:type="paragraph" w:styleId="CommentSubject">
    <w:name w:val="annotation subject"/>
    <w:basedOn w:val="CommentText"/>
    <w:next w:val="CommentText"/>
    <w:link w:val="CommentSubjectChar"/>
    <w:uiPriority w:val="99"/>
    <w:semiHidden/>
    <w:unhideWhenUsed/>
    <w:rsid w:val="00B71F50"/>
    <w:rPr>
      <w:b/>
      <w:bCs/>
    </w:rPr>
  </w:style>
  <w:style w:type="character" w:customStyle="1" w:styleId="CommentSubjectChar">
    <w:name w:val="Comment Subject Char"/>
    <w:basedOn w:val="CommentTextChar"/>
    <w:link w:val="CommentSubject"/>
    <w:uiPriority w:val="99"/>
    <w:semiHidden/>
    <w:rsid w:val="00B71F50"/>
    <w:rPr>
      <w:b/>
      <w:bCs/>
      <w:sz w:val="20"/>
      <w:szCs w:val="20"/>
    </w:rPr>
  </w:style>
  <w:style w:type="paragraph" w:styleId="EndnoteText">
    <w:name w:val="endnote text"/>
    <w:basedOn w:val="Normal"/>
    <w:link w:val="EndnoteTextChar"/>
    <w:uiPriority w:val="99"/>
    <w:unhideWhenUsed/>
    <w:rsid w:val="00656A79"/>
    <w:pPr>
      <w:spacing w:after="0" w:line="240" w:lineRule="auto"/>
    </w:pPr>
    <w:rPr>
      <w:sz w:val="20"/>
      <w:szCs w:val="20"/>
    </w:rPr>
  </w:style>
  <w:style w:type="character" w:customStyle="1" w:styleId="EndnoteTextChar">
    <w:name w:val="Endnote Text Char"/>
    <w:basedOn w:val="DefaultParagraphFont"/>
    <w:link w:val="EndnoteText"/>
    <w:uiPriority w:val="99"/>
    <w:rsid w:val="00656A79"/>
    <w:rPr>
      <w:sz w:val="20"/>
      <w:szCs w:val="20"/>
    </w:rPr>
  </w:style>
  <w:style w:type="character" w:styleId="EndnoteReference">
    <w:name w:val="endnote reference"/>
    <w:basedOn w:val="DefaultParagraphFont"/>
    <w:uiPriority w:val="99"/>
    <w:semiHidden/>
    <w:unhideWhenUsed/>
    <w:rsid w:val="00656A79"/>
    <w:rPr>
      <w:vertAlign w:val="superscript"/>
    </w:rPr>
  </w:style>
  <w:style w:type="paragraph" w:styleId="PlainText">
    <w:name w:val="Plain Text"/>
    <w:basedOn w:val="Normal"/>
    <w:link w:val="PlainTextChar"/>
    <w:uiPriority w:val="99"/>
    <w:unhideWhenUsed/>
    <w:rsid w:val="00FA6CD1"/>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FA6CD1"/>
    <w:rPr>
      <w:rFonts w:ascii="Calibri" w:hAnsi="Calibri" w:cs="Calibri"/>
    </w:rPr>
  </w:style>
  <w:style w:type="paragraph" w:styleId="BalloonText">
    <w:name w:val="Balloon Text"/>
    <w:basedOn w:val="Normal"/>
    <w:link w:val="BalloonTextChar"/>
    <w:uiPriority w:val="99"/>
    <w:semiHidden/>
    <w:unhideWhenUsed/>
    <w:rsid w:val="00C40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8C2"/>
    <w:rPr>
      <w:rFonts w:ascii="Segoe UI" w:hAnsi="Segoe UI" w:cs="Segoe UI"/>
      <w:sz w:val="18"/>
      <w:szCs w:val="18"/>
    </w:rPr>
  </w:style>
  <w:style w:type="paragraph" w:styleId="Revision">
    <w:name w:val="Revision"/>
    <w:hidden/>
    <w:uiPriority w:val="99"/>
    <w:semiHidden/>
    <w:rsid w:val="006F5976"/>
    <w:pPr>
      <w:spacing w:after="0" w:line="240" w:lineRule="auto"/>
    </w:pPr>
  </w:style>
  <w:style w:type="character" w:customStyle="1" w:styleId="Heading1Char">
    <w:name w:val="Heading 1 Char"/>
    <w:basedOn w:val="DefaultParagraphFont"/>
    <w:link w:val="Heading1"/>
    <w:uiPriority w:val="9"/>
    <w:rsid w:val="0093651C"/>
    <w:rPr>
      <w:rFonts w:eastAsiaTheme="majorEastAsia" w:cstheme="majorBidi"/>
      <w:b/>
      <w:color w:val="1F4E79" w:themeColor="accent5" w:themeShade="80"/>
      <w:sz w:val="28"/>
      <w:szCs w:val="32"/>
    </w:rPr>
  </w:style>
  <w:style w:type="paragraph" w:styleId="TOCHeading">
    <w:name w:val="TOC Heading"/>
    <w:basedOn w:val="Heading1"/>
    <w:next w:val="Normal"/>
    <w:uiPriority w:val="39"/>
    <w:unhideWhenUsed/>
    <w:qFormat/>
    <w:rsid w:val="002B05B4"/>
    <w:pPr>
      <w:outlineLvl w:val="9"/>
    </w:pPr>
  </w:style>
  <w:style w:type="paragraph" w:styleId="TOC1">
    <w:name w:val="toc 1"/>
    <w:basedOn w:val="Normal"/>
    <w:next w:val="Normal"/>
    <w:autoRedefine/>
    <w:uiPriority w:val="39"/>
    <w:unhideWhenUsed/>
    <w:rsid w:val="0093651C"/>
    <w:pPr>
      <w:spacing w:after="100"/>
    </w:pPr>
  </w:style>
  <w:style w:type="character" w:customStyle="1" w:styleId="Heading2Char">
    <w:name w:val="Heading 2 Char"/>
    <w:basedOn w:val="DefaultParagraphFont"/>
    <w:link w:val="Heading2"/>
    <w:uiPriority w:val="9"/>
    <w:rsid w:val="002B05B4"/>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C2725E"/>
    <w:pPr>
      <w:tabs>
        <w:tab w:val="right" w:leader="dot" w:pos="9710"/>
      </w:tabs>
      <w:spacing w:after="100"/>
    </w:pPr>
    <w:rPr>
      <w:rFonts w:cstheme="minorHAnsi"/>
      <w:i/>
      <w:iCs/>
      <w:noProof/>
    </w:rPr>
  </w:style>
  <w:style w:type="character" w:styleId="Emphasis">
    <w:name w:val="Emphasis"/>
    <w:basedOn w:val="DefaultParagraphFont"/>
    <w:uiPriority w:val="20"/>
    <w:qFormat/>
    <w:rsid w:val="001626F0"/>
    <w:rPr>
      <w:i/>
      <w:iCs/>
    </w:rPr>
  </w:style>
  <w:style w:type="character" w:customStyle="1" w:styleId="FootnoteTextChar1">
    <w:name w:val="Footnote Text Char1"/>
    <w:basedOn w:val="DefaultParagraphFont"/>
    <w:uiPriority w:val="99"/>
    <w:rsid w:val="00BD39AC"/>
    <w:rPr>
      <w:sz w:val="20"/>
      <w:szCs w:val="20"/>
    </w:rPr>
  </w:style>
  <w:style w:type="character" w:styleId="UnresolvedMention">
    <w:name w:val="Unresolved Mention"/>
    <w:basedOn w:val="DefaultParagraphFont"/>
    <w:uiPriority w:val="99"/>
    <w:semiHidden/>
    <w:unhideWhenUsed/>
    <w:rsid w:val="00401553"/>
    <w:rPr>
      <w:color w:val="605E5C"/>
      <w:shd w:val="clear" w:color="auto" w:fill="E1DFDD"/>
    </w:rPr>
  </w:style>
  <w:style w:type="character" w:customStyle="1" w:styleId="ListParagraphChar">
    <w:name w:val="List Paragraph Char"/>
    <w:basedOn w:val="DefaultParagraphFont"/>
    <w:link w:val="ListParagraph"/>
    <w:uiPriority w:val="34"/>
    <w:rsid w:val="00575025"/>
  </w:style>
  <w:style w:type="paragraph" w:styleId="Caption">
    <w:name w:val="caption"/>
    <w:basedOn w:val="Normal"/>
    <w:next w:val="Normal"/>
    <w:uiPriority w:val="35"/>
    <w:unhideWhenUsed/>
    <w:qFormat/>
    <w:rsid w:val="0025244D"/>
    <w:pPr>
      <w:spacing w:after="200" w:line="240" w:lineRule="auto"/>
    </w:pPr>
    <w:rPr>
      <w:b/>
      <w:bCs/>
      <w:color w:val="4472C4" w:themeColor="accent1"/>
      <w:sz w:val="18"/>
      <w:szCs w:val="18"/>
    </w:rPr>
  </w:style>
  <w:style w:type="character" w:customStyle="1" w:styleId="normaltextrun">
    <w:name w:val="normaltextrun"/>
    <w:basedOn w:val="DefaultParagraphFont"/>
    <w:rsid w:val="003D2DE6"/>
  </w:style>
  <w:style w:type="character" w:customStyle="1" w:styleId="eop">
    <w:name w:val="eop"/>
    <w:basedOn w:val="DefaultParagraphFont"/>
    <w:rsid w:val="003D2DE6"/>
  </w:style>
  <w:style w:type="paragraph" w:customStyle="1" w:styleId="paragraph">
    <w:name w:val="paragraph"/>
    <w:basedOn w:val="Normal"/>
    <w:rsid w:val="00384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384DDC"/>
  </w:style>
  <w:style w:type="paragraph" w:customStyle="1" w:styleId="Default">
    <w:name w:val="Default"/>
    <w:rsid w:val="006674E1"/>
    <w:pPr>
      <w:autoSpaceDE w:val="0"/>
      <w:autoSpaceDN w:val="0"/>
      <w:adjustRightInd w:val="0"/>
      <w:spacing w:after="0" w:line="240" w:lineRule="auto"/>
    </w:pPr>
    <w:rPr>
      <w:rFonts w:ascii="HQIEQ S+ Times New" w:hAnsi="HQIEQ S+ Times New" w:cs="HQIEQ S+ Times New"/>
      <w:color w:val="000000"/>
      <w:sz w:val="24"/>
      <w:szCs w:val="24"/>
    </w:rPr>
  </w:style>
  <w:style w:type="paragraph" w:styleId="NormalWeb">
    <w:name w:val="Normal (Web)"/>
    <w:basedOn w:val="Normal"/>
    <w:uiPriority w:val="99"/>
    <w:unhideWhenUsed/>
    <w:rsid w:val="008E4932"/>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3568F4"/>
    <w:pPr>
      <w:widowControl w:val="0"/>
      <w:spacing w:before="10" w:after="0" w:line="240" w:lineRule="auto"/>
      <w:ind w:left="20"/>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3568F4"/>
    <w:rPr>
      <w:rFonts w:ascii="Times New Roman" w:eastAsia="Times New Roman" w:hAnsi="Times New Roman"/>
      <w:sz w:val="19"/>
      <w:szCs w:val="19"/>
    </w:rPr>
  </w:style>
  <w:style w:type="character" w:customStyle="1" w:styleId="has-tooltip">
    <w:name w:val="has-tooltip"/>
    <w:basedOn w:val="DefaultParagraphFont"/>
    <w:rsid w:val="00A93146"/>
  </w:style>
  <w:style w:type="character" w:customStyle="1" w:styleId="cf01">
    <w:name w:val="cf01"/>
    <w:basedOn w:val="DefaultParagraphFont"/>
    <w:rsid w:val="004538A0"/>
    <w:rPr>
      <w:rFonts w:ascii="Segoe UI" w:hAnsi="Segoe UI" w:cs="Segoe UI" w:hint="default"/>
      <w:sz w:val="18"/>
      <w:szCs w:val="18"/>
    </w:rPr>
  </w:style>
  <w:style w:type="table" w:styleId="GridTable1Light">
    <w:name w:val="Grid Table 1 Light"/>
    <w:basedOn w:val="TableNormal"/>
    <w:uiPriority w:val="46"/>
    <w:rsid w:val="007775A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7775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3C1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F80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F80E65"/>
    <w:rPr>
      <w:rFonts w:ascii="Segoe UI" w:hAnsi="Segoe UI" w:cs="Segoe UI" w:hint="default"/>
      <w:sz w:val="18"/>
      <w:szCs w:val="18"/>
    </w:rPr>
  </w:style>
  <w:style w:type="paragraph" w:customStyle="1" w:styleId="xxmsolistparagraph">
    <w:name w:val="x_xmsolistparagraph"/>
    <w:basedOn w:val="Normal"/>
    <w:rsid w:val="002742C0"/>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C07E52"/>
    <w:rPr>
      <w:color w:val="954F72" w:themeColor="followedHyperlink"/>
      <w:u w:val="single"/>
    </w:rPr>
  </w:style>
  <w:style w:type="paragraph" w:customStyle="1" w:styleId="TableParagraph">
    <w:name w:val="Table Paragraph"/>
    <w:basedOn w:val="Normal"/>
    <w:uiPriority w:val="1"/>
    <w:qFormat/>
    <w:rsid w:val="00CA398E"/>
    <w:pPr>
      <w:widowControl w:val="0"/>
      <w:autoSpaceDE w:val="0"/>
      <w:autoSpaceDN w:val="0"/>
      <w:spacing w:after="0" w:line="240" w:lineRule="auto"/>
    </w:pPr>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customStyle="1" w:styleId="HBblj">
    <w:name w:val="HBblj"/>
    <w:basedOn w:val="Normal"/>
    <w:uiPriority w:val="1"/>
    <w:qFormat/>
    <w:rsid w:val="00A2476D"/>
    <w:pPr>
      <w:spacing w:after="240" w:line="240" w:lineRule="auto"/>
      <w:jc w:val="both"/>
    </w:pPr>
  </w:style>
  <w:style w:type="character" w:customStyle="1" w:styleId="Heading4Char">
    <w:name w:val="Heading 4 Char"/>
    <w:basedOn w:val="DefaultParagraphFont"/>
    <w:link w:val="Heading4"/>
    <w:uiPriority w:val="9"/>
    <w:semiHidden/>
    <w:rsid w:val="00CD6278"/>
    <w:rPr>
      <w:rFonts w:asciiTheme="majorHAnsi" w:eastAsiaTheme="majorEastAsia" w:hAnsiTheme="majorHAnsi" w:cstheme="majorBidi"/>
      <w:i/>
      <w:iCs/>
      <w:color w:val="2F5496" w:themeColor="accent1" w:themeShade="BF"/>
    </w:rPr>
  </w:style>
  <w:style w:type="paragraph" w:customStyle="1" w:styleId="HBbl1j">
    <w:name w:val="HBbl1j"/>
    <w:basedOn w:val="Normal"/>
    <w:uiPriority w:val="1"/>
    <w:qFormat/>
    <w:rsid w:val="00E53F9C"/>
    <w:pPr>
      <w:spacing w:after="240" w:line="240" w:lineRule="auto"/>
      <w:ind w:left="1440"/>
      <w:jc w:val="both"/>
    </w:pPr>
  </w:style>
  <w:style w:type="paragraph" w:customStyle="1" w:styleId="HBbj">
    <w:name w:val="HBbj"/>
    <w:basedOn w:val="Normal"/>
    <w:uiPriority w:val="1"/>
    <w:qFormat/>
    <w:rsid w:val="00E81637"/>
    <w:pPr>
      <w:spacing w:after="240" w:line="240" w:lineRule="auto"/>
      <w:ind w:left="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3289">
      <w:bodyDiv w:val="1"/>
      <w:marLeft w:val="0"/>
      <w:marRight w:val="0"/>
      <w:marTop w:val="0"/>
      <w:marBottom w:val="0"/>
      <w:divBdr>
        <w:top w:val="none" w:sz="0" w:space="0" w:color="auto"/>
        <w:left w:val="none" w:sz="0" w:space="0" w:color="auto"/>
        <w:bottom w:val="none" w:sz="0" w:space="0" w:color="auto"/>
        <w:right w:val="none" w:sz="0" w:space="0" w:color="auto"/>
      </w:divBdr>
      <w:divsChild>
        <w:div w:id="313461017">
          <w:marLeft w:val="0"/>
          <w:marRight w:val="0"/>
          <w:marTop w:val="0"/>
          <w:marBottom w:val="0"/>
          <w:divBdr>
            <w:top w:val="none" w:sz="0" w:space="0" w:color="auto"/>
            <w:left w:val="none" w:sz="0" w:space="0" w:color="auto"/>
            <w:bottom w:val="none" w:sz="0" w:space="0" w:color="auto"/>
            <w:right w:val="none" w:sz="0" w:space="0" w:color="auto"/>
          </w:divBdr>
        </w:div>
        <w:div w:id="411859307">
          <w:marLeft w:val="0"/>
          <w:marRight w:val="0"/>
          <w:marTop w:val="0"/>
          <w:marBottom w:val="0"/>
          <w:divBdr>
            <w:top w:val="none" w:sz="0" w:space="0" w:color="auto"/>
            <w:left w:val="none" w:sz="0" w:space="0" w:color="auto"/>
            <w:bottom w:val="none" w:sz="0" w:space="0" w:color="auto"/>
            <w:right w:val="none" w:sz="0" w:space="0" w:color="auto"/>
          </w:divBdr>
        </w:div>
        <w:div w:id="501547969">
          <w:marLeft w:val="0"/>
          <w:marRight w:val="0"/>
          <w:marTop w:val="0"/>
          <w:marBottom w:val="0"/>
          <w:divBdr>
            <w:top w:val="none" w:sz="0" w:space="0" w:color="auto"/>
            <w:left w:val="none" w:sz="0" w:space="0" w:color="auto"/>
            <w:bottom w:val="none" w:sz="0" w:space="0" w:color="auto"/>
            <w:right w:val="none" w:sz="0" w:space="0" w:color="auto"/>
          </w:divBdr>
        </w:div>
        <w:div w:id="517810500">
          <w:marLeft w:val="0"/>
          <w:marRight w:val="0"/>
          <w:marTop w:val="0"/>
          <w:marBottom w:val="0"/>
          <w:divBdr>
            <w:top w:val="none" w:sz="0" w:space="0" w:color="auto"/>
            <w:left w:val="none" w:sz="0" w:space="0" w:color="auto"/>
            <w:bottom w:val="none" w:sz="0" w:space="0" w:color="auto"/>
            <w:right w:val="none" w:sz="0" w:space="0" w:color="auto"/>
          </w:divBdr>
        </w:div>
        <w:div w:id="552809093">
          <w:marLeft w:val="0"/>
          <w:marRight w:val="0"/>
          <w:marTop w:val="0"/>
          <w:marBottom w:val="0"/>
          <w:divBdr>
            <w:top w:val="none" w:sz="0" w:space="0" w:color="auto"/>
            <w:left w:val="none" w:sz="0" w:space="0" w:color="auto"/>
            <w:bottom w:val="none" w:sz="0" w:space="0" w:color="auto"/>
            <w:right w:val="none" w:sz="0" w:space="0" w:color="auto"/>
          </w:divBdr>
        </w:div>
        <w:div w:id="553782077">
          <w:marLeft w:val="0"/>
          <w:marRight w:val="0"/>
          <w:marTop w:val="0"/>
          <w:marBottom w:val="0"/>
          <w:divBdr>
            <w:top w:val="none" w:sz="0" w:space="0" w:color="auto"/>
            <w:left w:val="none" w:sz="0" w:space="0" w:color="auto"/>
            <w:bottom w:val="none" w:sz="0" w:space="0" w:color="auto"/>
            <w:right w:val="none" w:sz="0" w:space="0" w:color="auto"/>
          </w:divBdr>
        </w:div>
        <w:div w:id="601300719">
          <w:marLeft w:val="0"/>
          <w:marRight w:val="0"/>
          <w:marTop w:val="0"/>
          <w:marBottom w:val="0"/>
          <w:divBdr>
            <w:top w:val="none" w:sz="0" w:space="0" w:color="auto"/>
            <w:left w:val="none" w:sz="0" w:space="0" w:color="auto"/>
            <w:bottom w:val="none" w:sz="0" w:space="0" w:color="auto"/>
            <w:right w:val="none" w:sz="0" w:space="0" w:color="auto"/>
          </w:divBdr>
        </w:div>
        <w:div w:id="706181912">
          <w:marLeft w:val="0"/>
          <w:marRight w:val="0"/>
          <w:marTop w:val="0"/>
          <w:marBottom w:val="0"/>
          <w:divBdr>
            <w:top w:val="none" w:sz="0" w:space="0" w:color="auto"/>
            <w:left w:val="none" w:sz="0" w:space="0" w:color="auto"/>
            <w:bottom w:val="none" w:sz="0" w:space="0" w:color="auto"/>
            <w:right w:val="none" w:sz="0" w:space="0" w:color="auto"/>
          </w:divBdr>
        </w:div>
        <w:div w:id="1002196065">
          <w:marLeft w:val="0"/>
          <w:marRight w:val="0"/>
          <w:marTop w:val="0"/>
          <w:marBottom w:val="0"/>
          <w:divBdr>
            <w:top w:val="none" w:sz="0" w:space="0" w:color="auto"/>
            <w:left w:val="none" w:sz="0" w:space="0" w:color="auto"/>
            <w:bottom w:val="none" w:sz="0" w:space="0" w:color="auto"/>
            <w:right w:val="none" w:sz="0" w:space="0" w:color="auto"/>
          </w:divBdr>
        </w:div>
        <w:div w:id="1003045620">
          <w:marLeft w:val="0"/>
          <w:marRight w:val="0"/>
          <w:marTop w:val="0"/>
          <w:marBottom w:val="0"/>
          <w:divBdr>
            <w:top w:val="none" w:sz="0" w:space="0" w:color="auto"/>
            <w:left w:val="none" w:sz="0" w:space="0" w:color="auto"/>
            <w:bottom w:val="none" w:sz="0" w:space="0" w:color="auto"/>
            <w:right w:val="none" w:sz="0" w:space="0" w:color="auto"/>
          </w:divBdr>
        </w:div>
        <w:div w:id="1012997283">
          <w:marLeft w:val="0"/>
          <w:marRight w:val="0"/>
          <w:marTop w:val="0"/>
          <w:marBottom w:val="0"/>
          <w:divBdr>
            <w:top w:val="none" w:sz="0" w:space="0" w:color="auto"/>
            <w:left w:val="none" w:sz="0" w:space="0" w:color="auto"/>
            <w:bottom w:val="none" w:sz="0" w:space="0" w:color="auto"/>
            <w:right w:val="none" w:sz="0" w:space="0" w:color="auto"/>
          </w:divBdr>
        </w:div>
        <w:div w:id="1182469396">
          <w:marLeft w:val="0"/>
          <w:marRight w:val="0"/>
          <w:marTop w:val="0"/>
          <w:marBottom w:val="0"/>
          <w:divBdr>
            <w:top w:val="none" w:sz="0" w:space="0" w:color="auto"/>
            <w:left w:val="none" w:sz="0" w:space="0" w:color="auto"/>
            <w:bottom w:val="none" w:sz="0" w:space="0" w:color="auto"/>
            <w:right w:val="none" w:sz="0" w:space="0" w:color="auto"/>
          </w:divBdr>
        </w:div>
        <w:div w:id="1401563718">
          <w:marLeft w:val="0"/>
          <w:marRight w:val="0"/>
          <w:marTop w:val="0"/>
          <w:marBottom w:val="0"/>
          <w:divBdr>
            <w:top w:val="none" w:sz="0" w:space="0" w:color="auto"/>
            <w:left w:val="none" w:sz="0" w:space="0" w:color="auto"/>
            <w:bottom w:val="none" w:sz="0" w:space="0" w:color="auto"/>
            <w:right w:val="none" w:sz="0" w:space="0" w:color="auto"/>
          </w:divBdr>
        </w:div>
        <w:div w:id="1418164804">
          <w:marLeft w:val="0"/>
          <w:marRight w:val="0"/>
          <w:marTop w:val="0"/>
          <w:marBottom w:val="0"/>
          <w:divBdr>
            <w:top w:val="none" w:sz="0" w:space="0" w:color="auto"/>
            <w:left w:val="none" w:sz="0" w:space="0" w:color="auto"/>
            <w:bottom w:val="none" w:sz="0" w:space="0" w:color="auto"/>
            <w:right w:val="none" w:sz="0" w:space="0" w:color="auto"/>
          </w:divBdr>
        </w:div>
        <w:div w:id="1436048651">
          <w:marLeft w:val="0"/>
          <w:marRight w:val="0"/>
          <w:marTop w:val="0"/>
          <w:marBottom w:val="0"/>
          <w:divBdr>
            <w:top w:val="none" w:sz="0" w:space="0" w:color="auto"/>
            <w:left w:val="none" w:sz="0" w:space="0" w:color="auto"/>
            <w:bottom w:val="none" w:sz="0" w:space="0" w:color="auto"/>
            <w:right w:val="none" w:sz="0" w:space="0" w:color="auto"/>
          </w:divBdr>
        </w:div>
        <w:div w:id="1492062808">
          <w:marLeft w:val="0"/>
          <w:marRight w:val="0"/>
          <w:marTop w:val="0"/>
          <w:marBottom w:val="0"/>
          <w:divBdr>
            <w:top w:val="none" w:sz="0" w:space="0" w:color="auto"/>
            <w:left w:val="none" w:sz="0" w:space="0" w:color="auto"/>
            <w:bottom w:val="none" w:sz="0" w:space="0" w:color="auto"/>
            <w:right w:val="none" w:sz="0" w:space="0" w:color="auto"/>
          </w:divBdr>
        </w:div>
        <w:div w:id="1513253835">
          <w:marLeft w:val="0"/>
          <w:marRight w:val="0"/>
          <w:marTop w:val="0"/>
          <w:marBottom w:val="0"/>
          <w:divBdr>
            <w:top w:val="none" w:sz="0" w:space="0" w:color="auto"/>
            <w:left w:val="none" w:sz="0" w:space="0" w:color="auto"/>
            <w:bottom w:val="none" w:sz="0" w:space="0" w:color="auto"/>
            <w:right w:val="none" w:sz="0" w:space="0" w:color="auto"/>
          </w:divBdr>
        </w:div>
        <w:div w:id="1625647504">
          <w:marLeft w:val="0"/>
          <w:marRight w:val="0"/>
          <w:marTop w:val="0"/>
          <w:marBottom w:val="0"/>
          <w:divBdr>
            <w:top w:val="none" w:sz="0" w:space="0" w:color="auto"/>
            <w:left w:val="none" w:sz="0" w:space="0" w:color="auto"/>
            <w:bottom w:val="none" w:sz="0" w:space="0" w:color="auto"/>
            <w:right w:val="none" w:sz="0" w:space="0" w:color="auto"/>
          </w:divBdr>
        </w:div>
        <w:div w:id="1708874171">
          <w:marLeft w:val="0"/>
          <w:marRight w:val="0"/>
          <w:marTop w:val="0"/>
          <w:marBottom w:val="0"/>
          <w:divBdr>
            <w:top w:val="none" w:sz="0" w:space="0" w:color="auto"/>
            <w:left w:val="none" w:sz="0" w:space="0" w:color="auto"/>
            <w:bottom w:val="none" w:sz="0" w:space="0" w:color="auto"/>
            <w:right w:val="none" w:sz="0" w:space="0" w:color="auto"/>
          </w:divBdr>
        </w:div>
        <w:div w:id="1825775081">
          <w:marLeft w:val="0"/>
          <w:marRight w:val="0"/>
          <w:marTop w:val="0"/>
          <w:marBottom w:val="0"/>
          <w:divBdr>
            <w:top w:val="none" w:sz="0" w:space="0" w:color="auto"/>
            <w:left w:val="none" w:sz="0" w:space="0" w:color="auto"/>
            <w:bottom w:val="none" w:sz="0" w:space="0" w:color="auto"/>
            <w:right w:val="none" w:sz="0" w:space="0" w:color="auto"/>
          </w:divBdr>
        </w:div>
        <w:div w:id="1881435486">
          <w:marLeft w:val="0"/>
          <w:marRight w:val="0"/>
          <w:marTop w:val="0"/>
          <w:marBottom w:val="0"/>
          <w:divBdr>
            <w:top w:val="none" w:sz="0" w:space="0" w:color="auto"/>
            <w:left w:val="none" w:sz="0" w:space="0" w:color="auto"/>
            <w:bottom w:val="none" w:sz="0" w:space="0" w:color="auto"/>
            <w:right w:val="none" w:sz="0" w:space="0" w:color="auto"/>
          </w:divBdr>
        </w:div>
        <w:div w:id="2057855329">
          <w:marLeft w:val="0"/>
          <w:marRight w:val="0"/>
          <w:marTop w:val="0"/>
          <w:marBottom w:val="0"/>
          <w:divBdr>
            <w:top w:val="none" w:sz="0" w:space="0" w:color="auto"/>
            <w:left w:val="none" w:sz="0" w:space="0" w:color="auto"/>
            <w:bottom w:val="none" w:sz="0" w:space="0" w:color="auto"/>
            <w:right w:val="none" w:sz="0" w:space="0" w:color="auto"/>
          </w:divBdr>
        </w:div>
        <w:div w:id="2123642947">
          <w:marLeft w:val="0"/>
          <w:marRight w:val="0"/>
          <w:marTop w:val="0"/>
          <w:marBottom w:val="0"/>
          <w:divBdr>
            <w:top w:val="none" w:sz="0" w:space="0" w:color="auto"/>
            <w:left w:val="none" w:sz="0" w:space="0" w:color="auto"/>
            <w:bottom w:val="none" w:sz="0" w:space="0" w:color="auto"/>
            <w:right w:val="none" w:sz="0" w:space="0" w:color="auto"/>
          </w:divBdr>
        </w:div>
      </w:divsChild>
    </w:div>
    <w:div w:id="145051933">
      <w:bodyDiv w:val="1"/>
      <w:marLeft w:val="0"/>
      <w:marRight w:val="0"/>
      <w:marTop w:val="0"/>
      <w:marBottom w:val="0"/>
      <w:divBdr>
        <w:top w:val="none" w:sz="0" w:space="0" w:color="auto"/>
        <w:left w:val="none" w:sz="0" w:space="0" w:color="auto"/>
        <w:bottom w:val="none" w:sz="0" w:space="0" w:color="auto"/>
        <w:right w:val="none" w:sz="0" w:space="0" w:color="auto"/>
      </w:divBdr>
    </w:div>
    <w:div w:id="150634219">
      <w:bodyDiv w:val="1"/>
      <w:marLeft w:val="0"/>
      <w:marRight w:val="0"/>
      <w:marTop w:val="0"/>
      <w:marBottom w:val="0"/>
      <w:divBdr>
        <w:top w:val="none" w:sz="0" w:space="0" w:color="auto"/>
        <w:left w:val="none" w:sz="0" w:space="0" w:color="auto"/>
        <w:bottom w:val="none" w:sz="0" w:space="0" w:color="auto"/>
        <w:right w:val="none" w:sz="0" w:space="0" w:color="auto"/>
      </w:divBdr>
    </w:div>
    <w:div w:id="275331488">
      <w:bodyDiv w:val="1"/>
      <w:marLeft w:val="0"/>
      <w:marRight w:val="0"/>
      <w:marTop w:val="0"/>
      <w:marBottom w:val="0"/>
      <w:divBdr>
        <w:top w:val="none" w:sz="0" w:space="0" w:color="auto"/>
        <w:left w:val="none" w:sz="0" w:space="0" w:color="auto"/>
        <w:bottom w:val="none" w:sz="0" w:space="0" w:color="auto"/>
        <w:right w:val="none" w:sz="0" w:space="0" w:color="auto"/>
      </w:divBdr>
      <w:divsChild>
        <w:div w:id="236524572">
          <w:marLeft w:val="0"/>
          <w:marRight w:val="0"/>
          <w:marTop w:val="0"/>
          <w:marBottom w:val="0"/>
          <w:divBdr>
            <w:top w:val="none" w:sz="0" w:space="0" w:color="auto"/>
            <w:left w:val="none" w:sz="0" w:space="0" w:color="auto"/>
            <w:bottom w:val="none" w:sz="0" w:space="0" w:color="auto"/>
            <w:right w:val="none" w:sz="0" w:space="0" w:color="auto"/>
          </w:divBdr>
        </w:div>
        <w:div w:id="489712729">
          <w:marLeft w:val="0"/>
          <w:marRight w:val="0"/>
          <w:marTop w:val="0"/>
          <w:marBottom w:val="0"/>
          <w:divBdr>
            <w:top w:val="none" w:sz="0" w:space="0" w:color="auto"/>
            <w:left w:val="none" w:sz="0" w:space="0" w:color="auto"/>
            <w:bottom w:val="none" w:sz="0" w:space="0" w:color="auto"/>
            <w:right w:val="none" w:sz="0" w:space="0" w:color="auto"/>
          </w:divBdr>
        </w:div>
        <w:div w:id="577323048">
          <w:marLeft w:val="0"/>
          <w:marRight w:val="0"/>
          <w:marTop w:val="0"/>
          <w:marBottom w:val="0"/>
          <w:divBdr>
            <w:top w:val="none" w:sz="0" w:space="0" w:color="auto"/>
            <w:left w:val="none" w:sz="0" w:space="0" w:color="auto"/>
            <w:bottom w:val="none" w:sz="0" w:space="0" w:color="auto"/>
            <w:right w:val="none" w:sz="0" w:space="0" w:color="auto"/>
          </w:divBdr>
        </w:div>
        <w:div w:id="890195758">
          <w:marLeft w:val="0"/>
          <w:marRight w:val="0"/>
          <w:marTop w:val="0"/>
          <w:marBottom w:val="0"/>
          <w:divBdr>
            <w:top w:val="none" w:sz="0" w:space="0" w:color="auto"/>
            <w:left w:val="none" w:sz="0" w:space="0" w:color="auto"/>
            <w:bottom w:val="none" w:sz="0" w:space="0" w:color="auto"/>
            <w:right w:val="none" w:sz="0" w:space="0" w:color="auto"/>
          </w:divBdr>
        </w:div>
        <w:div w:id="937713560">
          <w:marLeft w:val="0"/>
          <w:marRight w:val="0"/>
          <w:marTop w:val="0"/>
          <w:marBottom w:val="0"/>
          <w:divBdr>
            <w:top w:val="none" w:sz="0" w:space="0" w:color="auto"/>
            <w:left w:val="none" w:sz="0" w:space="0" w:color="auto"/>
            <w:bottom w:val="none" w:sz="0" w:space="0" w:color="auto"/>
            <w:right w:val="none" w:sz="0" w:space="0" w:color="auto"/>
          </w:divBdr>
        </w:div>
        <w:div w:id="955792783">
          <w:marLeft w:val="0"/>
          <w:marRight w:val="0"/>
          <w:marTop w:val="0"/>
          <w:marBottom w:val="0"/>
          <w:divBdr>
            <w:top w:val="none" w:sz="0" w:space="0" w:color="auto"/>
            <w:left w:val="none" w:sz="0" w:space="0" w:color="auto"/>
            <w:bottom w:val="none" w:sz="0" w:space="0" w:color="auto"/>
            <w:right w:val="none" w:sz="0" w:space="0" w:color="auto"/>
          </w:divBdr>
        </w:div>
        <w:div w:id="1260991394">
          <w:marLeft w:val="0"/>
          <w:marRight w:val="0"/>
          <w:marTop w:val="0"/>
          <w:marBottom w:val="0"/>
          <w:divBdr>
            <w:top w:val="none" w:sz="0" w:space="0" w:color="auto"/>
            <w:left w:val="none" w:sz="0" w:space="0" w:color="auto"/>
            <w:bottom w:val="none" w:sz="0" w:space="0" w:color="auto"/>
            <w:right w:val="none" w:sz="0" w:space="0" w:color="auto"/>
          </w:divBdr>
        </w:div>
        <w:div w:id="1385521624">
          <w:marLeft w:val="0"/>
          <w:marRight w:val="0"/>
          <w:marTop w:val="0"/>
          <w:marBottom w:val="0"/>
          <w:divBdr>
            <w:top w:val="none" w:sz="0" w:space="0" w:color="auto"/>
            <w:left w:val="none" w:sz="0" w:space="0" w:color="auto"/>
            <w:bottom w:val="none" w:sz="0" w:space="0" w:color="auto"/>
            <w:right w:val="none" w:sz="0" w:space="0" w:color="auto"/>
          </w:divBdr>
        </w:div>
        <w:div w:id="1586452819">
          <w:marLeft w:val="0"/>
          <w:marRight w:val="0"/>
          <w:marTop w:val="0"/>
          <w:marBottom w:val="0"/>
          <w:divBdr>
            <w:top w:val="none" w:sz="0" w:space="0" w:color="auto"/>
            <w:left w:val="none" w:sz="0" w:space="0" w:color="auto"/>
            <w:bottom w:val="none" w:sz="0" w:space="0" w:color="auto"/>
            <w:right w:val="none" w:sz="0" w:space="0" w:color="auto"/>
          </w:divBdr>
        </w:div>
        <w:div w:id="1626351802">
          <w:marLeft w:val="0"/>
          <w:marRight w:val="0"/>
          <w:marTop w:val="0"/>
          <w:marBottom w:val="0"/>
          <w:divBdr>
            <w:top w:val="none" w:sz="0" w:space="0" w:color="auto"/>
            <w:left w:val="none" w:sz="0" w:space="0" w:color="auto"/>
            <w:bottom w:val="none" w:sz="0" w:space="0" w:color="auto"/>
            <w:right w:val="none" w:sz="0" w:space="0" w:color="auto"/>
          </w:divBdr>
        </w:div>
        <w:div w:id="1629236739">
          <w:marLeft w:val="0"/>
          <w:marRight w:val="0"/>
          <w:marTop w:val="0"/>
          <w:marBottom w:val="0"/>
          <w:divBdr>
            <w:top w:val="none" w:sz="0" w:space="0" w:color="auto"/>
            <w:left w:val="none" w:sz="0" w:space="0" w:color="auto"/>
            <w:bottom w:val="none" w:sz="0" w:space="0" w:color="auto"/>
            <w:right w:val="none" w:sz="0" w:space="0" w:color="auto"/>
          </w:divBdr>
        </w:div>
        <w:div w:id="1689023704">
          <w:marLeft w:val="0"/>
          <w:marRight w:val="0"/>
          <w:marTop w:val="0"/>
          <w:marBottom w:val="0"/>
          <w:divBdr>
            <w:top w:val="none" w:sz="0" w:space="0" w:color="auto"/>
            <w:left w:val="none" w:sz="0" w:space="0" w:color="auto"/>
            <w:bottom w:val="none" w:sz="0" w:space="0" w:color="auto"/>
            <w:right w:val="none" w:sz="0" w:space="0" w:color="auto"/>
          </w:divBdr>
        </w:div>
        <w:div w:id="1786384542">
          <w:marLeft w:val="0"/>
          <w:marRight w:val="0"/>
          <w:marTop w:val="0"/>
          <w:marBottom w:val="0"/>
          <w:divBdr>
            <w:top w:val="none" w:sz="0" w:space="0" w:color="auto"/>
            <w:left w:val="none" w:sz="0" w:space="0" w:color="auto"/>
            <w:bottom w:val="none" w:sz="0" w:space="0" w:color="auto"/>
            <w:right w:val="none" w:sz="0" w:space="0" w:color="auto"/>
          </w:divBdr>
        </w:div>
        <w:div w:id="1806392525">
          <w:marLeft w:val="0"/>
          <w:marRight w:val="0"/>
          <w:marTop w:val="0"/>
          <w:marBottom w:val="0"/>
          <w:divBdr>
            <w:top w:val="none" w:sz="0" w:space="0" w:color="auto"/>
            <w:left w:val="none" w:sz="0" w:space="0" w:color="auto"/>
            <w:bottom w:val="none" w:sz="0" w:space="0" w:color="auto"/>
            <w:right w:val="none" w:sz="0" w:space="0" w:color="auto"/>
          </w:divBdr>
        </w:div>
        <w:div w:id="2047025893">
          <w:marLeft w:val="0"/>
          <w:marRight w:val="0"/>
          <w:marTop w:val="0"/>
          <w:marBottom w:val="0"/>
          <w:divBdr>
            <w:top w:val="none" w:sz="0" w:space="0" w:color="auto"/>
            <w:left w:val="none" w:sz="0" w:space="0" w:color="auto"/>
            <w:bottom w:val="none" w:sz="0" w:space="0" w:color="auto"/>
            <w:right w:val="none" w:sz="0" w:space="0" w:color="auto"/>
          </w:divBdr>
        </w:div>
        <w:div w:id="2134783970">
          <w:marLeft w:val="0"/>
          <w:marRight w:val="0"/>
          <w:marTop w:val="0"/>
          <w:marBottom w:val="0"/>
          <w:divBdr>
            <w:top w:val="none" w:sz="0" w:space="0" w:color="auto"/>
            <w:left w:val="none" w:sz="0" w:space="0" w:color="auto"/>
            <w:bottom w:val="none" w:sz="0" w:space="0" w:color="auto"/>
            <w:right w:val="none" w:sz="0" w:space="0" w:color="auto"/>
          </w:divBdr>
        </w:div>
      </w:divsChild>
    </w:div>
    <w:div w:id="304706867">
      <w:bodyDiv w:val="1"/>
      <w:marLeft w:val="0"/>
      <w:marRight w:val="0"/>
      <w:marTop w:val="0"/>
      <w:marBottom w:val="0"/>
      <w:divBdr>
        <w:top w:val="none" w:sz="0" w:space="0" w:color="auto"/>
        <w:left w:val="none" w:sz="0" w:space="0" w:color="auto"/>
        <w:bottom w:val="none" w:sz="0" w:space="0" w:color="auto"/>
        <w:right w:val="none" w:sz="0" w:space="0" w:color="auto"/>
      </w:divBdr>
    </w:div>
    <w:div w:id="342896811">
      <w:bodyDiv w:val="1"/>
      <w:marLeft w:val="0"/>
      <w:marRight w:val="0"/>
      <w:marTop w:val="0"/>
      <w:marBottom w:val="0"/>
      <w:divBdr>
        <w:top w:val="none" w:sz="0" w:space="0" w:color="auto"/>
        <w:left w:val="none" w:sz="0" w:space="0" w:color="auto"/>
        <w:bottom w:val="none" w:sz="0" w:space="0" w:color="auto"/>
        <w:right w:val="none" w:sz="0" w:space="0" w:color="auto"/>
      </w:divBdr>
    </w:div>
    <w:div w:id="417942525">
      <w:bodyDiv w:val="1"/>
      <w:marLeft w:val="0"/>
      <w:marRight w:val="0"/>
      <w:marTop w:val="0"/>
      <w:marBottom w:val="0"/>
      <w:divBdr>
        <w:top w:val="none" w:sz="0" w:space="0" w:color="auto"/>
        <w:left w:val="none" w:sz="0" w:space="0" w:color="auto"/>
        <w:bottom w:val="none" w:sz="0" w:space="0" w:color="auto"/>
        <w:right w:val="none" w:sz="0" w:space="0" w:color="auto"/>
      </w:divBdr>
      <w:divsChild>
        <w:div w:id="1589149459">
          <w:marLeft w:val="0"/>
          <w:marRight w:val="0"/>
          <w:marTop w:val="0"/>
          <w:marBottom w:val="0"/>
          <w:divBdr>
            <w:top w:val="none" w:sz="0" w:space="0" w:color="auto"/>
            <w:left w:val="none" w:sz="0" w:space="0" w:color="auto"/>
            <w:bottom w:val="none" w:sz="0" w:space="0" w:color="auto"/>
            <w:right w:val="none" w:sz="0" w:space="0" w:color="auto"/>
          </w:divBdr>
        </w:div>
        <w:div w:id="1618678155">
          <w:marLeft w:val="0"/>
          <w:marRight w:val="0"/>
          <w:marTop w:val="0"/>
          <w:marBottom w:val="0"/>
          <w:divBdr>
            <w:top w:val="none" w:sz="0" w:space="0" w:color="auto"/>
            <w:left w:val="none" w:sz="0" w:space="0" w:color="auto"/>
            <w:bottom w:val="none" w:sz="0" w:space="0" w:color="auto"/>
            <w:right w:val="none" w:sz="0" w:space="0" w:color="auto"/>
          </w:divBdr>
          <w:divsChild>
            <w:div w:id="4527543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9960433">
      <w:bodyDiv w:val="1"/>
      <w:marLeft w:val="0"/>
      <w:marRight w:val="0"/>
      <w:marTop w:val="0"/>
      <w:marBottom w:val="0"/>
      <w:divBdr>
        <w:top w:val="none" w:sz="0" w:space="0" w:color="auto"/>
        <w:left w:val="none" w:sz="0" w:space="0" w:color="auto"/>
        <w:bottom w:val="none" w:sz="0" w:space="0" w:color="auto"/>
        <w:right w:val="none" w:sz="0" w:space="0" w:color="auto"/>
      </w:divBdr>
    </w:div>
    <w:div w:id="564336010">
      <w:bodyDiv w:val="1"/>
      <w:marLeft w:val="0"/>
      <w:marRight w:val="0"/>
      <w:marTop w:val="0"/>
      <w:marBottom w:val="0"/>
      <w:divBdr>
        <w:top w:val="none" w:sz="0" w:space="0" w:color="auto"/>
        <w:left w:val="none" w:sz="0" w:space="0" w:color="auto"/>
        <w:bottom w:val="none" w:sz="0" w:space="0" w:color="auto"/>
        <w:right w:val="none" w:sz="0" w:space="0" w:color="auto"/>
      </w:divBdr>
    </w:div>
    <w:div w:id="592931682">
      <w:bodyDiv w:val="1"/>
      <w:marLeft w:val="0"/>
      <w:marRight w:val="0"/>
      <w:marTop w:val="0"/>
      <w:marBottom w:val="0"/>
      <w:divBdr>
        <w:top w:val="none" w:sz="0" w:space="0" w:color="auto"/>
        <w:left w:val="none" w:sz="0" w:space="0" w:color="auto"/>
        <w:bottom w:val="none" w:sz="0" w:space="0" w:color="auto"/>
        <w:right w:val="none" w:sz="0" w:space="0" w:color="auto"/>
      </w:divBdr>
    </w:div>
    <w:div w:id="620771216">
      <w:bodyDiv w:val="1"/>
      <w:marLeft w:val="0"/>
      <w:marRight w:val="0"/>
      <w:marTop w:val="0"/>
      <w:marBottom w:val="0"/>
      <w:divBdr>
        <w:top w:val="none" w:sz="0" w:space="0" w:color="auto"/>
        <w:left w:val="none" w:sz="0" w:space="0" w:color="auto"/>
        <w:bottom w:val="none" w:sz="0" w:space="0" w:color="auto"/>
        <w:right w:val="none" w:sz="0" w:space="0" w:color="auto"/>
      </w:divBdr>
    </w:div>
    <w:div w:id="636107005">
      <w:bodyDiv w:val="1"/>
      <w:marLeft w:val="0"/>
      <w:marRight w:val="0"/>
      <w:marTop w:val="0"/>
      <w:marBottom w:val="0"/>
      <w:divBdr>
        <w:top w:val="none" w:sz="0" w:space="0" w:color="auto"/>
        <w:left w:val="none" w:sz="0" w:space="0" w:color="auto"/>
        <w:bottom w:val="none" w:sz="0" w:space="0" w:color="auto"/>
        <w:right w:val="none" w:sz="0" w:space="0" w:color="auto"/>
      </w:divBdr>
    </w:div>
    <w:div w:id="697659231">
      <w:bodyDiv w:val="1"/>
      <w:marLeft w:val="0"/>
      <w:marRight w:val="0"/>
      <w:marTop w:val="0"/>
      <w:marBottom w:val="0"/>
      <w:divBdr>
        <w:top w:val="none" w:sz="0" w:space="0" w:color="auto"/>
        <w:left w:val="none" w:sz="0" w:space="0" w:color="auto"/>
        <w:bottom w:val="none" w:sz="0" w:space="0" w:color="auto"/>
        <w:right w:val="none" w:sz="0" w:space="0" w:color="auto"/>
      </w:divBdr>
    </w:div>
    <w:div w:id="789709014">
      <w:bodyDiv w:val="1"/>
      <w:marLeft w:val="0"/>
      <w:marRight w:val="0"/>
      <w:marTop w:val="0"/>
      <w:marBottom w:val="0"/>
      <w:divBdr>
        <w:top w:val="none" w:sz="0" w:space="0" w:color="auto"/>
        <w:left w:val="none" w:sz="0" w:space="0" w:color="auto"/>
        <w:bottom w:val="none" w:sz="0" w:space="0" w:color="auto"/>
        <w:right w:val="none" w:sz="0" w:space="0" w:color="auto"/>
      </w:divBdr>
      <w:divsChild>
        <w:div w:id="69499991">
          <w:marLeft w:val="0"/>
          <w:marRight w:val="0"/>
          <w:marTop w:val="0"/>
          <w:marBottom w:val="0"/>
          <w:divBdr>
            <w:top w:val="none" w:sz="0" w:space="0" w:color="auto"/>
            <w:left w:val="none" w:sz="0" w:space="0" w:color="auto"/>
            <w:bottom w:val="none" w:sz="0" w:space="0" w:color="auto"/>
            <w:right w:val="none" w:sz="0" w:space="0" w:color="auto"/>
          </w:divBdr>
        </w:div>
        <w:div w:id="74329355">
          <w:marLeft w:val="0"/>
          <w:marRight w:val="0"/>
          <w:marTop w:val="0"/>
          <w:marBottom w:val="0"/>
          <w:divBdr>
            <w:top w:val="none" w:sz="0" w:space="0" w:color="auto"/>
            <w:left w:val="none" w:sz="0" w:space="0" w:color="auto"/>
            <w:bottom w:val="none" w:sz="0" w:space="0" w:color="auto"/>
            <w:right w:val="none" w:sz="0" w:space="0" w:color="auto"/>
          </w:divBdr>
        </w:div>
        <w:div w:id="129710018">
          <w:marLeft w:val="0"/>
          <w:marRight w:val="0"/>
          <w:marTop w:val="0"/>
          <w:marBottom w:val="0"/>
          <w:divBdr>
            <w:top w:val="none" w:sz="0" w:space="0" w:color="auto"/>
            <w:left w:val="none" w:sz="0" w:space="0" w:color="auto"/>
            <w:bottom w:val="none" w:sz="0" w:space="0" w:color="auto"/>
            <w:right w:val="none" w:sz="0" w:space="0" w:color="auto"/>
          </w:divBdr>
        </w:div>
        <w:div w:id="238945451">
          <w:marLeft w:val="0"/>
          <w:marRight w:val="0"/>
          <w:marTop w:val="0"/>
          <w:marBottom w:val="0"/>
          <w:divBdr>
            <w:top w:val="none" w:sz="0" w:space="0" w:color="auto"/>
            <w:left w:val="none" w:sz="0" w:space="0" w:color="auto"/>
            <w:bottom w:val="none" w:sz="0" w:space="0" w:color="auto"/>
            <w:right w:val="none" w:sz="0" w:space="0" w:color="auto"/>
          </w:divBdr>
        </w:div>
        <w:div w:id="340013411">
          <w:marLeft w:val="0"/>
          <w:marRight w:val="0"/>
          <w:marTop w:val="0"/>
          <w:marBottom w:val="0"/>
          <w:divBdr>
            <w:top w:val="none" w:sz="0" w:space="0" w:color="auto"/>
            <w:left w:val="none" w:sz="0" w:space="0" w:color="auto"/>
            <w:bottom w:val="none" w:sz="0" w:space="0" w:color="auto"/>
            <w:right w:val="none" w:sz="0" w:space="0" w:color="auto"/>
          </w:divBdr>
        </w:div>
        <w:div w:id="350956440">
          <w:marLeft w:val="0"/>
          <w:marRight w:val="0"/>
          <w:marTop w:val="0"/>
          <w:marBottom w:val="0"/>
          <w:divBdr>
            <w:top w:val="none" w:sz="0" w:space="0" w:color="auto"/>
            <w:left w:val="none" w:sz="0" w:space="0" w:color="auto"/>
            <w:bottom w:val="none" w:sz="0" w:space="0" w:color="auto"/>
            <w:right w:val="none" w:sz="0" w:space="0" w:color="auto"/>
          </w:divBdr>
        </w:div>
        <w:div w:id="564725161">
          <w:marLeft w:val="0"/>
          <w:marRight w:val="0"/>
          <w:marTop w:val="0"/>
          <w:marBottom w:val="0"/>
          <w:divBdr>
            <w:top w:val="none" w:sz="0" w:space="0" w:color="auto"/>
            <w:left w:val="none" w:sz="0" w:space="0" w:color="auto"/>
            <w:bottom w:val="none" w:sz="0" w:space="0" w:color="auto"/>
            <w:right w:val="none" w:sz="0" w:space="0" w:color="auto"/>
          </w:divBdr>
        </w:div>
        <w:div w:id="580992311">
          <w:marLeft w:val="0"/>
          <w:marRight w:val="0"/>
          <w:marTop w:val="0"/>
          <w:marBottom w:val="0"/>
          <w:divBdr>
            <w:top w:val="none" w:sz="0" w:space="0" w:color="auto"/>
            <w:left w:val="none" w:sz="0" w:space="0" w:color="auto"/>
            <w:bottom w:val="none" w:sz="0" w:space="0" w:color="auto"/>
            <w:right w:val="none" w:sz="0" w:space="0" w:color="auto"/>
          </w:divBdr>
        </w:div>
        <w:div w:id="618530555">
          <w:marLeft w:val="0"/>
          <w:marRight w:val="0"/>
          <w:marTop w:val="0"/>
          <w:marBottom w:val="0"/>
          <w:divBdr>
            <w:top w:val="none" w:sz="0" w:space="0" w:color="auto"/>
            <w:left w:val="none" w:sz="0" w:space="0" w:color="auto"/>
            <w:bottom w:val="none" w:sz="0" w:space="0" w:color="auto"/>
            <w:right w:val="none" w:sz="0" w:space="0" w:color="auto"/>
          </w:divBdr>
        </w:div>
        <w:div w:id="744644499">
          <w:marLeft w:val="0"/>
          <w:marRight w:val="0"/>
          <w:marTop w:val="0"/>
          <w:marBottom w:val="0"/>
          <w:divBdr>
            <w:top w:val="none" w:sz="0" w:space="0" w:color="auto"/>
            <w:left w:val="none" w:sz="0" w:space="0" w:color="auto"/>
            <w:bottom w:val="none" w:sz="0" w:space="0" w:color="auto"/>
            <w:right w:val="none" w:sz="0" w:space="0" w:color="auto"/>
          </w:divBdr>
        </w:div>
        <w:div w:id="765467265">
          <w:marLeft w:val="0"/>
          <w:marRight w:val="0"/>
          <w:marTop w:val="0"/>
          <w:marBottom w:val="0"/>
          <w:divBdr>
            <w:top w:val="none" w:sz="0" w:space="0" w:color="auto"/>
            <w:left w:val="none" w:sz="0" w:space="0" w:color="auto"/>
            <w:bottom w:val="none" w:sz="0" w:space="0" w:color="auto"/>
            <w:right w:val="none" w:sz="0" w:space="0" w:color="auto"/>
          </w:divBdr>
        </w:div>
        <w:div w:id="903419444">
          <w:marLeft w:val="0"/>
          <w:marRight w:val="0"/>
          <w:marTop w:val="0"/>
          <w:marBottom w:val="0"/>
          <w:divBdr>
            <w:top w:val="none" w:sz="0" w:space="0" w:color="auto"/>
            <w:left w:val="none" w:sz="0" w:space="0" w:color="auto"/>
            <w:bottom w:val="none" w:sz="0" w:space="0" w:color="auto"/>
            <w:right w:val="none" w:sz="0" w:space="0" w:color="auto"/>
          </w:divBdr>
        </w:div>
        <w:div w:id="986933915">
          <w:marLeft w:val="0"/>
          <w:marRight w:val="0"/>
          <w:marTop w:val="0"/>
          <w:marBottom w:val="0"/>
          <w:divBdr>
            <w:top w:val="none" w:sz="0" w:space="0" w:color="auto"/>
            <w:left w:val="none" w:sz="0" w:space="0" w:color="auto"/>
            <w:bottom w:val="none" w:sz="0" w:space="0" w:color="auto"/>
            <w:right w:val="none" w:sz="0" w:space="0" w:color="auto"/>
          </w:divBdr>
        </w:div>
        <w:div w:id="1065226459">
          <w:marLeft w:val="0"/>
          <w:marRight w:val="0"/>
          <w:marTop w:val="0"/>
          <w:marBottom w:val="0"/>
          <w:divBdr>
            <w:top w:val="none" w:sz="0" w:space="0" w:color="auto"/>
            <w:left w:val="none" w:sz="0" w:space="0" w:color="auto"/>
            <w:bottom w:val="none" w:sz="0" w:space="0" w:color="auto"/>
            <w:right w:val="none" w:sz="0" w:space="0" w:color="auto"/>
          </w:divBdr>
        </w:div>
        <w:div w:id="1178497721">
          <w:marLeft w:val="0"/>
          <w:marRight w:val="0"/>
          <w:marTop w:val="0"/>
          <w:marBottom w:val="0"/>
          <w:divBdr>
            <w:top w:val="none" w:sz="0" w:space="0" w:color="auto"/>
            <w:left w:val="none" w:sz="0" w:space="0" w:color="auto"/>
            <w:bottom w:val="none" w:sz="0" w:space="0" w:color="auto"/>
            <w:right w:val="none" w:sz="0" w:space="0" w:color="auto"/>
          </w:divBdr>
        </w:div>
        <w:div w:id="1414159493">
          <w:marLeft w:val="0"/>
          <w:marRight w:val="0"/>
          <w:marTop w:val="0"/>
          <w:marBottom w:val="0"/>
          <w:divBdr>
            <w:top w:val="none" w:sz="0" w:space="0" w:color="auto"/>
            <w:left w:val="none" w:sz="0" w:space="0" w:color="auto"/>
            <w:bottom w:val="none" w:sz="0" w:space="0" w:color="auto"/>
            <w:right w:val="none" w:sz="0" w:space="0" w:color="auto"/>
          </w:divBdr>
        </w:div>
        <w:div w:id="1502817997">
          <w:marLeft w:val="0"/>
          <w:marRight w:val="0"/>
          <w:marTop w:val="0"/>
          <w:marBottom w:val="0"/>
          <w:divBdr>
            <w:top w:val="none" w:sz="0" w:space="0" w:color="auto"/>
            <w:left w:val="none" w:sz="0" w:space="0" w:color="auto"/>
            <w:bottom w:val="none" w:sz="0" w:space="0" w:color="auto"/>
            <w:right w:val="none" w:sz="0" w:space="0" w:color="auto"/>
          </w:divBdr>
        </w:div>
        <w:div w:id="1623728787">
          <w:marLeft w:val="0"/>
          <w:marRight w:val="0"/>
          <w:marTop w:val="0"/>
          <w:marBottom w:val="0"/>
          <w:divBdr>
            <w:top w:val="none" w:sz="0" w:space="0" w:color="auto"/>
            <w:left w:val="none" w:sz="0" w:space="0" w:color="auto"/>
            <w:bottom w:val="none" w:sz="0" w:space="0" w:color="auto"/>
            <w:right w:val="none" w:sz="0" w:space="0" w:color="auto"/>
          </w:divBdr>
        </w:div>
        <w:div w:id="1717050111">
          <w:marLeft w:val="0"/>
          <w:marRight w:val="0"/>
          <w:marTop w:val="0"/>
          <w:marBottom w:val="0"/>
          <w:divBdr>
            <w:top w:val="none" w:sz="0" w:space="0" w:color="auto"/>
            <w:left w:val="none" w:sz="0" w:space="0" w:color="auto"/>
            <w:bottom w:val="none" w:sz="0" w:space="0" w:color="auto"/>
            <w:right w:val="none" w:sz="0" w:space="0" w:color="auto"/>
          </w:divBdr>
        </w:div>
        <w:div w:id="1747141097">
          <w:marLeft w:val="0"/>
          <w:marRight w:val="0"/>
          <w:marTop w:val="0"/>
          <w:marBottom w:val="0"/>
          <w:divBdr>
            <w:top w:val="none" w:sz="0" w:space="0" w:color="auto"/>
            <w:left w:val="none" w:sz="0" w:space="0" w:color="auto"/>
            <w:bottom w:val="none" w:sz="0" w:space="0" w:color="auto"/>
            <w:right w:val="none" w:sz="0" w:space="0" w:color="auto"/>
          </w:divBdr>
        </w:div>
        <w:div w:id="1866357915">
          <w:marLeft w:val="0"/>
          <w:marRight w:val="0"/>
          <w:marTop w:val="0"/>
          <w:marBottom w:val="0"/>
          <w:divBdr>
            <w:top w:val="none" w:sz="0" w:space="0" w:color="auto"/>
            <w:left w:val="none" w:sz="0" w:space="0" w:color="auto"/>
            <w:bottom w:val="none" w:sz="0" w:space="0" w:color="auto"/>
            <w:right w:val="none" w:sz="0" w:space="0" w:color="auto"/>
          </w:divBdr>
        </w:div>
        <w:div w:id="2099860912">
          <w:marLeft w:val="0"/>
          <w:marRight w:val="0"/>
          <w:marTop w:val="0"/>
          <w:marBottom w:val="0"/>
          <w:divBdr>
            <w:top w:val="none" w:sz="0" w:space="0" w:color="auto"/>
            <w:left w:val="none" w:sz="0" w:space="0" w:color="auto"/>
            <w:bottom w:val="none" w:sz="0" w:space="0" w:color="auto"/>
            <w:right w:val="none" w:sz="0" w:space="0" w:color="auto"/>
          </w:divBdr>
        </w:div>
        <w:div w:id="2106269868">
          <w:marLeft w:val="0"/>
          <w:marRight w:val="0"/>
          <w:marTop w:val="0"/>
          <w:marBottom w:val="0"/>
          <w:divBdr>
            <w:top w:val="none" w:sz="0" w:space="0" w:color="auto"/>
            <w:left w:val="none" w:sz="0" w:space="0" w:color="auto"/>
            <w:bottom w:val="none" w:sz="0" w:space="0" w:color="auto"/>
            <w:right w:val="none" w:sz="0" w:space="0" w:color="auto"/>
          </w:divBdr>
        </w:div>
      </w:divsChild>
    </w:div>
    <w:div w:id="868879083">
      <w:bodyDiv w:val="1"/>
      <w:marLeft w:val="0"/>
      <w:marRight w:val="0"/>
      <w:marTop w:val="0"/>
      <w:marBottom w:val="0"/>
      <w:divBdr>
        <w:top w:val="none" w:sz="0" w:space="0" w:color="auto"/>
        <w:left w:val="none" w:sz="0" w:space="0" w:color="auto"/>
        <w:bottom w:val="none" w:sz="0" w:space="0" w:color="auto"/>
        <w:right w:val="none" w:sz="0" w:space="0" w:color="auto"/>
      </w:divBdr>
    </w:div>
    <w:div w:id="929309754">
      <w:bodyDiv w:val="1"/>
      <w:marLeft w:val="0"/>
      <w:marRight w:val="0"/>
      <w:marTop w:val="0"/>
      <w:marBottom w:val="0"/>
      <w:divBdr>
        <w:top w:val="none" w:sz="0" w:space="0" w:color="auto"/>
        <w:left w:val="none" w:sz="0" w:space="0" w:color="auto"/>
        <w:bottom w:val="none" w:sz="0" w:space="0" w:color="auto"/>
        <w:right w:val="none" w:sz="0" w:space="0" w:color="auto"/>
      </w:divBdr>
    </w:div>
    <w:div w:id="936476658">
      <w:bodyDiv w:val="1"/>
      <w:marLeft w:val="0"/>
      <w:marRight w:val="0"/>
      <w:marTop w:val="0"/>
      <w:marBottom w:val="0"/>
      <w:divBdr>
        <w:top w:val="none" w:sz="0" w:space="0" w:color="auto"/>
        <w:left w:val="none" w:sz="0" w:space="0" w:color="auto"/>
        <w:bottom w:val="none" w:sz="0" w:space="0" w:color="auto"/>
        <w:right w:val="none" w:sz="0" w:space="0" w:color="auto"/>
      </w:divBdr>
      <w:divsChild>
        <w:div w:id="70468765">
          <w:marLeft w:val="0"/>
          <w:marRight w:val="0"/>
          <w:marTop w:val="0"/>
          <w:marBottom w:val="0"/>
          <w:divBdr>
            <w:top w:val="none" w:sz="0" w:space="0" w:color="auto"/>
            <w:left w:val="none" w:sz="0" w:space="0" w:color="auto"/>
            <w:bottom w:val="none" w:sz="0" w:space="0" w:color="auto"/>
            <w:right w:val="none" w:sz="0" w:space="0" w:color="auto"/>
          </w:divBdr>
        </w:div>
        <w:div w:id="172260171">
          <w:marLeft w:val="0"/>
          <w:marRight w:val="0"/>
          <w:marTop w:val="0"/>
          <w:marBottom w:val="0"/>
          <w:divBdr>
            <w:top w:val="none" w:sz="0" w:space="0" w:color="auto"/>
            <w:left w:val="none" w:sz="0" w:space="0" w:color="auto"/>
            <w:bottom w:val="none" w:sz="0" w:space="0" w:color="auto"/>
            <w:right w:val="none" w:sz="0" w:space="0" w:color="auto"/>
          </w:divBdr>
        </w:div>
        <w:div w:id="436364855">
          <w:marLeft w:val="0"/>
          <w:marRight w:val="0"/>
          <w:marTop w:val="0"/>
          <w:marBottom w:val="0"/>
          <w:divBdr>
            <w:top w:val="none" w:sz="0" w:space="0" w:color="auto"/>
            <w:left w:val="none" w:sz="0" w:space="0" w:color="auto"/>
            <w:bottom w:val="none" w:sz="0" w:space="0" w:color="auto"/>
            <w:right w:val="none" w:sz="0" w:space="0" w:color="auto"/>
          </w:divBdr>
        </w:div>
        <w:div w:id="488835986">
          <w:marLeft w:val="0"/>
          <w:marRight w:val="0"/>
          <w:marTop w:val="0"/>
          <w:marBottom w:val="0"/>
          <w:divBdr>
            <w:top w:val="none" w:sz="0" w:space="0" w:color="auto"/>
            <w:left w:val="none" w:sz="0" w:space="0" w:color="auto"/>
            <w:bottom w:val="none" w:sz="0" w:space="0" w:color="auto"/>
            <w:right w:val="none" w:sz="0" w:space="0" w:color="auto"/>
          </w:divBdr>
        </w:div>
        <w:div w:id="643237741">
          <w:marLeft w:val="0"/>
          <w:marRight w:val="0"/>
          <w:marTop w:val="0"/>
          <w:marBottom w:val="0"/>
          <w:divBdr>
            <w:top w:val="none" w:sz="0" w:space="0" w:color="auto"/>
            <w:left w:val="none" w:sz="0" w:space="0" w:color="auto"/>
            <w:bottom w:val="none" w:sz="0" w:space="0" w:color="auto"/>
            <w:right w:val="none" w:sz="0" w:space="0" w:color="auto"/>
          </w:divBdr>
        </w:div>
        <w:div w:id="777020839">
          <w:marLeft w:val="0"/>
          <w:marRight w:val="0"/>
          <w:marTop w:val="0"/>
          <w:marBottom w:val="0"/>
          <w:divBdr>
            <w:top w:val="none" w:sz="0" w:space="0" w:color="auto"/>
            <w:left w:val="none" w:sz="0" w:space="0" w:color="auto"/>
            <w:bottom w:val="none" w:sz="0" w:space="0" w:color="auto"/>
            <w:right w:val="none" w:sz="0" w:space="0" w:color="auto"/>
          </w:divBdr>
        </w:div>
        <w:div w:id="990670588">
          <w:marLeft w:val="0"/>
          <w:marRight w:val="0"/>
          <w:marTop w:val="0"/>
          <w:marBottom w:val="0"/>
          <w:divBdr>
            <w:top w:val="none" w:sz="0" w:space="0" w:color="auto"/>
            <w:left w:val="none" w:sz="0" w:space="0" w:color="auto"/>
            <w:bottom w:val="none" w:sz="0" w:space="0" w:color="auto"/>
            <w:right w:val="none" w:sz="0" w:space="0" w:color="auto"/>
          </w:divBdr>
        </w:div>
        <w:div w:id="1358116762">
          <w:marLeft w:val="0"/>
          <w:marRight w:val="0"/>
          <w:marTop w:val="0"/>
          <w:marBottom w:val="0"/>
          <w:divBdr>
            <w:top w:val="none" w:sz="0" w:space="0" w:color="auto"/>
            <w:left w:val="none" w:sz="0" w:space="0" w:color="auto"/>
            <w:bottom w:val="none" w:sz="0" w:space="0" w:color="auto"/>
            <w:right w:val="none" w:sz="0" w:space="0" w:color="auto"/>
          </w:divBdr>
        </w:div>
        <w:div w:id="1359156368">
          <w:marLeft w:val="0"/>
          <w:marRight w:val="0"/>
          <w:marTop w:val="0"/>
          <w:marBottom w:val="0"/>
          <w:divBdr>
            <w:top w:val="none" w:sz="0" w:space="0" w:color="auto"/>
            <w:left w:val="none" w:sz="0" w:space="0" w:color="auto"/>
            <w:bottom w:val="none" w:sz="0" w:space="0" w:color="auto"/>
            <w:right w:val="none" w:sz="0" w:space="0" w:color="auto"/>
          </w:divBdr>
        </w:div>
        <w:div w:id="1409765828">
          <w:marLeft w:val="0"/>
          <w:marRight w:val="0"/>
          <w:marTop w:val="0"/>
          <w:marBottom w:val="0"/>
          <w:divBdr>
            <w:top w:val="none" w:sz="0" w:space="0" w:color="auto"/>
            <w:left w:val="none" w:sz="0" w:space="0" w:color="auto"/>
            <w:bottom w:val="none" w:sz="0" w:space="0" w:color="auto"/>
            <w:right w:val="none" w:sz="0" w:space="0" w:color="auto"/>
          </w:divBdr>
        </w:div>
        <w:div w:id="1446583926">
          <w:marLeft w:val="0"/>
          <w:marRight w:val="0"/>
          <w:marTop w:val="0"/>
          <w:marBottom w:val="0"/>
          <w:divBdr>
            <w:top w:val="none" w:sz="0" w:space="0" w:color="auto"/>
            <w:left w:val="none" w:sz="0" w:space="0" w:color="auto"/>
            <w:bottom w:val="none" w:sz="0" w:space="0" w:color="auto"/>
            <w:right w:val="none" w:sz="0" w:space="0" w:color="auto"/>
          </w:divBdr>
        </w:div>
        <w:div w:id="1641570911">
          <w:marLeft w:val="0"/>
          <w:marRight w:val="0"/>
          <w:marTop w:val="0"/>
          <w:marBottom w:val="0"/>
          <w:divBdr>
            <w:top w:val="none" w:sz="0" w:space="0" w:color="auto"/>
            <w:left w:val="none" w:sz="0" w:space="0" w:color="auto"/>
            <w:bottom w:val="none" w:sz="0" w:space="0" w:color="auto"/>
            <w:right w:val="none" w:sz="0" w:space="0" w:color="auto"/>
          </w:divBdr>
        </w:div>
        <w:div w:id="1732076154">
          <w:marLeft w:val="0"/>
          <w:marRight w:val="0"/>
          <w:marTop w:val="0"/>
          <w:marBottom w:val="0"/>
          <w:divBdr>
            <w:top w:val="none" w:sz="0" w:space="0" w:color="auto"/>
            <w:left w:val="none" w:sz="0" w:space="0" w:color="auto"/>
            <w:bottom w:val="none" w:sz="0" w:space="0" w:color="auto"/>
            <w:right w:val="none" w:sz="0" w:space="0" w:color="auto"/>
          </w:divBdr>
        </w:div>
        <w:div w:id="1792355769">
          <w:marLeft w:val="0"/>
          <w:marRight w:val="0"/>
          <w:marTop w:val="0"/>
          <w:marBottom w:val="0"/>
          <w:divBdr>
            <w:top w:val="none" w:sz="0" w:space="0" w:color="auto"/>
            <w:left w:val="none" w:sz="0" w:space="0" w:color="auto"/>
            <w:bottom w:val="none" w:sz="0" w:space="0" w:color="auto"/>
            <w:right w:val="none" w:sz="0" w:space="0" w:color="auto"/>
          </w:divBdr>
        </w:div>
        <w:div w:id="1864127324">
          <w:marLeft w:val="0"/>
          <w:marRight w:val="0"/>
          <w:marTop w:val="0"/>
          <w:marBottom w:val="0"/>
          <w:divBdr>
            <w:top w:val="none" w:sz="0" w:space="0" w:color="auto"/>
            <w:left w:val="none" w:sz="0" w:space="0" w:color="auto"/>
            <w:bottom w:val="none" w:sz="0" w:space="0" w:color="auto"/>
            <w:right w:val="none" w:sz="0" w:space="0" w:color="auto"/>
          </w:divBdr>
        </w:div>
        <w:div w:id="1886871241">
          <w:marLeft w:val="0"/>
          <w:marRight w:val="0"/>
          <w:marTop w:val="0"/>
          <w:marBottom w:val="0"/>
          <w:divBdr>
            <w:top w:val="none" w:sz="0" w:space="0" w:color="auto"/>
            <w:left w:val="none" w:sz="0" w:space="0" w:color="auto"/>
            <w:bottom w:val="none" w:sz="0" w:space="0" w:color="auto"/>
            <w:right w:val="none" w:sz="0" w:space="0" w:color="auto"/>
          </w:divBdr>
        </w:div>
        <w:div w:id="2038315138">
          <w:marLeft w:val="0"/>
          <w:marRight w:val="0"/>
          <w:marTop w:val="0"/>
          <w:marBottom w:val="0"/>
          <w:divBdr>
            <w:top w:val="none" w:sz="0" w:space="0" w:color="auto"/>
            <w:left w:val="none" w:sz="0" w:space="0" w:color="auto"/>
            <w:bottom w:val="none" w:sz="0" w:space="0" w:color="auto"/>
            <w:right w:val="none" w:sz="0" w:space="0" w:color="auto"/>
          </w:divBdr>
        </w:div>
        <w:div w:id="2083795910">
          <w:marLeft w:val="0"/>
          <w:marRight w:val="0"/>
          <w:marTop w:val="0"/>
          <w:marBottom w:val="0"/>
          <w:divBdr>
            <w:top w:val="none" w:sz="0" w:space="0" w:color="auto"/>
            <w:left w:val="none" w:sz="0" w:space="0" w:color="auto"/>
            <w:bottom w:val="none" w:sz="0" w:space="0" w:color="auto"/>
            <w:right w:val="none" w:sz="0" w:space="0" w:color="auto"/>
          </w:divBdr>
        </w:div>
      </w:divsChild>
    </w:div>
    <w:div w:id="962999134">
      <w:bodyDiv w:val="1"/>
      <w:marLeft w:val="0"/>
      <w:marRight w:val="0"/>
      <w:marTop w:val="0"/>
      <w:marBottom w:val="0"/>
      <w:divBdr>
        <w:top w:val="none" w:sz="0" w:space="0" w:color="auto"/>
        <w:left w:val="none" w:sz="0" w:space="0" w:color="auto"/>
        <w:bottom w:val="none" w:sz="0" w:space="0" w:color="auto"/>
        <w:right w:val="none" w:sz="0" w:space="0" w:color="auto"/>
      </w:divBdr>
    </w:div>
    <w:div w:id="977491378">
      <w:bodyDiv w:val="1"/>
      <w:marLeft w:val="0"/>
      <w:marRight w:val="0"/>
      <w:marTop w:val="0"/>
      <w:marBottom w:val="0"/>
      <w:divBdr>
        <w:top w:val="none" w:sz="0" w:space="0" w:color="auto"/>
        <w:left w:val="none" w:sz="0" w:space="0" w:color="auto"/>
        <w:bottom w:val="none" w:sz="0" w:space="0" w:color="auto"/>
        <w:right w:val="none" w:sz="0" w:space="0" w:color="auto"/>
      </w:divBdr>
    </w:div>
    <w:div w:id="1176387979">
      <w:bodyDiv w:val="1"/>
      <w:marLeft w:val="0"/>
      <w:marRight w:val="0"/>
      <w:marTop w:val="0"/>
      <w:marBottom w:val="0"/>
      <w:divBdr>
        <w:top w:val="none" w:sz="0" w:space="0" w:color="auto"/>
        <w:left w:val="none" w:sz="0" w:space="0" w:color="auto"/>
        <w:bottom w:val="none" w:sz="0" w:space="0" w:color="auto"/>
        <w:right w:val="none" w:sz="0" w:space="0" w:color="auto"/>
      </w:divBdr>
    </w:div>
    <w:div w:id="1256673306">
      <w:bodyDiv w:val="1"/>
      <w:marLeft w:val="0"/>
      <w:marRight w:val="0"/>
      <w:marTop w:val="0"/>
      <w:marBottom w:val="0"/>
      <w:divBdr>
        <w:top w:val="none" w:sz="0" w:space="0" w:color="auto"/>
        <w:left w:val="none" w:sz="0" w:space="0" w:color="auto"/>
        <w:bottom w:val="none" w:sz="0" w:space="0" w:color="auto"/>
        <w:right w:val="none" w:sz="0" w:space="0" w:color="auto"/>
      </w:divBdr>
    </w:div>
    <w:div w:id="1335500574">
      <w:bodyDiv w:val="1"/>
      <w:marLeft w:val="0"/>
      <w:marRight w:val="0"/>
      <w:marTop w:val="0"/>
      <w:marBottom w:val="0"/>
      <w:divBdr>
        <w:top w:val="none" w:sz="0" w:space="0" w:color="auto"/>
        <w:left w:val="none" w:sz="0" w:space="0" w:color="auto"/>
        <w:bottom w:val="none" w:sz="0" w:space="0" w:color="auto"/>
        <w:right w:val="none" w:sz="0" w:space="0" w:color="auto"/>
      </w:divBdr>
    </w:div>
    <w:div w:id="1388989886">
      <w:bodyDiv w:val="1"/>
      <w:marLeft w:val="0"/>
      <w:marRight w:val="0"/>
      <w:marTop w:val="0"/>
      <w:marBottom w:val="0"/>
      <w:divBdr>
        <w:top w:val="none" w:sz="0" w:space="0" w:color="auto"/>
        <w:left w:val="none" w:sz="0" w:space="0" w:color="auto"/>
        <w:bottom w:val="none" w:sz="0" w:space="0" w:color="auto"/>
        <w:right w:val="none" w:sz="0" w:space="0" w:color="auto"/>
      </w:divBdr>
    </w:div>
    <w:div w:id="1421172826">
      <w:bodyDiv w:val="1"/>
      <w:marLeft w:val="0"/>
      <w:marRight w:val="0"/>
      <w:marTop w:val="0"/>
      <w:marBottom w:val="0"/>
      <w:divBdr>
        <w:top w:val="none" w:sz="0" w:space="0" w:color="auto"/>
        <w:left w:val="none" w:sz="0" w:space="0" w:color="auto"/>
        <w:bottom w:val="none" w:sz="0" w:space="0" w:color="auto"/>
        <w:right w:val="none" w:sz="0" w:space="0" w:color="auto"/>
      </w:divBdr>
      <w:divsChild>
        <w:div w:id="1857187723">
          <w:marLeft w:val="0"/>
          <w:marRight w:val="0"/>
          <w:marTop w:val="0"/>
          <w:marBottom w:val="0"/>
          <w:divBdr>
            <w:top w:val="none" w:sz="0" w:space="0" w:color="auto"/>
            <w:left w:val="none" w:sz="0" w:space="0" w:color="auto"/>
            <w:bottom w:val="none" w:sz="0" w:space="0" w:color="auto"/>
            <w:right w:val="none" w:sz="0" w:space="0" w:color="auto"/>
          </w:divBdr>
        </w:div>
        <w:div w:id="2104374957">
          <w:marLeft w:val="0"/>
          <w:marRight w:val="0"/>
          <w:marTop w:val="0"/>
          <w:marBottom w:val="0"/>
          <w:divBdr>
            <w:top w:val="none" w:sz="0" w:space="0" w:color="auto"/>
            <w:left w:val="none" w:sz="0" w:space="0" w:color="auto"/>
            <w:bottom w:val="none" w:sz="0" w:space="0" w:color="auto"/>
            <w:right w:val="none" w:sz="0" w:space="0" w:color="auto"/>
          </w:divBdr>
          <w:divsChild>
            <w:div w:id="1099912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3523383">
      <w:bodyDiv w:val="1"/>
      <w:marLeft w:val="0"/>
      <w:marRight w:val="0"/>
      <w:marTop w:val="0"/>
      <w:marBottom w:val="0"/>
      <w:divBdr>
        <w:top w:val="none" w:sz="0" w:space="0" w:color="auto"/>
        <w:left w:val="none" w:sz="0" w:space="0" w:color="auto"/>
        <w:bottom w:val="none" w:sz="0" w:space="0" w:color="auto"/>
        <w:right w:val="none" w:sz="0" w:space="0" w:color="auto"/>
      </w:divBdr>
    </w:div>
    <w:div w:id="1522470292">
      <w:bodyDiv w:val="1"/>
      <w:marLeft w:val="0"/>
      <w:marRight w:val="0"/>
      <w:marTop w:val="0"/>
      <w:marBottom w:val="0"/>
      <w:divBdr>
        <w:top w:val="none" w:sz="0" w:space="0" w:color="auto"/>
        <w:left w:val="none" w:sz="0" w:space="0" w:color="auto"/>
        <w:bottom w:val="none" w:sz="0" w:space="0" w:color="auto"/>
        <w:right w:val="none" w:sz="0" w:space="0" w:color="auto"/>
      </w:divBdr>
    </w:div>
    <w:div w:id="1571228176">
      <w:bodyDiv w:val="1"/>
      <w:marLeft w:val="0"/>
      <w:marRight w:val="0"/>
      <w:marTop w:val="0"/>
      <w:marBottom w:val="0"/>
      <w:divBdr>
        <w:top w:val="none" w:sz="0" w:space="0" w:color="auto"/>
        <w:left w:val="none" w:sz="0" w:space="0" w:color="auto"/>
        <w:bottom w:val="none" w:sz="0" w:space="0" w:color="auto"/>
        <w:right w:val="none" w:sz="0" w:space="0" w:color="auto"/>
      </w:divBdr>
    </w:div>
    <w:div w:id="1641181405">
      <w:bodyDiv w:val="1"/>
      <w:marLeft w:val="0"/>
      <w:marRight w:val="0"/>
      <w:marTop w:val="0"/>
      <w:marBottom w:val="0"/>
      <w:divBdr>
        <w:top w:val="none" w:sz="0" w:space="0" w:color="auto"/>
        <w:left w:val="none" w:sz="0" w:space="0" w:color="auto"/>
        <w:bottom w:val="none" w:sz="0" w:space="0" w:color="auto"/>
        <w:right w:val="none" w:sz="0" w:space="0" w:color="auto"/>
      </w:divBdr>
    </w:div>
    <w:div w:id="1658339698">
      <w:bodyDiv w:val="1"/>
      <w:marLeft w:val="0"/>
      <w:marRight w:val="0"/>
      <w:marTop w:val="0"/>
      <w:marBottom w:val="0"/>
      <w:divBdr>
        <w:top w:val="none" w:sz="0" w:space="0" w:color="auto"/>
        <w:left w:val="none" w:sz="0" w:space="0" w:color="auto"/>
        <w:bottom w:val="none" w:sz="0" w:space="0" w:color="auto"/>
        <w:right w:val="none" w:sz="0" w:space="0" w:color="auto"/>
      </w:divBdr>
    </w:div>
    <w:div w:id="1664165869">
      <w:bodyDiv w:val="1"/>
      <w:marLeft w:val="0"/>
      <w:marRight w:val="0"/>
      <w:marTop w:val="0"/>
      <w:marBottom w:val="0"/>
      <w:divBdr>
        <w:top w:val="none" w:sz="0" w:space="0" w:color="auto"/>
        <w:left w:val="none" w:sz="0" w:space="0" w:color="auto"/>
        <w:bottom w:val="none" w:sz="0" w:space="0" w:color="auto"/>
        <w:right w:val="none" w:sz="0" w:space="0" w:color="auto"/>
      </w:divBdr>
    </w:div>
    <w:div w:id="1793092054">
      <w:bodyDiv w:val="1"/>
      <w:marLeft w:val="0"/>
      <w:marRight w:val="0"/>
      <w:marTop w:val="0"/>
      <w:marBottom w:val="0"/>
      <w:divBdr>
        <w:top w:val="none" w:sz="0" w:space="0" w:color="auto"/>
        <w:left w:val="none" w:sz="0" w:space="0" w:color="auto"/>
        <w:bottom w:val="none" w:sz="0" w:space="0" w:color="auto"/>
        <w:right w:val="none" w:sz="0" w:space="0" w:color="auto"/>
      </w:divBdr>
    </w:div>
    <w:div w:id="1865551998">
      <w:bodyDiv w:val="1"/>
      <w:marLeft w:val="0"/>
      <w:marRight w:val="0"/>
      <w:marTop w:val="0"/>
      <w:marBottom w:val="0"/>
      <w:divBdr>
        <w:top w:val="none" w:sz="0" w:space="0" w:color="auto"/>
        <w:left w:val="none" w:sz="0" w:space="0" w:color="auto"/>
        <w:bottom w:val="none" w:sz="0" w:space="0" w:color="auto"/>
        <w:right w:val="none" w:sz="0" w:space="0" w:color="auto"/>
      </w:divBdr>
    </w:div>
    <w:div w:id="1909000084">
      <w:bodyDiv w:val="1"/>
      <w:marLeft w:val="0"/>
      <w:marRight w:val="0"/>
      <w:marTop w:val="0"/>
      <w:marBottom w:val="0"/>
      <w:divBdr>
        <w:top w:val="none" w:sz="0" w:space="0" w:color="auto"/>
        <w:left w:val="none" w:sz="0" w:space="0" w:color="auto"/>
        <w:bottom w:val="none" w:sz="0" w:space="0" w:color="auto"/>
        <w:right w:val="none" w:sz="0" w:space="0" w:color="auto"/>
      </w:divBdr>
    </w:div>
    <w:div w:id="1965035769">
      <w:bodyDiv w:val="1"/>
      <w:marLeft w:val="0"/>
      <w:marRight w:val="0"/>
      <w:marTop w:val="0"/>
      <w:marBottom w:val="0"/>
      <w:divBdr>
        <w:top w:val="none" w:sz="0" w:space="0" w:color="auto"/>
        <w:left w:val="none" w:sz="0" w:space="0" w:color="auto"/>
        <w:bottom w:val="none" w:sz="0" w:space="0" w:color="auto"/>
        <w:right w:val="none" w:sz="0" w:space="0" w:color="auto"/>
      </w:divBdr>
    </w:div>
    <w:div w:id="1986933023">
      <w:bodyDiv w:val="1"/>
      <w:marLeft w:val="0"/>
      <w:marRight w:val="0"/>
      <w:marTop w:val="0"/>
      <w:marBottom w:val="0"/>
      <w:divBdr>
        <w:top w:val="none" w:sz="0" w:space="0" w:color="auto"/>
        <w:left w:val="none" w:sz="0" w:space="0" w:color="auto"/>
        <w:bottom w:val="none" w:sz="0" w:space="0" w:color="auto"/>
        <w:right w:val="none" w:sz="0" w:space="0" w:color="auto"/>
      </w:divBdr>
      <w:divsChild>
        <w:div w:id="119109567">
          <w:marLeft w:val="0"/>
          <w:marRight w:val="0"/>
          <w:marTop w:val="0"/>
          <w:marBottom w:val="0"/>
          <w:divBdr>
            <w:top w:val="none" w:sz="0" w:space="0" w:color="auto"/>
            <w:left w:val="none" w:sz="0" w:space="0" w:color="auto"/>
            <w:bottom w:val="none" w:sz="0" w:space="0" w:color="auto"/>
            <w:right w:val="none" w:sz="0" w:space="0" w:color="auto"/>
          </w:divBdr>
        </w:div>
        <w:div w:id="155846811">
          <w:marLeft w:val="0"/>
          <w:marRight w:val="0"/>
          <w:marTop w:val="0"/>
          <w:marBottom w:val="0"/>
          <w:divBdr>
            <w:top w:val="none" w:sz="0" w:space="0" w:color="auto"/>
            <w:left w:val="none" w:sz="0" w:space="0" w:color="auto"/>
            <w:bottom w:val="none" w:sz="0" w:space="0" w:color="auto"/>
            <w:right w:val="none" w:sz="0" w:space="0" w:color="auto"/>
          </w:divBdr>
        </w:div>
        <w:div w:id="261914548">
          <w:marLeft w:val="0"/>
          <w:marRight w:val="0"/>
          <w:marTop w:val="0"/>
          <w:marBottom w:val="0"/>
          <w:divBdr>
            <w:top w:val="none" w:sz="0" w:space="0" w:color="auto"/>
            <w:left w:val="none" w:sz="0" w:space="0" w:color="auto"/>
            <w:bottom w:val="none" w:sz="0" w:space="0" w:color="auto"/>
            <w:right w:val="none" w:sz="0" w:space="0" w:color="auto"/>
          </w:divBdr>
        </w:div>
        <w:div w:id="371996686">
          <w:marLeft w:val="0"/>
          <w:marRight w:val="0"/>
          <w:marTop w:val="0"/>
          <w:marBottom w:val="0"/>
          <w:divBdr>
            <w:top w:val="none" w:sz="0" w:space="0" w:color="auto"/>
            <w:left w:val="none" w:sz="0" w:space="0" w:color="auto"/>
            <w:bottom w:val="none" w:sz="0" w:space="0" w:color="auto"/>
            <w:right w:val="none" w:sz="0" w:space="0" w:color="auto"/>
          </w:divBdr>
        </w:div>
        <w:div w:id="796992594">
          <w:marLeft w:val="0"/>
          <w:marRight w:val="0"/>
          <w:marTop w:val="0"/>
          <w:marBottom w:val="0"/>
          <w:divBdr>
            <w:top w:val="none" w:sz="0" w:space="0" w:color="auto"/>
            <w:left w:val="none" w:sz="0" w:space="0" w:color="auto"/>
            <w:bottom w:val="none" w:sz="0" w:space="0" w:color="auto"/>
            <w:right w:val="none" w:sz="0" w:space="0" w:color="auto"/>
          </w:divBdr>
        </w:div>
        <w:div w:id="810558669">
          <w:marLeft w:val="0"/>
          <w:marRight w:val="0"/>
          <w:marTop w:val="0"/>
          <w:marBottom w:val="0"/>
          <w:divBdr>
            <w:top w:val="none" w:sz="0" w:space="0" w:color="auto"/>
            <w:left w:val="none" w:sz="0" w:space="0" w:color="auto"/>
            <w:bottom w:val="none" w:sz="0" w:space="0" w:color="auto"/>
            <w:right w:val="none" w:sz="0" w:space="0" w:color="auto"/>
          </w:divBdr>
        </w:div>
        <w:div w:id="856582184">
          <w:marLeft w:val="0"/>
          <w:marRight w:val="0"/>
          <w:marTop w:val="0"/>
          <w:marBottom w:val="0"/>
          <w:divBdr>
            <w:top w:val="none" w:sz="0" w:space="0" w:color="auto"/>
            <w:left w:val="none" w:sz="0" w:space="0" w:color="auto"/>
            <w:bottom w:val="none" w:sz="0" w:space="0" w:color="auto"/>
            <w:right w:val="none" w:sz="0" w:space="0" w:color="auto"/>
          </w:divBdr>
        </w:div>
        <w:div w:id="923801835">
          <w:marLeft w:val="0"/>
          <w:marRight w:val="0"/>
          <w:marTop w:val="0"/>
          <w:marBottom w:val="0"/>
          <w:divBdr>
            <w:top w:val="none" w:sz="0" w:space="0" w:color="auto"/>
            <w:left w:val="none" w:sz="0" w:space="0" w:color="auto"/>
            <w:bottom w:val="none" w:sz="0" w:space="0" w:color="auto"/>
            <w:right w:val="none" w:sz="0" w:space="0" w:color="auto"/>
          </w:divBdr>
        </w:div>
        <w:div w:id="1046300295">
          <w:marLeft w:val="0"/>
          <w:marRight w:val="0"/>
          <w:marTop w:val="0"/>
          <w:marBottom w:val="0"/>
          <w:divBdr>
            <w:top w:val="none" w:sz="0" w:space="0" w:color="auto"/>
            <w:left w:val="none" w:sz="0" w:space="0" w:color="auto"/>
            <w:bottom w:val="none" w:sz="0" w:space="0" w:color="auto"/>
            <w:right w:val="none" w:sz="0" w:space="0" w:color="auto"/>
          </w:divBdr>
        </w:div>
        <w:div w:id="1147549044">
          <w:marLeft w:val="0"/>
          <w:marRight w:val="0"/>
          <w:marTop w:val="0"/>
          <w:marBottom w:val="0"/>
          <w:divBdr>
            <w:top w:val="none" w:sz="0" w:space="0" w:color="auto"/>
            <w:left w:val="none" w:sz="0" w:space="0" w:color="auto"/>
            <w:bottom w:val="none" w:sz="0" w:space="0" w:color="auto"/>
            <w:right w:val="none" w:sz="0" w:space="0" w:color="auto"/>
          </w:divBdr>
        </w:div>
        <w:div w:id="1373529874">
          <w:marLeft w:val="0"/>
          <w:marRight w:val="0"/>
          <w:marTop w:val="0"/>
          <w:marBottom w:val="0"/>
          <w:divBdr>
            <w:top w:val="none" w:sz="0" w:space="0" w:color="auto"/>
            <w:left w:val="none" w:sz="0" w:space="0" w:color="auto"/>
            <w:bottom w:val="none" w:sz="0" w:space="0" w:color="auto"/>
            <w:right w:val="none" w:sz="0" w:space="0" w:color="auto"/>
          </w:divBdr>
        </w:div>
        <w:div w:id="1394624061">
          <w:marLeft w:val="0"/>
          <w:marRight w:val="0"/>
          <w:marTop w:val="0"/>
          <w:marBottom w:val="0"/>
          <w:divBdr>
            <w:top w:val="none" w:sz="0" w:space="0" w:color="auto"/>
            <w:left w:val="none" w:sz="0" w:space="0" w:color="auto"/>
            <w:bottom w:val="none" w:sz="0" w:space="0" w:color="auto"/>
            <w:right w:val="none" w:sz="0" w:space="0" w:color="auto"/>
          </w:divBdr>
        </w:div>
        <w:div w:id="1565096294">
          <w:marLeft w:val="0"/>
          <w:marRight w:val="0"/>
          <w:marTop w:val="0"/>
          <w:marBottom w:val="0"/>
          <w:divBdr>
            <w:top w:val="none" w:sz="0" w:space="0" w:color="auto"/>
            <w:left w:val="none" w:sz="0" w:space="0" w:color="auto"/>
            <w:bottom w:val="none" w:sz="0" w:space="0" w:color="auto"/>
            <w:right w:val="none" w:sz="0" w:space="0" w:color="auto"/>
          </w:divBdr>
        </w:div>
        <w:div w:id="1690913189">
          <w:marLeft w:val="0"/>
          <w:marRight w:val="0"/>
          <w:marTop w:val="0"/>
          <w:marBottom w:val="0"/>
          <w:divBdr>
            <w:top w:val="none" w:sz="0" w:space="0" w:color="auto"/>
            <w:left w:val="none" w:sz="0" w:space="0" w:color="auto"/>
            <w:bottom w:val="none" w:sz="0" w:space="0" w:color="auto"/>
            <w:right w:val="none" w:sz="0" w:space="0" w:color="auto"/>
          </w:divBdr>
        </w:div>
        <w:div w:id="1750302222">
          <w:marLeft w:val="0"/>
          <w:marRight w:val="0"/>
          <w:marTop w:val="0"/>
          <w:marBottom w:val="0"/>
          <w:divBdr>
            <w:top w:val="none" w:sz="0" w:space="0" w:color="auto"/>
            <w:left w:val="none" w:sz="0" w:space="0" w:color="auto"/>
            <w:bottom w:val="none" w:sz="0" w:space="0" w:color="auto"/>
            <w:right w:val="none" w:sz="0" w:space="0" w:color="auto"/>
          </w:divBdr>
        </w:div>
        <w:div w:id="1768886321">
          <w:marLeft w:val="0"/>
          <w:marRight w:val="0"/>
          <w:marTop w:val="0"/>
          <w:marBottom w:val="0"/>
          <w:divBdr>
            <w:top w:val="none" w:sz="0" w:space="0" w:color="auto"/>
            <w:left w:val="none" w:sz="0" w:space="0" w:color="auto"/>
            <w:bottom w:val="none" w:sz="0" w:space="0" w:color="auto"/>
            <w:right w:val="none" w:sz="0" w:space="0" w:color="auto"/>
          </w:divBdr>
        </w:div>
        <w:div w:id="1874994709">
          <w:marLeft w:val="0"/>
          <w:marRight w:val="0"/>
          <w:marTop w:val="0"/>
          <w:marBottom w:val="0"/>
          <w:divBdr>
            <w:top w:val="none" w:sz="0" w:space="0" w:color="auto"/>
            <w:left w:val="none" w:sz="0" w:space="0" w:color="auto"/>
            <w:bottom w:val="none" w:sz="0" w:space="0" w:color="auto"/>
            <w:right w:val="none" w:sz="0" w:space="0" w:color="auto"/>
          </w:divBdr>
        </w:div>
        <w:div w:id="1999843805">
          <w:marLeft w:val="0"/>
          <w:marRight w:val="0"/>
          <w:marTop w:val="0"/>
          <w:marBottom w:val="0"/>
          <w:divBdr>
            <w:top w:val="none" w:sz="0" w:space="0" w:color="auto"/>
            <w:left w:val="none" w:sz="0" w:space="0" w:color="auto"/>
            <w:bottom w:val="none" w:sz="0" w:space="0" w:color="auto"/>
            <w:right w:val="none" w:sz="0" w:space="0" w:color="auto"/>
          </w:divBdr>
        </w:div>
      </w:divsChild>
    </w:div>
    <w:div w:id="2146196115">
      <w:bodyDiv w:val="1"/>
      <w:marLeft w:val="0"/>
      <w:marRight w:val="0"/>
      <w:marTop w:val="0"/>
      <w:marBottom w:val="0"/>
      <w:divBdr>
        <w:top w:val="none" w:sz="0" w:space="0" w:color="auto"/>
        <w:left w:val="none" w:sz="0" w:space="0" w:color="auto"/>
        <w:bottom w:val="none" w:sz="0" w:space="0" w:color="auto"/>
        <w:right w:val="none" w:sz="0" w:space="0" w:color="auto"/>
      </w:divBdr>
      <w:divsChild>
        <w:div w:id="166755091">
          <w:marLeft w:val="0"/>
          <w:marRight w:val="0"/>
          <w:marTop w:val="0"/>
          <w:marBottom w:val="0"/>
          <w:divBdr>
            <w:top w:val="none" w:sz="0" w:space="0" w:color="auto"/>
            <w:left w:val="none" w:sz="0" w:space="0" w:color="auto"/>
            <w:bottom w:val="none" w:sz="0" w:space="0" w:color="auto"/>
            <w:right w:val="none" w:sz="0" w:space="0" w:color="auto"/>
          </w:divBdr>
        </w:div>
        <w:div w:id="289634711">
          <w:marLeft w:val="0"/>
          <w:marRight w:val="0"/>
          <w:marTop w:val="0"/>
          <w:marBottom w:val="0"/>
          <w:divBdr>
            <w:top w:val="none" w:sz="0" w:space="0" w:color="auto"/>
            <w:left w:val="none" w:sz="0" w:space="0" w:color="auto"/>
            <w:bottom w:val="none" w:sz="0" w:space="0" w:color="auto"/>
            <w:right w:val="none" w:sz="0" w:space="0" w:color="auto"/>
          </w:divBdr>
        </w:div>
        <w:div w:id="367145669">
          <w:marLeft w:val="0"/>
          <w:marRight w:val="0"/>
          <w:marTop w:val="0"/>
          <w:marBottom w:val="0"/>
          <w:divBdr>
            <w:top w:val="none" w:sz="0" w:space="0" w:color="auto"/>
            <w:left w:val="none" w:sz="0" w:space="0" w:color="auto"/>
            <w:bottom w:val="none" w:sz="0" w:space="0" w:color="auto"/>
            <w:right w:val="none" w:sz="0" w:space="0" w:color="auto"/>
          </w:divBdr>
        </w:div>
        <w:div w:id="641038692">
          <w:marLeft w:val="0"/>
          <w:marRight w:val="0"/>
          <w:marTop w:val="0"/>
          <w:marBottom w:val="0"/>
          <w:divBdr>
            <w:top w:val="none" w:sz="0" w:space="0" w:color="auto"/>
            <w:left w:val="none" w:sz="0" w:space="0" w:color="auto"/>
            <w:bottom w:val="none" w:sz="0" w:space="0" w:color="auto"/>
            <w:right w:val="none" w:sz="0" w:space="0" w:color="auto"/>
          </w:divBdr>
        </w:div>
        <w:div w:id="655453805">
          <w:marLeft w:val="0"/>
          <w:marRight w:val="0"/>
          <w:marTop w:val="0"/>
          <w:marBottom w:val="0"/>
          <w:divBdr>
            <w:top w:val="none" w:sz="0" w:space="0" w:color="auto"/>
            <w:left w:val="none" w:sz="0" w:space="0" w:color="auto"/>
            <w:bottom w:val="none" w:sz="0" w:space="0" w:color="auto"/>
            <w:right w:val="none" w:sz="0" w:space="0" w:color="auto"/>
          </w:divBdr>
        </w:div>
        <w:div w:id="785007717">
          <w:marLeft w:val="0"/>
          <w:marRight w:val="0"/>
          <w:marTop w:val="0"/>
          <w:marBottom w:val="0"/>
          <w:divBdr>
            <w:top w:val="none" w:sz="0" w:space="0" w:color="auto"/>
            <w:left w:val="none" w:sz="0" w:space="0" w:color="auto"/>
            <w:bottom w:val="none" w:sz="0" w:space="0" w:color="auto"/>
            <w:right w:val="none" w:sz="0" w:space="0" w:color="auto"/>
          </w:divBdr>
        </w:div>
        <w:div w:id="825248056">
          <w:marLeft w:val="0"/>
          <w:marRight w:val="0"/>
          <w:marTop w:val="0"/>
          <w:marBottom w:val="0"/>
          <w:divBdr>
            <w:top w:val="none" w:sz="0" w:space="0" w:color="auto"/>
            <w:left w:val="none" w:sz="0" w:space="0" w:color="auto"/>
            <w:bottom w:val="none" w:sz="0" w:space="0" w:color="auto"/>
            <w:right w:val="none" w:sz="0" w:space="0" w:color="auto"/>
          </w:divBdr>
        </w:div>
        <w:div w:id="893855765">
          <w:marLeft w:val="0"/>
          <w:marRight w:val="0"/>
          <w:marTop w:val="0"/>
          <w:marBottom w:val="0"/>
          <w:divBdr>
            <w:top w:val="none" w:sz="0" w:space="0" w:color="auto"/>
            <w:left w:val="none" w:sz="0" w:space="0" w:color="auto"/>
            <w:bottom w:val="none" w:sz="0" w:space="0" w:color="auto"/>
            <w:right w:val="none" w:sz="0" w:space="0" w:color="auto"/>
          </w:divBdr>
        </w:div>
        <w:div w:id="917253222">
          <w:marLeft w:val="0"/>
          <w:marRight w:val="0"/>
          <w:marTop w:val="0"/>
          <w:marBottom w:val="0"/>
          <w:divBdr>
            <w:top w:val="none" w:sz="0" w:space="0" w:color="auto"/>
            <w:left w:val="none" w:sz="0" w:space="0" w:color="auto"/>
            <w:bottom w:val="none" w:sz="0" w:space="0" w:color="auto"/>
            <w:right w:val="none" w:sz="0" w:space="0" w:color="auto"/>
          </w:divBdr>
        </w:div>
        <w:div w:id="931742970">
          <w:marLeft w:val="0"/>
          <w:marRight w:val="0"/>
          <w:marTop w:val="0"/>
          <w:marBottom w:val="0"/>
          <w:divBdr>
            <w:top w:val="none" w:sz="0" w:space="0" w:color="auto"/>
            <w:left w:val="none" w:sz="0" w:space="0" w:color="auto"/>
            <w:bottom w:val="none" w:sz="0" w:space="0" w:color="auto"/>
            <w:right w:val="none" w:sz="0" w:space="0" w:color="auto"/>
          </w:divBdr>
        </w:div>
        <w:div w:id="1037925354">
          <w:marLeft w:val="0"/>
          <w:marRight w:val="0"/>
          <w:marTop w:val="0"/>
          <w:marBottom w:val="0"/>
          <w:divBdr>
            <w:top w:val="none" w:sz="0" w:space="0" w:color="auto"/>
            <w:left w:val="none" w:sz="0" w:space="0" w:color="auto"/>
            <w:bottom w:val="none" w:sz="0" w:space="0" w:color="auto"/>
            <w:right w:val="none" w:sz="0" w:space="0" w:color="auto"/>
          </w:divBdr>
        </w:div>
        <w:div w:id="1129592652">
          <w:marLeft w:val="0"/>
          <w:marRight w:val="0"/>
          <w:marTop w:val="0"/>
          <w:marBottom w:val="0"/>
          <w:divBdr>
            <w:top w:val="none" w:sz="0" w:space="0" w:color="auto"/>
            <w:left w:val="none" w:sz="0" w:space="0" w:color="auto"/>
            <w:bottom w:val="none" w:sz="0" w:space="0" w:color="auto"/>
            <w:right w:val="none" w:sz="0" w:space="0" w:color="auto"/>
          </w:divBdr>
        </w:div>
        <w:div w:id="1581139658">
          <w:marLeft w:val="0"/>
          <w:marRight w:val="0"/>
          <w:marTop w:val="0"/>
          <w:marBottom w:val="0"/>
          <w:divBdr>
            <w:top w:val="none" w:sz="0" w:space="0" w:color="auto"/>
            <w:left w:val="none" w:sz="0" w:space="0" w:color="auto"/>
            <w:bottom w:val="none" w:sz="0" w:space="0" w:color="auto"/>
            <w:right w:val="none" w:sz="0" w:space="0" w:color="auto"/>
          </w:divBdr>
        </w:div>
        <w:div w:id="1816483030">
          <w:marLeft w:val="0"/>
          <w:marRight w:val="0"/>
          <w:marTop w:val="0"/>
          <w:marBottom w:val="0"/>
          <w:divBdr>
            <w:top w:val="none" w:sz="0" w:space="0" w:color="auto"/>
            <w:left w:val="none" w:sz="0" w:space="0" w:color="auto"/>
            <w:bottom w:val="none" w:sz="0" w:space="0" w:color="auto"/>
            <w:right w:val="none" w:sz="0" w:space="0" w:color="auto"/>
          </w:divBdr>
        </w:div>
        <w:div w:id="1929650371">
          <w:marLeft w:val="0"/>
          <w:marRight w:val="0"/>
          <w:marTop w:val="0"/>
          <w:marBottom w:val="0"/>
          <w:divBdr>
            <w:top w:val="none" w:sz="0" w:space="0" w:color="auto"/>
            <w:left w:val="none" w:sz="0" w:space="0" w:color="auto"/>
            <w:bottom w:val="none" w:sz="0" w:space="0" w:color="auto"/>
            <w:right w:val="none" w:sz="0" w:space="0" w:color="auto"/>
          </w:divBdr>
        </w:div>
        <w:div w:id="21404953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CHI@Mass.gov" TargetMode="External"/><Relationship Id="rId5" Type="http://schemas.openxmlformats.org/officeDocument/2006/relationships/webSettings" Target="webSettings.xml"/><Relationship Id="rId10" Type="http://schemas.openxmlformats.org/officeDocument/2006/relationships/hyperlink" Target="mailto:dongrants@hria.org" TargetMode="External"/><Relationship Id="rId4" Type="http://schemas.openxmlformats.org/officeDocument/2006/relationships/settings" Target="settings.xml"/><Relationship Id="rId9" Type="http://schemas.openxmlformats.org/officeDocument/2006/relationships/hyperlink" Target="https://www.mass.gov/doc/health-priority-0/download"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ncbi.nlm.nih.gov/pmc/articles/PMC6754202/" TargetMode="External"/><Relationship Id="rId13" Type="http://schemas.openxmlformats.org/officeDocument/2006/relationships/hyperlink" Target="https://www.ncbi.nlm.nih.gov/pmc/articles/PMC2729811/" TargetMode="External"/><Relationship Id="rId18" Type="http://schemas.openxmlformats.org/officeDocument/2006/relationships/hyperlink" Target="https://www.ncbi.nlm.nih.gov/pmc/articles/PMC2729811/" TargetMode="External"/><Relationship Id="rId3" Type="http://schemas.openxmlformats.org/officeDocument/2006/relationships/hyperlink" Target="https://www.ncbi.nlm.nih.gov/pmc/articles/PMC6754202/" TargetMode="External"/><Relationship Id="rId21" Type="http://schemas.openxmlformats.org/officeDocument/2006/relationships/hyperlink" Target="https://onlinelibrary.wiley.com/doi/abs/10.1111/ecin.12849" TargetMode="External"/><Relationship Id="rId7" Type="http://schemas.openxmlformats.org/officeDocument/2006/relationships/hyperlink" Target="https://www.ncbi.nlm.nih.gov/pmc/articles/PMC6754202/%20(" TargetMode="External"/><Relationship Id="rId12" Type="http://schemas.openxmlformats.org/officeDocument/2006/relationships/hyperlink" Target="https://www.ncbi.nlm.nih.gov/pmc/articles/PMC2729811/" TargetMode="External"/><Relationship Id="rId17" Type="http://schemas.openxmlformats.org/officeDocument/2006/relationships/hyperlink" Target="https://www.ncbi.nlm.nih.gov/pmc/articles/PMC2729811/" TargetMode="External"/><Relationship Id="rId2" Type="http://schemas.openxmlformats.org/officeDocument/2006/relationships/hyperlink" Target="https://www.census.gov/quickfacts/fact/table/bristolcountymassachusetts/PST045224" TargetMode="External"/><Relationship Id="rId16" Type="http://schemas.openxmlformats.org/officeDocument/2006/relationships/hyperlink" Target="https://www.hindawi.com/journals/aem/2014/495219/" TargetMode="External"/><Relationship Id="rId20" Type="http://schemas.openxmlformats.org/officeDocument/2006/relationships/hyperlink" Target="https://www.ncbi.nlm.nih.gov/pmc/articles/PMC9498666/" TargetMode="External"/><Relationship Id="rId1" Type="http://schemas.openxmlformats.org/officeDocument/2006/relationships/hyperlink" Target="https://www.census.gov/quickfacts/fact/table/bristolcountymassachusetts/PST045224" TargetMode="External"/><Relationship Id="rId6" Type="http://schemas.openxmlformats.org/officeDocument/2006/relationships/hyperlink" Target="https://www.ncbi.nlm.nih.gov/pmc/articles/PMC6754202/" TargetMode="External"/><Relationship Id="rId11" Type="http://schemas.openxmlformats.org/officeDocument/2006/relationships/hyperlink" Target="https://www.ncbi.nlm.nih.gov/pmc/articles/PMC2729811/" TargetMode="External"/><Relationship Id="rId24" Type="http://schemas.openxmlformats.org/officeDocument/2006/relationships/hyperlink" Target="https://urldefense.com/v3/__https:/onlinelibrary.wiley.com/doi/abs/10.1111/ecin.12849__;!!CPANwP4y!TKCF6JCs9yJRdm54VcarhXo1HyDimlN_N-bNJbZXKw3dJ6zvhk_90_cruoq1WaQvjBoAhOmEuns0QsnGKrDo3sOnHrvuxxAO3gCH9_Yp30mmJrfQig$" TargetMode="External"/><Relationship Id="rId5" Type="http://schemas.openxmlformats.org/officeDocument/2006/relationships/hyperlink" Target="https://www.ncbi.nlm.nih.gov/pmc/articles/PMC6754202/" TargetMode="External"/><Relationship Id="rId15" Type="http://schemas.openxmlformats.org/officeDocument/2006/relationships/hyperlink" Target="https://www.hindawi.com/journals/aem/2014/495219/" TargetMode="External"/><Relationship Id="rId23" Type="http://schemas.openxmlformats.org/officeDocument/2006/relationships/hyperlink" Target="https://onlinelibrary.wiley.com/doi/abs/10.1111/ecin.12849" TargetMode="External"/><Relationship Id="rId10" Type="http://schemas.openxmlformats.org/officeDocument/2006/relationships/hyperlink" Target="https://www.ncbi.nlm.nih.gov/pmc/articles/PMC9498666/" TargetMode="External"/><Relationship Id="rId19" Type="http://schemas.openxmlformats.org/officeDocument/2006/relationships/hyperlink" Target="https://www.ncbi.nlm.nih.gov/pmc/articles/PMC9498666/" TargetMode="External"/><Relationship Id="rId4" Type="http://schemas.openxmlformats.org/officeDocument/2006/relationships/hyperlink" Target="https://www.ncbi.nlm.nih.gov/pmc/articles/PMC6754202/" TargetMode="External"/><Relationship Id="rId9" Type="http://schemas.openxmlformats.org/officeDocument/2006/relationships/hyperlink" Target="https://www.ncbi.nlm.nih.gov/pmc/articles/PMC9498666/" TargetMode="External"/><Relationship Id="rId14" Type="http://schemas.openxmlformats.org/officeDocument/2006/relationships/hyperlink" Target="https://www.ncbi.nlm.nih.gov/pmc/articles/PMC2729811/" TargetMode="External"/><Relationship Id="rId22" Type="http://schemas.openxmlformats.org/officeDocument/2006/relationships/hyperlink" Target="https://urldefense.com/v3/__https:/onlinelibrary.wiley.com/doi/abs/10.1111/ecin.12849__;!!CPANwP4y!TKCF6JCs9yJRdm54VcarhXo1HyDimlN_N-bNJbZXKw3dJ6zvhk_90_cruoq1WaQvjBoAhOmEuns0QsnGKrDo3sOnHrvuxxAO3gCH9_Yp30mmJrfQi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files/documents/2018/12/31/jud-lib-105cmr100.pdf" TargetMode="External"/><Relationship Id="rId1" Type="http://schemas.openxmlformats.org/officeDocument/2006/relationships/hyperlink" Target="https://www.mass.gov/files/documents/2018/12/31/jud-lib-105cmr1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BDD0A-058F-4FBE-A24A-6B3D3584C10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14</TotalTime>
  <Pages>25</Pages>
  <Words>9566</Words>
  <Characters>54529</Characters>
  <Application>Microsoft Office Word</Application>
  <DocSecurity>0</DocSecurity>
  <Lines>454</Lines>
  <Paragraphs>127</Paragraphs>
  <ScaleCrop>false</ScaleCrop>
  <Company/>
  <LinksUpToDate>false</LinksUpToDate>
  <CharactersWithSpaces>63968</CharactersWithSpaces>
  <SharedDoc>false</SharedDoc>
  <HLinks>
    <vt:vector size="216" baseType="variant">
      <vt:variant>
        <vt:i4>4391024</vt:i4>
      </vt:variant>
      <vt:variant>
        <vt:i4>129</vt:i4>
      </vt:variant>
      <vt:variant>
        <vt:i4>0</vt:i4>
      </vt:variant>
      <vt:variant>
        <vt:i4>5</vt:i4>
      </vt:variant>
      <vt:variant>
        <vt:lpwstr>mailto:DONCHI@Mass.gov</vt:lpwstr>
      </vt:variant>
      <vt:variant>
        <vt:lpwstr/>
      </vt:variant>
      <vt:variant>
        <vt:i4>5898347</vt:i4>
      </vt:variant>
      <vt:variant>
        <vt:i4>126</vt:i4>
      </vt:variant>
      <vt:variant>
        <vt:i4>0</vt:i4>
      </vt:variant>
      <vt:variant>
        <vt:i4>5</vt:i4>
      </vt:variant>
      <vt:variant>
        <vt:lpwstr>mailto:dongrants@hria.org</vt:lpwstr>
      </vt:variant>
      <vt:variant>
        <vt:lpwstr/>
      </vt:variant>
      <vt:variant>
        <vt:i4>4128866</vt:i4>
      </vt:variant>
      <vt:variant>
        <vt:i4>123</vt:i4>
      </vt:variant>
      <vt:variant>
        <vt:i4>0</vt:i4>
      </vt:variant>
      <vt:variant>
        <vt:i4>5</vt:i4>
      </vt:variant>
      <vt:variant>
        <vt:lpwstr>https://www.mass.gov/doc/health-priority-0/download</vt:lpwstr>
      </vt:variant>
      <vt:variant>
        <vt:lpwstr/>
      </vt:variant>
      <vt:variant>
        <vt:i4>1310769</vt:i4>
      </vt:variant>
      <vt:variant>
        <vt:i4>116</vt:i4>
      </vt:variant>
      <vt:variant>
        <vt:i4>0</vt:i4>
      </vt:variant>
      <vt:variant>
        <vt:i4>5</vt:i4>
      </vt:variant>
      <vt:variant>
        <vt:lpwstr/>
      </vt:variant>
      <vt:variant>
        <vt:lpwstr>_Toc188884077</vt:lpwstr>
      </vt:variant>
      <vt:variant>
        <vt:i4>1310769</vt:i4>
      </vt:variant>
      <vt:variant>
        <vt:i4>110</vt:i4>
      </vt:variant>
      <vt:variant>
        <vt:i4>0</vt:i4>
      </vt:variant>
      <vt:variant>
        <vt:i4>5</vt:i4>
      </vt:variant>
      <vt:variant>
        <vt:lpwstr/>
      </vt:variant>
      <vt:variant>
        <vt:lpwstr>_Toc188884076</vt:lpwstr>
      </vt:variant>
      <vt:variant>
        <vt:i4>1310769</vt:i4>
      </vt:variant>
      <vt:variant>
        <vt:i4>104</vt:i4>
      </vt:variant>
      <vt:variant>
        <vt:i4>0</vt:i4>
      </vt:variant>
      <vt:variant>
        <vt:i4>5</vt:i4>
      </vt:variant>
      <vt:variant>
        <vt:lpwstr/>
      </vt:variant>
      <vt:variant>
        <vt:lpwstr>_Toc188884075</vt:lpwstr>
      </vt:variant>
      <vt:variant>
        <vt:i4>1310769</vt:i4>
      </vt:variant>
      <vt:variant>
        <vt:i4>98</vt:i4>
      </vt:variant>
      <vt:variant>
        <vt:i4>0</vt:i4>
      </vt:variant>
      <vt:variant>
        <vt:i4>5</vt:i4>
      </vt:variant>
      <vt:variant>
        <vt:lpwstr/>
      </vt:variant>
      <vt:variant>
        <vt:lpwstr>_Toc188884074</vt:lpwstr>
      </vt:variant>
      <vt:variant>
        <vt:i4>1310769</vt:i4>
      </vt:variant>
      <vt:variant>
        <vt:i4>92</vt:i4>
      </vt:variant>
      <vt:variant>
        <vt:i4>0</vt:i4>
      </vt:variant>
      <vt:variant>
        <vt:i4>5</vt:i4>
      </vt:variant>
      <vt:variant>
        <vt:lpwstr/>
      </vt:variant>
      <vt:variant>
        <vt:lpwstr>_Toc188884073</vt:lpwstr>
      </vt:variant>
      <vt:variant>
        <vt:i4>1310769</vt:i4>
      </vt:variant>
      <vt:variant>
        <vt:i4>86</vt:i4>
      </vt:variant>
      <vt:variant>
        <vt:i4>0</vt:i4>
      </vt:variant>
      <vt:variant>
        <vt:i4>5</vt:i4>
      </vt:variant>
      <vt:variant>
        <vt:lpwstr/>
      </vt:variant>
      <vt:variant>
        <vt:lpwstr>_Toc188884072</vt:lpwstr>
      </vt:variant>
      <vt:variant>
        <vt:i4>1310769</vt:i4>
      </vt:variant>
      <vt:variant>
        <vt:i4>80</vt:i4>
      </vt:variant>
      <vt:variant>
        <vt:i4>0</vt:i4>
      </vt:variant>
      <vt:variant>
        <vt:i4>5</vt:i4>
      </vt:variant>
      <vt:variant>
        <vt:lpwstr/>
      </vt:variant>
      <vt:variant>
        <vt:lpwstr>_Toc188884071</vt:lpwstr>
      </vt:variant>
      <vt:variant>
        <vt:i4>1310769</vt:i4>
      </vt:variant>
      <vt:variant>
        <vt:i4>74</vt:i4>
      </vt:variant>
      <vt:variant>
        <vt:i4>0</vt:i4>
      </vt:variant>
      <vt:variant>
        <vt:i4>5</vt:i4>
      </vt:variant>
      <vt:variant>
        <vt:lpwstr/>
      </vt:variant>
      <vt:variant>
        <vt:lpwstr>_Toc188884070</vt:lpwstr>
      </vt:variant>
      <vt:variant>
        <vt:i4>1376305</vt:i4>
      </vt:variant>
      <vt:variant>
        <vt:i4>68</vt:i4>
      </vt:variant>
      <vt:variant>
        <vt:i4>0</vt:i4>
      </vt:variant>
      <vt:variant>
        <vt:i4>5</vt:i4>
      </vt:variant>
      <vt:variant>
        <vt:lpwstr/>
      </vt:variant>
      <vt:variant>
        <vt:lpwstr>_Toc188884069</vt:lpwstr>
      </vt:variant>
      <vt:variant>
        <vt:i4>1376305</vt:i4>
      </vt:variant>
      <vt:variant>
        <vt:i4>62</vt:i4>
      </vt:variant>
      <vt:variant>
        <vt:i4>0</vt:i4>
      </vt:variant>
      <vt:variant>
        <vt:i4>5</vt:i4>
      </vt:variant>
      <vt:variant>
        <vt:lpwstr/>
      </vt:variant>
      <vt:variant>
        <vt:lpwstr>_Toc188884068</vt:lpwstr>
      </vt:variant>
      <vt:variant>
        <vt:i4>1376305</vt:i4>
      </vt:variant>
      <vt:variant>
        <vt:i4>56</vt:i4>
      </vt:variant>
      <vt:variant>
        <vt:i4>0</vt:i4>
      </vt:variant>
      <vt:variant>
        <vt:i4>5</vt:i4>
      </vt:variant>
      <vt:variant>
        <vt:lpwstr/>
      </vt:variant>
      <vt:variant>
        <vt:lpwstr>_Toc188884067</vt:lpwstr>
      </vt:variant>
      <vt:variant>
        <vt:i4>1376305</vt:i4>
      </vt:variant>
      <vt:variant>
        <vt:i4>50</vt:i4>
      </vt:variant>
      <vt:variant>
        <vt:i4>0</vt:i4>
      </vt:variant>
      <vt:variant>
        <vt:i4>5</vt:i4>
      </vt:variant>
      <vt:variant>
        <vt:lpwstr/>
      </vt:variant>
      <vt:variant>
        <vt:lpwstr>_Toc188884066</vt:lpwstr>
      </vt:variant>
      <vt:variant>
        <vt:i4>1376305</vt:i4>
      </vt:variant>
      <vt:variant>
        <vt:i4>44</vt:i4>
      </vt:variant>
      <vt:variant>
        <vt:i4>0</vt:i4>
      </vt:variant>
      <vt:variant>
        <vt:i4>5</vt:i4>
      </vt:variant>
      <vt:variant>
        <vt:lpwstr/>
      </vt:variant>
      <vt:variant>
        <vt:lpwstr>_Toc188884065</vt:lpwstr>
      </vt:variant>
      <vt:variant>
        <vt:i4>1376305</vt:i4>
      </vt:variant>
      <vt:variant>
        <vt:i4>38</vt:i4>
      </vt:variant>
      <vt:variant>
        <vt:i4>0</vt:i4>
      </vt:variant>
      <vt:variant>
        <vt:i4>5</vt:i4>
      </vt:variant>
      <vt:variant>
        <vt:lpwstr/>
      </vt:variant>
      <vt:variant>
        <vt:lpwstr>_Toc188884064</vt:lpwstr>
      </vt:variant>
      <vt:variant>
        <vt:i4>1376305</vt:i4>
      </vt:variant>
      <vt:variant>
        <vt:i4>32</vt:i4>
      </vt:variant>
      <vt:variant>
        <vt:i4>0</vt:i4>
      </vt:variant>
      <vt:variant>
        <vt:i4>5</vt:i4>
      </vt:variant>
      <vt:variant>
        <vt:lpwstr/>
      </vt:variant>
      <vt:variant>
        <vt:lpwstr>_Toc188884063</vt:lpwstr>
      </vt:variant>
      <vt:variant>
        <vt:i4>1376305</vt:i4>
      </vt:variant>
      <vt:variant>
        <vt:i4>26</vt:i4>
      </vt:variant>
      <vt:variant>
        <vt:i4>0</vt:i4>
      </vt:variant>
      <vt:variant>
        <vt:i4>5</vt:i4>
      </vt:variant>
      <vt:variant>
        <vt:lpwstr/>
      </vt:variant>
      <vt:variant>
        <vt:lpwstr>_Toc188884062</vt:lpwstr>
      </vt:variant>
      <vt:variant>
        <vt:i4>1376305</vt:i4>
      </vt:variant>
      <vt:variant>
        <vt:i4>20</vt:i4>
      </vt:variant>
      <vt:variant>
        <vt:i4>0</vt:i4>
      </vt:variant>
      <vt:variant>
        <vt:i4>5</vt:i4>
      </vt:variant>
      <vt:variant>
        <vt:lpwstr/>
      </vt:variant>
      <vt:variant>
        <vt:lpwstr>_Toc188884061</vt:lpwstr>
      </vt:variant>
      <vt:variant>
        <vt:i4>1376305</vt:i4>
      </vt:variant>
      <vt:variant>
        <vt:i4>14</vt:i4>
      </vt:variant>
      <vt:variant>
        <vt:i4>0</vt:i4>
      </vt:variant>
      <vt:variant>
        <vt:i4>5</vt:i4>
      </vt:variant>
      <vt:variant>
        <vt:lpwstr/>
      </vt:variant>
      <vt:variant>
        <vt:lpwstr>_Toc188884060</vt:lpwstr>
      </vt:variant>
      <vt:variant>
        <vt:i4>1441841</vt:i4>
      </vt:variant>
      <vt:variant>
        <vt:i4>8</vt:i4>
      </vt:variant>
      <vt:variant>
        <vt:i4>0</vt:i4>
      </vt:variant>
      <vt:variant>
        <vt:i4>5</vt:i4>
      </vt:variant>
      <vt:variant>
        <vt:lpwstr/>
      </vt:variant>
      <vt:variant>
        <vt:lpwstr>_Toc188884059</vt:lpwstr>
      </vt:variant>
      <vt:variant>
        <vt:i4>1441841</vt:i4>
      </vt:variant>
      <vt:variant>
        <vt:i4>2</vt:i4>
      </vt:variant>
      <vt:variant>
        <vt:i4>0</vt:i4>
      </vt:variant>
      <vt:variant>
        <vt:i4>5</vt:i4>
      </vt:variant>
      <vt:variant>
        <vt:lpwstr/>
      </vt:variant>
      <vt:variant>
        <vt:lpwstr>_Toc188884058</vt:lpwstr>
      </vt:variant>
      <vt:variant>
        <vt:i4>8</vt:i4>
      </vt:variant>
      <vt:variant>
        <vt:i4>0</vt:i4>
      </vt:variant>
      <vt:variant>
        <vt:i4>0</vt:i4>
      </vt:variant>
      <vt:variant>
        <vt:i4>5</vt:i4>
      </vt:variant>
      <vt:variant>
        <vt:lpwstr>https://www.mass.gov/files/documents/2018/12/31/jud-lib-105cmr100.pdf</vt:lpwstr>
      </vt:variant>
      <vt:variant>
        <vt:lpwstr/>
      </vt:variant>
      <vt:variant>
        <vt:i4>1179733</vt:i4>
      </vt:variant>
      <vt:variant>
        <vt:i4>33</vt:i4>
      </vt:variant>
      <vt:variant>
        <vt:i4>0</vt:i4>
      </vt:variant>
      <vt:variant>
        <vt:i4>5</vt:i4>
      </vt:variant>
      <vt:variant>
        <vt:lpwstr>https://urldefense.com/v3/__https:/onlinelibrary.wiley.com/doi/abs/10.1111/ecin.12849__;!!CPANwP4y!TKCF6JCs9yJRdm54VcarhXo1HyDimlN_N-bNJbZXKw3dJ6zvhk_90_cruoq1WaQvjBoAhOmEuns0QsnGKrDo3sOnHrvuxxAO3gCH9_Yp30mmJrfQig$</vt:lpwstr>
      </vt:variant>
      <vt:variant>
        <vt:lpwstr/>
      </vt:variant>
      <vt:variant>
        <vt:i4>1179733</vt:i4>
      </vt:variant>
      <vt:variant>
        <vt:i4>30</vt:i4>
      </vt:variant>
      <vt:variant>
        <vt:i4>0</vt:i4>
      </vt:variant>
      <vt:variant>
        <vt:i4>5</vt:i4>
      </vt:variant>
      <vt:variant>
        <vt:lpwstr>https://urldefense.com/v3/__https:/onlinelibrary.wiley.com/doi/abs/10.1111/ecin.12849__;!!CPANwP4y!TKCF6JCs9yJRdm54VcarhXo1HyDimlN_N-bNJbZXKw3dJ6zvhk_90_cruoq1WaQvjBoAhOmEuns0QsnGKrDo3sOnHrvuxxAO3gCH9_Yp30mmJrfQig$</vt:lpwstr>
      </vt:variant>
      <vt:variant>
        <vt:lpwstr/>
      </vt:variant>
      <vt:variant>
        <vt:i4>1310792</vt:i4>
      </vt:variant>
      <vt:variant>
        <vt:i4>27</vt:i4>
      </vt:variant>
      <vt:variant>
        <vt:i4>0</vt:i4>
      </vt:variant>
      <vt:variant>
        <vt:i4>5</vt:i4>
      </vt:variant>
      <vt:variant>
        <vt:lpwstr>https://www.ncbi.nlm.nih.gov/pmc/articles/PMC9498666/</vt:lpwstr>
      </vt:variant>
      <vt:variant>
        <vt:lpwstr/>
      </vt:variant>
      <vt:variant>
        <vt:i4>1900621</vt:i4>
      </vt:variant>
      <vt:variant>
        <vt:i4>24</vt:i4>
      </vt:variant>
      <vt:variant>
        <vt:i4>0</vt:i4>
      </vt:variant>
      <vt:variant>
        <vt:i4>5</vt:i4>
      </vt:variant>
      <vt:variant>
        <vt:lpwstr>https://www.ncbi.nlm.nih.gov/pmc/articles/PMC2729811/</vt:lpwstr>
      </vt:variant>
      <vt:variant>
        <vt:lpwstr/>
      </vt:variant>
      <vt:variant>
        <vt:i4>4259852</vt:i4>
      </vt:variant>
      <vt:variant>
        <vt:i4>21</vt:i4>
      </vt:variant>
      <vt:variant>
        <vt:i4>0</vt:i4>
      </vt:variant>
      <vt:variant>
        <vt:i4>5</vt:i4>
      </vt:variant>
      <vt:variant>
        <vt:lpwstr>https://www.hindawi.com/journals/aem/2014/495219/</vt:lpwstr>
      </vt:variant>
      <vt:variant>
        <vt:lpwstr/>
      </vt:variant>
      <vt:variant>
        <vt:i4>1900621</vt:i4>
      </vt:variant>
      <vt:variant>
        <vt:i4>18</vt:i4>
      </vt:variant>
      <vt:variant>
        <vt:i4>0</vt:i4>
      </vt:variant>
      <vt:variant>
        <vt:i4>5</vt:i4>
      </vt:variant>
      <vt:variant>
        <vt:lpwstr>https://www.ncbi.nlm.nih.gov/pmc/articles/PMC2729811/</vt:lpwstr>
      </vt:variant>
      <vt:variant>
        <vt:lpwstr/>
      </vt:variant>
      <vt:variant>
        <vt:i4>1900621</vt:i4>
      </vt:variant>
      <vt:variant>
        <vt:i4>15</vt:i4>
      </vt:variant>
      <vt:variant>
        <vt:i4>0</vt:i4>
      </vt:variant>
      <vt:variant>
        <vt:i4>5</vt:i4>
      </vt:variant>
      <vt:variant>
        <vt:lpwstr>https://www.ncbi.nlm.nih.gov/pmc/articles/PMC2729811/</vt:lpwstr>
      </vt:variant>
      <vt:variant>
        <vt:lpwstr/>
      </vt:variant>
      <vt:variant>
        <vt:i4>1310792</vt:i4>
      </vt:variant>
      <vt:variant>
        <vt:i4>12</vt:i4>
      </vt:variant>
      <vt:variant>
        <vt:i4>0</vt:i4>
      </vt:variant>
      <vt:variant>
        <vt:i4>5</vt:i4>
      </vt:variant>
      <vt:variant>
        <vt:lpwstr>https://www.ncbi.nlm.nih.gov/pmc/articles/PMC9498666/</vt:lpwstr>
      </vt:variant>
      <vt:variant>
        <vt:lpwstr/>
      </vt:variant>
      <vt:variant>
        <vt:i4>1507393</vt:i4>
      </vt:variant>
      <vt:variant>
        <vt:i4>9</vt:i4>
      </vt:variant>
      <vt:variant>
        <vt:i4>0</vt:i4>
      </vt:variant>
      <vt:variant>
        <vt:i4>5</vt:i4>
      </vt:variant>
      <vt:variant>
        <vt:lpwstr>https://www.ncbi.nlm.nih.gov/pmc/articles/PMC6754202/</vt:lpwstr>
      </vt:variant>
      <vt:variant>
        <vt:lpwstr/>
      </vt:variant>
      <vt:variant>
        <vt:i4>1507393</vt:i4>
      </vt:variant>
      <vt:variant>
        <vt:i4>6</vt:i4>
      </vt:variant>
      <vt:variant>
        <vt:i4>0</vt:i4>
      </vt:variant>
      <vt:variant>
        <vt:i4>5</vt:i4>
      </vt:variant>
      <vt:variant>
        <vt:lpwstr>https://www.ncbi.nlm.nih.gov/pmc/articles/PMC6754202/</vt:lpwstr>
      </vt:variant>
      <vt:variant>
        <vt:lpwstr/>
      </vt:variant>
      <vt:variant>
        <vt:i4>1507393</vt:i4>
      </vt:variant>
      <vt:variant>
        <vt:i4>3</vt:i4>
      </vt:variant>
      <vt:variant>
        <vt:i4>0</vt:i4>
      </vt:variant>
      <vt:variant>
        <vt:i4>5</vt:i4>
      </vt:variant>
      <vt:variant>
        <vt:lpwstr>https://www.ncbi.nlm.nih.gov/pmc/articles/PMC6754202/</vt:lpwstr>
      </vt:variant>
      <vt:variant>
        <vt:lpwstr/>
      </vt:variant>
      <vt:variant>
        <vt:i4>393299</vt:i4>
      </vt:variant>
      <vt:variant>
        <vt:i4>0</vt:i4>
      </vt:variant>
      <vt:variant>
        <vt:i4>0</vt:i4>
      </vt:variant>
      <vt:variant>
        <vt:i4>5</vt:i4>
      </vt:variant>
      <vt:variant>
        <vt:lpwstr>https://www.census.gov/quickfacts/fact/table/bristolcountymassachusetts/PST045224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9</cp:revision>
  <cp:lastPrinted>2023-08-19T08:18:00Z</cp:lastPrinted>
  <dcterms:created xsi:type="dcterms:W3CDTF">2025-03-07T18:47:00Z</dcterms:created>
  <dcterms:modified xsi:type="dcterms:W3CDTF">2025-03-07T19:14:00Z</dcterms:modified>
  <cp:contentStatus/>
</cp:coreProperties>
</file>