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B4ACA" w14:textId="55442E12" w:rsidR="00CD4A1B" w:rsidRDefault="00CD4A1B">
      <w:pPr>
        <w:spacing w:line="259" w:lineRule="auto"/>
        <w:ind w:left="0" w:firstLine="0"/>
      </w:pPr>
    </w:p>
    <w:p w14:paraId="575106FD" w14:textId="77777777" w:rsidR="00CD4A1B" w:rsidRDefault="005345E1" w:rsidP="002B6AD0">
      <w:pPr>
        <w:pStyle w:val="Heading1"/>
        <w:spacing w:after="0" w:line="360" w:lineRule="auto"/>
        <w:ind w:left="-5"/>
      </w:pPr>
      <w:r>
        <w:t>Introduction</w:t>
      </w:r>
      <w:r>
        <w:rPr>
          <w:u w:val="none"/>
        </w:rPr>
        <w:t xml:space="preserve"> </w:t>
      </w:r>
    </w:p>
    <w:p w14:paraId="38AD48C1" w14:textId="3311984A" w:rsidR="3B2A8DCC" w:rsidRDefault="3B2A8DCC" w:rsidP="002B6AD0">
      <w:pPr>
        <w:spacing w:line="360" w:lineRule="auto"/>
        <w:ind w:left="0" w:firstLine="0"/>
      </w:pPr>
      <w:r>
        <w:t xml:space="preserve">Good </w:t>
      </w:r>
      <w:r w:rsidR="00A6493F">
        <w:t>morning</w:t>
      </w:r>
      <w:r>
        <w:t xml:space="preserve">.  My name is </w:t>
      </w:r>
      <w:r w:rsidR="005D636C">
        <w:t>Paul Velho</w:t>
      </w:r>
      <w:r>
        <w:t xml:space="preserve">, and I am the </w:t>
      </w:r>
      <w:r w:rsidR="005D636C" w:rsidRPr="005D636C">
        <w:t xml:space="preserve">Senior Manager of Behavior Health Strategy </w:t>
      </w:r>
      <w:r w:rsidR="005D636C">
        <w:t>and</w:t>
      </w:r>
      <w:r w:rsidR="005D636C" w:rsidRPr="005D636C">
        <w:t xml:space="preserve"> Finance</w:t>
      </w:r>
      <w:r w:rsidR="00EB72EF">
        <w:t xml:space="preserve"> </w:t>
      </w:r>
      <w:r w:rsidR="6CDA27E3">
        <w:t xml:space="preserve">in the </w:t>
      </w:r>
      <w:r w:rsidR="005D636C">
        <w:t>MassHealth Office of Accountable Care and Behavioral Health</w:t>
      </w:r>
      <w:r w:rsidR="00494BDF" w:rsidRPr="00494BDF">
        <w:rPr>
          <w:kern w:val="0"/>
          <w14:ligatures w14:val="none"/>
        </w:rPr>
        <w:t xml:space="preserve"> </w:t>
      </w:r>
      <w:r w:rsidR="00494BDF" w:rsidRPr="00494BDF">
        <w:t>within the Executive Office of Health and Human Services (EOHHS)</w:t>
      </w:r>
      <w:r w:rsidR="005D636C">
        <w:t>.</w:t>
      </w:r>
      <w:r w:rsidR="6CDA27E3">
        <w:t xml:space="preserve">  I am here to present staff testimony on </w:t>
      </w:r>
      <w:r w:rsidR="0041081E">
        <w:t xml:space="preserve">proposed </w:t>
      </w:r>
      <w:r w:rsidR="6CDA27E3">
        <w:t>amendments to</w:t>
      </w:r>
      <w:r w:rsidR="00081DF6">
        <w:t xml:space="preserve"> </w:t>
      </w:r>
      <w:r w:rsidR="6CDA27E3">
        <w:t>101 CMR 352.00</w:t>
      </w:r>
      <w:r w:rsidR="00251E21">
        <w:t>: Rates</w:t>
      </w:r>
      <w:r w:rsidR="6CDA27E3" w:rsidRPr="02FEAA6E">
        <w:rPr>
          <w:i/>
          <w:iCs/>
        </w:rPr>
        <w:t xml:space="preserve"> for Certain Children’s Behavioral Health Services</w:t>
      </w:r>
      <w:r w:rsidR="0041081E">
        <w:t xml:space="preserve">, effective for dates of service on or after </w:t>
      </w:r>
      <w:r w:rsidR="00A64844">
        <w:t xml:space="preserve">August </w:t>
      </w:r>
      <w:r w:rsidR="0080618A">
        <w:t>1, 2025</w:t>
      </w:r>
      <w:r w:rsidR="0041081E">
        <w:t xml:space="preserve">. </w:t>
      </w:r>
    </w:p>
    <w:p w14:paraId="4A7D242A" w14:textId="77777777" w:rsidR="00FF3261" w:rsidRDefault="00FF3261" w:rsidP="002B6AD0">
      <w:pPr>
        <w:spacing w:line="360" w:lineRule="auto"/>
        <w:ind w:left="0" w:firstLine="720"/>
      </w:pPr>
    </w:p>
    <w:p w14:paraId="1AF504A6" w14:textId="77777777" w:rsidR="00CD4A1B" w:rsidRDefault="005345E1" w:rsidP="002B6AD0">
      <w:pPr>
        <w:pStyle w:val="Heading1"/>
        <w:spacing w:after="0" w:line="360" w:lineRule="auto"/>
        <w:ind w:left="-5"/>
      </w:pPr>
      <w:r>
        <w:t>Background</w:t>
      </w:r>
      <w:r>
        <w:rPr>
          <w:u w:val="none"/>
        </w:rPr>
        <w:t xml:space="preserve"> </w:t>
      </w:r>
    </w:p>
    <w:p w14:paraId="615E5DA4" w14:textId="36997448" w:rsidR="008F33D2" w:rsidRDefault="005345E1" w:rsidP="002B6AD0">
      <w:pPr>
        <w:spacing w:line="360" w:lineRule="auto"/>
        <w:ind w:left="0" w:firstLine="0"/>
      </w:pPr>
      <w:r>
        <w:t xml:space="preserve">Regulation 101 CMR 352.00 establishes rates of payment to providers of Children’s Behavioral Health Initiative (CBHI) services. CBHI services provide </w:t>
      </w:r>
      <w:r w:rsidR="000E67D3">
        <w:t>a comprehensive system of care</w:t>
      </w:r>
      <w:r>
        <w:t xml:space="preserve"> for MassHealth members under 21 years of age with significant behavioral, emotional, and mental health needs, and their families. CBHI services</w:t>
      </w:r>
      <w:r w:rsidR="000E67D3">
        <w:t xml:space="preserve"> are provided by Community Service Agencies (CSAs) and other providers and</w:t>
      </w:r>
      <w:r>
        <w:t xml:space="preserve"> include Intensive Care </w:t>
      </w:r>
      <w:r w:rsidR="00D7539D">
        <w:t>Coordination (ICC), Family Support and Training (FS&amp;T), In-Home Therapy (IHT), In-Home Behavioral Services (IHBS), Therapeutic Mentoring (TM), and Mobile Crisis Intervention (MCI)</w:t>
      </w:r>
      <w:r w:rsidR="000E67D3">
        <w:t xml:space="preserve"> in hospital emergency departments (EDs)</w:t>
      </w:r>
      <w:r w:rsidR="00D7539D">
        <w:t xml:space="preserve">. </w:t>
      </w:r>
      <w:r w:rsidR="000E67D3" w:rsidRPr="433CD867">
        <w:rPr>
          <w:szCs w:val="24"/>
        </w:rPr>
        <w:t xml:space="preserve">Regulation </w:t>
      </w:r>
      <w:r w:rsidR="000E67D3">
        <w:rPr>
          <w:szCs w:val="24"/>
        </w:rPr>
        <w:t xml:space="preserve">101 CMR 352.00 refers to 101 CMR 305: </w:t>
      </w:r>
      <w:r w:rsidR="000E67D3">
        <w:rPr>
          <w:i/>
          <w:iCs/>
          <w:szCs w:val="24"/>
        </w:rPr>
        <w:t>Rates for Behavioral Health Services in Community Behavioral Health Centers</w:t>
      </w:r>
      <w:r w:rsidR="000E67D3">
        <w:rPr>
          <w:szCs w:val="24"/>
        </w:rPr>
        <w:t xml:space="preserve"> for Youth MCI services provided in community-based settings</w:t>
      </w:r>
      <w:r w:rsidR="000E67D3">
        <w:rPr>
          <w:i/>
          <w:iCs/>
          <w:szCs w:val="24"/>
        </w:rPr>
        <w:t xml:space="preserve">. </w:t>
      </w:r>
      <w:r w:rsidR="00D7539D">
        <w:t>MCI, IHBS, IHT, and ICC all occur at professional and paraprofessional levels, each with its own rate.  FS&amp;T and TM occur only at the paraprofessional level.  ICC</w:t>
      </w:r>
      <w:r w:rsidR="00D90CFC">
        <w:t>-</w:t>
      </w:r>
      <w:r w:rsidR="00D7539D">
        <w:t>FS&amp;T</w:t>
      </w:r>
      <w:r w:rsidR="000E67D3">
        <w:t xml:space="preserve"> bundled</w:t>
      </w:r>
      <w:r w:rsidR="00D7539D">
        <w:t xml:space="preserve"> service</w:t>
      </w:r>
      <w:r w:rsidR="000E67D3">
        <w:t>s</w:t>
      </w:r>
      <w:r w:rsidR="00D7539D">
        <w:t xml:space="preserve"> </w:t>
      </w:r>
      <w:r w:rsidR="000E67D3">
        <w:t>are</w:t>
      </w:r>
      <w:r w:rsidR="00D7539D">
        <w:t xml:space="preserve"> paid on a </w:t>
      </w:r>
      <w:r w:rsidR="00D7539D" w:rsidRPr="0B98EF70">
        <w:rPr>
          <w:i/>
          <w:iCs/>
        </w:rPr>
        <w:t xml:space="preserve">per diem </w:t>
      </w:r>
      <w:r w:rsidR="00D7539D">
        <w:t xml:space="preserve">basis. All other </w:t>
      </w:r>
      <w:proofErr w:type="gramStart"/>
      <w:r w:rsidR="00D7539D">
        <w:t>services—</w:t>
      </w:r>
      <w:proofErr w:type="gramEnd"/>
      <w:r w:rsidR="00D7539D">
        <w:t>including FS&amp;</w:t>
      </w:r>
      <w:proofErr w:type="gramStart"/>
      <w:r w:rsidR="00D7539D">
        <w:t>T when</w:t>
      </w:r>
      <w:proofErr w:type="gramEnd"/>
      <w:r w:rsidR="00D7539D">
        <w:t xml:space="preserve"> provided separately—are </w:t>
      </w:r>
      <w:r w:rsidR="000E67D3">
        <w:t>billed as</w:t>
      </w:r>
      <w:r w:rsidR="00D7539D">
        <w:t xml:space="preserve"> 15-minute units.</w:t>
      </w:r>
      <w:r w:rsidR="000E67D3">
        <w:t xml:space="preserve"> </w:t>
      </w:r>
    </w:p>
    <w:p w14:paraId="68162C87" w14:textId="77777777" w:rsidR="00A26889" w:rsidRDefault="00A26889" w:rsidP="002B6AD0">
      <w:pPr>
        <w:pStyle w:val="Heading1"/>
        <w:spacing w:after="0" w:line="360" w:lineRule="auto"/>
        <w:ind w:left="-5"/>
      </w:pPr>
    </w:p>
    <w:p w14:paraId="5BB5461D" w14:textId="108C1041" w:rsidR="00CD4A1B" w:rsidRDefault="0049532E" w:rsidP="002B6AD0">
      <w:pPr>
        <w:pStyle w:val="Heading1"/>
        <w:spacing w:after="0" w:line="360" w:lineRule="auto"/>
        <w:ind w:left="-5"/>
      </w:pPr>
      <w:r>
        <w:t xml:space="preserve">Proposed </w:t>
      </w:r>
      <w:r w:rsidR="005345E1">
        <w:t>Amendments</w:t>
      </w:r>
      <w:r w:rsidR="005345E1">
        <w:rPr>
          <w:u w:val="none"/>
        </w:rPr>
        <w:t xml:space="preserve"> </w:t>
      </w:r>
    </w:p>
    <w:p w14:paraId="083244BC" w14:textId="6FA61C06" w:rsidR="00D4671E" w:rsidRPr="00C63E9C" w:rsidRDefault="3B2A8DCC" w:rsidP="002B6AD0">
      <w:pPr>
        <w:spacing w:line="360" w:lineRule="auto"/>
        <w:ind w:firstLine="0"/>
      </w:pPr>
      <w:r>
        <w:t xml:space="preserve">The </w:t>
      </w:r>
      <w:r w:rsidR="009620E7">
        <w:t>proposed</w:t>
      </w:r>
      <w:r w:rsidR="008F61E3">
        <w:t xml:space="preserve"> amendment</w:t>
      </w:r>
      <w:r w:rsidR="00D26C5C">
        <w:t>s</w:t>
      </w:r>
      <w:r w:rsidR="008F61E3">
        <w:t xml:space="preserve"> </w:t>
      </w:r>
      <w:proofErr w:type="gramStart"/>
      <w:r w:rsidR="008F61E3">
        <w:t>update</w:t>
      </w:r>
      <w:proofErr w:type="gramEnd"/>
      <w:r w:rsidR="009620E7">
        <w:t xml:space="preserve"> </w:t>
      </w:r>
      <w:r>
        <w:t xml:space="preserve">rates for </w:t>
      </w:r>
      <w:r w:rsidR="000043D8">
        <w:t xml:space="preserve">current </w:t>
      </w:r>
      <w:r w:rsidR="004F49BA">
        <w:t xml:space="preserve">services in this </w:t>
      </w:r>
      <w:r w:rsidR="004344D7">
        <w:t>regulation</w:t>
      </w:r>
      <w:r w:rsidR="0029705F">
        <w:t xml:space="preserve">. </w:t>
      </w:r>
      <w:r w:rsidR="00153835" w:rsidRPr="00153835">
        <w:t xml:space="preserve">All current rates and their respective models were reviewed. </w:t>
      </w:r>
      <w:r w:rsidR="0029705F">
        <w:t>The proposed rates</w:t>
      </w:r>
      <w:r w:rsidR="004F49BA">
        <w:t xml:space="preserve"> </w:t>
      </w:r>
      <w:r w:rsidR="00C32CE8">
        <w:t xml:space="preserve">for current services </w:t>
      </w:r>
      <w:r w:rsidR="00724951" w:rsidRPr="00DB2809">
        <w:t>were developed</w:t>
      </w:r>
      <w:r w:rsidR="3A710EB5" w:rsidRPr="00DB2809">
        <w:t xml:space="preserve"> </w:t>
      </w:r>
      <w:r w:rsidR="00724951" w:rsidRPr="00DB2809">
        <w:t xml:space="preserve">by </w:t>
      </w:r>
      <w:r w:rsidR="00534466" w:rsidRPr="00D26C5C">
        <w:t>updating</w:t>
      </w:r>
      <w:r w:rsidR="00724951" w:rsidRPr="00DB2809">
        <w:t xml:space="preserve"> model</w:t>
      </w:r>
      <w:r w:rsidR="003C4219" w:rsidRPr="00DB2809">
        <w:t xml:space="preserve"> budgets</w:t>
      </w:r>
      <w:r w:rsidR="00724951">
        <w:t xml:space="preserve"> </w:t>
      </w:r>
      <w:r w:rsidR="00426394" w:rsidRPr="00426394">
        <w:t>with input</w:t>
      </w:r>
      <w:r w:rsidR="00534466">
        <w:t>s</w:t>
      </w:r>
      <w:r w:rsidR="00426394" w:rsidRPr="00426394">
        <w:t xml:space="preserve"> from </w:t>
      </w:r>
      <w:r w:rsidR="00A514B4">
        <w:t>tw</w:t>
      </w:r>
      <w:r w:rsidR="00320612">
        <w:t>o</w:t>
      </w:r>
      <w:r w:rsidR="00A514B4" w:rsidRPr="00426394">
        <w:t xml:space="preserve"> </w:t>
      </w:r>
      <w:r w:rsidR="00426394" w:rsidRPr="00426394">
        <w:t>data</w:t>
      </w:r>
      <w:r w:rsidR="00534466">
        <w:t xml:space="preserve"> sources</w:t>
      </w:r>
      <w:r w:rsidR="00320612">
        <w:t xml:space="preserve">: </w:t>
      </w:r>
      <w:r w:rsidR="00320612" w:rsidRPr="00320612">
        <w:t xml:space="preserve">provider salaries from May 2023 </w:t>
      </w:r>
      <w:r w:rsidR="00320612">
        <w:t>bureau of labor statistics (</w:t>
      </w:r>
      <w:r w:rsidR="00320612" w:rsidRPr="00320612">
        <w:t>BLS</w:t>
      </w:r>
      <w:r w:rsidR="00320612">
        <w:t>)</w:t>
      </w:r>
      <w:r w:rsidR="00320612" w:rsidRPr="00320612">
        <w:t xml:space="preserve"> salary data for Massachusetts, and other expenses primarily from FY 2023 </w:t>
      </w:r>
      <w:r w:rsidR="00DE694D">
        <w:t>CBHI uniform financial reports (</w:t>
      </w:r>
      <w:r w:rsidR="00320612" w:rsidRPr="00320612">
        <w:t>UFRs</w:t>
      </w:r>
      <w:r w:rsidR="00DE694D">
        <w:t>)</w:t>
      </w:r>
      <w:r w:rsidR="00320612" w:rsidRPr="00320612">
        <w:t xml:space="preserve">.  </w:t>
      </w:r>
      <w:r w:rsidR="00AD20A4">
        <w:t>From</w:t>
      </w:r>
      <w:r w:rsidR="004C4257" w:rsidRPr="004C4257">
        <w:t xml:space="preserve"> the Massachusetts BLS data, </w:t>
      </w:r>
      <w:r w:rsidR="00F66588">
        <w:t xml:space="preserve">current </w:t>
      </w:r>
      <w:r w:rsidR="004C4257" w:rsidRPr="004C4257">
        <w:t xml:space="preserve">model budget salary benchmarks </w:t>
      </w:r>
      <w:r w:rsidR="00F66588">
        <w:t xml:space="preserve">were updated using </w:t>
      </w:r>
      <w:r w:rsidR="004C4257" w:rsidRPr="004C4257">
        <w:t>the average of 2023 BLS median and 75</w:t>
      </w:r>
      <w:r w:rsidR="004C4257" w:rsidRPr="002B6AD0">
        <w:rPr>
          <w:vertAlign w:val="superscript"/>
        </w:rPr>
        <w:t>th</w:t>
      </w:r>
      <w:r w:rsidR="004C4257" w:rsidRPr="004C4257">
        <w:t xml:space="preserve"> percentile for comparable </w:t>
      </w:r>
      <w:r w:rsidR="008316F6">
        <w:t>occupati</w:t>
      </w:r>
      <w:r w:rsidR="00506F39">
        <w:t>ons</w:t>
      </w:r>
      <w:r w:rsidR="004C4257" w:rsidRPr="004C4257">
        <w:t xml:space="preserve"> as grouped for current </w:t>
      </w:r>
      <w:r w:rsidR="006F6C2D">
        <w:t xml:space="preserve">rate </w:t>
      </w:r>
      <w:r w:rsidR="004C4257" w:rsidRPr="004C4257">
        <w:t>model</w:t>
      </w:r>
      <w:r w:rsidR="00353C1F">
        <w:t>s</w:t>
      </w:r>
      <w:r w:rsidR="004C4257" w:rsidRPr="004C4257">
        <w:t xml:space="preserve">.  From </w:t>
      </w:r>
      <w:proofErr w:type="gramStart"/>
      <w:r w:rsidR="004C4257" w:rsidRPr="004C4257">
        <w:lastRenderedPageBreak/>
        <w:t>the</w:t>
      </w:r>
      <w:proofErr w:type="gramEnd"/>
      <w:r w:rsidR="004C4257" w:rsidRPr="004C4257">
        <w:t xml:space="preserve"> UFRs, tax and fringe benefits</w:t>
      </w:r>
      <w:r w:rsidR="00E81D33">
        <w:t xml:space="preserve"> were calculated</w:t>
      </w:r>
      <w:r w:rsidR="004C4257" w:rsidRPr="004C4257">
        <w:t>, including Paid Family and Medical Leave, and other direct costs at the median percentage of salaries.  Indirect overhead costs</w:t>
      </w:r>
      <w:r w:rsidR="00817E75">
        <w:t>, which</w:t>
      </w:r>
      <w:r w:rsidR="004C4257" w:rsidRPr="004C4257">
        <w:t xml:space="preserve"> were capped at the 85</w:t>
      </w:r>
      <w:r w:rsidR="004C4257" w:rsidRPr="002B6AD0">
        <w:rPr>
          <w:vertAlign w:val="superscript"/>
        </w:rPr>
        <w:t>th</w:t>
      </w:r>
      <w:r w:rsidR="004C4257" w:rsidRPr="004C4257">
        <w:t xml:space="preserve"> percentile</w:t>
      </w:r>
      <w:r w:rsidR="00682386">
        <w:t xml:space="preserve">, were </w:t>
      </w:r>
      <w:r w:rsidR="004C4257" w:rsidRPr="004C4257">
        <w:t>calculated at the median percentage of direct costs for ICC and FS&amp;T services and at the weighted average percentage of direct costs for IHT,</w:t>
      </w:r>
      <w:r w:rsidR="004C4257">
        <w:t xml:space="preserve"> </w:t>
      </w:r>
      <w:r w:rsidR="004C4257" w:rsidRPr="004C4257">
        <w:t xml:space="preserve">IHBS, and TM. </w:t>
      </w:r>
      <w:r w:rsidR="00C31060" w:rsidRPr="00D8748B">
        <w:t xml:space="preserve">Staff types and assumptions on full-time employees (FTEs) reflected in the current model budgets were maintained in </w:t>
      </w:r>
      <w:r w:rsidR="000A147A">
        <w:t>calculating the proposed rates</w:t>
      </w:r>
      <w:r w:rsidR="00C31060" w:rsidRPr="00D8748B">
        <w:t xml:space="preserve">. </w:t>
      </w:r>
      <w:r w:rsidR="006C46FA">
        <w:t>Lastly, e</w:t>
      </w:r>
      <w:r w:rsidR="004C4257" w:rsidRPr="004C4257">
        <w:t>xisting productivity assumptions used in rate denominators were retained for all services, except for IHBS-MA</w:t>
      </w:r>
      <w:r w:rsidR="006B60BE">
        <w:t xml:space="preserve">.  The productivity assumptions for IHBS-MA </w:t>
      </w:r>
      <w:r w:rsidR="004C4257" w:rsidRPr="004C4257">
        <w:t>were changed to align total billable hours for IHBS-MA with those for IHT-MA.</w:t>
      </w:r>
      <w:r w:rsidR="00776351">
        <w:t xml:space="preserve"> </w:t>
      </w:r>
    </w:p>
    <w:p w14:paraId="318ED9B0" w14:textId="77777777" w:rsidR="00E246EC" w:rsidRDefault="00E246EC" w:rsidP="00E246EC">
      <w:pPr>
        <w:spacing w:line="360" w:lineRule="auto"/>
        <w:ind w:firstLine="0"/>
      </w:pPr>
      <w:bookmarkStart w:id="0" w:name="_Hlk193263227"/>
      <w:bookmarkStart w:id="1" w:name="_Hlk191989735"/>
    </w:p>
    <w:p w14:paraId="153510CA" w14:textId="77777777" w:rsidR="004153F2" w:rsidRDefault="00BB1A66" w:rsidP="00E246EC">
      <w:pPr>
        <w:spacing w:line="360" w:lineRule="auto"/>
        <w:ind w:firstLine="0"/>
      </w:pPr>
      <w:r>
        <w:t>EOHHS</w:t>
      </w:r>
      <w:r w:rsidR="003948BC">
        <w:t xml:space="preserve"> also</w:t>
      </w:r>
      <w:r>
        <w:t xml:space="preserve"> proposes e</w:t>
      </w:r>
      <w:r w:rsidRPr="3BCA8B5E">
        <w:t>stablish</w:t>
      </w:r>
      <w:r>
        <w:t>ing</w:t>
      </w:r>
      <w:r w:rsidRPr="3BCA8B5E">
        <w:t xml:space="preserve"> a new high-intensity, high-touch service, Family-based Intensive Treatment (FIT)</w:t>
      </w:r>
      <w:r w:rsidRPr="7C60875F">
        <w:t>.</w:t>
      </w:r>
      <w:r w:rsidRPr="3BCA8B5E">
        <w:t xml:space="preserve"> The </w:t>
      </w:r>
      <w:r w:rsidR="003948BC">
        <w:t xml:space="preserve">proposed </w:t>
      </w:r>
      <w:r w:rsidRPr="3BCA8B5E">
        <w:t>weekly rate</w:t>
      </w:r>
      <w:r w:rsidRPr="7C60875F">
        <w:t xml:space="preserve"> for FIT</w:t>
      </w:r>
      <w:r w:rsidRPr="3BCA8B5E">
        <w:t xml:space="preserve"> is anticipated to support youth and family interventions occurring on average three to five times a week over a four-month period, and the service components </w:t>
      </w:r>
      <w:r w:rsidRPr="7C60875F">
        <w:t>will</w:t>
      </w:r>
      <w:r w:rsidRPr="3BCA8B5E">
        <w:t xml:space="preserve"> include assessment of the member, development and review of an individualized treatment plan, development and review of safety or crisis planning tools, intensive therapeutic interventions for the youth and family, referral and coordination of other services and supports, skills training</w:t>
      </w:r>
      <w:r w:rsidRPr="7C60875F">
        <w:t>,</w:t>
      </w:r>
      <w:r w:rsidRPr="3BCA8B5E">
        <w:t xml:space="preserve"> and coaching.</w:t>
      </w:r>
      <w:r>
        <w:t xml:space="preserve"> </w:t>
      </w:r>
      <w:r w:rsidRPr="00296403">
        <w:t xml:space="preserve">FIT </w:t>
      </w:r>
      <w:r w:rsidRPr="007C586D">
        <w:t xml:space="preserve">provides </w:t>
      </w:r>
      <w:r w:rsidRPr="00296403">
        <w:t>a combination of targeted case management</w:t>
      </w:r>
      <w:r w:rsidRPr="007C586D">
        <w:t>,</w:t>
      </w:r>
      <w:r w:rsidRPr="00296403">
        <w:t xml:space="preserve"> and IHT and FS&amp;T services</w:t>
      </w:r>
      <w:r>
        <w:t xml:space="preserve"> at a higher level of intensity</w:t>
      </w:r>
      <w:r w:rsidRPr="00296403">
        <w:t>.</w:t>
      </w:r>
      <w:r>
        <w:t xml:space="preserve">  </w:t>
      </w:r>
    </w:p>
    <w:p w14:paraId="7C0469D8" w14:textId="77777777" w:rsidR="004153F2" w:rsidRDefault="004153F2" w:rsidP="00E246EC">
      <w:pPr>
        <w:spacing w:line="360" w:lineRule="auto"/>
        <w:ind w:firstLine="0"/>
      </w:pPr>
    </w:p>
    <w:p w14:paraId="6A1046E4" w14:textId="659AEBBF" w:rsidR="00BB1A66" w:rsidRDefault="00575986" w:rsidP="002B6AD0">
      <w:pPr>
        <w:spacing w:line="360" w:lineRule="auto"/>
        <w:ind w:firstLine="0"/>
      </w:pPr>
      <w:bookmarkStart w:id="2" w:name="_Hlk193263263"/>
      <w:bookmarkEnd w:id="0"/>
      <w:r>
        <w:t>Th</w:t>
      </w:r>
      <w:r w:rsidRPr="00575986">
        <w:t>e model budget for FIT service</w:t>
      </w:r>
      <w:r w:rsidR="003F40D5">
        <w:t>s</w:t>
      </w:r>
      <w:r w:rsidRPr="00575986">
        <w:t xml:space="preserve"> is patterned after the ICC-FS&amp;T model budget, </w:t>
      </w:r>
      <w:r w:rsidR="00A7720D">
        <w:t xml:space="preserve">including </w:t>
      </w:r>
      <w:r w:rsidRPr="00575986">
        <w:t xml:space="preserve">aligning salaries, staff types and other benchmarks, with </w:t>
      </w:r>
      <w:r w:rsidR="00EC780F">
        <w:t xml:space="preserve">certain </w:t>
      </w:r>
      <w:r w:rsidRPr="00575986">
        <w:t>adjustments</w:t>
      </w:r>
      <w:r w:rsidR="00EC780F">
        <w:t xml:space="preserve">. </w:t>
      </w:r>
      <w:r w:rsidR="00620676">
        <w:t xml:space="preserve">The anticipated staffing consists of the same staff </w:t>
      </w:r>
      <w:r w:rsidR="00BA222D">
        <w:t xml:space="preserve">types as ICC-FS&amp;T but </w:t>
      </w:r>
      <w:r w:rsidR="000412EC">
        <w:t>establishes</w:t>
      </w:r>
      <w:r w:rsidRPr="00575986">
        <w:t xml:space="preserve"> </w:t>
      </w:r>
      <w:r w:rsidR="005566A1">
        <w:t xml:space="preserve">different </w:t>
      </w:r>
      <w:r w:rsidRPr="00575986">
        <w:t>ratio</w:t>
      </w:r>
      <w:r w:rsidR="00A7720D">
        <w:t>s</w:t>
      </w:r>
      <w:r w:rsidR="002836EF">
        <w:t xml:space="preserve">, </w:t>
      </w:r>
      <w:r w:rsidR="0033331C">
        <w:t xml:space="preserve">including </w:t>
      </w:r>
      <w:r w:rsidR="001E466C">
        <w:t xml:space="preserve">the </w:t>
      </w:r>
      <w:r w:rsidR="00A7720D">
        <w:t xml:space="preserve">addition of clinical staff </w:t>
      </w:r>
      <w:r w:rsidR="001E466C">
        <w:t xml:space="preserve">that </w:t>
      </w:r>
      <w:r w:rsidR="00A7720D">
        <w:t xml:space="preserve">provide intensive IHT, and a consulting MA-level behavioral management therapist. </w:t>
      </w:r>
      <w:r w:rsidRPr="00575986">
        <w:t xml:space="preserve"> </w:t>
      </w:r>
      <w:r w:rsidR="005B16B3" w:rsidRPr="005A6444">
        <w:t xml:space="preserve">The </w:t>
      </w:r>
      <w:r w:rsidR="00A32290" w:rsidRPr="005A6444">
        <w:t>proposed</w:t>
      </w:r>
      <w:r w:rsidR="00A32290">
        <w:t xml:space="preserve"> </w:t>
      </w:r>
      <w:r w:rsidR="000D54CE">
        <w:t xml:space="preserve">weekly </w:t>
      </w:r>
      <w:r w:rsidR="00A32290" w:rsidRPr="005A6444">
        <w:t>rate</w:t>
      </w:r>
      <w:r w:rsidR="005B16B3" w:rsidRPr="005A6444">
        <w:t xml:space="preserve"> </w:t>
      </w:r>
      <w:r w:rsidR="000D54CE">
        <w:t xml:space="preserve">of </w:t>
      </w:r>
      <w:r w:rsidR="00171A7B" w:rsidRPr="005A6444">
        <w:t xml:space="preserve">$1,115.05 per case </w:t>
      </w:r>
      <w:r w:rsidR="005B16B3" w:rsidRPr="005A6444">
        <w:t xml:space="preserve">assumes a high-intensity team caseload of 20 over the course of a 52-week </w:t>
      </w:r>
      <w:r w:rsidR="00755E5C" w:rsidRPr="005A6444">
        <w:t>year</w:t>
      </w:r>
      <w:r w:rsidR="00171A7B">
        <w:t xml:space="preserve">. </w:t>
      </w:r>
      <w:bookmarkEnd w:id="1"/>
    </w:p>
    <w:p w14:paraId="4C631A03" w14:textId="77777777" w:rsidR="009F2ED3" w:rsidRDefault="009F2ED3" w:rsidP="002B6AD0">
      <w:pPr>
        <w:spacing w:line="360" w:lineRule="auto"/>
        <w:ind w:firstLine="710"/>
      </w:pPr>
    </w:p>
    <w:bookmarkEnd w:id="2"/>
    <w:p w14:paraId="242F80C8" w14:textId="1B49EB5F" w:rsidR="00BB56E7" w:rsidRPr="00BB56E7" w:rsidRDefault="003948BC" w:rsidP="00BB56E7">
      <w:r>
        <w:t xml:space="preserve">In addition, </w:t>
      </w:r>
      <w:r w:rsidR="008113E3" w:rsidRPr="008113E3">
        <w:t xml:space="preserve">EOHHS proposes to remove the current rates established in 101 CMR 352.00 for MCI services </w:t>
      </w:r>
      <w:r w:rsidR="000B03AC" w:rsidRPr="008113E3">
        <w:t>(</w:t>
      </w:r>
      <w:r w:rsidR="00684F6C">
        <w:t xml:space="preserve">codes </w:t>
      </w:r>
      <w:r w:rsidR="000B03AC" w:rsidRPr="008113E3">
        <w:t xml:space="preserve">H2011-HN and H2011-HO) </w:t>
      </w:r>
      <w:r w:rsidR="008113E3" w:rsidRPr="008113E3">
        <w:t>provided in a “hospital emergency department” as these services are now provided by acute hospitals and paid for by MassHealth directly to acute hospitals for those services.</w:t>
      </w:r>
      <w:r w:rsidR="004A5C03">
        <w:t xml:space="preserve"> </w:t>
      </w:r>
    </w:p>
    <w:p w14:paraId="00763A28" w14:textId="4D6C3606" w:rsidR="004A5C03" w:rsidRDefault="004A5C03" w:rsidP="002B6AD0">
      <w:pPr>
        <w:spacing w:line="360" w:lineRule="auto"/>
        <w:ind w:left="0" w:firstLine="0"/>
      </w:pPr>
    </w:p>
    <w:p w14:paraId="4C05704C" w14:textId="77777777" w:rsidR="00400CC6" w:rsidRDefault="00400CC6" w:rsidP="00400CC6">
      <w:pPr>
        <w:spacing w:line="360" w:lineRule="auto"/>
        <w:ind w:left="0" w:firstLine="0"/>
      </w:pPr>
    </w:p>
    <w:p w14:paraId="2E4BBC5E" w14:textId="0725B10A" w:rsidR="004B128E" w:rsidRPr="004A5C03" w:rsidRDefault="007C0908" w:rsidP="002B6AD0">
      <w:pPr>
        <w:spacing w:line="360" w:lineRule="auto"/>
        <w:ind w:left="0" w:firstLine="0"/>
      </w:pPr>
      <w:r w:rsidRPr="007C0908">
        <w:t>The proposed rates are in accordance with M.G.L. Chapter 118E Section 13C, requiring that rates established by EOHHS for health care services be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w:t>
      </w:r>
    </w:p>
    <w:p w14:paraId="5323A3A3" w14:textId="77777777" w:rsidR="004B128E" w:rsidRDefault="004B128E" w:rsidP="002B6AD0">
      <w:pPr>
        <w:pStyle w:val="Heading1"/>
        <w:keepNext w:val="0"/>
        <w:keepLines w:val="0"/>
        <w:spacing w:after="0" w:line="360" w:lineRule="auto"/>
        <w:ind w:left="0" w:firstLine="0"/>
      </w:pPr>
    </w:p>
    <w:p w14:paraId="49E09CA9" w14:textId="628994F0" w:rsidR="00CD4A1B" w:rsidRDefault="3B2A8DCC" w:rsidP="002B6AD0">
      <w:pPr>
        <w:pStyle w:val="Heading1"/>
        <w:keepNext w:val="0"/>
        <w:keepLines w:val="0"/>
        <w:spacing w:after="0" w:line="360" w:lineRule="auto"/>
        <w:ind w:left="-5"/>
        <w:rPr>
          <w:u w:val="none"/>
        </w:rPr>
      </w:pPr>
      <w:r>
        <w:t>Fiscal Impact</w:t>
      </w:r>
      <w:r>
        <w:rPr>
          <w:u w:val="none"/>
        </w:rPr>
        <w:t xml:space="preserve"> </w:t>
      </w:r>
    </w:p>
    <w:p w14:paraId="094B1841" w14:textId="76DCEC4D" w:rsidR="0B98EF70" w:rsidRDefault="00624786" w:rsidP="002B6AD0">
      <w:pPr>
        <w:spacing w:line="360" w:lineRule="auto"/>
        <w:ind w:firstLine="0"/>
      </w:pPr>
      <w:r w:rsidRPr="00624786">
        <w:t xml:space="preserve">There is no anticipated fiscal impact on </w:t>
      </w:r>
      <w:r w:rsidR="004829CB">
        <w:t>fee-for-service</w:t>
      </w:r>
      <w:r w:rsidR="00415115">
        <w:t xml:space="preserve"> (FFS)</w:t>
      </w:r>
      <w:r w:rsidR="004829CB" w:rsidRPr="00624786">
        <w:t xml:space="preserve"> </w:t>
      </w:r>
      <w:r w:rsidRPr="00624786">
        <w:t xml:space="preserve">spending for the proposed rates as there is no current FFS utilization of the services receiving increases or being established. </w:t>
      </w:r>
    </w:p>
    <w:p w14:paraId="56498200" w14:textId="77777777" w:rsidR="00A32290" w:rsidRDefault="00A32290" w:rsidP="00163BB4">
      <w:pPr>
        <w:spacing w:line="360" w:lineRule="auto"/>
        <w:ind w:firstLine="720"/>
      </w:pPr>
    </w:p>
    <w:p w14:paraId="79E9E8B4" w14:textId="55206C15" w:rsidR="003131F2" w:rsidRDefault="3B2A8DCC" w:rsidP="002B6AD0">
      <w:pPr>
        <w:spacing w:line="360" w:lineRule="auto"/>
      </w:pPr>
      <w:r>
        <w:t xml:space="preserve">This concludes my testimony.   </w:t>
      </w:r>
    </w:p>
    <w:p w14:paraId="77577298" w14:textId="75BAE66F" w:rsidR="00CD4A1B" w:rsidRDefault="00CD4A1B" w:rsidP="283FCD44">
      <w:pPr>
        <w:spacing w:after="163" w:line="259" w:lineRule="auto"/>
        <w:ind w:left="0" w:firstLine="0"/>
      </w:pPr>
    </w:p>
    <w:sectPr w:rsidR="00CD4A1B">
      <w:headerReference w:type="default" r:id="rId10"/>
      <w:footerReference w:type="default" r:id="rId11"/>
      <w:pgSz w:w="12240" w:h="15840"/>
      <w:pgMar w:top="1152" w:right="1441"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A2592" w14:textId="77777777" w:rsidR="005A5C1D" w:rsidRDefault="005A5C1D" w:rsidP="00AE1AFD">
      <w:pPr>
        <w:spacing w:line="240" w:lineRule="auto"/>
      </w:pPr>
      <w:r>
        <w:separator/>
      </w:r>
    </w:p>
  </w:endnote>
  <w:endnote w:type="continuationSeparator" w:id="0">
    <w:p w14:paraId="71638068" w14:textId="77777777" w:rsidR="005A5C1D" w:rsidRDefault="005A5C1D" w:rsidP="00AE1AFD">
      <w:pPr>
        <w:spacing w:line="240" w:lineRule="auto"/>
      </w:pPr>
      <w:r>
        <w:continuationSeparator/>
      </w:r>
    </w:p>
  </w:endnote>
  <w:endnote w:type="continuationNotice" w:id="1">
    <w:p w14:paraId="2FE7AF92" w14:textId="77777777" w:rsidR="005A5C1D" w:rsidRDefault="005A5C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307205"/>
      <w:docPartObj>
        <w:docPartGallery w:val="Page Numbers (Bottom of Page)"/>
        <w:docPartUnique/>
      </w:docPartObj>
    </w:sdtPr>
    <w:sdtEndPr>
      <w:rPr>
        <w:noProof/>
        <w:sz w:val="20"/>
        <w:szCs w:val="20"/>
      </w:rPr>
    </w:sdtEndPr>
    <w:sdtContent>
      <w:p w14:paraId="68CC3D8D" w14:textId="1C0786AF" w:rsidR="00B45501" w:rsidRPr="00B37CF8" w:rsidRDefault="00B45501">
        <w:pPr>
          <w:pStyle w:val="Footer"/>
          <w:jc w:val="right"/>
          <w:rPr>
            <w:sz w:val="20"/>
            <w:szCs w:val="20"/>
          </w:rPr>
        </w:pPr>
        <w:r w:rsidRPr="00B37CF8">
          <w:rPr>
            <w:sz w:val="20"/>
            <w:szCs w:val="20"/>
          </w:rPr>
          <w:fldChar w:fldCharType="begin"/>
        </w:r>
        <w:r w:rsidRPr="00B37CF8">
          <w:rPr>
            <w:sz w:val="20"/>
            <w:szCs w:val="20"/>
          </w:rPr>
          <w:instrText xml:space="preserve"> PAGE   \* MERGEFORMAT </w:instrText>
        </w:r>
        <w:r w:rsidRPr="00B37CF8">
          <w:rPr>
            <w:sz w:val="20"/>
            <w:szCs w:val="20"/>
          </w:rPr>
          <w:fldChar w:fldCharType="separate"/>
        </w:r>
        <w:r w:rsidRPr="00B37CF8">
          <w:rPr>
            <w:noProof/>
            <w:sz w:val="20"/>
            <w:szCs w:val="20"/>
          </w:rPr>
          <w:t>2</w:t>
        </w:r>
        <w:r w:rsidRPr="00B37CF8">
          <w:rPr>
            <w:noProof/>
            <w:sz w:val="20"/>
            <w:szCs w:val="20"/>
          </w:rPr>
          <w:fldChar w:fldCharType="end"/>
        </w:r>
      </w:p>
    </w:sdtContent>
  </w:sdt>
  <w:p w14:paraId="3E519D00" w14:textId="77777777" w:rsidR="00B45501" w:rsidRDefault="00B4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9E6D1" w14:textId="77777777" w:rsidR="005A5C1D" w:rsidRDefault="005A5C1D" w:rsidP="00AE1AFD">
      <w:pPr>
        <w:spacing w:line="240" w:lineRule="auto"/>
      </w:pPr>
      <w:r>
        <w:separator/>
      </w:r>
    </w:p>
  </w:footnote>
  <w:footnote w:type="continuationSeparator" w:id="0">
    <w:p w14:paraId="1966BBC1" w14:textId="77777777" w:rsidR="005A5C1D" w:rsidRDefault="005A5C1D" w:rsidP="00AE1AFD">
      <w:pPr>
        <w:spacing w:line="240" w:lineRule="auto"/>
      </w:pPr>
      <w:r>
        <w:continuationSeparator/>
      </w:r>
    </w:p>
  </w:footnote>
  <w:footnote w:type="continuationNotice" w:id="1">
    <w:p w14:paraId="75184019" w14:textId="77777777" w:rsidR="005A5C1D" w:rsidRDefault="005A5C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6BB8" w14:textId="77777777" w:rsidR="00AE1AFD" w:rsidRDefault="00AE1AFD" w:rsidP="00AE1AFD">
    <w:pPr>
      <w:spacing w:line="259" w:lineRule="auto"/>
      <w:ind w:left="-5"/>
    </w:pPr>
    <w:r>
      <w:rPr>
        <w:sz w:val="22"/>
      </w:rPr>
      <w:t xml:space="preserve">Testimony on Amendments to 101 CMR 352.00  </w:t>
    </w:r>
  </w:p>
  <w:p w14:paraId="09604D43" w14:textId="77777777" w:rsidR="00AE1AFD" w:rsidRDefault="00AE1AFD" w:rsidP="00AE1AFD">
    <w:pPr>
      <w:spacing w:line="259" w:lineRule="auto"/>
      <w:ind w:left="-5"/>
    </w:pPr>
    <w:r>
      <w:rPr>
        <w:sz w:val="22"/>
      </w:rPr>
      <w:t xml:space="preserve">Rates for Certain Children’s Behavioral Health Services </w:t>
    </w:r>
  </w:p>
  <w:p w14:paraId="798EBBF2" w14:textId="624A7789" w:rsidR="00AE1AFD" w:rsidRDefault="00AE1AFD" w:rsidP="00217C94">
    <w:pPr>
      <w:spacing w:line="259" w:lineRule="auto"/>
      <w:ind w:left="-5"/>
      <w:rPr>
        <w:sz w:val="22"/>
      </w:rPr>
    </w:pPr>
    <w:r>
      <w:rPr>
        <w:sz w:val="22"/>
      </w:rPr>
      <w:t xml:space="preserve">Effective </w:t>
    </w:r>
    <w:r w:rsidR="00534466">
      <w:rPr>
        <w:sz w:val="22"/>
      </w:rPr>
      <w:t xml:space="preserve">August </w:t>
    </w:r>
    <w:r>
      <w:rPr>
        <w:sz w:val="22"/>
      </w:rPr>
      <w:t xml:space="preserve">1, </w:t>
    </w:r>
    <w:r w:rsidR="0041081E">
      <w:rPr>
        <w:sz w:val="22"/>
      </w:rPr>
      <w:t>2025</w:t>
    </w:r>
  </w:p>
  <w:p w14:paraId="6503D3A9" w14:textId="5E2729A3" w:rsidR="00B45501" w:rsidRDefault="005E3DE5" w:rsidP="00217C94">
    <w:pPr>
      <w:spacing w:line="259" w:lineRule="auto"/>
      <w:ind w:left="-5"/>
    </w:pPr>
    <w:r>
      <w:rPr>
        <w:sz w:val="22"/>
      </w:rPr>
      <w:t>April 22</w:t>
    </w:r>
    <w:r w:rsidR="00B45501">
      <w:rPr>
        <w:sz w:val="22"/>
      </w:rPr>
      <w:t>, 202</w:t>
    </w:r>
    <w:r w:rsidR="0041081E">
      <w:rPr>
        <w:sz w:val="2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A1B"/>
    <w:rsid w:val="000043D8"/>
    <w:rsid w:val="000073B5"/>
    <w:rsid w:val="00010DB7"/>
    <w:rsid w:val="000126C6"/>
    <w:rsid w:val="0002707B"/>
    <w:rsid w:val="000315E3"/>
    <w:rsid w:val="00037372"/>
    <w:rsid w:val="00037EB3"/>
    <w:rsid w:val="00037F2B"/>
    <w:rsid w:val="000412EC"/>
    <w:rsid w:val="00046308"/>
    <w:rsid w:val="000475FA"/>
    <w:rsid w:val="00047AD9"/>
    <w:rsid w:val="00054F01"/>
    <w:rsid w:val="000568A0"/>
    <w:rsid w:val="0005722A"/>
    <w:rsid w:val="00064A55"/>
    <w:rsid w:val="000751A2"/>
    <w:rsid w:val="00081706"/>
    <w:rsid w:val="00081DF6"/>
    <w:rsid w:val="00094B4E"/>
    <w:rsid w:val="0009701E"/>
    <w:rsid w:val="000975D9"/>
    <w:rsid w:val="000A147A"/>
    <w:rsid w:val="000A312E"/>
    <w:rsid w:val="000B0169"/>
    <w:rsid w:val="000B03AC"/>
    <w:rsid w:val="000B150E"/>
    <w:rsid w:val="000B29C9"/>
    <w:rsid w:val="000C49CB"/>
    <w:rsid w:val="000C4A2A"/>
    <w:rsid w:val="000D074D"/>
    <w:rsid w:val="000D27B0"/>
    <w:rsid w:val="000D3963"/>
    <w:rsid w:val="000D3A63"/>
    <w:rsid w:val="000D42E0"/>
    <w:rsid w:val="000D54CE"/>
    <w:rsid w:val="000D74B1"/>
    <w:rsid w:val="000E0049"/>
    <w:rsid w:val="000E094C"/>
    <w:rsid w:val="000E590C"/>
    <w:rsid w:val="000E6026"/>
    <w:rsid w:val="000E65AB"/>
    <w:rsid w:val="000E67D3"/>
    <w:rsid w:val="000F4037"/>
    <w:rsid w:val="000F544E"/>
    <w:rsid w:val="000F5956"/>
    <w:rsid w:val="00102497"/>
    <w:rsid w:val="0010687B"/>
    <w:rsid w:val="001177D2"/>
    <w:rsid w:val="0012151E"/>
    <w:rsid w:val="00133D70"/>
    <w:rsid w:val="00134A85"/>
    <w:rsid w:val="001406A4"/>
    <w:rsid w:val="00141A4F"/>
    <w:rsid w:val="0014238B"/>
    <w:rsid w:val="00142EF6"/>
    <w:rsid w:val="00143A31"/>
    <w:rsid w:val="00146CE5"/>
    <w:rsid w:val="00153835"/>
    <w:rsid w:val="00155275"/>
    <w:rsid w:val="00156795"/>
    <w:rsid w:val="0015730D"/>
    <w:rsid w:val="00163460"/>
    <w:rsid w:val="00163BB4"/>
    <w:rsid w:val="0016473A"/>
    <w:rsid w:val="00166912"/>
    <w:rsid w:val="00171A7B"/>
    <w:rsid w:val="00175830"/>
    <w:rsid w:val="001830CC"/>
    <w:rsid w:val="001900A9"/>
    <w:rsid w:val="001938F7"/>
    <w:rsid w:val="001949BA"/>
    <w:rsid w:val="001A0381"/>
    <w:rsid w:val="001A694A"/>
    <w:rsid w:val="001B2352"/>
    <w:rsid w:val="001B285C"/>
    <w:rsid w:val="001B7499"/>
    <w:rsid w:val="001C43B6"/>
    <w:rsid w:val="001C784F"/>
    <w:rsid w:val="001D2AD6"/>
    <w:rsid w:val="001D4AF2"/>
    <w:rsid w:val="001D76A4"/>
    <w:rsid w:val="001E2347"/>
    <w:rsid w:val="001E2A8B"/>
    <w:rsid w:val="001E466C"/>
    <w:rsid w:val="001E6996"/>
    <w:rsid w:val="001F0CB5"/>
    <w:rsid w:val="001F30DD"/>
    <w:rsid w:val="001F540D"/>
    <w:rsid w:val="00201498"/>
    <w:rsid w:val="0020525C"/>
    <w:rsid w:val="00212A2B"/>
    <w:rsid w:val="00215FA5"/>
    <w:rsid w:val="00216769"/>
    <w:rsid w:val="00217C94"/>
    <w:rsid w:val="00221351"/>
    <w:rsid w:val="0022141D"/>
    <w:rsid w:val="002214B6"/>
    <w:rsid w:val="00227A4F"/>
    <w:rsid w:val="0023437D"/>
    <w:rsid w:val="0023746C"/>
    <w:rsid w:val="00250961"/>
    <w:rsid w:val="0025154F"/>
    <w:rsid w:val="00251E21"/>
    <w:rsid w:val="002708DA"/>
    <w:rsid w:val="00271D4E"/>
    <w:rsid w:val="00272354"/>
    <w:rsid w:val="002836EF"/>
    <w:rsid w:val="00283E11"/>
    <w:rsid w:val="00287089"/>
    <w:rsid w:val="002937C9"/>
    <w:rsid w:val="0029705F"/>
    <w:rsid w:val="002A32FD"/>
    <w:rsid w:val="002B0758"/>
    <w:rsid w:val="002B129C"/>
    <w:rsid w:val="002B4912"/>
    <w:rsid w:val="002B6AD0"/>
    <w:rsid w:val="002C4104"/>
    <w:rsid w:val="002C56D2"/>
    <w:rsid w:val="002D1994"/>
    <w:rsid w:val="002E6CCB"/>
    <w:rsid w:val="002F1A0A"/>
    <w:rsid w:val="002F206D"/>
    <w:rsid w:val="0030360F"/>
    <w:rsid w:val="00306D5A"/>
    <w:rsid w:val="00306D64"/>
    <w:rsid w:val="00312A33"/>
    <w:rsid w:val="003131F2"/>
    <w:rsid w:val="00320612"/>
    <w:rsid w:val="00325809"/>
    <w:rsid w:val="0032713F"/>
    <w:rsid w:val="00331B14"/>
    <w:rsid w:val="00332BE4"/>
    <w:rsid w:val="0033331C"/>
    <w:rsid w:val="0033354B"/>
    <w:rsid w:val="0033443F"/>
    <w:rsid w:val="003348FD"/>
    <w:rsid w:val="00335411"/>
    <w:rsid w:val="00352D6D"/>
    <w:rsid w:val="00353C1F"/>
    <w:rsid w:val="003568A4"/>
    <w:rsid w:val="00356DC0"/>
    <w:rsid w:val="0036117D"/>
    <w:rsid w:val="0036414C"/>
    <w:rsid w:val="003715F5"/>
    <w:rsid w:val="003743A8"/>
    <w:rsid w:val="0038020B"/>
    <w:rsid w:val="00383893"/>
    <w:rsid w:val="00386333"/>
    <w:rsid w:val="00386B03"/>
    <w:rsid w:val="00387618"/>
    <w:rsid w:val="003948BC"/>
    <w:rsid w:val="003B1565"/>
    <w:rsid w:val="003B28AD"/>
    <w:rsid w:val="003B7F10"/>
    <w:rsid w:val="003C1A33"/>
    <w:rsid w:val="003C4219"/>
    <w:rsid w:val="003C454D"/>
    <w:rsid w:val="003C5373"/>
    <w:rsid w:val="003C6AE9"/>
    <w:rsid w:val="003D117C"/>
    <w:rsid w:val="003D499E"/>
    <w:rsid w:val="003D6205"/>
    <w:rsid w:val="003D622E"/>
    <w:rsid w:val="003F2DAB"/>
    <w:rsid w:val="003F40D5"/>
    <w:rsid w:val="003F4FC0"/>
    <w:rsid w:val="00400CC6"/>
    <w:rsid w:val="00401C65"/>
    <w:rsid w:val="00402529"/>
    <w:rsid w:val="0040582D"/>
    <w:rsid w:val="0041081E"/>
    <w:rsid w:val="00415115"/>
    <w:rsid w:val="00415212"/>
    <w:rsid w:val="00415214"/>
    <w:rsid w:val="004153F2"/>
    <w:rsid w:val="00423E2E"/>
    <w:rsid w:val="00424E74"/>
    <w:rsid w:val="00426394"/>
    <w:rsid w:val="00426EE9"/>
    <w:rsid w:val="00431069"/>
    <w:rsid w:val="00431628"/>
    <w:rsid w:val="0043444A"/>
    <w:rsid w:val="004344D7"/>
    <w:rsid w:val="00435244"/>
    <w:rsid w:val="004407D3"/>
    <w:rsid w:val="004415DA"/>
    <w:rsid w:val="0045426C"/>
    <w:rsid w:val="0046079D"/>
    <w:rsid w:val="00470936"/>
    <w:rsid w:val="004829CB"/>
    <w:rsid w:val="00482D84"/>
    <w:rsid w:val="004873A9"/>
    <w:rsid w:val="0048793A"/>
    <w:rsid w:val="00493369"/>
    <w:rsid w:val="00494BDF"/>
    <w:rsid w:val="0049532E"/>
    <w:rsid w:val="004956B0"/>
    <w:rsid w:val="004A452F"/>
    <w:rsid w:val="004A5C03"/>
    <w:rsid w:val="004B128E"/>
    <w:rsid w:val="004B28BF"/>
    <w:rsid w:val="004B5429"/>
    <w:rsid w:val="004C4257"/>
    <w:rsid w:val="004C7B98"/>
    <w:rsid w:val="004C7D99"/>
    <w:rsid w:val="004E2D23"/>
    <w:rsid w:val="004E6061"/>
    <w:rsid w:val="004F0581"/>
    <w:rsid w:val="004F2C90"/>
    <w:rsid w:val="004F49BA"/>
    <w:rsid w:val="004F4E93"/>
    <w:rsid w:val="004F70D0"/>
    <w:rsid w:val="004F7951"/>
    <w:rsid w:val="0050450B"/>
    <w:rsid w:val="00506F39"/>
    <w:rsid w:val="00510C21"/>
    <w:rsid w:val="0051217B"/>
    <w:rsid w:val="00513A93"/>
    <w:rsid w:val="00521879"/>
    <w:rsid w:val="00527917"/>
    <w:rsid w:val="00532E6B"/>
    <w:rsid w:val="00534466"/>
    <w:rsid w:val="005345E1"/>
    <w:rsid w:val="00535ADC"/>
    <w:rsid w:val="00536CC2"/>
    <w:rsid w:val="005417FE"/>
    <w:rsid w:val="005462C5"/>
    <w:rsid w:val="00547164"/>
    <w:rsid w:val="00550C96"/>
    <w:rsid w:val="00553665"/>
    <w:rsid w:val="005566A1"/>
    <w:rsid w:val="00557034"/>
    <w:rsid w:val="005601B9"/>
    <w:rsid w:val="0057093C"/>
    <w:rsid w:val="00575986"/>
    <w:rsid w:val="00590733"/>
    <w:rsid w:val="00595D3A"/>
    <w:rsid w:val="005970F0"/>
    <w:rsid w:val="005A2B83"/>
    <w:rsid w:val="005A424A"/>
    <w:rsid w:val="005A5C1D"/>
    <w:rsid w:val="005A6444"/>
    <w:rsid w:val="005B004C"/>
    <w:rsid w:val="005B16B3"/>
    <w:rsid w:val="005B315E"/>
    <w:rsid w:val="005B6064"/>
    <w:rsid w:val="005B683B"/>
    <w:rsid w:val="005C26D4"/>
    <w:rsid w:val="005C3EEA"/>
    <w:rsid w:val="005C4492"/>
    <w:rsid w:val="005D0577"/>
    <w:rsid w:val="005D1EE2"/>
    <w:rsid w:val="005D3641"/>
    <w:rsid w:val="005D636C"/>
    <w:rsid w:val="005E25DF"/>
    <w:rsid w:val="005E3DE5"/>
    <w:rsid w:val="005F09F9"/>
    <w:rsid w:val="005F4BD3"/>
    <w:rsid w:val="005F5FAD"/>
    <w:rsid w:val="006013C6"/>
    <w:rsid w:val="00603568"/>
    <w:rsid w:val="0060668A"/>
    <w:rsid w:val="00607BFC"/>
    <w:rsid w:val="00610270"/>
    <w:rsid w:val="00611BCC"/>
    <w:rsid w:val="00611CD8"/>
    <w:rsid w:val="00614272"/>
    <w:rsid w:val="00615573"/>
    <w:rsid w:val="00620676"/>
    <w:rsid w:val="00620B8E"/>
    <w:rsid w:val="0062405A"/>
    <w:rsid w:val="00624786"/>
    <w:rsid w:val="00631847"/>
    <w:rsid w:val="00632D33"/>
    <w:rsid w:val="006379AA"/>
    <w:rsid w:val="00653D5E"/>
    <w:rsid w:val="006548B3"/>
    <w:rsid w:val="006548EC"/>
    <w:rsid w:val="00656AEF"/>
    <w:rsid w:val="00660557"/>
    <w:rsid w:val="0066428C"/>
    <w:rsid w:val="0066429E"/>
    <w:rsid w:val="00665702"/>
    <w:rsid w:val="006668F0"/>
    <w:rsid w:val="006703EF"/>
    <w:rsid w:val="00670906"/>
    <w:rsid w:val="00674D33"/>
    <w:rsid w:val="00675C47"/>
    <w:rsid w:val="006764D9"/>
    <w:rsid w:val="0068190A"/>
    <w:rsid w:val="00681914"/>
    <w:rsid w:val="00682386"/>
    <w:rsid w:val="00684ACF"/>
    <w:rsid w:val="00684F6C"/>
    <w:rsid w:val="006906CB"/>
    <w:rsid w:val="00692653"/>
    <w:rsid w:val="00692BE2"/>
    <w:rsid w:val="00696DCA"/>
    <w:rsid w:val="006A062A"/>
    <w:rsid w:val="006A24C7"/>
    <w:rsid w:val="006A30FF"/>
    <w:rsid w:val="006A3BA0"/>
    <w:rsid w:val="006B60BE"/>
    <w:rsid w:val="006B6A2C"/>
    <w:rsid w:val="006C1A09"/>
    <w:rsid w:val="006C46FA"/>
    <w:rsid w:val="006D11E9"/>
    <w:rsid w:val="006D2C34"/>
    <w:rsid w:val="006F180D"/>
    <w:rsid w:val="006F6C2D"/>
    <w:rsid w:val="007070FB"/>
    <w:rsid w:val="00712932"/>
    <w:rsid w:val="007218A3"/>
    <w:rsid w:val="00723309"/>
    <w:rsid w:val="00724951"/>
    <w:rsid w:val="00735B93"/>
    <w:rsid w:val="00740322"/>
    <w:rsid w:val="007421B4"/>
    <w:rsid w:val="00743126"/>
    <w:rsid w:val="00747FE2"/>
    <w:rsid w:val="007510B7"/>
    <w:rsid w:val="007551E6"/>
    <w:rsid w:val="00755E5C"/>
    <w:rsid w:val="007574AF"/>
    <w:rsid w:val="0076183C"/>
    <w:rsid w:val="00766BDC"/>
    <w:rsid w:val="00767EB5"/>
    <w:rsid w:val="00776351"/>
    <w:rsid w:val="00776A8F"/>
    <w:rsid w:val="00777CF3"/>
    <w:rsid w:val="00780EFD"/>
    <w:rsid w:val="007816D5"/>
    <w:rsid w:val="00784B13"/>
    <w:rsid w:val="00785A57"/>
    <w:rsid w:val="00785D97"/>
    <w:rsid w:val="00793A5D"/>
    <w:rsid w:val="007A08DC"/>
    <w:rsid w:val="007A4995"/>
    <w:rsid w:val="007A5585"/>
    <w:rsid w:val="007A6E20"/>
    <w:rsid w:val="007A7FEE"/>
    <w:rsid w:val="007B1F68"/>
    <w:rsid w:val="007B4EF2"/>
    <w:rsid w:val="007B5684"/>
    <w:rsid w:val="007C0908"/>
    <w:rsid w:val="007C1753"/>
    <w:rsid w:val="007E5CD9"/>
    <w:rsid w:val="007E743A"/>
    <w:rsid w:val="007F1A36"/>
    <w:rsid w:val="007F40CB"/>
    <w:rsid w:val="0080618A"/>
    <w:rsid w:val="008113E3"/>
    <w:rsid w:val="0081563D"/>
    <w:rsid w:val="00817E75"/>
    <w:rsid w:val="0082453B"/>
    <w:rsid w:val="00825E20"/>
    <w:rsid w:val="00826C86"/>
    <w:rsid w:val="00827014"/>
    <w:rsid w:val="008316F6"/>
    <w:rsid w:val="008325AB"/>
    <w:rsid w:val="00833384"/>
    <w:rsid w:val="00834EF2"/>
    <w:rsid w:val="00835DFD"/>
    <w:rsid w:val="008432C7"/>
    <w:rsid w:val="0085195A"/>
    <w:rsid w:val="00861E42"/>
    <w:rsid w:val="00862004"/>
    <w:rsid w:val="00887E23"/>
    <w:rsid w:val="00894BB0"/>
    <w:rsid w:val="008977FD"/>
    <w:rsid w:val="008A0AF4"/>
    <w:rsid w:val="008A2AAA"/>
    <w:rsid w:val="008A2B08"/>
    <w:rsid w:val="008A5B0B"/>
    <w:rsid w:val="008B288B"/>
    <w:rsid w:val="008B3064"/>
    <w:rsid w:val="008B5790"/>
    <w:rsid w:val="008E1810"/>
    <w:rsid w:val="008E2861"/>
    <w:rsid w:val="008E4727"/>
    <w:rsid w:val="008E6533"/>
    <w:rsid w:val="008E6888"/>
    <w:rsid w:val="008E7CE6"/>
    <w:rsid w:val="008F33D2"/>
    <w:rsid w:val="008F50AF"/>
    <w:rsid w:val="008F61E3"/>
    <w:rsid w:val="009003A8"/>
    <w:rsid w:val="00901AF6"/>
    <w:rsid w:val="00902719"/>
    <w:rsid w:val="009225F6"/>
    <w:rsid w:val="0092405D"/>
    <w:rsid w:val="0093055C"/>
    <w:rsid w:val="00933E4F"/>
    <w:rsid w:val="00937483"/>
    <w:rsid w:val="0094170F"/>
    <w:rsid w:val="00951204"/>
    <w:rsid w:val="00953BB0"/>
    <w:rsid w:val="009556C3"/>
    <w:rsid w:val="00957C53"/>
    <w:rsid w:val="009620E7"/>
    <w:rsid w:val="00966392"/>
    <w:rsid w:val="00967B79"/>
    <w:rsid w:val="00970DE9"/>
    <w:rsid w:val="009714DE"/>
    <w:rsid w:val="00981734"/>
    <w:rsid w:val="00984B1E"/>
    <w:rsid w:val="0098574A"/>
    <w:rsid w:val="009857F0"/>
    <w:rsid w:val="00987C99"/>
    <w:rsid w:val="00993D79"/>
    <w:rsid w:val="00996E63"/>
    <w:rsid w:val="009975E8"/>
    <w:rsid w:val="009A210C"/>
    <w:rsid w:val="009A3329"/>
    <w:rsid w:val="009A3EFF"/>
    <w:rsid w:val="009A5D35"/>
    <w:rsid w:val="009B39CA"/>
    <w:rsid w:val="009C12E6"/>
    <w:rsid w:val="009C3989"/>
    <w:rsid w:val="009C4E75"/>
    <w:rsid w:val="009D2E9C"/>
    <w:rsid w:val="009D4F39"/>
    <w:rsid w:val="009D6D47"/>
    <w:rsid w:val="009E18A5"/>
    <w:rsid w:val="009E36A9"/>
    <w:rsid w:val="009E4020"/>
    <w:rsid w:val="009E54AB"/>
    <w:rsid w:val="009E63E6"/>
    <w:rsid w:val="009E746D"/>
    <w:rsid w:val="009E7C9D"/>
    <w:rsid w:val="009F02FF"/>
    <w:rsid w:val="009F2ED3"/>
    <w:rsid w:val="009F48F7"/>
    <w:rsid w:val="009F5FB4"/>
    <w:rsid w:val="009F6032"/>
    <w:rsid w:val="009F6AED"/>
    <w:rsid w:val="009F71D2"/>
    <w:rsid w:val="009F7C8A"/>
    <w:rsid w:val="00A0164F"/>
    <w:rsid w:val="00A0413A"/>
    <w:rsid w:val="00A12D5C"/>
    <w:rsid w:val="00A13FB5"/>
    <w:rsid w:val="00A177A4"/>
    <w:rsid w:val="00A217CA"/>
    <w:rsid w:val="00A26889"/>
    <w:rsid w:val="00A32290"/>
    <w:rsid w:val="00A365A2"/>
    <w:rsid w:val="00A514B4"/>
    <w:rsid w:val="00A55886"/>
    <w:rsid w:val="00A62ACA"/>
    <w:rsid w:val="00A64844"/>
    <w:rsid w:val="00A6493F"/>
    <w:rsid w:val="00A67EC7"/>
    <w:rsid w:val="00A70578"/>
    <w:rsid w:val="00A7720D"/>
    <w:rsid w:val="00A776E1"/>
    <w:rsid w:val="00A81787"/>
    <w:rsid w:val="00A94A21"/>
    <w:rsid w:val="00AA1BF8"/>
    <w:rsid w:val="00AA2C03"/>
    <w:rsid w:val="00AA7EC7"/>
    <w:rsid w:val="00AB2518"/>
    <w:rsid w:val="00AB47FD"/>
    <w:rsid w:val="00AB63BA"/>
    <w:rsid w:val="00AC0DAE"/>
    <w:rsid w:val="00AC5D45"/>
    <w:rsid w:val="00AD0C33"/>
    <w:rsid w:val="00AD20A4"/>
    <w:rsid w:val="00AE1AFD"/>
    <w:rsid w:val="00AE4270"/>
    <w:rsid w:val="00AF1DB5"/>
    <w:rsid w:val="00AF6E5C"/>
    <w:rsid w:val="00AF750E"/>
    <w:rsid w:val="00B04550"/>
    <w:rsid w:val="00B04ECD"/>
    <w:rsid w:val="00B0665F"/>
    <w:rsid w:val="00B16A14"/>
    <w:rsid w:val="00B17055"/>
    <w:rsid w:val="00B17E44"/>
    <w:rsid w:val="00B2024D"/>
    <w:rsid w:val="00B275A9"/>
    <w:rsid w:val="00B27AE8"/>
    <w:rsid w:val="00B31E93"/>
    <w:rsid w:val="00B333D4"/>
    <w:rsid w:val="00B33EE3"/>
    <w:rsid w:val="00B37CF8"/>
    <w:rsid w:val="00B40704"/>
    <w:rsid w:val="00B42075"/>
    <w:rsid w:val="00B45501"/>
    <w:rsid w:val="00B50401"/>
    <w:rsid w:val="00B5464C"/>
    <w:rsid w:val="00B5474E"/>
    <w:rsid w:val="00B54860"/>
    <w:rsid w:val="00B57892"/>
    <w:rsid w:val="00B649D1"/>
    <w:rsid w:val="00B70712"/>
    <w:rsid w:val="00B71D95"/>
    <w:rsid w:val="00B90C22"/>
    <w:rsid w:val="00B93220"/>
    <w:rsid w:val="00BA1616"/>
    <w:rsid w:val="00BA222D"/>
    <w:rsid w:val="00BA6C7A"/>
    <w:rsid w:val="00BB0C6E"/>
    <w:rsid w:val="00BB1A66"/>
    <w:rsid w:val="00BB56E7"/>
    <w:rsid w:val="00BB6CA7"/>
    <w:rsid w:val="00BB760D"/>
    <w:rsid w:val="00BD0BC4"/>
    <w:rsid w:val="00BD1DC5"/>
    <w:rsid w:val="00BD7EF1"/>
    <w:rsid w:val="00BE6F45"/>
    <w:rsid w:val="00C11188"/>
    <w:rsid w:val="00C22B94"/>
    <w:rsid w:val="00C26994"/>
    <w:rsid w:val="00C273C6"/>
    <w:rsid w:val="00C31060"/>
    <w:rsid w:val="00C31BC3"/>
    <w:rsid w:val="00C32CE8"/>
    <w:rsid w:val="00C410B7"/>
    <w:rsid w:val="00C46F79"/>
    <w:rsid w:val="00C54201"/>
    <w:rsid w:val="00C60B06"/>
    <w:rsid w:val="00C63E9C"/>
    <w:rsid w:val="00C6576B"/>
    <w:rsid w:val="00C809F3"/>
    <w:rsid w:val="00C8785D"/>
    <w:rsid w:val="00C92027"/>
    <w:rsid w:val="00CA5629"/>
    <w:rsid w:val="00CB1AE5"/>
    <w:rsid w:val="00CB2A34"/>
    <w:rsid w:val="00CB3AA0"/>
    <w:rsid w:val="00CB55C1"/>
    <w:rsid w:val="00CC0A5C"/>
    <w:rsid w:val="00CC264A"/>
    <w:rsid w:val="00CD4A1B"/>
    <w:rsid w:val="00CE0EDB"/>
    <w:rsid w:val="00D0525B"/>
    <w:rsid w:val="00D0583A"/>
    <w:rsid w:val="00D12A6F"/>
    <w:rsid w:val="00D15DCC"/>
    <w:rsid w:val="00D16872"/>
    <w:rsid w:val="00D23397"/>
    <w:rsid w:val="00D233CD"/>
    <w:rsid w:val="00D23814"/>
    <w:rsid w:val="00D245BE"/>
    <w:rsid w:val="00D26C5C"/>
    <w:rsid w:val="00D3060B"/>
    <w:rsid w:val="00D30742"/>
    <w:rsid w:val="00D30B12"/>
    <w:rsid w:val="00D33401"/>
    <w:rsid w:val="00D35E15"/>
    <w:rsid w:val="00D36854"/>
    <w:rsid w:val="00D36C48"/>
    <w:rsid w:val="00D405C7"/>
    <w:rsid w:val="00D4454F"/>
    <w:rsid w:val="00D466F0"/>
    <w:rsid w:val="00D4671E"/>
    <w:rsid w:val="00D47BD5"/>
    <w:rsid w:val="00D50183"/>
    <w:rsid w:val="00D5023B"/>
    <w:rsid w:val="00D51ADD"/>
    <w:rsid w:val="00D55629"/>
    <w:rsid w:val="00D65EA3"/>
    <w:rsid w:val="00D67F3F"/>
    <w:rsid w:val="00D7539D"/>
    <w:rsid w:val="00D754A1"/>
    <w:rsid w:val="00D76CF0"/>
    <w:rsid w:val="00D77A01"/>
    <w:rsid w:val="00D8555E"/>
    <w:rsid w:val="00D8748B"/>
    <w:rsid w:val="00D87A60"/>
    <w:rsid w:val="00D90B1D"/>
    <w:rsid w:val="00D90CFC"/>
    <w:rsid w:val="00DA0CA9"/>
    <w:rsid w:val="00DA1825"/>
    <w:rsid w:val="00DA2014"/>
    <w:rsid w:val="00DA682F"/>
    <w:rsid w:val="00DA77A0"/>
    <w:rsid w:val="00DA7869"/>
    <w:rsid w:val="00DB2809"/>
    <w:rsid w:val="00DC17CB"/>
    <w:rsid w:val="00DD4885"/>
    <w:rsid w:val="00DD4DB0"/>
    <w:rsid w:val="00DE00D2"/>
    <w:rsid w:val="00DE0CF7"/>
    <w:rsid w:val="00DE2B40"/>
    <w:rsid w:val="00DE3344"/>
    <w:rsid w:val="00DE3AA3"/>
    <w:rsid w:val="00DE694D"/>
    <w:rsid w:val="00DF1586"/>
    <w:rsid w:val="00E03624"/>
    <w:rsid w:val="00E0416A"/>
    <w:rsid w:val="00E105AE"/>
    <w:rsid w:val="00E10C97"/>
    <w:rsid w:val="00E204F1"/>
    <w:rsid w:val="00E215B1"/>
    <w:rsid w:val="00E246EC"/>
    <w:rsid w:val="00E262AD"/>
    <w:rsid w:val="00E2744F"/>
    <w:rsid w:val="00E332B8"/>
    <w:rsid w:val="00E33576"/>
    <w:rsid w:val="00E36C42"/>
    <w:rsid w:val="00E4118D"/>
    <w:rsid w:val="00E4414E"/>
    <w:rsid w:val="00E53299"/>
    <w:rsid w:val="00E658D7"/>
    <w:rsid w:val="00E66C13"/>
    <w:rsid w:val="00E73028"/>
    <w:rsid w:val="00E7302E"/>
    <w:rsid w:val="00E81D33"/>
    <w:rsid w:val="00E82E66"/>
    <w:rsid w:val="00E834F0"/>
    <w:rsid w:val="00EA4F58"/>
    <w:rsid w:val="00EB72EF"/>
    <w:rsid w:val="00EC07C7"/>
    <w:rsid w:val="00EC1710"/>
    <w:rsid w:val="00EC780F"/>
    <w:rsid w:val="00ED3FEA"/>
    <w:rsid w:val="00ED59FF"/>
    <w:rsid w:val="00EE2516"/>
    <w:rsid w:val="00EE28CB"/>
    <w:rsid w:val="00EE2C8C"/>
    <w:rsid w:val="00EE2D62"/>
    <w:rsid w:val="00EE6FD5"/>
    <w:rsid w:val="00EE78C3"/>
    <w:rsid w:val="00F02BE2"/>
    <w:rsid w:val="00F02C68"/>
    <w:rsid w:val="00F0547A"/>
    <w:rsid w:val="00F0673E"/>
    <w:rsid w:val="00F15E4F"/>
    <w:rsid w:val="00F21C2F"/>
    <w:rsid w:val="00F2283D"/>
    <w:rsid w:val="00F252E1"/>
    <w:rsid w:val="00F27F0C"/>
    <w:rsid w:val="00F31440"/>
    <w:rsid w:val="00F3702C"/>
    <w:rsid w:val="00F37062"/>
    <w:rsid w:val="00F415EE"/>
    <w:rsid w:val="00F616A4"/>
    <w:rsid w:val="00F6427F"/>
    <w:rsid w:val="00F66588"/>
    <w:rsid w:val="00F77070"/>
    <w:rsid w:val="00F7718A"/>
    <w:rsid w:val="00F84B26"/>
    <w:rsid w:val="00F96FEE"/>
    <w:rsid w:val="00F9779D"/>
    <w:rsid w:val="00F97994"/>
    <w:rsid w:val="00FA40B8"/>
    <w:rsid w:val="00FA74AF"/>
    <w:rsid w:val="00FB416F"/>
    <w:rsid w:val="00FC30C4"/>
    <w:rsid w:val="00FC41AF"/>
    <w:rsid w:val="00FC5DD2"/>
    <w:rsid w:val="00FD22E3"/>
    <w:rsid w:val="00FD2877"/>
    <w:rsid w:val="00FD379A"/>
    <w:rsid w:val="00FD53C0"/>
    <w:rsid w:val="00FE747E"/>
    <w:rsid w:val="00FF3261"/>
    <w:rsid w:val="00FF7927"/>
    <w:rsid w:val="01B4688F"/>
    <w:rsid w:val="02FEAA6E"/>
    <w:rsid w:val="0687987C"/>
    <w:rsid w:val="06D535D3"/>
    <w:rsid w:val="0B98EF70"/>
    <w:rsid w:val="11408452"/>
    <w:rsid w:val="167CFD7A"/>
    <w:rsid w:val="18DF0E1B"/>
    <w:rsid w:val="1966F079"/>
    <w:rsid w:val="19B49E3C"/>
    <w:rsid w:val="1A7C8825"/>
    <w:rsid w:val="1F474CEC"/>
    <w:rsid w:val="1F9E2E14"/>
    <w:rsid w:val="20B11805"/>
    <w:rsid w:val="223C7398"/>
    <w:rsid w:val="2315CF16"/>
    <w:rsid w:val="23733A2A"/>
    <w:rsid w:val="2645B4DD"/>
    <w:rsid w:val="27DF1BE0"/>
    <w:rsid w:val="283FCD44"/>
    <w:rsid w:val="28D145B8"/>
    <w:rsid w:val="29C52ADC"/>
    <w:rsid w:val="2DBAEDD7"/>
    <w:rsid w:val="30305F22"/>
    <w:rsid w:val="30A4B173"/>
    <w:rsid w:val="31149E20"/>
    <w:rsid w:val="369A8A13"/>
    <w:rsid w:val="3A710EB5"/>
    <w:rsid w:val="3B2A8DCC"/>
    <w:rsid w:val="3C81FEB6"/>
    <w:rsid w:val="3E497493"/>
    <w:rsid w:val="41F4D02E"/>
    <w:rsid w:val="43A1BAD0"/>
    <w:rsid w:val="444F13D3"/>
    <w:rsid w:val="48101060"/>
    <w:rsid w:val="4959257A"/>
    <w:rsid w:val="531D9917"/>
    <w:rsid w:val="5C81E179"/>
    <w:rsid w:val="5E5881AD"/>
    <w:rsid w:val="5F9DAC22"/>
    <w:rsid w:val="60658A7F"/>
    <w:rsid w:val="64949F88"/>
    <w:rsid w:val="66425705"/>
    <w:rsid w:val="67CC404A"/>
    <w:rsid w:val="6CDA27E3"/>
    <w:rsid w:val="74BCFF0F"/>
    <w:rsid w:val="75495BBD"/>
    <w:rsid w:val="79D7B224"/>
    <w:rsid w:val="7E534FF2"/>
    <w:rsid w:val="7F0F66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C089"/>
  <w15:docId w15:val="{186B5DAF-43DA-4E4E-872C-61FA2523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57"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4"/>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Revision">
    <w:name w:val="Revision"/>
    <w:hidden/>
    <w:uiPriority w:val="99"/>
    <w:semiHidden/>
    <w:rsid w:val="009E746D"/>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AE1AFD"/>
    <w:pPr>
      <w:tabs>
        <w:tab w:val="center" w:pos="4680"/>
        <w:tab w:val="right" w:pos="9360"/>
      </w:tabs>
      <w:spacing w:line="240" w:lineRule="auto"/>
    </w:pPr>
  </w:style>
  <w:style w:type="character" w:customStyle="1" w:styleId="HeaderChar">
    <w:name w:val="Header Char"/>
    <w:basedOn w:val="DefaultParagraphFont"/>
    <w:link w:val="Header"/>
    <w:uiPriority w:val="99"/>
    <w:rsid w:val="00AE1AF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E1AFD"/>
    <w:pPr>
      <w:tabs>
        <w:tab w:val="center" w:pos="4680"/>
        <w:tab w:val="right" w:pos="9360"/>
      </w:tabs>
      <w:spacing w:line="240" w:lineRule="auto"/>
    </w:pPr>
  </w:style>
  <w:style w:type="character" w:customStyle="1" w:styleId="FooterChar">
    <w:name w:val="Footer Char"/>
    <w:basedOn w:val="DefaultParagraphFont"/>
    <w:link w:val="Footer"/>
    <w:uiPriority w:val="99"/>
    <w:rsid w:val="00AE1AFD"/>
    <w:rPr>
      <w:rFonts w:ascii="Times New Roman" w:eastAsia="Times New Roman" w:hAnsi="Times New Roman" w:cs="Times New Roman"/>
      <w:color w:val="000000"/>
      <w:sz w:val="24"/>
    </w:rPr>
  </w:style>
  <w:style w:type="paragraph" w:styleId="FootnoteText">
    <w:name w:val="footnote text"/>
    <w:basedOn w:val="Normal"/>
    <w:link w:val="FootnoteTextChar"/>
    <w:uiPriority w:val="99"/>
    <w:rsid w:val="00AE1AFD"/>
    <w:pPr>
      <w:spacing w:line="240" w:lineRule="auto"/>
      <w:ind w:left="0" w:firstLine="0"/>
    </w:pPr>
    <w:rPr>
      <w:color w:val="auto"/>
      <w:kern w:val="0"/>
      <w:sz w:val="20"/>
      <w:szCs w:val="20"/>
      <w14:ligatures w14:val="none"/>
    </w:rPr>
  </w:style>
  <w:style w:type="character" w:customStyle="1" w:styleId="FootnoteTextChar">
    <w:name w:val="Footnote Text Char"/>
    <w:basedOn w:val="DefaultParagraphFont"/>
    <w:link w:val="FootnoteText"/>
    <w:uiPriority w:val="99"/>
    <w:rsid w:val="00AE1AFD"/>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AE1AFD"/>
    <w:rPr>
      <w:vertAlign w:val="superscript"/>
    </w:rPr>
  </w:style>
  <w:style w:type="character" w:styleId="CommentReference">
    <w:name w:val="annotation reference"/>
    <w:basedOn w:val="DefaultParagraphFont"/>
    <w:uiPriority w:val="99"/>
    <w:semiHidden/>
    <w:unhideWhenUsed/>
    <w:rsid w:val="00FA40B8"/>
    <w:rPr>
      <w:sz w:val="16"/>
      <w:szCs w:val="16"/>
    </w:rPr>
  </w:style>
  <w:style w:type="paragraph" w:styleId="CommentText">
    <w:name w:val="annotation text"/>
    <w:basedOn w:val="Normal"/>
    <w:link w:val="CommentTextChar"/>
    <w:uiPriority w:val="99"/>
    <w:unhideWhenUsed/>
    <w:rsid w:val="00FA40B8"/>
    <w:pPr>
      <w:spacing w:line="240" w:lineRule="auto"/>
    </w:pPr>
    <w:rPr>
      <w:sz w:val="20"/>
      <w:szCs w:val="20"/>
    </w:rPr>
  </w:style>
  <w:style w:type="character" w:customStyle="1" w:styleId="CommentTextChar">
    <w:name w:val="Comment Text Char"/>
    <w:basedOn w:val="DefaultParagraphFont"/>
    <w:link w:val="CommentText"/>
    <w:uiPriority w:val="99"/>
    <w:rsid w:val="00FA40B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A40B8"/>
    <w:rPr>
      <w:b/>
      <w:bCs/>
    </w:rPr>
  </w:style>
  <w:style w:type="character" w:customStyle="1" w:styleId="CommentSubjectChar">
    <w:name w:val="Comment Subject Char"/>
    <w:basedOn w:val="CommentTextChar"/>
    <w:link w:val="CommentSubject"/>
    <w:uiPriority w:val="99"/>
    <w:semiHidden/>
    <w:rsid w:val="00FA40B8"/>
    <w:rPr>
      <w:rFonts w:ascii="Times New Roman" w:eastAsia="Times New Roman" w:hAnsi="Times New Roman" w:cs="Times New Roman"/>
      <w:b/>
      <w:bCs/>
      <w:color w:val="000000"/>
      <w:sz w:val="20"/>
      <w:szCs w:val="20"/>
    </w:rPr>
  </w:style>
  <w:style w:type="table" w:styleId="TableGrid">
    <w:name w:val="Table Grid"/>
    <w:basedOn w:val="TableNormal"/>
    <w:uiPriority w:val="39"/>
    <w:rsid w:val="0070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33E4F"/>
    <w:pPr>
      <w:spacing w:before="100" w:beforeAutospacing="1" w:after="100" w:afterAutospacing="1" w:line="240" w:lineRule="auto"/>
      <w:ind w:left="0" w:firstLine="0"/>
    </w:pPr>
    <w:rPr>
      <w:color w:val="auto"/>
      <w:kern w:val="0"/>
      <w:szCs w:val="24"/>
      <w14:ligatures w14:val="none"/>
    </w:rPr>
  </w:style>
  <w:style w:type="character" w:customStyle="1" w:styleId="cf01">
    <w:name w:val="cf01"/>
    <w:basedOn w:val="DefaultParagraphFont"/>
    <w:rsid w:val="00933E4F"/>
    <w:rPr>
      <w:rFonts w:ascii="Segoe UI" w:hAnsi="Segoe UI" w:cs="Segoe UI" w:hint="default"/>
      <w:sz w:val="18"/>
      <w:szCs w:val="18"/>
    </w:rPr>
  </w:style>
  <w:style w:type="character" w:customStyle="1" w:styleId="cf11">
    <w:name w:val="cf11"/>
    <w:basedOn w:val="DefaultParagraphFont"/>
    <w:rsid w:val="00933E4F"/>
    <w:rPr>
      <w:rFonts w:ascii="Segoe UI" w:hAnsi="Segoe UI" w:cs="Segoe UI" w:hint="default"/>
      <w:i/>
      <w:iCs/>
      <w:sz w:val="18"/>
      <w:szCs w:val="18"/>
    </w:rPr>
  </w:style>
  <w:style w:type="character" w:styleId="Hyperlink">
    <w:name w:val="Hyperlink"/>
    <w:basedOn w:val="DefaultParagraphFont"/>
    <w:uiPriority w:val="99"/>
    <w:unhideWhenUsed/>
    <w:rsid w:val="00F0547A"/>
    <w:rPr>
      <w:color w:val="0563C1" w:themeColor="hyperlink"/>
      <w:u w:val="single"/>
    </w:rPr>
  </w:style>
  <w:style w:type="character" w:styleId="UnresolvedMention">
    <w:name w:val="Unresolved Mention"/>
    <w:basedOn w:val="DefaultParagraphFont"/>
    <w:uiPriority w:val="99"/>
    <w:semiHidden/>
    <w:unhideWhenUsed/>
    <w:rsid w:val="00F05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6697">
      <w:bodyDiv w:val="1"/>
      <w:marLeft w:val="0"/>
      <w:marRight w:val="0"/>
      <w:marTop w:val="0"/>
      <w:marBottom w:val="0"/>
      <w:divBdr>
        <w:top w:val="none" w:sz="0" w:space="0" w:color="auto"/>
        <w:left w:val="none" w:sz="0" w:space="0" w:color="auto"/>
        <w:bottom w:val="none" w:sz="0" w:space="0" w:color="auto"/>
        <w:right w:val="none" w:sz="0" w:space="0" w:color="auto"/>
      </w:divBdr>
    </w:div>
    <w:div w:id="329144028">
      <w:bodyDiv w:val="1"/>
      <w:marLeft w:val="0"/>
      <w:marRight w:val="0"/>
      <w:marTop w:val="0"/>
      <w:marBottom w:val="0"/>
      <w:divBdr>
        <w:top w:val="none" w:sz="0" w:space="0" w:color="auto"/>
        <w:left w:val="none" w:sz="0" w:space="0" w:color="auto"/>
        <w:bottom w:val="none" w:sz="0" w:space="0" w:color="auto"/>
        <w:right w:val="none" w:sz="0" w:space="0" w:color="auto"/>
      </w:divBdr>
    </w:div>
    <w:div w:id="1136994767">
      <w:bodyDiv w:val="1"/>
      <w:marLeft w:val="0"/>
      <w:marRight w:val="0"/>
      <w:marTop w:val="0"/>
      <w:marBottom w:val="0"/>
      <w:divBdr>
        <w:top w:val="none" w:sz="0" w:space="0" w:color="auto"/>
        <w:left w:val="none" w:sz="0" w:space="0" w:color="auto"/>
        <w:bottom w:val="none" w:sz="0" w:space="0" w:color="auto"/>
        <w:right w:val="none" w:sz="0" w:space="0" w:color="auto"/>
      </w:divBdr>
    </w:div>
    <w:div w:id="1560436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ate xmlns="0772689b-326b-46a5-b84c-c726c57fbc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7" ma:contentTypeDescription="Create a new document." ma:contentTypeScope="" ma:versionID="815f96416c9c84a0d35dd2addc832d9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454df5e17178da1bd9ee2f3dfcf57d59"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FFCC7-84D9-4C6F-876C-BE5F28B653AB}">
  <ds:schemaRefs>
    <ds:schemaRef ds:uri="http://schemas.openxmlformats.org/officeDocument/2006/bibliography"/>
  </ds:schemaRefs>
</ds:datastoreItem>
</file>

<file path=customXml/itemProps2.xml><?xml version="1.0" encoding="utf-8"?>
<ds:datastoreItem xmlns:ds="http://schemas.openxmlformats.org/officeDocument/2006/customXml" ds:itemID="{E47BC7A8-87B4-4D1C-875C-46BADF4440B2}">
  <ds:schemaRefs>
    <ds:schemaRef ds:uri="http://schemas.microsoft.com/office/2006/metadata/properties"/>
    <ds:schemaRef ds:uri="http://schemas.microsoft.com/office/infopath/2007/PartnerControls"/>
    <ds:schemaRef ds:uri="0772689b-326b-46a5-b84c-c726c57fbc8b"/>
  </ds:schemaRefs>
</ds:datastoreItem>
</file>

<file path=customXml/itemProps3.xml><?xml version="1.0" encoding="utf-8"?>
<ds:datastoreItem xmlns:ds="http://schemas.openxmlformats.org/officeDocument/2006/customXml" ds:itemID="{E91B8E13-CE37-4383-940C-A02F2A1FB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55610-0274-4E47-8CB6-7191FA4E0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Microsoft Word - 101-cmr-352-staff-testimony</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- 101-cmr-352-staff-testimony</dc:title>
  <dc:subject/>
  <dc:creator>PSousa</dc:creator>
  <cp:keywords/>
  <cp:lastModifiedBy>Sousa, Pam (EHS)</cp:lastModifiedBy>
  <cp:revision>2</cp:revision>
  <dcterms:created xsi:type="dcterms:W3CDTF">2025-04-28T13:28:00Z</dcterms:created>
  <dcterms:modified xsi:type="dcterms:W3CDTF">2025-04-28T13:28:00Z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