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0B28" w14:textId="38BEEBA5" w:rsidR="0062536B" w:rsidRPr="006E3DAB" w:rsidRDefault="00E03A2E" w:rsidP="00A454C3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DAB">
        <w:rPr>
          <w:rFonts w:ascii="Times New Roman" w:eastAsia="Calibri" w:hAnsi="Times New Roman" w:cs="Times New Roman"/>
          <w:sz w:val="24"/>
          <w:szCs w:val="24"/>
        </w:rPr>
        <w:t>Good morning</w:t>
      </w:r>
      <w:r w:rsidR="006B7634" w:rsidRPr="006E3DAB">
        <w:rPr>
          <w:rFonts w:ascii="Times New Roman" w:eastAsia="Calibri" w:hAnsi="Times New Roman" w:cs="Times New Roman"/>
          <w:sz w:val="24"/>
          <w:szCs w:val="24"/>
        </w:rPr>
        <w:t>.</w:t>
      </w:r>
      <w:r w:rsidRPr="006E3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7634" w:rsidRPr="006E3DAB">
        <w:rPr>
          <w:rFonts w:ascii="Times New Roman" w:eastAsia="Calibri" w:hAnsi="Times New Roman" w:cs="Times New Roman"/>
          <w:sz w:val="24"/>
          <w:szCs w:val="24"/>
        </w:rPr>
        <w:t>M</w:t>
      </w:r>
      <w:r w:rsidRPr="006E3DAB">
        <w:rPr>
          <w:rFonts w:ascii="Times New Roman" w:eastAsia="Calibri" w:hAnsi="Times New Roman" w:cs="Times New Roman"/>
          <w:sz w:val="24"/>
          <w:szCs w:val="24"/>
        </w:rPr>
        <w:t xml:space="preserve">y name is </w:t>
      </w:r>
      <w:r w:rsidR="005F0B05" w:rsidRPr="006E3DAB">
        <w:rPr>
          <w:rFonts w:ascii="Times New Roman" w:eastAsia="Calibri" w:hAnsi="Times New Roman" w:cs="Times New Roman"/>
          <w:sz w:val="24"/>
          <w:szCs w:val="24"/>
        </w:rPr>
        <w:t>Marie Lenane</w:t>
      </w:r>
      <w:r w:rsidRPr="006E3DAB">
        <w:rPr>
          <w:rFonts w:ascii="Times New Roman" w:eastAsia="Calibri" w:hAnsi="Times New Roman" w:cs="Times New Roman"/>
          <w:sz w:val="24"/>
          <w:szCs w:val="24"/>
        </w:rPr>
        <w:t xml:space="preserve"> and I am </w:t>
      </w:r>
      <w:r w:rsidR="00DA5E83" w:rsidRPr="006E3DA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7407BB" w:rsidRPr="006E3DAB">
        <w:rPr>
          <w:rFonts w:ascii="Times New Roman" w:eastAsia="Calibri" w:hAnsi="Times New Roman" w:cs="Times New Roman"/>
          <w:sz w:val="24"/>
          <w:szCs w:val="24"/>
        </w:rPr>
        <w:t xml:space="preserve">Purchase of Service </w:t>
      </w:r>
      <w:r w:rsidR="00DA5E83" w:rsidRPr="006E3DAB">
        <w:rPr>
          <w:rFonts w:ascii="Times New Roman" w:eastAsia="Calibri" w:hAnsi="Times New Roman" w:cs="Times New Roman"/>
          <w:sz w:val="24"/>
          <w:szCs w:val="24"/>
        </w:rPr>
        <w:t>Pricing Analyst</w:t>
      </w:r>
      <w:r w:rsidRPr="006E3DAB">
        <w:rPr>
          <w:rFonts w:ascii="Times New Roman" w:eastAsia="Calibri" w:hAnsi="Times New Roman" w:cs="Times New Roman"/>
          <w:sz w:val="24"/>
          <w:szCs w:val="24"/>
        </w:rPr>
        <w:t xml:space="preserve"> at the Executive Office of Health and Human Services (EOHHS). I am here to present staff testimony on the proposed </w:t>
      </w:r>
      <w:r w:rsidR="009A4EF9" w:rsidRPr="006E3DAB">
        <w:rPr>
          <w:rFonts w:ascii="Times New Roman" w:eastAsia="Calibri" w:hAnsi="Times New Roman" w:cs="Times New Roman"/>
          <w:sz w:val="24"/>
          <w:szCs w:val="24"/>
        </w:rPr>
        <w:t>amendments to</w:t>
      </w:r>
      <w:r w:rsidR="007407BB" w:rsidRPr="006E3DAB">
        <w:rPr>
          <w:rFonts w:ascii="Times New Roman" w:eastAsia="Calibri" w:hAnsi="Times New Roman" w:cs="Times New Roman"/>
          <w:sz w:val="24"/>
          <w:szCs w:val="24"/>
        </w:rPr>
        <w:t xml:space="preserve"> 101 CMR </w:t>
      </w:r>
      <w:r w:rsidR="00B908F6" w:rsidRPr="006E3DAB">
        <w:rPr>
          <w:rFonts w:ascii="Times New Roman" w:eastAsia="Calibri" w:hAnsi="Times New Roman" w:cs="Times New Roman"/>
          <w:sz w:val="24"/>
          <w:szCs w:val="24"/>
        </w:rPr>
        <w:t>4</w:t>
      </w:r>
      <w:r w:rsidR="001D0A17" w:rsidRPr="006E3DAB">
        <w:rPr>
          <w:rFonts w:ascii="Times New Roman" w:eastAsia="Calibri" w:hAnsi="Times New Roman" w:cs="Times New Roman"/>
          <w:sz w:val="24"/>
          <w:szCs w:val="24"/>
        </w:rPr>
        <w:t>2</w:t>
      </w:r>
      <w:r w:rsidR="00B13271" w:rsidRPr="006E3DAB">
        <w:rPr>
          <w:rFonts w:ascii="Times New Roman" w:eastAsia="Calibri" w:hAnsi="Times New Roman" w:cs="Times New Roman"/>
          <w:sz w:val="24"/>
          <w:szCs w:val="24"/>
        </w:rPr>
        <w:t>4</w:t>
      </w:r>
      <w:r w:rsidR="005E7086" w:rsidRPr="006E3DAB">
        <w:rPr>
          <w:rFonts w:ascii="Times New Roman" w:eastAsia="Calibri" w:hAnsi="Times New Roman" w:cs="Times New Roman"/>
          <w:sz w:val="24"/>
          <w:szCs w:val="24"/>
        </w:rPr>
        <w:t>.00</w:t>
      </w:r>
      <w:r w:rsidR="007407BB" w:rsidRPr="006E3DA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C0F70" w:rsidRPr="006E3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7BB" w:rsidRPr="006E3DAB">
        <w:rPr>
          <w:rFonts w:ascii="Times New Roman" w:eastAsia="Calibri" w:hAnsi="Times New Roman" w:cs="Times New Roman"/>
          <w:sz w:val="24"/>
          <w:szCs w:val="24"/>
        </w:rPr>
        <w:t xml:space="preserve">Rates for </w:t>
      </w:r>
      <w:r w:rsidR="00B13271" w:rsidRPr="006E3DAB">
        <w:rPr>
          <w:rFonts w:ascii="Times New Roman" w:eastAsia="Calibri" w:hAnsi="Times New Roman" w:cs="Times New Roman"/>
          <w:sz w:val="24"/>
          <w:szCs w:val="24"/>
        </w:rPr>
        <w:t>Certain Developmental and Support</w:t>
      </w:r>
      <w:r w:rsidR="004A7486" w:rsidRPr="006E3DAB">
        <w:rPr>
          <w:rFonts w:ascii="Times New Roman" w:eastAsia="Calibri" w:hAnsi="Times New Roman" w:cs="Times New Roman"/>
          <w:sz w:val="24"/>
          <w:szCs w:val="24"/>
        </w:rPr>
        <w:t xml:space="preserve"> Services</w:t>
      </w:r>
      <w:r w:rsidR="0062536B" w:rsidRPr="006E3DAB">
        <w:rPr>
          <w:rFonts w:ascii="Times New Roman" w:eastAsia="Calibri" w:hAnsi="Times New Roman" w:cs="Times New Roman"/>
          <w:sz w:val="24"/>
          <w:szCs w:val="24"/>
        </w:rPr>
        <w:t>.</w:t>
      </w:r>
      <w:r w:rsidR="00AB3B3E" w:rsidRPr="006E3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536B" w:rsidRPr="006E3DAB">
        <w:rPr>
          <w:rFonts w:ascii="Times New Roman" w:hAnsi="Times New Roman" w:cs="Times New Roman"/>
          <w:sz w:val="24"/>
          <w:szCs w:val="24"/>
        </w:rPr>
        <w:t xml:space="preserve">This regulation governs the payment rates for </w:t>
      </w:r>
      <w:r w:rsidR="00B13271" w:rsidRPr="006E3DAB">
        <w:rPr>
          <w:rFonts w:ascii="Times New Roman" w:hAnsi="Times New Roman" w:cs="Times New Roman"/>
          <w:spacing w:val="-3"/>
          <w:sz w:val="24"/>
          <w:szCs w:val="24"/>
        </w:rPr>
        <w:t>certain developmental and support</w:t>
      </w:r>
      <w:r w:rsidR="00B908F6" w:rsidRPr="006E3D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2536B" w:rsidRPr="006E3DAB">
        <w:rPr>
          <w:rFonts w:ascii="Times New Roman" w:hAnsi="Times New Roman" w:cs="Times New Roman"/>
          <w:spacing w:val="-3"/>
          <w:sz w:val="24"/>
          <w:szCs w:val="24"/>
        </w:rPr>
        <w:t xml:space="preserve">services </w:t>
      </w:r>
      <w:r w:rsidR="0062536B" w:rsidRPr="006E3DAB">
        <w:rPr>
          <w:rFonts w:ascii="Times New Roman" w:hAnsi="Times New Roman" w:cs="Times New Roman"/>
          <w:sz w:val="24"/>
          <w:szCs w:val="24"/>
        </w:rPr>
        <w:t xml:space="preserve">provided to publicly aided individuals by governmental units. </w:t>
      </w:r>
      <w:r w:rsidR="0062536B" w:rsidRPr="006E3DAB">
        <w:rPr>
          <w:rFonts w:ascii="Times New Roman" w:eastAsia="Times New Roman" w:hAnsi="Times New Roman" w:cs="Times New Roman"/>
          <w:sz w:val="24"/>
          <w:szCs w:val="24"/>
        </w:rPr>
        <w:t xml:space="preserve">Amendments to this regulation are being proposed at this time in accordance with M.G.L Chapter 118E, Section 13D, which requires the secretary of EOHHS to establish, by regulation, </w:t>
      </w:r>
      <w:r w:rsidR="004D4CB2">
        <w:rPr>
          <w:rFonts w:ascii="Times New Roman" w:eastAsia="Times New Roman" w:hAnsi="Times New Roman" w:cs="Times New Roman"/>
          <w:sz w:val="24"/>
          <w:szCs w:val="24"/>
        </w:rPr>
        <w:t xml:space="preserve">and biennially review the </w:t>
      </w:r>
      <w:r w:rsidR="0062536B" w:rsidRPr="006E3DAB">
        <w:rPr>
          <w:rFonts w:ascii="Times New Roman" w:eastAsia="Times New Roman" w:hAnsi="Times New Roman" w:cs="Times New Roman"/>
          <w:sz w:val="24"/>
          <w:szCs w:val="24"/>
        </w:rPr>
        <w:t xml:space="preserve">rates to be paid by governmental units for social service programs. </w:t>
      </w:r>
    </w:p>
    <w:p w14:paraId="31D0EFA6" w14:textId="2AAD76FC" w:rsidR="0062536B" w:rsidRPr="006E3DAB" w:rsidRDefault="0062536B" w:rsidP="00A454C3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E3DAB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4C15AE" w:rsidRPr="006E3DAB">
        <w:rPr>
          <w:rFonts w:ascii="Times New Roman" w:eastAsia="Calibri" w:hAnsi="Times New Roman" w:cs="Times New Roman"/>
          <w:sz w:val="24"/>
          <w:szCs w:val="24"/>
        </w:rPr>
        <w:t xml:space="preserve">effective </w:t>
      </w:r>
      <w:r w:rsidRPr="006E3DAB">
        <w:rPr>
          <w:rFonts w:ascii="Times New Roman" w:eastAsia="Calibri" w:hAnsi="Times New Roman" w:cs="Times New Roman"/>
          <w:sz w:val="24"/>
          <w:szCs w:val="24"/>
        </w:rPr>
        <w:t xml:space="preserve">date for the proposed amendments to the regulation is July 1, </w:t>
      </w:r>
      <w:r w:rsidR="005F0B05" w:rsidRPr="006E3DAB">
        <w:rPr>
          <w:rFonts w:ascii="Times New Roman" w:eastAsia="Calibri" w:hAnsi="Times New Roman" w:cs="Times New Roman"/>
          <w:sz w:val="24"/>
          <w:szCs w:val="24"/>
        </w:rPr>
        <w:t>202</w:t>
      </w:r>
      <w:r w:rsidR="00EF399B" w:rsidRPr="006E3DAB">
        <w:rPr>
          <w:rFonts w:ascii="Times New Roman" w:eastAsia="Calibri" w:hAnsi="Times New Roman" w:cs="Times New Roman"/>
          <w:sz w:val="24"/>
          <w:szCs w:val="24"/>
        </w:rPr>
        <w:t>6</w:t>
      </w:r>
      <w:r w:rsidRPr="006E3DA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7867F48" w14:textId="04F25F7A" w:rsidR="0062536B" w:rsidRPr="006E3DAB" w:rsidRDefault="0062536B" w:rsidP="00A454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DAB">
        <w:rPr>
          <w:rFonts w:ascii="Times New Roman" w:hAnsi="Times New Roman" w:cs="Times New Roman"/>
          <w:sz w:val="24"/>
          <w:szCs w:val="24"/>
        </w:rPr>
        <w:t xml:space="preserve">The proposed amendments update the rates for </w:t>
      </w:r>
      <w:r w:rsidR="00B13271" w:rsidRPr="006E3DAB">
        <w:rPr>
          <w:rFonts w:ascii="Times New Roman" w:hAnsi="Times New Roman" w:cs="Times New Roman"/>
          <w:spacing w:val="-3"/>
          <w:sz w:val="24"/>
          <w:szCs w:val="24"/>
        </w:rPr>
        <w:t>certain developmental and support</w:t>
      </w:r>
      <w:r w:rsidRPr="006E3DAB">
        <w:rPr>
          <w:rFonts w:ascii="Times New Roman" w:hAnsi="Times New Roman" w:cs="Times New Roman"/>
          <w:spacing w:val="-3"/>
          <w:sz w:val="24"/>
          <w:szCs w:val="24"/>
        </w:rPr>
        <w:t xml:space="preserve"> services </w:t>
      </w:r>
      <w:r w:rsidRPr="006E3DAB">
        <w:rPr>
          <w:rFonts w:ascii="Times New Roman" w:hAnsi="Times New Roman" w:cs="Times New Roman"/>
          <w:sz w:val="24"/>
          <w:szCs w:val="24"/>
        </w:rPr>
        <w:t>and include the following changes</w:t>
      </w:r>
      <w:r w:rsidR="008C0F70" w:rsidRPr="006E3DAB">
        <w:rPr>
          <w:rFonts w:ascii="Times New Roman" w:hAnsi="Times New Roman" w:cs="Times New Roman"/>
          <w:sz w:val="24"/>
          <w:szCs w:val="24"/>
        </w:rPr>
        <w:t>.</w:t>
      </w:r>
    </w:p>
    <w:p w14:paraId="3DCDCE0A" w14:textId="05F149AE" w:rsidR="005F0B05" w:rsidRPr="006E3DAB" w:rsidRDefault="005F0B05" w:rsidP="005F0B05">
      <w:pPr>
        <w:pStyle w:val="ListParagraph"/>
        <w:numPr>
          <w:ilvl w:val="0"/>
          <w:numId w:val="16"/>
        </w:numPr>
        <w:suppressAutoHyphens/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6E3DAB">
        <w:rPr>
          <w:rFonts w:ascii="Times New Roman" w:hAnsi="Times New Roman" w:cs="Times New Roman"/>
          <w:sz w:val="24"/>
          <w:szCs w:val="24"/>
        </w:rPr>
        <w:t>The rates for th</w:t>
      </w:r>
      <w:r w:rsidR="00E407FF" w:rsidRPr="006E3DAB">
        <w:rPr>
          <w:rFonts w:ascii="Times New Roman" w:hAnsi="Times New Roman" w:cs="Times New Roman"/>
          <w:sz w:val="24"/>
          <w:szCs w:val="24"/>
        </w:rPr>
        <w:t>e</w:t>
      </w:r>
      <w:r w:rsidRPr="006E3DAB">
        <w:rPr>
          <w:rFonts w:ascii="Times New Roman" w:hAnsi="Times New Roman" w:cs="Times New Roman"/>
          <w:sz w:val="24"/>
          <w:szCs w:val="24"/>
        </w:rPr>
        <w:t>s</w:t>
      </w:r>
      <w:r w:rsidR="00776359" w:rsidRPr="006E3DAB">
        <w:rPr>
          <w:rFonts w:ascii="Times New Roman" w:hAnsi="Times New Roman" w:cs="Times New Roman"/>
          <w:sz w:val="24"/>
          <w:szCs w:val="24"/>
        </w:rPr>
        <w:t>e</w:t>
      </w:r>
      <w:r w:rsidRPr="006E3DAB">
        <w:rPr>
          <w:rFonts w:ascii="Times New Roman" w:hAnsi="Times New Roman" w:cs="Times New Roman"/>
          <w:sz w:val="24"/>
          <w:szCs w:val="24"/>
        </w:rPr>
        <w:t xml:space="preserve"> service</w:t>
      </w:r>
      <w:r w:rsidR="00E407FF" w:rsidRPr="006E3DAB">
        <w:rPr>
          <w:rFonts w:ascii="Times New Roman" w:hAnsi="Times New Roman" w:cs="Times New Roman"/>
          <w:sz w:val="24"/>
          <w:szCs w:val="24"/>
        </w:rPr>
        <w:t>s</w:t>
      </w:r>
      <w:r w:rsidRPr="006E3DAB">
        <w:rPr>
          <w:rFonts w:ascii="Times New Roman" w:hAnsi="Times New Roman" w:cs="Times New Roman"/>
          <w:sz w:val="24"/>
          <w:szCs w:val="24"/>
        </w:rPr>
        <w:t xml:space="preserve"> are being updated to include an increase by a cost adjustment factor (CAF) of </w:t>
      </w:r>
      <w:r w:rsidR="00EF399B" w:rsidRPr="006E3DAB">
        <w:rPr>
          <w:rFonts w:ascii="Times New Roman" w:hAnsi="Times New Roman" w:cs="Times New Roman"/>
          <w:sz w:val="24"/>
          <w:szCs w:val="24"/>
        </w:rPr>
        <w:t>3.00</w:t>
      </w:r>
      <w:r w:rsidR="00C12910" w:rsidRPr="006E3DAB">
        <w:rPr>
          <w:rFonts w:ascii="Times New Roman" w:hAnsi="Times New Roman" w:cs="Times New Roman"/>
          <w:sz w:val="24"/>
          <w:szCs w:val="24"/>
        </w:rPr>
        <w:t>%. The CAF was determined by using baseline and prospective Massachusetts Economic Indicator data from IHS Economics – Fall 202</w:t>
      </w:r>
      <w:r w:rsidR="00EF399B" w:rsidRPr="006E3DAB">
        <w:rPr>
          <w:rFonts w:ascii="Times New Roman" w:hAnsi="Times New Roman" w:cs="Times New Roman"/>
          <w:sz w:val="24"/>
          <w:szCs w:val="24"/>
        </w:rPr>
        <w:t>5</w:t>
      </w:r>
      <w:r w:rsidR="00C12910" w:rsidRPr="006E3DAB">
        <w:rPr>
          <w:rFonts w:ascii="Times New Roman" w:hAnsi="Times New Roman" w:cs="Times New Roman"/>
          <w:sz w:val="24"/>
          <w:szCs w:val="24"/>
        </w:rPr>
        <w:t xml:space="preserve"> Forecast, </w:t>
      </w:r>
      <w:r w:rsidR="00EF399B" w:rsidRPr="006E3DAB">
        <w:rPr>
          <w:rFonts w:ascii="Times New Roman" w:hAnsi="Times New Roman" w:cs="Times New Roman"/>
          <w:sz w:val="24"/>
          <w:szCs w:val="24"/>
        </w:rPr>
        <w:t xml:space="preserve">baseline </w:t>
      </w:r>
      <w:r w:rsidR="00C12910" w:rsidRPr="006E3DAB">
        <w:rPr>
          <w:rFonts w:ascii="Times New Roman" w:hAnsi="Times New Roman" w:cs="Times New Roman"/>
          <w:sz w:val="24"/>
          <w:szCs w:val="24"/>
        </w:rPr>
        <w:t>scenario data. The CAF reflects the period between the rates’ base period (calendar year 202</w:t>
      </w:r>
      <w:r w:rsidR="00EF399B" w:rsidRPr="006E3DAB">
        <w:rPr>
          <w:rFonts w:ascii="Times New Roman" w:hAnsi="Times New Roman" w:cs="Times New Roman"/>
          <w:sz w:val="24"/>
          <w:szCs w:val="24"/>
        </w:rPr>
        <w:t>6</w:t>
      </w:r>
      <w:r w:rsidR="00C12910" w:rsidRPr="006E3DAB">
        <w:rPr>
          <w:rFonts w:ascii="Times New Roman" w:hAnsi="Times New Roman" w:cs="Times New Roman"/>
          <w:sz w:val="24"/>
          <w:szCs w:val="24"/>
        </w:rPr>
        <w:t xml:space="preserve"> Q2) and the prospective period of fiscal years 202</w:t>
      </w:r>
      <w:r w:rsidR="00EF399B" w:rsidRPr="006E3DAB">
        <w:rPr>
          <w:rFonts w:ascii="Times New Roman" w:hAnsi="Times New Roman" w:cs="Times New Roman"/>
          <w:sz w:val="24"/>
          <w:szCs w:val="24"/>
        </w:rPr>
        <w:t>7</w:t>
      </w:r>
      <w:r w:rsidR="00C12910" w:rsidRPr="006E3DAB">
        <w:rPr>
          <w:rFonts w:ascii="Times New Roman" w:hAnsi="Times New Roman" w:cs="Times New Roman"/>
          <w:sz w:val="24"/>
          <w:szCs w:val="24"/>
        </w:rPr>
        <w:t xml:space="preserve"> and 202</w:t>
      </w:r>
      <w:r w:rsidR="00EF399B" w:rsidRPr="006E3DAB">
        <w:rPr>
          <w:rFonts w:ascii="Times New Roman" w:hAnsi="Times New Roman" w:cs="Times New Roman"/>
          <w:sz w:val="24"/>
          <w:szCs w:val="24"/>
        </w:rPr>
        <w:t>8</w:t>
      </w:r>
      <w:r w:rsidR="00C12910" w:rsidRPr="006E3DAB">
        <w:rPr>
          <w:rFonts w:ascii="Times New Roman" w:hAnsi="Times New Roman" w:cs="Times New Roman"/>
          <w:sz w:val="24"/>
          <w:szCs w:val="24"/>
        </w:rPr>
        <w:t>.</w:t>
      </w:r>
    </w:p>
    <w:p w14:paraId="74F973F6" w14:textId="7B3B1029" w:rsidR="00B13271" w:rsidRPr="006E3DAB" w:rsidRDefault="00B13271" w:rsidP="005F0B05">
      <w:pPr>
        <w:pStyle w:val="ListParagraph"/>
        <w:numPr>
          <w:ilvl w:val="0"/>
          <w:numId w:val="16"/>
        </w:numPr>
        <w:suppressAutoHyphens/>
        <w:spacing w:after="8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DAB">
        <w:rPr>
          <w:rFonts w:ascii="Times New Roman" w:hAnsi="Times New Roman" w:cs="Times New Roman"/>
          <w:sz w:val="24"/>
          <w:szCs w:val="24"/>
        </w:rPr>
        <w:t xml:space="preserve">The rates for these services have been updated </w:t>
      </w:r>
      <w:r w:rsidRPr="006E3DAB">
        <w:rPr>
          <w:rFonts w:ascii="Times New Roman" w:hAnsi="Times New Roman" w:cs="Times New Roman"/>
          <w:noProof/>
          <w:sz w:val="24"/>
          <w:szCs w:val="24"/>
        </w:rPr>
        <w:t>with the weighted average expenses from the FY2</w:t>
      </w:r>
      <w:r w:rsidR="00EF399B" w:rsidRPr="006E3DAB">
        <w:rPr>
          <w:rFonts w:ascii="Times New Roman" w:hAnsi="Times New Roman" w:cs="Times New Roman"/>
          <w:noProof/>
          <w:sz w:val="24"/>
          <w:szCs w:val="24"/>
        </w:rPr>
        <w:t>4</w:t>
      </w:r>
      <w:r w:rsidRPr="006E3DAB">
        <w:rPr>
          <w:rFonts w:ascii="Times New Roman" w:hAnsi="Times New Roman" w:cs="Times New Roman"/>
          <w:noProof/>
          <w:sz w:val="24"/>
          <w:szCs w:val="24"/>
        </w:rPr>
        <w:t xml:space="preserve"> Uniform Financial Reports (UFRs) for services’ programmatic costs</w:t>
      </w:r>
      <w:r w:rsidR="00EF399B" w:rsidRPr="006E3DAB">
        <w:rPr>
          <w:rFonts w:ascii="Times New Roman" w:hAnsi="Times New Roman" w:cs="Times New Roman"/>
          <w:noProof/>
          <w:sz w:val="24"/>
          <w:szCs w:val="24"/>
        </w:rPr>
        <w:t>, where applicable</w:t>
      </w:r>
      <w:r w:rsidRPr="006E3DA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 part of the workforce initiative, the staff salaries have been benchmarked to the Massachusetts Bureau of Labor Statistics (BLS) median </w:t>
      </w:r>
      <w:proofErr w:type="gramStart"/>
      <w:r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>wages as</w:t>
      </w:r>
      <w:proofErr w:type="gramEnd"/>
      <w:r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dated May 202</w:t>
      </w:r>
      <w:r w:rsidR="00EF399B"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C12910"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at the 53</w:t>
      </w:r>
      <w:r w:rsidR="00C12910" w:rsidRPr="006E3DAB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rd</w:t>
      </w:r>
      <w:r w:rsidR="00C12910"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percentile</w:t>
      </w:r>
      <w:r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45EBFCA" w14:textId="371CB367" w:rsidR="00EF399B" w:rsidRPr="006E3DAB" w:rsidRDefault="005F0B05" w:rsidP="00070EB0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tax and fringe rate </w:t>
      </w:r>
      <w:r w:rsidR="00B277EB"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>is</w:t>
      </w:r>
      <w:r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benchmarked to </w:t>
      </w:r>
      <w:r w:rsidR="00C12910"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EF399B"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>4.97</w:t>
      </w:r>
      <w:r w:rsidR="00C12910"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>%. This benchmark is derived from the MA Comptrollers FY2</w:t>
      </w:r>
      <w:r w:rsidR="00EF399B"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C12910" w:rsidRPr="006E3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approved rate less terminal leave and retirement.</w:t>
      </w:r>
      <w:r w:rsidR="00C12910" w:rsidRPr="006E3DAB">
        <w:rPr>
          <w:rFonts w:ascii="Times New Roman" w:hAnsi="Times New Roman" w:cs="Times New Roman"/>
          <w:noProof/>
          <w:sz w:val="24"/>
          <w:szCs w:val="24"/>
        </w:rPr>
        <w:t xml:space="preserve"> Also, the administrative allocation has been benchmarked to 12%, consistent with other Chapter 257 programs.</w:t>
      </w:r>
      <w:r w:rsidR="00EF399B" w:rsidRPr="006E3DAB">
        <w:rPr>
          <w:rFonts w:ascii="Times New Roman" w:eastAsia="Times New Roman" w:hAnsi="Times New Roman" w:cs="Times New Roman"/>
          <w:sz w:val="24"/>
          <w:szCs w:val="24"/>
        </w:rPr>
        <w:t>At this time, only the rates for corporate representative payee and remote supports and monitoring are being updated.</w:t>
      </w:r>
    </w:p>
    <w:p w14:paraId="11F0580A" w14:textId="77777777" w:rsidR="00EF399B" w:rsidRPr="006E3DAB" w:rsidRDefault="00EF399B" w:rsidP="00070EB0">
      <w:pPr>
        <w:pStyle w:val="ListParagraph"/>
        <w:tabs>
          <w:tab w:val="left" w:pos="-720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E3F30" w14:textId="77777777" w:rsidR="00EF399B" w:rsidRPr="006E3DAB" w:rsidRDefault="00EF399B" w:rsidP="00070EB0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7180109"/>
      <w:r w:rsidRPr="006E3DAB">
        <w:rPr>
          <w:rFonts w:ascii="Times New Roman" w:eastAsia="Times New Roman" w:hAnsi="Times New Roman" w:cs="Times New Roman"/>
          <w:sz w:val="24"/>
          <w:szCs w:val="24"/>
        </w:rPr>
        <w:t>The total annualized cost to state government from the proposed amendments to this regulation is approximately $265,446, which represents an increase of 7.03% over FY25 spending of approximately $3.77 million. The increase in spending in FY27 will be covered through the Chapter 257 Reserve Account.</w:t>
      </w:r>
      <w:bookmarkEnd w:id="0"/>
    </w:p>
    <w:p w14:paraId="2EB7158A" w14:textId="21B1D2A8" w:rsidR="006D00CD" w:rsidRPr="006E3DAB" w:rsidRDefault="00A454C3" w:rsidP="00B2488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E3DAB">
        <w:rPr>
          <w:rFonts w:ascii="Times New Roman" w:hAnsi="Times New Roman" w:cs="Times New Roman"/>
          <w:sz w:val="24"/>
          <w:szCs w:val="24"/>
        </w:rPr>
        <w:t>This concludes my testimony. Thank you.</w:t>
      </w:r>
    </w:p>
    <w:sectPr w:rsidR="006D00CD" w:rsidRPr="006E3DAB" w:rsidSect="000F5CE7">
      <w:headerReference w:type="default" r:id="rId8"/>
      <w:footerReference w:type="default" r:id="rId9"/>
      <w:pgSz w:w="12240" w:h="15840"/>
      <w:pgMar w:top="990" w:right="54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BABD" w14:textId="77777777" w:rsidR="007A01CE" w:rsidRDefault="007A01CE" w:rsidP="00E03A2E">
      <w:pPr>
        <w:spacing w:after="0" w:line="240" w:lineRule="auto"/>
      </w:pPr>
      <w:r>
        <w:separator/>
      </w:r>
    </w:p>
  </w:endnote>
  <w:endnote w:type="continuationSeparator" w:id="0">
    <w:p w14:paraId="618EAE0F" w14:textId="77777777" w:rsidR="007A01CE" w:rsidRDefault="007A01CE" w:rsidP="00E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B670" w14:textId="77777777" w:rsidR="00C12910" w:rsidRDefault="00B37A00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8BBCD" wp14:editId="7CC99756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BFC5B6" w14:textId="77777777" w:rsidR="00C12910" w:rsidRDefault="00B37A00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64CB2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278BBC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" fillcolor="window" stroked="f" strokeweight=".5pt">
              <v:textbox style="mso-fit-shape-to-text:t" inset="0,,0">
                <w:txbxContent>
                  <w:p w14:paraId="5CBFC5B6" w14:textId="77777777" w:rsidR="00C12910" w:rsidRDefault="00B37A00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64CB2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E99F1C" w14:textId="77777777" w:rsidR="00C12910" w:rsidRDefault="00C12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7538" w14:textId="77777777" w:rsidR="007A01CE" w:rsidRDefault="007A01CE" w:rsidP="00E03A2E">
      <w:pPr>
        <w:spacing w:after="0" w:line="240" w:lineRule="auto"/>
      </w:pPr>
      <w:r>
        <w:separator/>
      </w:r>
    </w:p>
  </w:footnote>
  <w:footnote w:type="continuationSeparator" w:id="0">
    <w:p w14:paraId="78027900" w14:textId="77777777" w:rsidR="007A01CE" w:rsidRDefault="007A01CE" w:rsidP="00E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5C5D" w14:textId="28D3C419" w:rsidR="00FA530D" w:rsidRPr="009056BD" w:rsidRDefault="00B37A00" w:rsidP="0030656E">
    <w:pPr>
      <w:pStyle w:val="Header"/>
      <w:rPr>
        <w:rFonts w:ascii="Times New Roman" w:hAnsi="Times New Roman"/>
        <w:sz w:val="20"/>
        <w:szCs w:val="20"/>
      </w:rPr>
    </w:pPr>
    <w:r w:rsidRPr="004651C7">
      <w:rPr>
        <w:rFonts w:ascii="Times New Roman" w:hAnsi="Times New Roman"/>
        <w:sz w:val="20"/>
        <w:szCs w:val="20"/>
      </w:rPr>
      <w:t xml:space="preserve">Staff Testimony on </w:t>
    </w:r>
    <w:r w:rsidR="00F34242">
      <w:rPr>
        <w:rFonts w:ascii="Times New Roman" w:hAnsi="Times New Roman"/>
        <w:sz w:val="20"/>
        <w:szCs w:val="20"/>
      </w:rPr>
      <w:t xml:space="preserve">Proposed Amendments to </w:t>
    </w:r>
    <w:r w:rsidRPr="009056BD">
      <w:rPr>
        <w:rFonts w:ascii="Times New Roman" w:hAnsi="Times New Roman"/>
        <w:sz w:val="20"/>
        <w:szCs w:val="20"/>
      </w:rPr>
      <w:t xml:space="preserve">101 CMR </w:t>
    </w:r>
    <w:r w:rsidR="005E7086">
      <w:rPr>
        <w:rFonts w:ascii="Times New Roman" w:hAnsi="Times New Roman"/>
        <w:sz w:val="20"/>
        <w:szCs w:val="20"/>
      </w:rPr>
      <w:t>4</w:t>
    </w:r>
    <w:r w:rsidR="001D0A17">
      <w:rPr>
        <w:rFonts w:ascii="Times New Roman" w:hAnsi="Times New Roman"/>
        <w:sz w:val="20"/>
        <w:szCs w:val="20"/>
      </w:rPr>
      <w:t>2</w:t>
    </w:r>
    <w:r w:rsidR="00B13271">
      <w:rPr>
        <w:rFonts w:ascii="Times New Roman" w:hAnsi="Times New Roman"/>
        <w:sz w:val="20"/>
        <w:szCs w:val="20"/>
      </w:rPr>
      <w:t>4</w:t>
    </w:r>
    <w:r w:rsidR="0065527E">
      <w:rPr>
        <w:rFonts w:ascii="Times New Roman" w:hAnsi="Times New Roman"/>
        <w:sz w:val="20"/>
        <w:szCs w:val="20"/>
      </w:rPr>
      <w:t xml:space="preserve">.00, </w:t>
    </w:r>
    <w:r w:rsidR="008B5493">
      <w:rPr>
        <w:rFonts w:ascii="Times New Roman" w:hAnsi="Times New Roman"/>
        <w:sz w:val="20"/>
        <w:szCs w:val="20"/>
      </w:rPr>
      <w:t>E</w:t>
    </w:r>
    <w:r w:rsidR="009A4EF9">
      <w:rPr>
        <w:rFonts w:ascii="Times New Roman" w:hAnsi="Times New Roman"/>
        <w:sz w:val="20"/>
        <w:szCs w:val="20"/>
      </w:rPr>
      <w:t xml:space="preserve">ffective </w:t>
    </w:r>
    <w:r w:rsidR="003A5253">
      <w:rPr>
        <w:rFonts w:ascii="Times New Roman" w:hAnsi="Times New Roman"/>
        <w:sz w:val="20"/>
        <w:szCs w:val="20"/>
      </w:rPr>
      <w:t xml:space="preserve">July 1, </w:t>
    </w:r>
    <w:r w:rsidR="005F0B05">
      <w:rPr>
        <w:rFonts w:ascii="Times New Roman" w:hAnsi="Times New Roman"/>
        <w:sz w:val="20"/>
        <w:szCs w:val="20"/>
      </w:rPr>
      <w:t>202</w:t>
    </w:r>
    <w:r w:rsidR="00EF399B">
      <w:rPr>
        <w:rFonts w:ascii="Times New Roman" w:hAnsi="Times New Roman"/>
        <w:sz w:val="20"/>
        <w:szCs w:val="20"/>
      </w:rPr>
      <w:t>6</w:t>
    </w:r>
  </w:p>
  <w:p w14:paraId="7B102F54" w14:textId="5F16C520" w:rsidR="00C12910" w:rsidRPr="009056BD" w:rsidRDefault="004A7486" w:rsidP="0030656E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 xml:space="preserve">Rates for </w:t>
    </w:r>
    <w:r w:rsidR="00B13271">
      <w:rPr>
        <w:rFonts w:ascii="Times New Roman" w:hAnsi="Times New Roman"/>
        <w:sz w:val="20"/>
        <w:szCs w:val="20"/>
      </w:rPr>
      <w:t>Certain Developmental and Support Services</w:t>
    </w:r>
    <w:r w:rsidR="005E7086">
      <w:rPr>
        <w:rFonts w:ascii="Times New Roman" w:hAnsi="Times New Roman"/>
        <w:sz w:val="20"/>
        <w:szCs w:val="20"/>
      </w:rPr>
      <w:t xml:space="preserve">, </w:t>
    </w:r>
    <w:r w:rsidR="00E41DD1">
      <w:rPr>
        <w:rFonts w:ascii="Times New Roman" w:hAnsi="Times New Roman"/>
        <w:sz w:val="20"/>
        <w:szCs w:val="20"/>
      </w:rPr>
      <w:t xml:space="preserve">Public Hearing </w:t>
    </w:r>
    <w:r w:rsidR="00EF399B">
      <w:rPr>
        <w:rFonts w:ascii="Times New Roman" w:hAnsi="Times New Roman"/>
        <w:sz w:val="20"/>
        <w:szCs w:val="20"/>
      </w:rPr>
      <w:t>June 12</w:t>
    </w:r>
    <w:r w:rsidR="005F0B05">
      <w:rPr>
        <w:rFonts w:ascii="Times New Roman" w:hAnsi="Times New Roman"/>
        <w:sz w:val="20"/>
        <w:szCs w:val="20"/>
      </w:rPr>
      <w:t>, 202</w:t>
    </w:r>
    <w:r w:rsidR="00C12910">
      <w:rPr>
        <w:rFonts w:ascii="Times New Roman" w:hAnsi="Times New Roman"/>
        <w:sz w:val="20"/>
        <w:szCs w:val="20"/>
      </w:rPr>
      <w:t>4</w:t>
    </w:r>
    <w:r w:rsidR="00084730">
      <w:rPr>
        <w:rFonts w:ascii="Times New Roman" w:hAnsi="Times New Roman"/>
        <w:sz w:val="20"/>
        <w:szCs w:val="20"/>
      </w:rPr>
      <w:tab/>
      <w:t xml:space="preserve"> </w:t>
    </w:r>
  </w:p>
  <w:p w14:paraId="36F497A9" w14:textId="77777777" w:rsidR="00C12910" w:rsidRDefault="00C12910" w:rsidP="00306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1C33"/>
    <w:multiLevelType w:val="hybridMultilevel"/>
    <w:tmpl w:val="17E29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07A"/>
    <w:multiLevelType w:val="hybridMultilevel"/>
    <w:tmpl w:val="D744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1C10"/>
    <w:multiLevelType w:val="hybridMultilevel"/>
    <w:tmpl w:val="6D50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741"/>
    <w:multiLevelType w:val="hybridMultilevel"/>
    <w:tmpl w:val="C5D6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51B5"/>
    <w:multiLevelType w:val="hybridMultilevel"/>
    <w:tmpl w:val="90AA4804"/>
    <w:lvl w:ilvl="0" w:tplc="F1F609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739F"/>
    <w:multiLevelType w:val="hybridMultilevel"/>
    <w:tmpl w:val="B7FA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F20CB"/>
    <w:multiLevelType w:val="hybridMultilevel"/>
    <w:tmpl w:val="9E86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4471C"/>
    <w:multiLevelType w:val="hybridMultilevel"/>
    <w:tmpl w:val="A594CEBE"/>
    <w:lvl w:ilvl="0" w:tplc="F1F609A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37FF9"/>
    <w:multiLevelType w:val="hybridMultilevel"/>
    <w:tmpl w:val="8EFA7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764F"/>
    <w:multiLevelType w:val="hybridMultilevel"/>
    <w:tmpl w:val="1F4E5B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CCC6FA9"/>
    <w:multiLevelType w:val="hybridMultilevel"/>
    <w:tmpl w:val="01B8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333C0"/>
    <w:multiLevelType w:val="hybridMultilevel"/>
    <w:tmpl w:val="3A6CA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3C53D2"/>
    <w:multiLevelType w:val="hybridMultilevel"/>
    <w:tmpl w:val="03148A9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55B15"/>
    <w:multiLevelType w:val="hybridMultilevel"/>
    <w:tmpl w:val="0ECA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B422F"/>
    <w:multiLevelType w:val="hybridMultilevel"/>
    <w:tmpl w:val="92C6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8641F"/>
    <w:multiLevelType w:val="hybridMultilevel"/>
    <w:tmpl w:val="862E1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82570">
    <w:abstractNumId w:val="12"/>
  </w:num>
  <w:num w:numId="2" w16cid:durableId="1939219122">
    <w:abstractNumId w:val="10"/>
  </w:num>
  <w:num w:numId="3" w16cid:durableId="1876311075">
    <w:abstractNumId w:val="6"/>
  </w:num>
  <w:num w:numId="4" w16cid:durableId="2037538131">
    <w:abstractNumId w:val="15"/>
  </w:num>
  <w:num w:numId="5" w16cid:durableId="987980077">
    <w:abstractNumId w:val="13"/>
  </w:num>
  <w:num w:numId="6" w16cid:durableId="1985500944">
    <w:abstractNumId w:val="9"/>
  </w:num>
  <w:num w:numId="7" w16cid:durableId="227346183">
    <w:abstractNumId w:val="5"/>
  </w:num>
  <w:num w:numId="8" w16cid:durableId="2053721623">
    <w:abstractNumId w:val="3"/>
  </w:num>
  <w:num w:numId="9" w16cid:durableId="1642616847">
    <w:abstractNumId w:val="0"/>
  </w:num>
  <w:num w:numId="10" w16cid:durableId="223031992">
    <w:abstractNumId w:val="7"/>
  </w:num>
  <w:num w:numId="11" w16cid:durableId="2141651976">
    <w:abstractNumId w:val="4"/>
  </w:num>
  <w:num w:numId="12" w16cid:durableId="300428246">
    <w:abstractNumId w:val="2"/>
  </w:num>
  <w:num w:numId="13" w16cid:durableId="281545275">
    <w:abstractNumId w:val="8"/>
  </w:num>
  <w:num w:numId="14" w16cid:durableId="1058819794">
    <w:abstractNumId w:val="14"/>
  </w:num>
  <w:num w:numId="15" w16cid:durableId="97919510">
    <w:abstractNumId w:val="11"/>
  </w:num>
  <w:num w:numId="16" w16cid:durableId="13849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2E"/>
    <w:rsid w:val="000118B2"/>
    <w:rsid w:val="00036A12"/>
    <w:rsid w:val="0004230A"/>
    <w:rsid w:val="00053F21"/>
    <w:rsid w:val="00061075"/>
    <w:rsid w:val="00062447"/>
    <w:rsid w:val="00063731"/>
    <w:rsid w:val="00064394"/>
    <w:rsid w:val="00070EB0"/>
    <w:rsid w:val="0007257E"/>
    <w:rsid w:val="00072CFD"/>
    <w:rsid w:val="00077678"/>
    <w:rsid w:val="00080A3B"/>
    <w:rsid w:val="00082FB2"/>
    <w:rsid w:val="00084730"/>
    <w:rsid w:val="000A0645"/>
    <w:rsid w:val="000A6042"/>
    <w:rsid w:val="000B06DA"/>
    <w:rsid w:val="000B6E4C"/>
    <w:rsid w:val="000C34D1"/>
    <w:rsid w:val="000D589A"/>
    <w:rsid w:val="000E1BBC"/>
    <w:rsid w:val="000E6451"/>
    <w:rsid w:val="000F5CE7"/>
    <w:rsid w:val="00112C0A"/>
    <w:rsid w:val="00115583"/>
    <w:rsid w:val="00134409"/>
    <w:rsid w:val="00156DDC"/>
    <w:rsid w:val="0016686E"/>
    <w:rsid w:val="001802F7"/>
    <w:rsid w:val="001908A4"/>
    <w:rsid w:val="0019310A"/>
    <w:rsid w:val="001A1B22"/>
    <w:rsid w:val="001B081C"/>
    <w:rsid w:val="001B3875"/>
    <w:rsid w:val="001C5083"/>
    <w:rsid w:val="001C5742"/>
    <w:rsid w:val="001D0A17"/>
    <w:rsid w:val="001E1764"/>
    <w:rsid w:val="001E1DBE"/>
    <w:rsid w:val="001F1604"/>
    <w:rsid w:val="00202E69"/>
    <w:rsid w:val="00214D62"/>
    <w:rsid w:val="002206CA"/>
    <w:rsid w:val="00223162"/>
    <w:rsid w:val="002356B7"/>
    <w:rsid w:val="00245D6D"/>
    <w:rsid w:val="00247C5B"/>
    <w:rsid w:val="0025406D"/>
    <w:rsid w:val="00254C3D"/>
    <w:rsid w:val="00270E08"/>
    <w:rsid w:val="00276EE7"/>
    <w:rsid w:val="002B34DF"/>
    <w:rsid w:val="002C0423"/>
    <w:rsid w:val="002C6D89"/>
    <w:rsid w:val="002E2E70"/>
    <w:rsid w:val="002E4CAE"/>
    <w:rsid w:val="002F7C41"/>
    <w:rsid w:val="0030137B"/>
    <w:rsid w:val="00305EA9"/>
    <w:rsid w:val="00306D5F"/>
    <w:rsid w:val="00311FEB"/>
    <w:rsid w:val="003228B6"/>
    <w:rsid w:val="00326C9A"/>
    <w:rsid w:val="003306A9"/>
    <w:rsid w:val="0033741D"/>
    <w:rsid w:val="003466B9"/>
    <w:rsid w:val="0035491E"/>
    <w:rsid w:val="00357C2F"/>
    <w:rsid w:val="0036462D"/>
    <w:rsid w:val="003A2052"/>
    <w:rsid w:val="003A5253"/>
    <w:rsid w:val="003A652D"/>
    <w:rsid w:val="003B50F8"/>
    <w:rsid w:val="003C1A31"/>
    <w:rsid w:val="003F61FD"/>
    <w:rsid w:val="003F68BE"/>
    <w:rsid w:val="004137AB"/>
    <w:rsid w:val="0042530E"/>
    <w:rsid w:val="004326D1"/>
    <w:rsid w:val="004455AC"/>
    <w:rsid w:val="00445CA1"/>
    <w:rsid w:val="00450AC0"/>
    <w:rsid w:val="00471BDA"/>
    <w:rsid w:val="004761E5"/>
    <w:rsid w:val="00491B4B"/>
    <w:rsid w:val="004A5FF7"/>
    <w:rsid w:val="004A7486"/>
    <w:rsid w:val="004B1200"/>
    <w:rsid w:val="004B51DD"/>
    <w:rsid w:val="004C15AE"/>
    <w:rsid w:val="004C19B3"/>
    <w:rsid w:val="004D4CB2"/>
    <w:rsid w:val="004F2633"/>
    <w:rsid w:val="004F5649"/>
    <w:rsid w:val="00502F54"/>
    <w:rsid w:val="00514F96"/>
    <w:rsid w:val="0051509D"/>
    <w:rsid w:val="00530403"/>
    <w:rsid w:val="0053088E"/>
    <w:rsid w:val="00531A62"/>
    <w:rsid w:val="005326D9"/>
    <w:rsid w:val="005503BF"/>
    <w:rsid w:val="00551330"/>
    <w:rsid w:val="00562D64"/>
    <w:rsid w:val="005747C9"/>
    <w:rsid w:val="00581CAA"/>
    <w:rsid w:val="00591711"/>
    <w:rsid w:val="005B08B7"/>
    <w:rsid w:val="005B6DC4"/>
    <w:rsid w:val="005C11FC"/>
    <w:rsid w:val="005C7DB4"/>
    <w:rsid w:val="005E3C35"/>
    <w:rsid w:val="005E578B"/>
    <w:rsid w:val="005E7086"/>
    <w:rsid w:val="005F0B05"/>
    <w:rsid w:val="006110FE"/>
    <w:rsid w:val="00615D48"/>
    <w:rsid w:val="0062536B"/>
    <w:rsid w:val="00632250"/>
    <w:rsid w:val="00637F25"/>
    <w:rsid w:val="0065164C"/>
    <w:rsid w:val="00653869"/>
    <w:rsid w:val="00655200"/>
    <w:rsid w:val="0065527E"/>
    <w:rsid w:val="00661624"/>
    <w:rsid w:val="00666B40"/>
    <w:rsid w:val="00684A3C"/>
    <w:rsid w:val="00691E8C"/>
    <w:rsid w:val="0069536C"/>
    <w:rsid w:val="006A18D0"/>
    <w:rsid w:val="006A487C"/>
    <w:rsid w:val="006A61F6"/>
    <w:rsid w:val="006B67AD"/>
    <w:rsid w:val="006B7294"/>
    <w:rsid w:val="006B7634"/>
    <w:rsid w:val="006D00CD"/>
    <w:rsid w:val="006D30A0"/>
    <w:rsid w:val="006D5760"/>
    <w:rsid w:val="006D7E4C"/>
    <w:rsid w:val="006E3DAB"/>
    <w:rsid w:val="006F0CBB"/>
    <w:rsid w:val="006F0EE4"/>
    <w:rsid w:val="006F6F79"/>
    <w:rsid w:val="00711F9F"/>
    <w:rsid w:val="00716E00"/>
    <w:rsid w:val="00723ECD"/>
    <w:rsid w:val="00734A71"/>
    <w:rsid w:val="007407BB"/>
    <w:rsid w:val="00740BB3"/>
    <w:rsid w:val="00742FD7"/>
    <w:rsid w:val="00744E35"/>
    <w:rsid w:val="00776359"/>
    <w:rsid w:val="00791422"/>
    <w:rsid w:val="007965E8"/>
    <w:rsid w:val="007A01CE"/>
    <w:rsid w:val="007A1A23"/>
    <w:rsid w:val="007B5445"/>
    <w:rsid w:val="007B622C"/>
    <w:rsid w:val="007C6CC1"/>
    <w:rsid w:val="007D3FDB"/>
    <w:rsid w:val="007E62BE"/>
    <w:rsid w:val="007F148F"/>
    <w:rsid w:val="007F29B7"/>
    <w:rsid w:val="0081749F"/>
    <w:rsid w:val="00822AC5"/>
    <w:rsid w:val="00825038"/>
    <w:rsid w:val="00837DBE"/>
    <w:rsid w:val="0085606C"/>
    <w:rsid w:val="008645B1"/>
    <w:rsid w:val="008717A8"/>
    <w:rsid w:val="0087275D"/>
    <w:rsid w:val="008937B9"/>
    <w:rsid w:val="00895A6E"/>
    <w:rsid w:val="0089717D"/>
    <w:rsid w:val="008A0F6B"/>
    <w:rsid w:val="008A1876"/>
    <w:rsid w:val="008A299A"/>
    <w:rsid w:val="008B4A8F"/>
    <w:rsid w:val="008B5493"/>
    <w:rsid w:val="008C0F70"/>
    <w:rsid w:val="008D12B4"/>
    <w:rsid w:val="008D57C0"/>
    <w:rsid w:val="008D6409"/>
    <w:rsid w:val="008D6E2B"/>
    <w:rsid w:val="008E37C5"/>
    <w:rsid w:val="008F2A9B"/>
    <w:rsid w:val="008F2DB5"/>
    <w:rsid w:val="008F6BD6"/>
    <w:rsid w:val="009056BD"/>
    <w:rsid w:val="00907865"/>
    <w:rsid w:val="009252EE"/>
    <w:rsid w:val="009339B2"/>
    <w:rsid w:val="0093429C"/>
    <w:rsid w:val="00935842"/>
    <w:rsid w:val="00954B26"/>
    <w:rsid w:val="009709C6"/>
    <w:rsid w:val="00982219"/>
    <w:rsid w:val="0098257A"/>
    <w:rsid w:val="0098359A"/>
    <w:rsid w:val="009840E5"/>
    <w:rsid w:val="009A3C71"/>
    <w:rsid w:val="009A4EF9"/>
    <w:rsid w:val="009B2EA0"/>
    <w:rsid w:val="009C05BB"/>
    <w:rsid w:val="009D726D"/>
    <w:rsid w:val="009F7F57"/>
    <w:rsid w:val="00A055E6"/>
    <w:rsid w:val="00A3326E"/>
    <w:rsid w:val="00A3425E"/>
    <w:rsid w:val="00A4215C"/>
    <w:rsid w:val="00A454C3"/>
    <w:rsid w:val="00A63182"/>
    <w:rsid w:val="00A64A18"/>
    <w:rsid w:val="00A760A0"/>
    <w:rsid w:val="00A91C28"/>
    <w:rsid w:val="00AB3B3E"/>
    <w:rsid w:val="00AB3C78"/>
    <w:rsid w:val="00AB61DC"/>
    <w:rsid w:val="00AC1B96"/>
    <w:rsid w:val="00AC6446"/>
    <w:rsid w:val="00AE3453"/>
    <w:rsid w:val="00AF2055"/>
    <w:rsid w:val="00AF475B"/>
    <w:rsid w:val="00B01AC9"/>
    <w:rsid w:val="00B054C4"/>
    <w:rsid w:val="00B13271"/>
    <w:rsid w:val="00B16AC7"/>
    <w:rsid w:val="00B24881"/>
    <w:rsid w:val="00B2681B"/>
    <w:rsid w:val="00B277EB"/>
    <w:rsid w:val="00B37A00"/>
    <w:rsid w:val="00B5385D"/>
    <w:rsid w:val="00B76AB9"/>
    <w:rsid w:val="00B85877"/>
    <w:rsid w:val="00B8738F"/>
    <w:rsid w:val="00B908F6"/>
    <w:rsid w:val="00BA12DD"/>
    <w:rsid w:val="00BA17F1"/>
    <w:rsid w:val="00BA3374"/>
    <w:rsid w:val="00BB11FC"/>
    <w:rsid w:val="00BF5001"/>
    <w:rsid w:val="00C0484F"/>
    <w:rsid w:val="00C12910"/>
    <w:rsid w:val="00C141BE"/>
    <w:rsid w:val="00C22003"/>
    <w:rsid w:val="00C30336"/>
    <w:rsid w:val="00C4053C"/>
    <w:rsid w:val="00C442E9"/>
    <w:rsid w:val="00C53D04"/>
    <w:rsid w:val="00C54608"/>
    <w:rsid w:val="00C55380"/>
    <w:rsid w:val="00C715D6"/>
    <w:rsid w:val="00C756F1"/>
    <w:rsid w:val="00C807F6"/>
    <w:rsid w:val="00CA2440"/>
    <w:rsid w:val="00CA29B3"/>
    <w:rsid w:val="00CA5045"/>
    <w:rsid w:val="00CA6A9F"/>
    <w:rsid w:val="00CA6C09"/>
    <w:rsid w:val="00CF3D43"/>
    <w:rsid w:val="00D21C00"/>
    <w:rsid w:val="00D411B8"/>
    <w:rsid w:val="00D43B50"/>
    <w:rsid w:val="00D44813"/>
    <w:rsid w:val="00D46B85"/>
    <w:rsid w:val="00D46FCA"/>
    <w:rsid w:val="00D50591"/>
    <w:rsid w:val="00D538AE"/>
    <w:rsid w:val="00D750C1"/>
    <w:rsid w:val="00D766DF"/>
    <w:rsid w:val="00D96F54"/>
    <w:rsid w:val="00DA5E83"/>
    <w:rsid w:val="00DB506A"/>
    <w:rsid w:val="00DC0D7C"/>
    <w:rsid w:val="00DC75F2"/>
    <w:rsid w:val="00DD164F"/>
    <w:rsid w:val="00DD5686"/>
    <w:rsid w:val="00DE5D33"/>
    <w:rsid w:val="00DF392F"/>
    <w:rsid w:val="00E03337"/>
    <w:rsid w:val="00E03A2E"/>
    <w:rsid w:val="00E06090"/>
    <w:rsid w:val="00E11063"/>
    <w:rsid w:val="00E12D9B"/>
    <w:rsid w:val="00E23F2E"/>
    <w:rsid w:val="00E373AC"/>
    <w:rsid w:val="00E404DE"/>
    <w:rsid w:val="00E406A0"/>
    <w:rsid w:val="00E407FF"/>
    <w:rsid w:val="00E41DD1"/>
    <w:rsid w:val="00E46480"/>
    <w:rsid w:val="00E63440"/>
    <w:rsid w:val="00E66F88"/>
    <w:rsid w:val="00E84FE0"/>
    <w:rsid w:val="00E978DF"/>
    <w:rsid w:val="00EA040B"/>
    <w:rsid w:val="00EA4AD3"/>
    <w:rsid w:val="00EA4F4D"/>
    <w:rsid w:val="00EB4273"/>
    <w:rsid w:val="00EC0C86"/>
    <w:rsid w:val="00EC4608"/>
    <w:rsid w:val="00EC5EF2"/>
    <w:rsid w:val="00ED31D6"/>
    <w:rsid w:val="00EE211A"/>
    <w:rsid w:val="00EE2A2A"/>
    <w:rsid w:val="00EF399B"/>
    <w:rsid w:val="00EF7DF9"/>
    <w:rsid w:val="00F0345A"/>
    <w:rsid w:val="00F04E6C"/>
    <w:rsid w:val="00F20664"/>
    <w:rsid w:val="00F30770"/>
    <w:rsid w:val="00F34242"/>
    <w:rsid w:val="00F470E4"/>
    <w:rsid w:val="00F53FAF"/>
    <w:rsid w:val="00F55CAB"/>
    <w:rsid w:val="00F60A5F"/>
    <w:rsid w:val="00F64CB2"/>
    <w:rsid w:val="00F96A12"/>
    <w:rsid w:val="00FA0951"/>
    <w:rsid w:val="00FA1AF4"/>
    <w:rsid w:val="00FA1EC1"/>
    <w:rsid w:val="00FA530D"/>
    <w:rsid w:val="00FB59C2"/>
    <w:rsid w:val="00FE0D9F"/>
    <w:rsid w:val="00FE5A2F"/>
    <w:rsid w:val="00FF6A6A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4290"/>
  <w15:docId w15:val="{6B99784C-465F-45C6-AF48-23E28C74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3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A2E"/>
  </w:style>
  <w:style w:type="paragraph" w:styleId="Footer">
    <w:name w:val="footer"/>
    <w:basedOn w:val="Normal"/>
    <w:link w:val="FooterChar"/>
    <w:uiPriority w:val="99"/>
    <w:unhideWhenUsed/>
    <w:rsid w:val="00E03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A2E"/>
  </w:style>
  <w:style w:type="paragraph" w:styleId="BalloonText">
    <w:name w:val="Balloon Text"/>
    <w:basedOn w:val="Normal"/>
    <w:link w:val="BalloonTextChar"/>
    <w:uiPriority w:val="99"/>
    <w:semiHidden/>
    <w:unhideWhenUsed/>
    <w:rsid w:val="00A7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A0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5C7D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5C7DB4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1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1B8"/>
    <w:rPr>
      <w:b/>
      <w:bCs/>
      <w:sz w:val="20"/>
      <w:szCs w:val="20"/>
    </w:rPr>
  </w:style>
  <w:style w:type="character" w:customStyle="1" w:styleId="hvr">
    <w:name w:val="hvr"/>
    <w:basedOn w:val="DefaultParagraphFont"/>
    <w:rsid w:val="002206CA"/>
  </w:style>
  <w:style w:type="character" w:customStyle="1" w:styleId="apple-converted-space">
    <w:name w:val="apple-converted-space"/>
    <w:basedOn w:val="DefaultParagraphFont"/>
    <w:rsid w:val="002206CA"/>
  </w:style>
  <w:style w:type="paragraph" w:styleId="ListParagraph">
    <w:name w:val="List Paragraph"/>
    <w:basedOn w:val="Normal"/>
    <w:uiPriority w:val="34"/>
    <w:qFormat/>
    <w:rsid w:val="00B054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C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C6CC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7C6CC1"/>
    <w:rPr>
      <w:vertAlign w:val="superscript"/>
    </w:rPr>
  </w:style>
  <w:style w:type="paragraph" w:styleId="Revision">
    <w:name w:val="Revision"/>
    <w:hidden/>
    <w:uiPriority w:val="99"/>
    <w:semiHidden/>
    <w:rsid w:val="008C0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33913-17E5-4DD6-8DF0-826A3A3154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2056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Johnson, Sharon (EHS)</cp:lastModifiedBy>
  <cp:revision>3</cp:revision>
  <cp:lastPrinted>2017-03-31T13:51:00Z</cp:lastPrinted>
  <dcterms:created xsi:type="dcterms:W3CDTF">2026-06-04T17:56:00Z</dcterms:created>
  <dcterms:modified xsi:type="dcterms:W3CDTF">2026-06-04T17:56:00Z</dcterms:modified>
</cp:coreProperties>
</file>