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0B28" w14:textId="374A1109" w:rsidR="0062536B" w:rsidRPr="00BD41D2" w:rsidRDefault="00E03A2E" w:rsidP="00BD41D2">
      <w:pPr>
        <w:autoSpaceDE w:val="0"/>
        <w:autoSpaceDN w:val="0"/>
        <w:adjustRightInd w:val="0"/>
        <w:spacing w:line="360" w:lineRule="auto"/>
        <w:rPr>
          <w:rFonts w:ascii="Arial" w:eastAsia="Times New Roman" w:hAnsi="Arial" w:cs="Arial"/>
          <w:sz w:val="24"/>
          <w:szCs w:val="24"/>
        </w:rPr>
      </w:pPr>
      <w:r w:rsidRPr="00BD41D2">
        <w:rPr>
          <w:rFonts w:ascii="Arial" w:eastAsia="Calibri" w:hAnsi="Arial" w:cs="Arial"/>
          <w:sz w:val="24"/>
          <w:szCs w:val="24"/>
        </w:rPr>
        <w:t>Good morning</w:t>
      </w:r>
      <w:r w:rsidR="006B7634" w:rsidRPr="00BD41D2">
        <w:rPr>
          <w:rFonts w:ascii="Arial" w:eastAsia="Calibri" w:hAnsi="Arial" w:cs="Arial"/>
          <w:sz w:val="24"/>
          <w:szCs w:val="24"/>
        </w:rPr>
        <w:t>.</w:t>
      </w:r>
      <w:r w:rsidRPr="00BD41D2">
        <w:rPr>
          <w:rFonts w:ascii="Arial" w:eastAsia="Calibri" w:hAnsi="Arial" w:cs="Arial"/>
          <w:sz w:val="24"/>
          <w:szCs w:val="24"/>
        </w:rPr>
        <w:t xml:space="preserve"> </w:t>
      </w:r>
      <w:r w:rsidR="006B7634" w:rsidRPr="00BD41D2">
        <w:rPr>
          <w:rFonts w:ascii="Arial" w:eastAsia="Calibri" w:hAnsi="Arial" w:cs="Arial"/>
          <w:sz w:val="24"/>
          <w:szCs w:val="24"/>
        </w:rPr>
        <w:t>M</w:t>
      </w:r>
      <w:r w:rsidRPr="00BD41D2">
        <w:rPr>
          <w:rFonts w:ascii="Arial" w:eastAsia="Calibri" w:hAnsi="Arial" w:cs="Arial"/>
          <w:sz w:val="24"/>
          <w:szCs w:val="24"/>
        </w:rPr>
        <w:t xml:space="preserve">y name is </w:t>
      </w:r>
      <w:r w:rsidR="005F0B05" w:rsidRPr="00BD41D2">
        <w:rPr>
          <w:rFonts w:ascii="Arial" w:eastAsia="Calibri" w:hAnsi="Arial" w:cs="Arial"/>
          <w:sz w:val="24"/>
          <w:szCs w:val="24"/>
        </w:rPr>
        <w:t>Marie Lenane</w:t>
      </w:r>
      <w:r w:rsidRPr="00BD41D2">
        <w:rPr>
          <w:rFonts w:ascii="Arial" w:eastAsia="Calibri" w:hAnsi="Arial" w:cs="Arial"/>
          <w:sz w:val="24"/>
          <w:szCs w:val="24"/>
        </w:rPr>
        <w:t xml:space="preserve"> and I am </w:t>
      </w:r>
      <w:r w:rsidR="00DA5E83" w:rsidRPr="00BD41D2">
        <w:rPr>
          <w:rFonts w:ascii="Arial" w:eastAsia="Calibri" w:hAnsi="Arial" w:cs="Arial"/>
          <w:sz w:val="24"/>
          <w:szCs w:val="24"/>
        </w:rPr>
        <w:t xml:space="preserve">a </w:t>
      </w:r>
      <w:r w:rsidR="007407BB" w:rsidRPr="00BD41D2">
        <w:rPr>
          <w:rFonts w:ascii="Arial" w:eastAsia="Calibri" w:hAnsi="Arial" w:cs="Arial"/>
          <w:sz w:val="24"/>
          <w:szCs w:val="24"/>
        </w:rPr>
        <w:t xml:space="preserve">Purchase of Service </w:t>
      </w:r>
      <w:r w:rsidR="00DA5E83" w:rsidRPr="00BD41D2">
        <w:rPr>
          <w:rFonts w:ascii="Arial" w:eastAsia="Calibri" w:hAnsi="Arial" w:cs="Arial"/>
          <w:sz w:val="24"/>
          <w:szCs w:val="24"/>
        </w:rPr>
        <w:t>Pricing Analyst</w:t>
      </w:r>
      <w:r w:rsidRPr="00BD41D2">
        <w:rPr>
          <w:rFonts w:ascii="Arial" w:eastAsia="Calibri" w:hAnsi="Arial" w:cs="Arial"/>
          <w:sz w:val="24"/>
          <w:szCs w:val="24"/>
        </w:rPr>
        <w:t xml:space="preserve"> at the Executive Office of Health and Human Services (EOHHS). I am here to present staff testimony on the proposed </w:t>
      </w:r>
      <w:r w:rsidR="009A4EF9" w:rsidRPr="00BD41D2">
        <w:rPr>
          <w:rFonts w:ascii="Arial" w:eastAsia="Calibri" w:hAnsi="Arial" w:cs="Arial"/>
          <w:sz w:val="24"/>
          <w:szCs w:val="24"/>
        </w:rPr>
        <w:t>amendments to</w:t>
      </w:r>
      <w:r w:rsidR="007407BB" w:rsidRPr="00BD41D2">
        <w:rPr>
          <w:rFonts w:ascii="Arial" w:eastAsia="Calibri" w:hAnsi="Arial" w:cs="Arial"/>
          <w:sz w:val="24"/>
          <w:szCs w:val="24"/>
        </w:rPr>
        <w:t xml:space="preserve"> 101 CMR </w:t>
      </w:r>
      <w:r w:rsidR="00B908F6" w:rsidRPr="00BD41D2">
        <w:rPr>
          <w:rFonts w:ascii="Arial" w:eastAsia="Calibri" w:hAnsi="Arial" w:cs="Arial"/>
          <w:sz w:val="24"/>
          <w:szCs w:val="24"/>
        </w:rPr>
        <w:t>411</w:t>
      </w:r>
      <w:r w:rsidR="005E7086" w:rsidRPr="00BD41D2">
        <w:rPr>
          <w:rFonts w:ascii="Arial" w:eastAsia="Calibri" w:hAnsi="Arial" w:cs="Arial"/>
          <w:sz w:val="24"/>
          <w:szCs w:val="24"/>
        </w:rPr>
        <w:t>.00</w:t>
      </w:r>
      <w:r w:rsidR="00BD41D2" w:rsidRPr="00BD41D2">
        <w:rPr>
          <w:rFonts w:ascii="Arial" w:eastAsia="Calibri" w:hAnsi="Arial" w:cs="Arial"/>
          <w:sz w:val="24"/>
          <w:szCs w:val="24"/>
        </w:rPr>
        <w:t>: Rates</w:t>
      </w:r>
      <w:r w:rsidR="007407BB" w:rsidRPr="00BD41D2">
        <w:rPr>
          <w:rFonts w:ascii="Arial" w:eastAsia="Calibri" w:hAnsi="Arial" w:cs="Arial"/>
          <w:sz w:val="24"/>
          <w:szCs w:val="24"/>
        </w:rPr>
        <w:t xml:space="preserve"> for </w:t>
      </w:r>
      <w:r w:rsidR="004A7486" w:rsidRPr="00BD41D2">
        <w:rPr>
          <w:rFonts w:ascii="Arial" w:eastAsia="Calibri" w:hAnsi="Arial" w:cs="Arial"/>
          <w:sz w:val="24"/>
          <w:szCs w:val="24"/>
        </w:rPr>
        <w:t xml:space="preserve">Certain </w:t>
      </w:r>
      <w:r w:rsidR="00B908F6" w:rsidRPr="00BD41D2">
        <w:rPr>
          <w:rFonts w:ascii="Arial" w:eastAsia="Calibri" w:hAnsi="Arial" w:cs="Arial"/>
          <w:sz w:val="24"/>
          <w:szCs w:val="24"/>
        </w:rPr>
        <w:t>Placement, Support</w:t>
      </w:r>
      <w:r w:rsidR="00441B75" w:rsidRPr="00BD41D2">
        <w:rPr>
          <w:rFonts w:ascii="Arial" w:eastAsia="Calibri" w:hAnsi="Arial" w:cs="Arial"/>
          <w:sz w:val="24"/>
          <w:szCs w:val="24"/>
        </w:rPr>
        <w:t>,</w:t>
      </w:r>
      <w:r w:rsidR="00B908F6" w:rsidRPr="00BD41D2">
        <w:rPr>
          <w:rFonts w:ascii="Arial" w:eastAsia="Calibri" w:hAnsi="Arial" w:cs="Arial"/>
          <w:sz w:val="24"/>
          <w:szCs w:val="24"/>
        </w:rPr>
        <w:t xml:space="preserve"> and Shared Living</w:t>
      </w:r>
      <w:r w:rsidR="004A7486" w:rsidRPr="00BD41D2">
        <w:rPr>
          <w:rFonts w:ascii="Arial" w:eastAsia="Calibri" w:hAnsi="Arial" w:cs="Arial"/>
          <w:sz w:val="24"/>
          <w:szCs w:val="24"/>
        </w:rPr>
        <w:t xml:space="preserve"> Services</w:t>
      </w:r>
      <w:r w:rsidR="0062536B" w:rsidRPr="00BD41D2">
        <w:rPr>
          <w:rFonts w:ascii="Arial" w:eastAsia="Calibri" w:hAnsi="Arial" w:cs="Arial"/>
          <w:sz w:val="24"/>
          <w:szCs w:val="24"/>
        </w:rPr>
        <w:t>.</w:t>
      </w:r>
      <w:r w:rsidR="00AB3B3E" w:rsidRPr="00BD41D2">
        <w:rPr>
          <w:rFonts w:ascii="Arial" w:eastAsia="Calibri" w:hAnsi="Arial" w:cs="Arial"/>
          <w:sz w:val="24"/>
          <w:szCs w:val="24"/>
        </w:rPr>
        <w:t xml:space="preserve"> </w:t>
      </w:r>
      <w:r w:rsidR="0062536B" w:rsidRPr="00BD41D2">
        <w:rPr>
          <w:rFonts w:ascii="Arial" w:hAnsi="Arial" w:cs="Arial"/>
          <w:sz w:val="24"/>
          <w:szCs w:val="24"/>
        </w:rPr>
        <w:t xml:space="preserve">This regulation governs the payment rates for </w:t>
      </w:r>
      <w:r w:rsidR="0062536B" w:rsidRPr="00BD41D2">
        <w:rPr>
          <w:rFonts w:ascii="Arial" w:hAnsi="Arial" w:cs="Arial"/>
          <w:spacing w:val="-3"/>
          <w:sz w:val="24"/>
          <w:szCs w:val="24"/>
        </w:rPr>
        <w:t xml:space="preserve">certain </w:t>
      </w:r>
      <w:r w:rsidR="00B908F6" w:rsidRPr="00BD41D2">
        <w:rPr>
          <w:rFonts w:ascii="Arial" w:hAnsi="Arial" w:cs="Arial"/>
          <w:spacing w:val="-3"/>
          <w:sz w:val="24"/>
          <w:szCs w:val="24"/>
        </w:rPr>
        <w:t>placement, support</w:t>
      </w:r>
      <w:r w:rsidR="00441B75" w:rsidRPr="00BD41D2">
        <w:rPr>
          <w:rFonts w:ascii="Arial" w:hAnsi="Arial" w:cs="Arial"/>
          <w:spacing w:val="-3"/>
          <w:sz w:val="24"/>
          <w:szCs w:val="24"/>
        </w:rPr>
        <w:t>,</w:t>
      </w:r>
      <w:r w:rsidR="00B908F6" w:rsidRPr="00BD41D2">
        <w:rPr>
          <w:rFonts w:ascii="Arial" w:hAnsi="Arial" w:cs="Arial"/>
          <w:spacing w:val="-3"/>
          <w:sz w:val="24"/>
          <w:szCs w:val="24"/>
        </w:rPr>
        <w:t xml:space="preserve"> and shared living </w:t>
      </w:r>
      <w:r w:rsidR="0062536B" w:rsidRPr="00BD41D2">
        <w:rPr>
          <w:rFonts w:ascii="Arial" w:hAnsi="Arial" w:cs="Arial"/>
          <w:spacing w:val="-3"/>
          <w:sz w:val="24"/>
          <w:szCs w:val="24"/>
        </w:rPr>
        <w:t xml:space="preserve">services </w:t>
      </w:r>
      <w:r w:rsidR="0062536B" w:rsidRPr="00BD41D2">
        <w:rPr>
          <w:rFonts w:ascii="Arial" w:hAnsi="Arial" w:cs="Arial"/>
          <w:sz w:val="24"/>
          <w:szCs w:val="24"/>
        </w:rPr>
        <w:t xml:space="preserve">provided to publicly aided individuals by governmental units. </w:t>
      </w:r>
      <w:r w:rsidR="00237949" w:rsidRPr="00BD41D2">
        <w:rPr>
          <w:rFonts w:ascii="Arial" w:eastAsia="Times New Roman" w:hAnsi="Arial" w:cs="Arial"/>
          <w:sz w:val="24"/>
          <w:szCs w:val="24"/>
        </w:rPr>
        <w:t>Services with rates established by this regulation are purchased by the Department of Children and Families (DCF), the Department of Youth Services (DYS), the Department of Developmental Services (DDS), the Mass</w:t>
      </w:r>
      <w:r w:rsidR="00BD41D2" w:rsidRPr="00BD41D2">
        <w:rPr>
          <w:rFonts w:ascii="Arial" w:eastAsia="Times New Roman" w:hAnsi="Arial" w:cs="Arial"/>
          <w:sz w:val="24"/>
          <w:szCs w:val="24"/>
        </w:rPr>
        <w:t>Ability</w:t>
      </w:r>
      <w:r w:rsidR="00597E95">
        <w:rPr>
          <w:rFonts w:ascii="Arial" w:eastAsia="Times New Roman" w:hAnsi="Arial" w:cs="Arial"/>
          <w:sz w:val="24"/>
          <w:szCs w:val="24"/>
        </w:rPr>
        <w:t xml:space="preserve"> </w:t>
      </w:r>
      <w:r w:rsidR="00237949" w:rsidRPr="00BD41D2">
        <w:rPr>
          <w:rFonts w:ascii="Arial" w:eastAsia="Times New Roman" w:hAnsi="Arial" w:cs="Arial"/>
          <w:sz w:val="24"/>
          <w:szCs w:val="24"/>
        </w:rPr>
        <w:t>(M</w:t>
      </w:r>
      <w:r w:rsidR="00BD41D2" w:rsidRPr="00BD41D2">
        <w:rPr>
          <w:rFonts w:ascii="Arial" w:eastAsia="Times New Roman" w:hAnsi="Arial" w:cs="Arial"/>
          <w:sz w:val="24"/>
          <w:szCs w:val="24"/>
        </w:rPr>
        <w:t>BY</w:t>
      </w:r>
      <w:r w:rsidR="00237949" w:rsidRPr="00BD41D2">
        <w:rPr>
          <w:rFonts w:ascii="Arial" w:eastAsia="Times New Roman" w:hAnsi="Arial" w:cs="Arial"/>
          <w:sz w:val="24"/>
          <w:szCs w:val="24"/>
        </w:rPr>
        <w:t>), and the Massachusetts Commission for the Blind (MCB).</w:t>
      </w:r>
    </w:p>
    <w:p w14:paraId="31D0EFA6" w14:textId="669DCC21" w:rsidR="0062536B" w:rsidRPr="00BD41D2" w:rsidRDefault="000C4EEB" w:rsidP="00BD41D2">
      <w:pPr>
        <w:autoSpaceDE w:val="0"/>
        <w:autoSpaceDN w:val="0"/>
        <w:adjustRightInd w:val="0"/>
        <w:spacing w:line="360" w:lineRule="auto"/>
        <w:rPr>
          <w:rFonts w:ascii="Arial" w:eastAsia="Calibri" w:hAnsi="Arial" w:cs="Arial"/>
          <w:sz w:val="24"/>
          <w:szCs w:val="24"/>
        </w:rPr>
      </w:pPr>
      <w:r w:rsidRPr="00BD41D2">
        <w:rPr>
          <w:rFonts w:ascii="Arial" w:eastAsia="Calibri" w:hAnsi="Arial" w:cs="Arial"/>
          <w:sz w:val="24"/>
          <w:szCs w:val="24"/>
        </w:rPr>
        <w:t>The proposed amendments to the regulation contain rates effective for dates of service on or after</w:t>
      </w:r>
      <w:r w:rsidR="0062536B" w:rsidRPr="00BD41D2">
        <w:rPr>
          <w:rFonts w:ascii="Arial" w:eastAsia="Calibri" w:hAnsi="Arial" w:cs="Arial"/>
          <w:sz w:val="24"/>
          <w:szCs w:val="24"/>
        </w:rPr>
        <w:t xml:space="preserve"> July 1, </w:t>
      </w:r>
      <w:r w:rsidR="005F0B05" w:rsidRPr="00BD41D2">
        <w:rPr>
          <w:rFonts w:ascii="Arial" w:eastAsia="Calibri" w:hAnsi="Arial" w:cs="Arial"/>
          <w:sz w:val="24"/>
          <w:szCs w:val="24"/>
        </w:rPr>
        <w:t>202</w:t>
      </w:r>
      <w:r w:rsidR="00BD41D2" w:rsidRPr="00BD41D2">
        <w:rPr>
          <w:rFonts w:ascii="Arial" w:eastAsia="Calibri" w:hAnsi="Arial" w:cs="Arial"/>
          <w:sz w:val="24"/>
          <w:szCs w:val="24"/>
        </w:rPr>
        <w:t>6</w:t>
      </w:r>
      <w:r w:rsidR="0062536B" w:rsidRPr="00BD41D2">
        <w:rPr>
          <w:rFonts w:ascii="Arial" w:eastAsia="Calibri" w:hAnsi="Arial" w:cs="Arial"/>
          <w:sz w:val="24"/>
          <w:szCs w:val="24"/>
        </w:rPr>
        <w:t xml:space="preserve">. </w:t>
      </w:r>
    </w:p>
    <w:p w14:paraId="6C7207F3" w14:textId="6CFD50C7" w:rsidR="00BD41D2" w:rsidRPr="00B447E8" w:rsidRDefault="00F97BB2" w:rsidP="00237C72">
      <w:pPr>
        <w:spacing w:line="360" w:lineRule="auto"/>
        <w:rPr>
          <w:rFonts w:ascii="Arial" w:hAnsi="Arial" w:cs="Arial"/>
          <w:sz w:val="24"/>
          <w:szCs w:val="24"/>
        </w:rPr>
      </w:pPr>
      <w:r w:rsidRPr="00BD41D2">
        <w:rPr>
          <w:rFonts w:ascii="Arial" w:eastAsia="Times New Roman" w:hAnsi="Arial" w:cs="Arial"/>
          <w:sz w:val="24"/>
          <w:szCs w:val="24"/>
        </w:rPr>
        <w:t xml:space="preserve">Amendments to this regulation are being proposed at this time in accordance with M.G.L Chapter 118E, Section 13D, which requires the secretary of EOHHS to establish, by regulation, </w:t>
      </w:r>
      <w:r w:rsidR="000D2A20">
        <w:rPr>
          <w:rFonts w:ascii="Arial" w:eastAsia="Times New Roman" w:hAnsi="Arial" w:cs="Arial"/>
          <w:sz w:val="24"/>
          <w:szCs w:val="24"/>
        </w:rPr>
        <w:t>and bie</w:t>
      </w:r>
      <w:r w:rsidR="000C36AB">
        <w:rPr>
          <w:rFonts w:ascii="Arial" w:eastAsia="Times New Roman" w:hAnsi="Arial" w:cs="Arial"/>
          <w:sz w:val="24"/>
          <w:szCs w:val="24"/>
        </w:rPr>
        <w:t xml:space="preserve">nnially </w:t>
      </w:r>
      <w:r w:rsidR="00950848">
        <w:rPr>
          <w:rFonts w:ascii="Arial" w:eastAsia="Times New Roman" w:hAnsi="Arial" w:cs="Arial"/>
          <w:sz w:val="24"/>
          <w:szCs w:val="24"/>
        </w:rPr>
        <w:t>review</w:t>
      </w:r>
      <w:r w:rsidR="000C36AB">
        <w:rPr>
          <w:rFonts w:ascii="Arial" w:eastAsia="Times New Roman" w:hAnsi="Arial" w:cs="Arial"/>
          <w:sz w:val="24"/>
          <w:szCs w:val="24"/>
        </w:rPr>
        <w:t xml:space="preserve"> the </w:t>
      </w:r>
      <w:r w:rsidRPr="00BD41D2">
        <w:rPr>
          <w:rFonts w:ascii="Arial" w:eastAsia="Times New Roman" w:hAnsi="Arial" w:cs="Arial"/>
          <w:sz w:val="24"/>
          <w:szCs w:val="24"/>
        </w:rPr>
        <w:t xml:space="preserve">rates to be paid by governmental units for social service programs. </w:t>
      </w:r>
      <w:r w:rsidR="00BD41D2" w:rsidRPr="00B447E8">
        <w:rPr>
          <w:rFonts w:ascii="Arial" w:hAnsi="Arial" w:cs="Arial"/>
          <w:sz w:val="24"/>
          <w:szCs w:val="24"/>
        </w:rPr>
        <w:t>In accordance with this requirement, the rates for the services described below are being updated to include an increase by a cost adjustment factor (CAF) of 3.00%. The CAF was determined by using the Massachusetts Economic Indicator data from IHS Economics – Fall 2025 Forecast, baseline scenario data. The CAF reflects the period between the rates’ base period (calendar year 2026 Q2) and the prospective period of fiscal years 2027 and 2028. Staff salaries have been benchmarked to the Massachusetts Bureau of Labor Statistics (BLS) median wages as dated May 2024 at the 53</w:t>
      </w:r>
      <w:r w:rsidR="00BD41D2" w:rsidRPr="00B447E8">
        <w:rPr>
          <w:rFonts w:ascii="Arial" w:hAnsi="Arial" w:cs="Arial"/>
          <w:sz w:val="24"/>
          <w:szCs w:val="24"/>
          <w:vertAlign w:val="superscript"/>
        </w:rPr>
        <w:t>rd</w:t>
      </w:r>
      <w:r w:rsidR="00BD41D2" w:rsidRPr="00B447E8">
        <w:rPr>
          <w:rFonts w:ascii="Arial" w:hAnsi="Arial" w:cs="Arial"/>
          <w:sz w:val="24"/>
          <w:szCs w:val="24"/>
        </w:rPr>
        <w:t xml:space="preserve"> percentile. The tax and fringe rate has been benchmarked to 24.97%. This benchmark is derived from the MA Comptrollers FY25 approved rate less terminal leave and retirement. The administrative allocation has been benchmarked to 12%, which is the standard rate applied across all Chapter 257 regulations. </w:t>
      </w:r>
    </w:p>
    <w:p w14:paraId="1F5FD6D5" w14:textId="1430A465" w:rsidR="00BD41D2" w:rsidRPr="00B447E8" w:rsidRDefault="00BD41D2" w:rsidP="00237C72">
      <w:pPr>
        <w:spacing w:line="360" w:lineRule="auto"/>
        <w:rPr>
          <w:rFonts w:ascii="Arial" w:hAnsi="Arial" w:cs="Arial"/>
          <w:sz w:val="24"/>
          <w:szCs w:val="24"/>
        </w:rPr>
      </w:pPr>
      <w:r w:rsidRPr="00B447E8">
        <w:rPr>
          <w:rFonts w:ascii="Arial" w:hAnsi="Arial" w:cs="Arial"/>
          <w:sz w:val="24"/>
          <w:szCs w:val="24"/>
        </w:rPr>
        <w:t xml:space="preserve">Currently, most placement, support, and shared living services rates are being updated. However, the rates for all adoption management support services (AMSS) product-based services and the rate for the Youth Permanency Connections (YPC) service were not changed at this time due to the upcoming DCF procurement effective January 1, 2027. After discussions with DCF, EHS has determined that while the AMSS rates and the YPC rate were deemed adequate for the 6-month timeframe, a post hearing adjustment will be made. </w:t>
      </w:r>
    </w:p>
    <w:p w14:paraId="2811CA38" w14:textId="77777777" w:rsidR="00BD41D2" w:rsidRPr="00B447E8" w:rsidRDefault="00BD41D2" w:rsidP="00237C72">
      <w:pPr>
        <w:spacing w:line="360" w:lineRule="auto"/>
        <w:rPr>
          <w:rFonts w:ascii="Arial" w:hAnsi="Arial" w:cs="Arial"/>
          <w:sz w:val="24"/>
          <w:szCs w:val="24"/>
        </w:rPr>
      </w:pPr>
    </w:p>
    <w:p w14:paraId="602C7E42" w14:textId="77777777" w:rsidR="00BD41D2" w:rsidRPr="00B447E8" w:rsidRDefault="00BD41D2" w:rsidP="00237C72">
      <w:pPr>
        <w:spacing w:line="360" w:lineRule="auto"/>
        <w:rPr>
          <w:rFonts w:ascii="Arial" w:hAnsi="Arial" w:cs="Arial"/>
          <w:sz w:val="24"/>
          <w:szCs w:val="24"/>
        </w:rPr>
      </w:pPr>
      <w:r w:rsidRPr="00B447E8">
        <w:rPr>
          <w:rFonts w:ascii="Arial" w:hAnsi="Arial" w:cs="Arial"/>
          <w:sz w:val="24"/>
          <w:szCs w:val="24"/>
        </w:rPr>
        <w:lastRenderedPageBreak/>
        <w:t>The total annualized cost to state government from the proposed amendments to this regulation is approximately $19.92 million, which represents an increase of 8.77% over FY25 spending of approximately $227.2 million on these services. Of this amount, the estimated annualized cost to DCF is $4,154,143; the estimated annualized cost to DYS is $117,615; the estimated annualized cost to DDS is $15,510,337; the estimated annualized cost to MBY is $35,692; and the estimated annualized cost to MCB is $104,072.</w:t>
      </w:r>
      <w:r w:rsidRPr="00B447E8" w:rsidDel="00E665C3">
        <w:rPr>
          <w:rFonts w:ascii="Arial" w:hAnsi="Arial" w:cs="Arial"/>
          <w:sz w:val="24"/>
          <w:szCs w:val="24"/>
        </w:rPr>
        <w:t xml:space="preserve"> </w:t>
      </w:r>
      <w:r w:rsidRPr="00B447E8">
        <w:rPr>
          <w:rFonts w:ascii="Arial" w:hAnsi="Arial" w:cs="Arial"/>
          <w:sz w:val="24"/>
          <w:szCs w:val="24"/>
        </w:rPr>
        <w:t>The increase in spending in FY27 will be covered through the Chapter 257 Reserve Account.</w:t>
      </w:r>
      <w:r w:rsidRPr="00B447E8" w:rsidDel="002304EC">
        <w:rPr>
          <w:rFonts w:ascii="Arial" w:hAnsi="Arial" w:cs="Arial"/>
          <w:sz w:val="24"/>
          <w:szCs w:val="24"/>
        </w:rPr>
        <w:t xml:space="preserve"> </w:t>
      </w:r>
    </w:p>
    <w:p w14:paraId="2EB7158A" w14:textId="4B339507" w:rsidR="006D00CD" w:rsidRPr="00BD41D2" w:rsidRDefault="00A454C3" w:rsidP="00237C72">
      <w:pPr>
        <w:spacing w:line="360" w:lineRule="auto"/>
        <w:rPr>
          <w:rFonts w:ascii="Arial" w:eastAsia="Calibri" w:hAnsi="Arial" w:cs="Arial"/>
          <w:b/>
          <w:sz w:val="24"/>
          <w:szCs w:val="24"/>
          <w:u w:val="single"/>
        </w:rPr>
      </w:pPr>
      <w:r w:rsidRPr="00BD41D2">
        <w:rPr>
          <w:rFonts w:ascii="Arial" w:hAnsi="Arial" w:cs="Arial"/>
          <w:sz w:val="24"/>
          <w:szCs w:val="24"/>
        </w:rPr>
        <w:t>This concludes my testimony</w:t>
      </w:r>
      <w:r w:rsidR="00150955" w:rsidRPr="00BD41D2">
        <w:rPr>
          <w:rFonts w:ascii="Arial" w:hAnsi="Arial" w:cs="Arial"/>
          <w:sz w:val="24"/>
          <w:szCs w:val="24"/>
        </w:rPr>
        <w:t>.</w:t>
      </w:r>
      <w:r w:rsidR="007F1716" w:rsidRPr="00BD41D2">
        <w:rPr>
          <w:rFonts w:ascii="Arial" w:hAnsi="Arial" w:cs="Arial"/>
          <w:sz w:val="24"/>
          <w:szCs w:val="24"/>
        </w:rPr>
        <w:t xml:space="preserve"> </w:t>
      </w:r>
      <w:r w:rsidRPr="00BD41D2">
        <w:rPr>
          <w:rFonts w:ascii="Arial" w:hAnsi="Arial" w:cs="Arial"/>
          <w:sz w:val="24"/>
          <w:szCs w:val="24"/>
        </w:rPr>
        <w:t>Thank you.</w:t>
      </w:r>
    </w:p>
    <w:sectPr w:rsidR="006D00CD" w:rsidRPr="00BD41D2" w:rsidSect="000F5CE7">
      <w:headerReference w:type="even" r:id="rId8"/>
      <w:headerReference w:type="default" r:id="rId9"/>
      <w:footerReference w:type="even" r:id="rId10"/>
      <w:footerReference w:type="default" r:id="rId11"/>
      <w:headerReference w:type="first" r:id="rId12"/>
      <w:footerReference w:type="first" r:id="rId13"/>
      <w:pgSz w:w="12240" w:h="15840"/>
      <w:pgMar w:top="990" w:right="54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584CF" w14:textId="77777777" w:rsidR="006275E3" w:rsidRDefault="006275E3" w:rsidP="00E03A2E">
      <w:pPr>
        <w:spacing w:after="0" w:line="240" w:lineRule="auto"/>
      </w:pPr>
      <w:r>
        <w:separator/>
      </w:r>
    </w:p>
  </w:endnote>
  <w:endnote w:type="continuationSeparator" w:id="0">
    <w:p w14:paraId="36C361F3" w14:textId="77777777" w:rsidR="006275E3" w:rsidRDefault="006275E3" w:rsidP="00E0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36B7" w14:textId="77777777" w:rsidR="00282801" w:rsidRDefault="00282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B670" w14:textId="77777777" w:rsidR="00BD46E9" w:rsidRDefault="00B37A00">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5278BBCD" wp14:editId="7CC99756">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ysClr val="window" lastClr="FFFFFF"/>
                      </a:solidFill>
                      <a:ln w="6350">
                        <a:noFill/>
                      </a:ln>
                      <a:effectLst/>
                    </wps:spPr>
                    <wps:txbx>
                      <w:txbxContent>
                        <w:p w14:paraId="5CBFC5B6" w14:textId="77777777" w:rsidR="00BD46E9" w:rsidRDefault="00B37A0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64CB2">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5278BBCD"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" fillcolor="window" stroked="f" strokeweight=".5pt">
              <v:textbox style="mso-fit-shape-to-text:t" inset="0,,0">
                <w:txbxContent>
                  <w:p w14:paraId="5CBFC5B6" w14:textId="77777777" w:rsidR="00BD46E9" w:rsidRDefault="00B37A0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64CB2">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14:paraId="51E99F1C" w14:textId="77777777" w:rsidR="00BD46E9" w:rsidRDefault="00BD46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6818" w14:textId="77777777" w:rsidR="00282801" w:rsidRDefault="00282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D422" w14:textId="77777777" w:rsidR="006275E3" w:rsidRDefault="006275E3" w:rsidP="00E03A2E">
      <w:pPr>
        <w:spacing w:after="0" w:line="240" w:lineRule="auto"/>
      </w:pPr>
      <w:r>
        <w:separator/>
      </w:r>
    </w:p>
  </w:footnote>
  <w:footnote w:type="continuationSeparator" w:id="0">
    <w:p w14:paraId="468A3BD5" w14:textId="77777777" w:rsidR="006275E3" w:rsidRDefault="006275E3" w:rsidP="00E03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AE9" w14:textId="77777777" w:rsidR="00282801" w:rsidRDefault="00282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5C5D" w14:textId="789D878A" w:rsidR="00FA530D" w:rsidRPr="009056BD" w:rsidRDefault="00B37A00" w:rsidP="0030656E">
    <w:pPr>
      <w:pStyle w:val="Header"/>
      <w:rPr>
        <w:rFonts w:ascii="Times New Roman" w:hAnsi="Times New Roman"/>
        <w:sz w:val="20"/>
        <w:szCs w:val="20"/>
      </w:rPr>
    </w:pPr>
    <w:r w:rsidRPr="004651C7">
      <w:rPr>
        <w:rFonts w:ascii="Times New Roman" w:hAnsi="Times New Roman"/>
        <w:sz w:val="20"/>
        <w:szCs w:val="20"/>
      </w:rPr>
      <w:t xml:space="preserve">Staff Testimony on </w:t>
    </w:r>
    <w:r w:rsidR="00F34242">
      <w:rPr>
        <w:rFonts w:ascii="Times New Roman" w:hAnsi="Times New Roman"/>
        <w:sz w:val="20"/>
        <w:szCs w:val="20"/>
      </w:rPr>
      <w:t xml:space="preserve">Proposed Amendments to </w:t>
    </w:r>
    <w:r w:rsidRPr="009056BD">
      <w:rPr>
        <w:rFonts w:ascii="Times New Roman" w:hAnsi="Times New Roman"/>
        <w:sz w:val="20"/>
        <w:szCs w:val="20"/>
      </w:rPr>
      <w:t xml:space="preserve">101 CMR </w:t>
    </w:r>
    <w:r w:rsidR="005E7086">
      <w:rPr>
        <w:rFonts w:ascii="Times New Roman" w:hAnsi="Times New Roman"/>
        <w:sz w:val="20"/>
        <w:szCs w:val="20"/>
      </w:rPr>
      <w:t>4</w:t>
    </w:r>
    <w:r w:rsidR="00B908F6">
      <w:rPr>
        <w:rFonts w:ascii="Times New Roman" w:hAnsi="Times New Roman"/>
        <w:sz w:val="20"/>
        <w:szCs w:val="20"/>
      </w:rPr>
      <w:t>11</w:t>
    </w:r>
    <w:r w:rsidR="0065527E">
      <w:rPr>
        <w:rFonts w:ascii="Times New Roman" w:hAnsi="Times New Roman"/>
        <w:sz w:val="20"/>
        <w:szCs w:val="20"/>
      </w:rPr>
      <w:t xml:space="preserve">.00, </w:t>
    </w:r>
    <w:r w:rsidR="008B5493">
      <w:rPr>
        <w:rFonts w:ascii="Times New Roman" w:hAnsi="Times New Roman"/>
        <w:sz w:val="20"/>
        <w:szCs w:val="20"/>
      </w:rPr>
      <w:t>E</w:t>
    </w:r>
    <w:r w:rsidR="009A4EF9">
      <w:rPr>
        <w:rFonts w:ascii="Times New Roman" w:hAnsi="Times New Roman"/>
        <w:sz w:val="20"/>
        <w:szCs w:val="20"/>
      </w:rPr>
      <w:t xml:space="preserve">ffective </w:t>
    </w:r>
    <w:r w:rsidR="003A5253">
      <w:rPr>
        <w:rFonts w:ascii="Times New Roman" w:hAnsi="Times New Roman"/>
        <w:sz w:val="20"/>
        <w:szCs w:val="20"/>
      </w:rPr>
      <w:t xml:space="preserve">July 1, </w:t>
    </w:r>
    <w:r w:rsidR="005F0B05">
      <w:rPr>
        <w:rFonts w:ascii="Times New Roman" w:hAnsi="Times New Roman"/>
        <w:sz w:val="20"/>
        <w:szCs w:val="20"/>
      </w:rPr>
      <w:t>202</w:t>
    </w:r>
    <w:r w:rsidR="00BD41D2">
      <w:rPr>
        <w:rFonts w:ascii="Times New Roman" w:hAnsi="Times New Roman"/>
        <w:sz w:val="20"/>
        <w:szCs w:val="20"/>
      </w:rPr>
      <w:t>6</w:t>
    </w:r>
  </w:p>
  <w:p w14:paraId="7B102F54" w14:textId="2B3F5961" w:rsidR="00BD46E9" w:rsidRPr="009056BD" w:rsidRDefault="004A7486" w:rsidP="0030656E">
    <w:pPr>
      <w:pStyle w:val="Header"/>
      <w:rPr>
        <w:rFonts w:ascii="Times New Roman" w:hAnsi="Times New Roman"/>
        <w:sz w:val="24"/>
        <w:szCs w:val="24"/>
      </w:rPr>
    </w:pPr>
    <w:r>
      <w:rPr>
        <w:rFonts w:ascii="Times New Roman" w:hAnsi="Times New Roman"/>
        <w:sz w:val="20"/>
        <w:szCs w:val="20"/>
      </w:rPr>
      <w:t xml:space="preserve">Rates for Certain </w:t>
    </w:r>
    <w:r w:rsidR="00B908F6">
      <w:rPr>
        <w:rFonts w:ascii="Times New Roman" w:hAnsi="Times New Roman"/>
        <w:sz w:val="20"/>
        <w:szCs w:val="20"/>
      </w:rPr>
      <w:t>Placement, Support</w:t>
    </w:r>
    <w:r w:rsidR="00441B75">
      <w:rPr>
        <w:rFonts w:ascii="Times New Roman" w:hAnsi="Times New Roman"/>
        <w:sz w:val="20"/>
        <w:szCs w:val="20"/>
      </w:rPr>
      <w:t>,</w:t>
    </w:r>
    <w:r w:rsidR="00B908F6">
      <w:rPr>
        <w:rFonts w:ascii="Times New Roman" w:hAnsi="Times New Roman"/>
        <w:sz w:val="20"/>
        <w:szCs w:val="20"/>
      </w:rPr>
      <w:t xml:space="preserve"> and Shared Living</w:t>
    </w:r>
    <w:r>
      <w:rPr>
        <w:rFonts w:ascii="Times New Roman" w:hAnsi="Times New Roman"/>
        <w:sz w:val="20"/>
        <w:szCs w:val="20"/>
      </w:rPr>
      <w:t xml:space="preserve"> </w:t>
    </w:r>
    <w:r w:rsidR="005E7086">
      <w:rPr>
        <w:rFonts w:ascii="Times New Roman" w:hAnsi="Times New Roman"/>
        <w:sz w:val="20"/>
        <w:szCs w:val="20"/>
      </w:rPr>
      <w:t xml:space="preserve">Services, </w:t>
    </w:r>
    <w:r w:rsidR="00E41DD1">
      <w:rPr>
        <w:rFonts w:ascii="Times New Roman" w:hAnsi="Times New Roman"/>
        <w:sz w:val="20"/>
        <w:szCs w:val="20"/>
      </w:rPr>
      <w:t xml:space="preserve">Public Hearing </w:t>
    </w:r>
    <w:r w:rsidR="00BD41D2">
      <w:rPr>
        <w:rFonts w:ascii="Times New Roman" w:hAnsi="Times New Roman"/>
        <w:sz w:val="20"/>
        <w:szCs w:val="20"/>
      </w:rPr>
      <w:t>June 26</w:t>
    </w:r>
    <w:r w:rsidR="00282801">
      <w:rPr>
        <w:rFonts w:ascii="Times New Roman" w:hAnsi="Times New Roman"/>
        <w:sz w:val="20"/>
        <w:szCs w:val="20"/>
      </w:rPr>
      <w:t xml:space="preserve">, </w:t>
    </w:r>
    <w:r w:rsidR="00BD41D2">
      <w:rPr>
        <w:rFonts w:ascii="Times New Roman" w:hAnsi="Times New Roman"/>
        <w:sz w:val="20"/>
        <w:szCs w:val="20"/>
      </w:rPr>
      <w:t>2026</w:t>
    </w:r>
    <w:r w:rsidR="00084730">
      <w:rPr>
        <w:rFonts w:ascii="Times New Roman" w:hAnsi="Times New Roman"/>
        <w:sz w:val="20"/>
        <w:szCs w:val="20"/>
      </w:rPr>
      <w:tab/>
      <w:t xml:space="preserve"> </w:t>
    </w:r>
  </w:p>
  <w:p w14:paraId="36F497A9" w14:textId="77777777" w:rsidR="00BD46E9" w:rsidRDefault="00BD46E9" w:rsidP="00306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AB11" w14:textId="77777777" w:rsidR="00282801" w:rsidRDefault="00282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91C33"/>
    <w:multiLevelType w:val="hybridMultilevel"/>
    <w:tmpl w:val="17E29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6007A"/>
    <w:multiLevelType w:val="hybridMultilevel"/>
    <w:tmpl w:val="D744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C1C10"/>
    <w:multiLevelType w:val="hybridMultilevel"/>
    <w:tmpl w:val="6D50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F0741"/>
    <w:multiLevelType w:val="hybridMultilevel"/>
    <w:tmpl w:val="C5D65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651B5"/>
    <w:multiLevelType w:val="hybridMultilevel"/>
    <w:tmpl w:val="90AA4804"/>
    <w:lvl w:ilvl="0" w:tplc="F1F609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A739F"/>
    <w:multiLevelType w:val="hybridMultilevel"/>
    <w:tmpl w:val="B7FA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F20CB"/>
    <w:multiLevelType w:val="hybridMultilevel"/>
    <w:tmpl w:val="9E86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4471C"/>
    <w:multiLevelType w:val="hybridMultilevel"/>
    <w:tmpl w:val="A594CEBE"/>
    <w:lvl w:ilvl="0" w:tplc="F1F609A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37FF9"/>
    <w:multiLevelType w:val="hybridMultilevel"/>
    <w:tmpl w:val="8EFA7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7764F"/>
    <w:multiLevelType w:val="hybridMultilevel"/>
    <w:tmpl w:val="1F4E5B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CCC6FA9"/>
    <w:multiLevelType w:val="hybridMultilevel"/>
    <w:tmpl w:val="01B8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333C0"/>
    <w:multiLevelType w:val="hybridMultilevel"/>
    <w:tmpl w:val="3A6CA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43C53D2"/>
    <w:multiLevelType w:val="hybridMultilevel"/>
    <w:tmpl w:val="03148A92"/>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055B15"/>
    <w:multiLevelType w:val="hybridMultilevel"/>
    <w:tmpl w:val="0ECAE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B422F"/>
    <w:multiLevelType w:val="hybridMultilevel"/>
    <w:tmpl w:val="92C65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B8641F"/>
    <w:multiLevelType w:val="hybridMultilevel"/>
    <w:tmpl w:val="862E1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7877227">
    <w:abstractNumId w:val="12"/>
  </w:num>
  <w:num w:numId="2" w16cid:durableId="1470706808">
    <w:abstractNumId w:val="10"/>
  </w:num>
  <w:num w:numId="3" w16cid:durableId="1219169433">
    <w:abstractNumId w:val="6"/>
  </w:num>
  <w:num w:numId="4" w16cid:durableId="543828794">
    <w:abstractNumId w:val="15"/>
  </w:num>
  <w:num w:numId="5" w16cid:durableId="1107040830">
    <w:abstractNumId w:val="13"/>
  </w:num>
  <w:num w:numId="6" w16cid:durableId="1282687955">
    <w:abstractNumId w:val="9"/>
  </w:num>
  <w:num w:numId="7" w16cid:durableId="1359619366">
    <w:abstractNumId w:val="5"/>
  </w:num>
  <w:num w:numId="8" w16cid:durableId="2070300539">
    <w:abstractNumId w:val="3"/>
  </w:num>
  <w:num w:numId="9" w16cid:durableId="864833307">
    <w:abstractNumId w:val="0"/>
  </w:num>
  <w:num w:numId="10" w16cid:durableId="1066148705">
    <w:abstractNumId w:val="7"/>
  </w:num>
  <w:num w:numId="11" w16cid:durableId="1415662598">
    <w:abstractNumId w:val="4"/>
  </w:num>
  <w:num w:numId="12" w16cid:durableId="1578054874">
    <w:abstractNumId w:val="2"/>
  </w:num>
  <w:num w:numId="13" w16cid:durableId="1110272148">
    <w:abstractNumId w:val="8"/>
  </w:num>
  <w:num w:numId="14" w16cid:durableId="665787525">
    <w:abstractNumId w:val="14"/>
  </w:num>
  <w:num w:numId="15" w16cid:durableId="361832727">
    <w:abstractNumId w:val="11"/>
  </w:num>
  <w:num w:numId="16" w16cid:durableId="136171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2E"/>
    <w:rsid w:val="000118B2"/>
    <w:rsid w:val="00036A12"/>
    <w:rsid w:val="0004230A"/>
    <w:rsid w:val="00053F21"/>
    <w:rsid w:val="00061075"/>
    <w:rsid w:val="00062447"/>
    <w:rsid w:val="00063731"/>
    <w:rsid w:val="0007257E"/>
    <w:rsid w:val="00072CFD"/>
    <w:rsid w:val="00076246"/>
    <w:rsid w:val="00077678"/>
    <w:rsid w:val="00080A3B"/>
    <w:rsid w:val="00084730"/>
    <w:rsid w:val="00093033"/>
    <w:rsid w:val="000A0645"/>
    <w:rsid w:val="000A6042"/>
    <w:rsid w:val="000B06DA"/>
    <w:rsid w:val="000B6E4C"/>
    <w:rsid w:val="000C34D1"/>
    <w:rsid w:val="000C36AB"/>
    <w:rsid w:val="000C4EEB"/>
    <w:rsid w:val="000D2A20"/>
    <w:rsid w:val="000D589A"/>
    <w:rsid w:val="000E1BBC"/>
    <w:rsid w:val="000E6451"/>
    <w:rsid w:val="000F5CE7"/>
    <w:rsid w:val="00112C0A"/>
    <w:rsid w:val="00115583"/>
    <w:rsid w:val="001245E3"/>
    <w:rsid w:val="001279A7"/>
    <w:rsid w:val="00134409"/>
    <w:rsid w:val="00150955"/>
    <w:rsid w:val="00156DDC"/>
    <w:rsid w:val="0016686E"/>
    <w:rsid w:val="001802F7"/>
    <w:rsid w:val="001908A4"/>
    <w:rsid w:val="0019310A"/>
    <w:rsid w:val="001A1B22"/>
    <w:rsid w:val="001B081C"/>
    <w:rsid w:val="001B3875"/>
    <w:rsid w:val="001C5083"/>
    <w:rsid w:val="001E1764"/>
    <w:rsid w:val="001E1DBE"/>
    <w:rsid w:val="001F1604"/>
    <w:rsid w:val="00202E69"/>
    <w:rsid w:val="00214D62"/>
    <w:rsid w:val="002206CA"/>
    <w:rsid w:val="00223162"/>
    <w:rsid w:val="00233879"/>
    <w:rsid w:val="002356B7"/>
    <w:rsid w:val="00237949"/>
    <w:rsid w:val="00237C72"/>
    <w:rsid w:val="00245D6D"/>
    <w:rsid w:val="00247C5B"/>
    <w:rsid w:val="0025406D"/>
    <w:rsid w:val="00254C3D"/>
    <w:rsid w:val="00270E08"/>
    <w:rsid w:val="00276EE7"/>
    <w:rsid w:val="00282801"/>
    <w:rsid w:val="002B34DF"/>
    <w:rsid w:val="002C0423"/>
    <w:rsid w:val="002C6D89"/>
    <w:rsid w:val="002E2E70"/>
    <w:rsid w:val="002F7C41"/>
    <w:rsid w:val="0030137B"/>
    <w:rsid w:val="00305EA9"/>
    <w:rsid w:val="00306D5F"/>
    <w:rsid w:val="00311FEB"/>
    <w:rsid w:val="003228B6"/>
    <w:rsid w:val="00326C9A"/>
    <w:rsid w:val="003306A9"/>
    <w:rsid w:val="0033741D"/>
    <w:rsid w:val="003466B9"/>
    <w:rsid w:val="0035491E"/>
    <w:rsid w:val="00357C2F"/>
    <w:rsid w:val="0036462D"/>
    <w:rsid w:val="003841C9"/>
    <w:rsid w:val="003A2052"/>
    <w:rsid w:val="003A5253"/>
    <w:rsid w:val="003A652D"/>
    <w:rsid w:val="003B2DE4"/>
    <w:rsid w:val="003B50F8"/>
    <w:rsid w:val="003C1A31"/>
    <w:rsid w:val="003D00E5"/>
    <w:rsid w:val="003F61FD"/>
    <w:rsid w:val="003F68BE"/>
    <w:rsid w:val="003F6EE6"/>
    <w:rsid w:val="004137AB"/>
    <w:rsid w:val="0042530E"/>
    <w:rsid w:val="0043278A"/>
    <w:rsid w:val="00441B75"/>
    <w:rsid w:val="004455AC"/>
    <w:rsid w:val="00445CA1"/>
    <w:rsid w:val="00450AC0"/>
    <w:rsid w:val="00471BDA"/>
    <w:rsid w:val="004761E5"/>
    <w:rsid w:val="00491B4B"/>
    <w:rsid w:val="004A5FF7"/>
    <w:rsid w:val="004A7486"/>
    <w:rsid w:val="004B1200"/>
    <w:rsid w:val="004B51DD"/>
    <w:rsid w:val="004C15AE"/>
    <w:rsid w:val="004C19B3"/>
    <w:rsid w:val="004F2633"/>
    <w:rsid w:val="004F5649"/>
    <w:rsid w:val="00502F54"/>
    <w:rsid w:val="00514F96"/>
    <w:rsid w:val="0051509D"/>
    <w:rsid w:val="00530403"/>
    <w:rsid w:val="0053088E"/>
    <w:rsid w:val="00531A62"/>
    <w:rsid w:val="005326D9"/>
    <w:rsid w:val="00534C22"/>
    <w:rsid w:val="005503BF"/>
    <w:rsid w:val="00551330"/>
    <w:rsid w:val="00562D64"/>
    <w:rsid w:val="005747C9"/>
    <w:rsid w:val="00581CAA"/>
    <w:rsid w:val="00591711"/>
    <w:rsid w:val="00597E95"/>
    <w:rsid w:val="005A0252"/>
    <w:rsid w:val="005B08B7"/>
    <w:rsid w:val="005B6DC4"/>
    <w:rsid w:val="005C11FC"/>
    <w:rsid w:val="005C7DB4"/>
    <w:rsid w:val="005E3C35"/>
    <w:rsid w:val="005E578B"/>
    <w:rsid w:val="005E7086"/>
    <w:rsid w:val="005F0B05"/>
    <w:rsid w:val="006110FE"/>
    <w:rsid w:val="00615D48"/>
    <w:rsid w:val="0062536B"/>
    <w:rsid w:val="006275E3"/>
    <w:rsid w:val="00632250"/>
    <w:rsid w:val="00637F25"/>
    <w:rsid w:val="0065164C"/>
    <w:rsid w:val="00653869"/>
    <w:rsid w:val="00655200"/>
    <w:rsid w:val="0065527E"/>
    <w:rsid w:val="00661624"/>
    <w:rsid w:val="00666B40"/>
    <w:rsid w:val="00684A3C"/>
    <w:rsid w:val="00691E8C"/>
    <w:rsid w:val="006939A6"/>
    <w:rsid w:val="0069536C"/>
    <w:rsid w:val="006A18D0"/>
    <w:rsid w:val="006A487C"/>
    <w:rsid w:val="006A61F6"/>
    <w:rsid w:val="006B67AD"/>
    <w:rsid w:val="006B7294"/>
    <w:rsid w:val="006B7634"/>
    <w:rsid w:val="006D00CD"/>
    <w:rsid w:val="006D30A0"/>
    <w:rsid w:val="006D5760"/>
    <w:rsid w:val="006D7E4C"/>
    <w:rsid w:val="006F0EE4"/>
    <w:rsid w:val="006F6F79"/>
    <w:rsid w:val="00711F9F"/>
    <w:rsid w:val="0071249C"/>
    <w:rsid w:val="00716E00"/>
    <w:rsid w:val="00723ECD"/>
    <w:rsid w:val="00734A71"/>
    <w:rsid w:val="007407BB"/>
    <w:rsid w:val="00740BB3"/>
    <w:rsid w:val="00742FD7"/>
    <w:rsid w:val="00744E35"/>
    <w:rsid w:val="00776359"/>
    <w:rsid w:val="00787825"/>
    <w:rsid w:val="00791422"/>
    <w:rsid w:val="007965E8"/>
    <w:rsid w:val="007A1A23"/>
    <w:rsid w:val="007B5445"/>
    <w:rsid w:val="007B622C"/>
    <w:rsid w:val="007C6CC1"/>
    <w:rsid w:val="007D3FDB"/>
    <w:rsid w:val="007E62BE"/>
    <w:rsid w:val="007F148F"/>
    <w:rsid w:val="007F1716"/>
    <w:rsid w:val="007F29B7"/>
    <w:rsid w:val="0081749F"/>
    <w:rsid w:val="00822AC5"/>
    <w:rsid w:val="00825038"/>
    <w:rsid w:val="00837DBE"/>
    <w:rsid w:val="008419BE"/>
    <w:rsid w:val="0085606C"/>
    <w:rsid w:val="008645B1"/>
    <w:rsid w:val="008717A8"/>
    <w:rsid w:val="0087275D"/>
    <w:rsid w:val="008777A9"/>
    <w:rsid w:val="008937B9"/>
    <w:rsid w:val="0089717D"/>
    <w:rsid w:val="008A0F6B"/>
    <w:rsid w:val="008A1876"/>
    <w:rsid w:val="008A299A"/>
    <w:rsid w:val="008B5493"/>
    <w:rsid w:val="008C0F70"/>
    <w:rsid w:val="008D12B4"/>
    <w:rsid w:val="008D57C0"/>
    <w:rsid w:val="008D6409"/>
    <w:rsid w:val="008D6E2B"/>
    <w:rsid w:val="008F2A9B"/>
    <w:rsid w:val="008F2DB5"/>
    <w:rsid w:val="008F4537"/>
    <w:rsid w:val="008F6BD6"/>
    <w:rsid w:val="009056BD"/>
    <w:rsid w:val="00907865"/>
    <w:rsid w:val="009252EE"/>
    <w:rsid w:val="0093429C"/>
    <w:rsid w:val="00935842"/>
    <w:rsid w:val="00950848"/>
    <w:rsid w:val="00954B26"/>
    <w:rsid w:val="009709C6"/>
    <w:rsid w:val="00982219"/>
    <w:rsid w:val="0098257A"/>
    <w:rsid w:val="0098359A"/>
    <w:rsid w:val="009840E5"/>
    <w:rsid w:val="009A3C71"/>
    <w:rsid w:val="009A4EF9"/>
    <w:rsid w:val="009B2EA0"/>
    <w:rsid w:val="009C05BB"/>
    <w:rsid w:val="009D726D"/>
    <w:rsid w:val="009E0C08"/>
    <w:rsid w:val="009E6E20"/>
    <w:rsid w:val="009F7F57"/>
    <w:rsid w:val="00A055E6"/>
    <w:rsid w:val="00A3326E"/>
    <w:rsid w:val="00A3425E"/>
    <w:rsid w:val="00A454C3"/>
    <w:rsid w:val="00A63182"/>
    <w:rsid w:val="00A64A18"/>
    <w:rsid w:val="00A760A0"/>
    <w:rsid w:val="00A77E64"/>
    <w:rsid w:val="00A80290"/>
    <w:rsid w:val="00A8579B"/>
    <w:rsid w:val="00A91C28"/>
    <w:rsid w:val="00AB3B3E"/>
    <w:rsid w:val="00AB3C78"/>
    <w:rsid w:val="00AB61DC"/>
    <w:rsid w:val="00AC1B96"/>
    <w:rsid w:val="00AC6446"/>
    <w:rsid w:val="00AE3453"/>
    <w:rsid w:val="00AF2055"/>
    <w:rsid w:val="00AF475B"/>
    <w:rsid w:val="00AF6A35"/>
    <w:rsid w:val="00B01AC9"/>
    <w:rsid w:val="00B054C4"/>
    <w:rsid w:val="00B11257"/>
    <w:rsid w:val="00B16AC7"/>
    <w:rsid w:val="00B24881"/>
    <w:rsid w:val="00B2681B"/>
    <w:rsid w:val="00B37A00"/>
    <w:rsid w:val="00B43415"/>
    <w:rsid w:val="00B447E8"/>
    <w:rsid w:val="00B5385D"/>
    <w:rsid w:val="00B64AD5"/>
    <w:rsid w:val="00B65817"/>
    <w:rsid w:val="00B76AB9"/>
    <w:rsid w:val="00B85877"/>
    <w:rsid w:val="00B8738F"/>
    <w:rsid w:val="00B908F6"/>
    <w:rsid w:val="00BA12DD"/>
    <w:rsid w:val="00BA17F1"/>
    <w:rsid w:val="00BA3374"/>
    <w:rsid w:val="00BB11FC"/>
    <w:rsid w:val="00BD41D2"/>
    <w:rsid w:val="00BD46E9"/>
    <w:rsid w:val="00BF5001"/>
    <w:rsid w:val="00C0484F"/>
    <w:rsid w:val="00C141BE"/>
    <w:rsid w:val="00C22003"/>
    <w:rsid w:val="00C22466"/>
    <w:rsid w:val="00C30336"/>
    <w:rsid w:val="00C4053C"/>
    <w:rsid w:val="00C442E9"/>
    <w:rsid w:val="00C53D04"/>
    <w:rsid w:val="00C55380"/>
    <w:rsid w:val="00C715D6"/>
    <w:rsid w:val="00C756F1"/>
    <w:rsid w:val="00C807F6"/>
    <w:rsid w:val="00C85967"/>
    <w:rsid w:val="00CA2440"/>
    <w:rsid w:val="00CA29B3"/>
    <w:rsid w:val="00CA5045"/>
    <w:rsid w:val="00CA6A9F"/>
    <w:rsid w:val="00CA6C09"/>
    <w:rsid w:val="00CF3D43"/>
    <w:rsid w:val="00D07A6F"/>
    <w:rsid w:val="00D21C00"/>
    <w:rsid w:val="00D411B8"/>
    <w:rsid w:val="00D43B50"/>
    <w:rsid w:val="00D44813"/>
    <w:rsid w:val="00D46B85"/>
    <w:rsid w:val="00D46FCA"/>
    <w:rsid w:val="00D50591"/>
    <w:rsid w:val="00D538AE"/>
    <w:rsid w:val="00D750C1"/>
    <w:rsid w:val="00D766DF"/>
    <w:rsid w:val="00D96F54"/>
    <w:rsid w:val="00DA5E83"/>
    <w:rsid w:val="00DB506A"/>
    <w:rsid w:val="00DC0D7C"/>
    <w:rsid w:val="00DC75F2"/>
    <w:rsid w:val="00DD164F"/>
    <w:rsid w:val="00DD41C2"/>
    <w:rsid w:val="00DD5686"/>
    <w:rsid w:val="00DE5D33"/>
    <w:rsid w:val="00DF392F"/>
    <w:rsid w:val="00E03337"/>
    <w:rsid w:val="00E03A2E"/>
    <w:rsid w:val="00E06090"/>
    <w:rsid w:val="00E11063"/>
    <w:rsid w:val="00E12D9B"/>
    <w:rsid w:val="00E23F2E"/>
    <w:rsid w:val="00E3249C"/>
    <w:rsid w:val="00E373AC"/>
    <w:rsid w:val="00E404DE"/>
    <w:rsid w:val="00E406A0"/>
    <w:rsid w:val="00E407FF"/>
    <w:rsid w:val="00E41DD1"/>
    <w:rsid w:val="00E46480"/>
    <w:rsid w:val="00E63440"/>
    <w:rsid w:val="00E66F88"/>
    <w:rsid w:val="00E84DE0"/>
    <w:rsid w:val="00E84FE0"/>
    <w:rsid w:val="00E978DF"/>
    <w:rsid w:val="00EA040B"/>
    <w:rsid w:val="00EA4AD3"/>
    <w:rsid w:val="00EA4F4D"/>
    <w:rsid w:val="00EC0C86"/>
    <w:rsid w:val="00EC4608"/>
    <w:rsid w:val="00EC5EF2"/>
    <w:rsid w:val="00ED31D6"/>
    <w:rsid w:val="00EE211A"/>
    <w:rsid w:val="00EE2A2A"/>
    <w:rsid w:val="00EF7DF9"/>
    <w:rsid w:val="00F0345A"/>
    <w:rsid w:val="00F04E6C"/>
    <w:rsid w:val="00F20664"/>
    <w:rsid w:val="00F30770"/>
    <w:rsid w:val="00F34242"/>
    <w:rsid w:val="00F470E4"/>
    <w:rsid w:val="00F53FAF"/>
    <w:rsid w:val="00F55CAB"/>
    <w:rsid w:val="00F60A5F"/>
    <w:rsid w:val="00F64CB2"/>
    <w:rsid w:val="00F96A12"/>
    <w:rsid w:val="00F97BB2"/>
    <w:rsid w:val="00FA0951"/>
    <w:rsid w:val="00FA1AF4"/>
    <w:rsid w:val="00FA1EC1"/>
    <w:rsid w:val="00FA530D"/>
    <w:rsid w:val="00FB59C2"/>
    <w:rsid w:val="00FE0D9F"/>
    <w:rsid w:val="00FE5A2F"/>
    <w:rsid w:val="00FF6A6A"/>
    <w:rsid w:val="00FF7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04290"/>
  <w15:docId w15:val="{6B99784C-465F-45C6-AF48-23E28C74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A2E"/>
  </w:style>
  <w:style w:type="paragraph" w:styleId="Footer">
    <w:name w:val="footer"/>
    <w:basedOn w:val="Normal"/>
    <w:link w:val="FooterChar"/>
    <w:uiPriority w:val="99"/>
    <w:unhideWhenUsed/>
    <w:rsid w:val="00E03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A2E"/>
  </w:style>
  <w:style w:type="paragraph" w:styleId="BalloonText">
    <w:name w:val="Balloon Text"/>
    <w:basedOn w:val="Normal"/>
    <w:link w:val="BalloonTextChar"/>
    <w:uiPriority w:val="99"/>
    <w:semiHidden/>
    <w:unhideWhenUsed/>
    <w:rsid w:val="00A76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0A0"/>
    <w:rPr>
      <w:rFonts w:ascii="Tahoma" w:hAnsi="Tahoma" w:cs="Tahoma"/>
      <w:sz w:val="16"/>
      <w:szCs w:val="16"/>
    </w:rPr>
  </w:style>
  <w:style w:type="paragraph" w:customStyle="1" w:styleId="Default">
    <w:name w:val="Default"/>
    <w:link w:val="DefaultChar"/>
    <w:rsid w:val="005C7DB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har">
    <w:name w:val="Default Char"/>
    <w:link w:val="Default"/>
    <w:rsid w:val="005C7DB4"/>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D411B8"/>
    <w:rPr>
      <w:sz w:val="16"/>
      <w:szCs w:val="16"/>
    </w:rPr>
  </w:style>
  <w:style w:type="paragraph" w:styleId="CommentText">
    <w:name w:val="annotation text"/>
    <w:basedOn w:val="Normal"/>
    <w:link w:val="CommentTextChar"/>
    <w:uiPriority w:val="99"/>
    <w:unhideWhenUsed/>
    <w:rsid w:val="00D411B8"/>
    <w:pPr>
      <w:spacing w:line="240" w:lineRule="auto"/>
    </w:pPr>
    <w:rPr>
      <w:sz w:val="20"/>
      <w:szCs w:val="20"/>
    </w:rPr>
  </w:style>
  <w:style w:type="character" w:customStyle="1" w:styleId="CommentTextChar">
    <w:name w:val="Comment Text Char"/>
    <w:basedOn w:val="DefaultParagraphFont"/>
    <w:link w:val="CommentText"/>
    <w:uiPriority w:val="99"/>
    <w:rsid w:val="00D411B8"/>
    <w:rPr>
      <w:sz w:val="20"/>
      <w:szCs w:val="20"/>
    </w:rPr>
  </w:style>
  <w:style w:type="paragraph" w:styleId="CommentSubject">
    <w:name w:val="annotation subject"/>
    <w:basedOn w:val="CommentText"/>
    <w:next w:val="CommentText"/>
    <w:link w:val="CommentSubjectChar"/>
    <w:uiPriority w:val="99"/>
    <w:semiHidden/>
    <w:unhideWhenUsed/>
    <w:rsid w:val="00D411B8"/>
    <w:rPr>
      <w:b/>
      <w:bCs/>
    </w:rPr>
  </w:style>
  <w:style w:type="character" w:customStyle="1" w:styleId="CommentSubjectChar">
    <w:name w:val="Comment Subject Char"/>
    <w:basedOn w:val="CommentTextChar"/>
    <w:link w:val="CommentSubject"/>
    <w:uiPriority w:val="99"/>
    <w:semiHidden/>
    <w:rsid w:val="00D411B8"/>
    <w:rPr>
      <w:b/>
      <w:bCs/>
      <w:sz w:val="20"/>
      <w:szCs w:val="20"/>
    </w:rPr>
  </w:style>
  <w:style w:type="character" w:customStyle="1" w:styleId="hvr">
    <w:name w:val="hvr"/>
    <w:basedOn w:val="DefaultParagraphFont"/>
    <w:rsid w:val="002206CA"/>
  </w:style>
  <w:style w:type="character" w:customStyle="1" w:styleId="apple-converted-space">
    <w:name w:val="apple-converted-space"/>
    <w:basedOn w:val="DefaultParagraphFont"/>
    <w:rsid w:val="002206CA"/>
  </w:style>
  <w:style w:type="paragraph" w:styleId="ListParagraph">
    <w:name w:val="List Paragraph"/>
    <w:basedOn w:val="Normal"/>
    <w:uiPriority w:val="34"/>
    <w:qFormat/>
    <w:rsid w:val="00B054C4"/>
    <w:pPr>
      <w:ind w:left="720"/>
      <w:contextualSpacing/>
    </w:pPr>
  </w:style>
  <w:style w:type="paragraph" w:styleId="FootnoteText">
    <w:name w:val="footnote text"/>
    <w:basedOn w:val="Normal"/>
    <w:link w:val="FootnoteTextChar"/>
    <w:semiHidden/>
    <w:unhideWhenUsed/>
    <w:rsid w:val="007C6CC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C6CC1"/>
    <w:rPr>
      <w:rFonts w:ascii="Times New Roman" w:eastAsia="Times New Roman" w:hAnsi="Times New Roman" w:cs="Times New Roman"/>
      <w:sz w:val="20"/>
      <w:szCs w:val="20"/>
    </w:rPr>
  </w:style>
  <w:style w:type="character" w:styleId="FootnoteReference">
    <w:name w:val="footnote reference"/>
    <w:semiHidden/>
    <w:unhideWhenUsed/>
    <w:rsid w:val="007C6CC1"/>
    <w:rPr>
      <w:vertAlign w:val="superscript"/>
    </w:rPr>
  </w:style>
  <w:style w:type="paragraph" w:styleId="Revision">
    <w:name w:val="Revision"/>
    <w:hidden/>
    <w:uiPriority w:val="99"/>
    <w:semiHidden/>
    <w:rsid w:val="008C0F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44">
      <w:bodyDiv w:val="1"/>
      <w:marLeft w:val="0"/>
      <w:marRight w:val="0"/>
      <w:marTop w:val="0"/>
      <w:marBottom w:val="0"/>
      <w:divBdr>
        <w:top w:val="none" w:sz="0" w:space="0" w:color="auto"/>
        <w:left w:val="none" w:sz="0" w:space="0" w:color="auto"/>
        <w:bottom w:val="none" w:sz="0" w:space="0" w:color="auto"/>
        <w:right w:val="none" w:sz="0" w:space="0" w:color="auto"/>
      </w:divBdr>
    </w:div>
    <w:div w:id="240525092">
      <w:bodyDiv w:val="1"/>
      <w:marLeft w:val="0"/>
      <w:marRight w:val="0"/>
      <w:marTop w:val="0"/>
      <w:marBottom w:val="0"/>
      <w:divBdr>
        <w:top w:val="none" w:sz="0" w:space="0" w:color="auto"/>
        <w:left w:val="none" w:sz="0" w:space="0" w:color="auto"/>
        <w:bottom w:val="none" w:sz="0" w:space="0" w:color="auto"/>
        <w:right w:val="none" w:sz="0" w:space="0" w:color="auto"/>
      </w:divBdr>
    </w:div>
    <w:div w:id="414084812">
      <w:bodyDiv w:val="1"/>
      <w:marLeft w:val="0"/>
      <w:marRight w:val="0"/>
      <w:marTop w:val="0"/>
      <w:marBottom w:val="0"/>
      <w:divBdr>
        <w:top w:val="none" w:sz="0" w:space="0" w:color="auto"/>
        <w:left w:val="none" w:sz="0" w:space="0" w:color="auto"/>
        <w:bottom w:val="none" w:sz="0" w:space="0" w:color="auto"/>
        <w:right w:val="none" w:sz="0" w:space="0" w:color="auto"/>
      </w:divBdr>
    </w:div>
    <w:div w:id="533276903">
      <w:bodyDiv w:val="1"/>
      <w:marLeft w:val="0"/>
      <w:marRight w:val="0"/>
      <w:marTop w:val="0"/>
      <w:marBottom w:val="0"/>
      <w:divBdr>
        <w:top w:val="none" w:sz="0" w:space="0" w:color="auto"/>
        <w:left w:val="none" w:sz="0" w:space="0" w:color="auto"/>
        <w:bottom w:val="none" w:sz="0" w:space="0" w:color="auto"/>
        <w:right w:val="none" w:sz="0" w:space="0" w:color="auto"/>
      </w:divBdr>
    </w:div>
    <w:div w:id="663355704">
      <w:bodyDiv w:val="1"/>
      <w:marLeft w:val="0"/>
      <w:marRight w:val="0"/>
      <w:marTop w:val="0"/>
      <w:marBottom w:val="0"/>
      <w:divBdr>
        <w:top w:val="none" w:sz="0" w:space="0" w:color="auto"/>
        <w:left w:val="none" w:sz="0" w:space="0" w:color="auto"/>
        <w:bottom w:val="none" w:sz="0" w:space="0" w:color="auto"/>
        <w:right w:val="none" w:sz="0" w:space="0" w:color="auto"/>
      </w:divBdr>
    </w:div>
    <w:div w:id="717440718">
      <w:bodyDiv w:val="1"/>
      <w:marLeft w:val="0"/>
      <w:marRight w:val="0"/>
      <w:marTop w:val="0"/>
      <w:marBottom w:val="0"/>
      <w:divBdr>
        <w:top w:val="none" w:sz="0" w:space="0" w:color="auto"/>
        <w:left w:val="none" w:sz="0" w:space="0" w:color="auto"/>
        <w:bottom w:val="none" w:sz="0" w:space="0" w:color="auto"/>
        <w:right w:val="none" w:sz="0" w:space="0" w:color="auto"/>
      </w:divBdr>
    </w:div>
    <w:div w:id="766343525">
      <w:bodyDiv w:val="1"/>
      <w:marLeft w:val="0"/>
      <w:marRight w:val="0"/>
      <w:marTop w:val="0"/>
      <w:marBottom w:val="0"/>
      <w:divBdr>
        <w:top w:val="none" w:sz="0" w:space="0" w:color="auto"/>
        <w:left w:val="none" w:sz="0" w:space="0" w:color="auto"/>
        <w:bottom w:val="none" w:sz="0" w:space="0" w:color="auto"/>
        <w:right w:val="none" w:sz="0" w:space="0" w:color="auto"/>
      </w:divBdr>
    </w:div>
    <w:div w:id="892349558">
      <w:bodyDiv w:val="1"/>
      <w:marLeft w:val="0"/>
      <w:marRight w:val="0"/>
      <w:marTop w:val="0"/>
      <w:marBottom w:val="0"/>
      <w:divBdr>
        <w:top w:val="none" w:sz="0" w:space="0" w:color="auto"/>
        <w:left w:val="none" w:sz="0" w:space="0" w:color="auto"/>
        <w:bottom w:val="none" w:sz="0" w:space="0" w:color="auto"/>
        <w:right w:val="none" w:sz="0" w:space="0" w:color="auto"/>
      </w:divBdr>
    </w:div>
    <w:div w:id="989016947">
      <w:bodyDiv w:val="1"/>
      <w:marLeft w:val="0"/>
      <w:marRight w:val="0"/>
      <w:marTop w:val="0"/>
      <w:marBottom w:val="0"/>
      <w:divBdr>
        <w:top w:val="none" w:sz="0" w:space="0" w:color="auto"/>
        <w:left w:val="none" w:sz="0" w:space="0" w:color="auto"/>
        <w:bottom w:val="none" w:sz="0" w:space="0" w:color="auto"/>
        <w:right w:val="none" w:sz="0" w:space="0" w:color="auto"/>
      </w:divBdr>
    </w:div>
    <w:div w:id="1126195896">
      <w:bodyDiv w:val="1"/>
      <w:marLeft w:val="0"/>
      <w:marRight w:val="0"/>
      <w:marTop w:val="0"/>
      <w:marBottom w:val="0"/>
      <w:divBdr>
        <w:top w:val="none" w:sz="0" w:space="0" w:color="auto"/>
        <w:left w:val="none" w:sz="0" w:space="0" w:color="auto"/>
        <w:bottom w:val="none" w:sz="0" w:space="0" w:color="auto"/>
        <w:right w:val="none" w:sz="0" w:space="0" w:color="auto"/>
      </w:divBdr>
    </w:div>
    <w:div w:id="1458984905">
      <w:bodyDiv w:val="1"/>
      <w:marLeft w:val="0"/>
      <w:marRight w:val="0"/>
      <w:marTop w:val="0"/>
      <w:marBottom w:val="0"/>
      <w:divBdr>
        <w:top w:val="none" w:sz="0" w:space="0" w:color="auto"/>
        <w:left w:val="none" w:sz="0" w:space="0" w:color="auto"/>
        <w:bottom w:val="none" w:sz="0" w:space="0" w:color="auto"/>
        <w:right w:val="none" w:sz="0" w:space="0" w:color="auto"/>
      </w:divBdr>
    </w:div>
    <w:div w:id="1459643245">
      <w:bodyDiv w:val="1"/>
      <w:marLeft w:val="0"/>
      <w:marRight w:val="0"/>
      <w:marTop w:val="0"/>
      <w:marBottom w:val="0"/>
      <w:divBdr>
        <w:top w:val="none" w:sz="0" w:space="0" w:color="auto"/>
        <w:left w:val="none" w:sz="0" w:space="0" w:color="auto"/>
        <w:bottom w:val="none" w:sz="0" w:space="0" w:color="auto"/>
        <w:right w:val="none" w:sz="0" w:space="0" w:color="auto"/>
      </w:divBdr>
    </w:div>
    <w:div w:id="175486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198B4-4F1F-40A5-9F1D-85516454CFD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Johnson, Sharon (EHS)</cp:lastModifiedBy>
  <cp:revision>5</cp:revision>
  <cp:lastPrinted>2017-03-31T13:51:00Z</cp:lastPrinted>
  <dcterms:created xsi:type="dcterms:W3CDTF">2026-06-24T19:46:00Z</dcterms:created>
  <dcterms:modified xsi:type="dcterms:W3CDTF">2026-06-24T19:48:00Z</dcterms:modified>
</cp:coreProperties>
</file>