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A0D6" w14:textId="0E062C27" w:rsidR="007C6CC1" w:rsidRPr="00735AD2" w:rsidRDefault="00E03A2E" w:rsidP="00735AD2">
      <w:pPr>
        <w:autoSpaceDE w:val="0"/>
        <w:autoSpaceDN w:val="0"/>
        <w:adjustRightInd w:val="0"/>
        <w:spacing w:line="360" w:lineRule="auto"/>
        <w:rPr>
          <w:rFonts w:eastAsia="Calibri" w:cstheme="minorHAnsi"/>
          <w:sz w:val="24"/>
          <w:szCs w:val="24"/>
        </w:rPr>
      </w:pPr>
      <w:r w:rsidRPr="00735AD2">
        <w:rPr>
          <w:rFonts w:eastAsia="Calibri" w:cstheme="minorHAnsi"/>
          <w:sz w:val="24"/>
          <w:szCs w:val="24"/>
        </w:rPr>
        <w:t>Good morning</w:t>
      </w:r>
      <w:r w:rsidR="00A32070" w:rsidRPr="00735AD2">
        <w:rPr>
          <w:rFonts w:eastAsia="Calibri" w:cstheme="minorHAnsi"/>
          <w:sz w:val="24"/>
          <w:szCs w:val="24"/>
        </w:rPr>
        <w:t>.</w:t>
      </w:r>
      <w:r w:rsidRPr="00735AD2">
        <w:rPr>
          <w:rFonts w:eastAsia="Calibri" w:cstheme="minorHAnsi"/>
          <w:sz w:val="24"/>
          <w:szCs w:val="24"/>
        </w:rPr>
        <w:t xml:space="preserve"> </w:t>
      </w:r>
      <w:r w:rsidR="00A32070" w:rsidRPr="00735AD2">
        <w:rPr>
          <w:rFonts w:eastAsia="Calibri" w:cstheme="minorHAnsi"/>
          <w:sz w:val="24"/>
          <w:szCs w:val="24"/>
        </w:rPr>
        <w:t>M</w:t>
      </w:r>
      <w:r w:rsidRPr="00735AD2">
        <w:rPr>
          <w:rFonts w:eastAsia="Calibri" w:cstheme="minorHAnsi"/>
          <w:sz w:val="24"/>
          <w:szCs w:val="24"/>
        </w:rPr>
        <w:t xml:space="preserve">y name is </w:t>
      </w:r>
      <w:r w:rsidR="00144700" w:rsidRPr="00735AD2">
        <w:rPr>
          <w:rFonts w:eastAsia="Calibri" w:cstheme="minorHAnsi"/>
          <w:sz w:val="24"/>
          <w:szCs w:val="24"/>
        </w:rPr>
        <w:t xml:space="preserve">Marie </w:t>
      </w:r>
      <w:proofErr w:type="gramStart"/>
      <w:r w:rsidR="00144700" w:rsidRPr="00735AD2">
        <w:rPr>
          <w:rFonts w:eastAsia="Calibri" w:cstheme="minorHAnsi"/>
          <w:sz w:val="24"/>
          <w:szCs w:val="24"/>
        </w:rPr>
        <w:t>Lenane</w:t>
      </w:r>
      <w:proofErr w:type="gramEnd"/>
      <w:r w:rsidRPr="00735AD2">
        <w:rPr>
          <w:rFonts w:eastAsia="Calibri" w:cstheme="minorHAnsi"/>
          <w:sz w:val="24"/>
          <w:szCs w:val="24"/>
        </w:rPr>
        <w:t xml:space="preserve"> and I am a P</w:t>
      </w:r>
      <w:r w:rsidR="00084730" w:rsidRPr="00735AD2">
        <w:rPr>
          <w:rFonts w:eastAsia="Calibri" w:cstheme="minorHAnsi"/>
          <w:sz w:val="24"/>
          <w:szCs w:val="24"/>
        </w:rPr>
        <w:t>olicy</w:t>
      </w:r>
      <w:r w:rsidRPr="00735AD2">
        <w:rPr>
          <w:rFonts w:eastAsia="Calibri" w:cstheme="minorHAnsi"/>
          <w:sz w:val="24"/>
          <w:szCs w:val="24"/>
        </w:rPr>
        <w:t xml:space="preserve"> Analyst at the Executive Office of Health and Human Services (EOHHS). I am here to present staff testimony on the proposed </w:t>
      </w:r>
      <w:r w:rsidR="00036A12" w:rsidRPr="00735AD2">
        <w:rPr>
          <w:rFonts w:eastAsia="Calibri" w:cstheme="minorHAnsi"/>
          <w:sz w:val="24"/>
          <w:szCs w:val="24"/>
        </w:rPr>
        <w:t>amendment</w:t>
      </w:r>
      <w:r w:rsidR="00084730" w:rsidRPr="00735AD2">
        <w:rPr>
          <w:rFonts w:eastAsia="Calibri" w:cstheme="minorHAnsi"/>
          <w:sz w:val="24"/>
          <w:szCs w:val="24"/>
        </w:rPr>
        <w:t>s</w:t>
      </w:r>
      <w:r w:rsidR="00E635C6" w:rsidRPr="00735AD2">
        <w:rPr>
          <w:rFonts w:eastAsia="Calibri" w:cstheme="minorHAnsi"/>
          <w:sz w:val="24"/>
          <w:szCs w:val="24"/>
        </w:rPr>
        <w:t xml:space="preserve"> to </w:t>
      </w:r>
      <w:r w:rsidRPr="00735AD2">
        <w:rPr>
          <w:rFonts w:eastAsia="Calibri" w:cstheme="minorHAnsi"/>
          <w:sz w:val="24"/>
          <w:szCs w:val="24"/>
        </w:rPr>
        <w:t xml:space="preserve">101 CMR </w:t>
      </w:r>
      <w:r w:rsidR="00084730" w:rsidRPr="00735AD2">
        <w:rPr>
          <w:rFonts w:eastAsia="Calibri" w:cstheme="minorHAnsi"/>
          <w:sz w:val="24"/>
          <w:szCs w:val="24"/>
        </w:rPr>
        <w:t>346</w:t>
      </w:r>
      <w:r w:rsidR="001E0299" w:rsidRPr="00735AD2">
        <w:rPr>
          <w:rFonts w:eastAsia="Calibri" w:cstheme="minorHAnsi"/>
          <w:sz w:val="24"/>
          <w:szCs w:val="24"/>
        </w:rPr>
        <w:t>.00</w:t>
      </w:r>
      <w:r w:rsidRPr="00735AD2">
        <w:rPr>
          <w:rFonts w:eastAsia="Calibri" w:cstheme="minorHAnsi"/>
          <w:sz w:val="24"/>
          <w:szCs w:val="24"/>
        </w:rPr>
        <w:t>: Rates for</w:t>
      </w:r>
      <w:r w:rsidR="00562D64" w:rsidRPr="00735AD2">
        <w:rPr>
          <w:rFonts w:eastAsia="Calibri" w:cstheme="minorHAnsi"/>
          <w:sz w:val="24"/>
          <w:szCs w:val="24"/>
        </w:rPr>
        <w:t xml:space="preserve"> </w:t>
      </w:r>
      <w:r w:rsidR="00084730" w:rsidRPr="00735AD2">
        <w:rPr>
          <w:rFonts w:eastAsia="Calibri" w:cstheme="minorHAnsi"/>
          <w:sz w:val="24"/>
          <w:szCs w:val="24"/>
        </w:rPr>
        <w:t>Certain Substance</w:t>
      </w:r>
      <w:r w:rsidR="001E0299" w:rsidRPr="00735AD2">
        <w:rPr>
          <w:rFonts w:eastAsia="Calibri" w:cstheme="minorHAnsi"/>
          <w:sz w:val="24"/>
          <w:szCs w:val="24"/>
        </w:rPr>
        <w:t>-</w:t>
      </w:r>
      <w:r w:rsidR="00084730" w:rsidRPr="00735AD2">
        <w:rPr>
          <w:rFonts w:eastAsia="Calibri" w:cstheme="minorHAnsi"/>
          <w:sz w:val="24"/>
          <w:szCs w:val="24"/>
        </w:rPr>
        <w:t>Related and Addictive Disorders Programs</w:t>
      </w:r>
      <w:r w:rsidR="00D1391C" w:rsidRPr="00735AD2">
        <w:rPr>
          <w:rFonts w:eastAsia="Calibri" w:cstheme="minorHAnsi"/>
          <w:sz w:val="24"/>
          <w:szCs w:val="24"/>
        </w:rPr>
        <w:t>.</w:t>
      </w:r>
    </w:p>
    <w:p w14:paraId="0362D54D" w14:textId="0EA5E9E4" w:rsidR="006B169B" w:rsidRPr="00735AD2" w:rsidRDefault="00890C3E" w:rsidP="00735AD2">
      <w:pPr>
        <w:spacing w:line="360" w:lineRule="auto"/>
        <w:ind w:right="-540"/>
        <w:rPr>
          <w:rFonts w:cstheme="minorHAnsi"/>
          <w:sz w:val="24"/>
          <w:szCs w:val="24"/>
        </w:rPr>
      </w:pPr>
      <w:r w:rsidRPr="00735AD2">
        <w:rPr>
          <w:rFonts w:cstheme="minorHAnsi"/>
          <w:sz w:val="24"/>
          <w:szCs w:val="24"/>
        </w:rPr>
        <w:t xml:space="preserve">Amendments to this regulation are being proposed </w:t>
      </w:r>
      <w:proofErr w:type="gramStart"/>
      <w:r w:rsidRPr="00735AD2">
        <w:rPr>
          <w:rFonts w:cstheme="minorHAnsi"/>
          <w:sz w:val="24"/>
          <w:szCs w:val="24"/>
        </w:rPr>
        <w:t>at this time</w:t>
      </w:r>
      <w:proofErr w:type="gramEnd"/>
      <w:r w:rsidR="00CA7906">
        <w:rPr>
          <w:rFonts w:cstheme="minorHAnsi"/>
          <w:sz w:val="24"/>
          <w:szCs w:val="24"/>
        </w:rPr>
        <w:t xml:space="preserve"> on an emergency basis</w:t>
      </w:r>
      <w:r w:rsidRPr="00735AD2">
        <w:rPr>
          <w:rFonts w:cstheme="minorHAnsi"/>
          <w:sz w:val="24"/>
          <w:szCs w:val="24"/>
        </w:rPr>
        <w:t xml:space="preserve"> in accordance with M</w:t>
      </w:r>
      <w:r w:rsidR="00D61C27" w:rsidRPr="00735AD2">
        <w:rPr>
          <w:rFonts w:cstheme="minorHAnsi"/>
          <w:sz w:val="24"/>
          <w:szCs w:val="24"/>
        </w:rPr>
        <w:t>.</w:t>
      </w:r>
      <w:r w:rsidRPr="00735AD2">
        <w:rPr>
          <w:rFonts w:cstheme="minorHAnsi"/>
          <w:sz w:val="24"/>
          <w:szCs w:val="24"/>
        </w:rPr>
        <w:t>G</w:t>
      </w:r>
      <w:r w:rsidR="00D61C27" w:rsidRPr="00735AD2">
        <w:rPr>
          <w:rFonts w:cstheme="minorHAnsi"/>
          <w:sz w:val="24"/>
          <w:szCs w:val="24"/>
        </w:rPr>
        <w:t>.</w:t>
      </w:r>
      <w:r w:rsidRPr="00735AD2">
        <w:rPr>
          <w:rFonts w:cstheme="minorHAnsi"/>
          <w:sz w:val="24"/>
          <w:szCs w:val="24"/>
        </w:rPr>
        <w:t>L</w:t>
      </w:r>
      <w:r w:rsidR="00636A83" w:rsidRPr="00735AD2">
        <w:rPr>
          <w:rFonts w:cstheme="minorHAnsi"/>
          <w:sz w:val="24"/>
          <w:szCs w:val="24"/>
        </w:rPr>
        <w:t xml:space="preserve">. </w:t>
      </w:r>
      <w:r w:rsidRPr="00735AD2">
        <w:rPr>
          <w:rFonts w:cstheme="minorHAnsi"/>
          <w:sz w:val="24"/>
          <w:szCs w:val="24"/>
        </w:rPr>
        <w:t xml:space="preserve"> Chapter 118E, Section 13D</w:t>
      </w:r>
      <w:r w:rsidR="00636A83" w:rsidRPr="00735AD2">
        <w:rPr>
          <w:rFonts w:cstheme="minorHAnsi"/>
          <w:sz w:val="24"/>
          <w:szCs w:val="24"/>
        </w:rPr>
        <w:t>,</w:t>
      </w:r>
      <w:r w:rsidRPr="00735AD2">
        <w:rPr>
          <w:rFonts w:cstheme="minorHAnsi"/>
          <w:sz w:val="24"/>
          <w:szCs w:val="24"/>
        </w:rPr>
        <w:t xml:space="preserve"> which requires the secretary of EOHHS to establish</w:t>
      </w:r>
      <w:r w:rsidR="006536F8" w:rsidRPr="00735AD2">
        <w:rPr>
          <w:rFonts w:cstheme="minorHAnsi"/>
          <w:sz w:val="24"/>
          <w:szCs w:val="24"/>
        </w:rPr>
        <w:t>,</w:t>
      </w:r>
      <w:r w:rsidRPr="00735AD2">
        <w:rPr>
          <w:rFonts w:cstheme="minorHAnsi"/>
          <w:sz w:val="24"/>
          <w:szCs w:val="24"/>
        </w:rPr>
        <w:t xml:space="preserve"> by regulation</w:t>
      </w:r>
      <w:r w:rsidR="006536F8" w:rsidRPr="00735AD2">
        <w:rPr>
          <w:rFonts w:cstheme="minorHAnsi"/>
          <w:sz w:val="24"/>
          <w:szCs w:val="24"/>
        </w:rPr>
        <w:t>,</w:t>
      </w:r>
      <w:r w:rsidRPr="00735AD2">
        <w:rPr>
          <w:rFonts w:cstheme="minorHAnsi"/>
          <w:sz w:val="24"/>
          <w:szCs w:val="24"/>
        </w:rPr>
        <w:t xml:space="preserve"> rates to be paid by governmental units for health services </w:t>
      </w:r>
      <w:r w:rsidR="00D61C27" w:rsidRPr="00735AD2">
        <w:rPr>
          <w:rFonts w:cstheme="minorHAnsi"/>
          <w:sz w:val="24"/>
          <w:szCs w:val="24"/>
        </w:rPr>
        <w:t xml:space="preserve">and </w:t>
      </w:r>
      <w:r w:rsidRPr="00735AD2">
        <w:rPr>
          <w:rFonts w:cstheme="minorHAnsi"/>
          <w:sz w:val="24"/>
          <w:szCs w:val="24"/>
        </w:rPr>
        <w:t xml:space="preserve">social service programs. </w:t>
      </w:r>
      <w:r w:rsidR="006B169B" w:rsidRPr="00735AD2">
        <w:rPr>
          <w:rFonts w:cstheme="minorHAnsi"/>
          <w:sz w:val="24"/>
          <w:szCs w:val="24"/>
        </w:rPr>
        <w:t>The proposed amended regulation contains rates effective for dates of service on or after July 1, 202</w:t>
      </w:r>
      <w:r w:rsidR="00CA7906">
        <w:rPr>
          <w:rFonts w:cstheme="minorHAnsi"/>
          <w:sz w:val="24"/>
          <w:szCs w:val="24"/>
        </w:rPr>
        <w:t>5</w:t>
      </w:r>
      <w:r w:rsidR="006B169B" w:rsidRPr="00735AD2">
        <w:rPr>
          <w:rFonts w:cstheme="minorHAnsi"/>
          <w:sz w:val="24"/>
          <w:szCs w:val="24"/>
        </w:rPr>
        <w:t>.</w:t>
      </w:r>
    </w:p>
    <w:p w14:paraId="7994BE51" w14:textId="7D28D11F" w:rsidR="00CA7906" w:rsidRPr="00CA7906" w:rsidRDefault="002F0E41" w:rsidP="00CA7906">
      <w:pPr>
        <w:suppressAutoHyphens/>
        <w:spacing w:line="360" w:lineRule="auto"/>
        <w:rPr>
          <w:rFonts w:cstheme="minorHAnsi"/>
          <w:sz w:val="24"/>
          <w:szCs w:val="24"/>
        </w:rPr>
      </w:pPr>
      <w:r w:rsidRPr="00735AD2">
        <w:rPr>
          <w:rFonts w:cstheme="minorHAnsi"/>
          <w:sz w:val="24"/>
          <w:szCs w:val="24"/>
        </w:rPr>
        <w:t xml:space="preserve">The proposed amendments to 101 CMR 346.00 update the rates to be paid by </w:t>
      </w:r>
      <w:r w:rsidR="00CA7906" w:rsidRPr="00CA7906">
        <w:rPr>
          <w:rFonts w:cstheme="minorHAnsi"/>
          <w:sz w:val="24"/>
          <w:szCs w:val="24"/>
        </w:rPr>
        <w:t>governmental units for Residential Rehabilitation programs including Clinically Managed Detoxification Programs; Supportive Case Management services; Triage, Engagement, and Assessment (TEA) program services; Office-Based Opioid Treatment (OBOT) ambulatory and recovery coach; and Opioid Treatment Programs (OTP) services. The proposed amendments to these service rates include an increase by a cost adjustment factor (CAF) of 3.25%, effective July 1, 2025. The CAF was determined by using baseline and prospective Massachusetts Economic Indicator data from IHS Economics – Fall 2024 Forecast, baseline scenario data. The CAF reflects the period between the rates’ base period (calendar year 2025 Q2) and the prospective period of fiscal years 2026 and 2027. In addition to the CAF, the rates for all services have been updated to</w:t>
      </w:r>
      <w:r w:rsidR="00CA7906" w:rsidRPr="00CA7906">
        <w:rPr>
          <w:rFonts w:cstheme="minorHAnsi"/>
          <w:bCs/>
          <w:sz w:val="24"/>
          <w:szCs w:val="24"/>
        </w:rPr>
        <w:t xml:space="preserve"> include all staff salaries, benchmarked to the most recent Massachusetts Bureau of Labor Statistics (BLS) wages dated May 2023 at the 53</w:t>
      </w:r>
      <w:r w:rsidR="00CA7906" w:rsidRPr="00CA7906">
        <w:rPr>
          <w:rFonts w:cstheme="minorHAnsi"/>
          <w:bCs/>
          <w:sz w:val="24"/>
          <w:szCs w:val="24"/>
          <w:vertAlign w:val="superscript"/>
        </w:rPr>
        <w:t>rd</w:t>
      </w:r>
      <w:r w:rsidR="00CA7906" w:rsidRPr="00CA7906">
        <w:rPr>
          <w:rFonts w:cstheme="minorHAnsi"/>
          <w:bCs/>
          <w:sz w:val="24"/>
          <w:szCs w:val="24"/>
        </w:rPr>
        <w:t xml:space="preserve"> percentile. The programmatic expenses are benchmarked to the Uniform Financial Statements and Independent Auditor’s Report (UFR) and the purchaser’s recommendations. The administrative allocation is benchmarked to 12% and the tax and fringe rate has been benchmarked to 24.97%</w:t>
      </w:r>
      <w:r w:rsidR="00CA7906" w:rsidRPr="00CA7906">
        <w:rPr>
          <w:rFonts w:cstheme="minorHAnsi"/>
          <w:sz w:val="24"/>
          <w:szCs w:val="24"/>
        </w:rPr>
        <w:t xml:space="preserve">. </w:t>
      </w:r>
      <w:r w:rsidR="00CA7906" w:rsidRPr="00CA7906">
        <w:rPr>
          <w:rFonts w:cstheme="minorHAnsi"/>
          <w:bCs/>
          <w:sz w:val="24"/>
          <w:szCs w:val="24"/>
        </w:rPr>
        <w:t xml:space="preserve">This benchmark is derived from the MA Comptroller’s FY25 approved </w:t>
      </w:r>
      <w:proofErr w:type="gramStart"/>
      <w:r w:rsidR="00CA7906" w:rsidRPr="00CA7906">
        <w:rPr>
          <w:rFonts w:cstheme="minorHAnsi"/>
          <w:bCs/>
          <w:sz w:val="24"/>
          <w:szCs w:val="24"/>
        </w:rPr>
        <w:t>rate</w:t>
      </w:r>
      <w:proofErr w:type="gramEnd"/>
      <w:r w:rsidR="00CA7906" w:rsidRPr="00CA7906">
        <w:rPr>
          <w:rFonts w:cstheme="minorHAnsi"/>
          <w:bCs/>
          <w:sz w:val="24"/>
          <w:szCs w:val="24"/>
        </w:rPr>
        <w:t xml:space="preserve"> less terminal leave and retirement.</w:t>
      </w:r>
      <w:r w:rsidR="00CA7906" w:rsidRPr="00CA7906">
        <w:rPr>
          <w:rFonts w:cstheme="minorHAnsi"/>
          <w:sz w:val="24"/>
          <w:szCs w:val="24"/>
        </w:rPr>
        <w:t xml:space="preserve"> </w:t>
      </w:r>
    </w:p>
    <w:p w14:paraId="38428352" w14:textId="3C214EA7" w:rsidR="00CA7906" w:rsidRPr="00CA7906" w:rsidRDefault="00CA7906" w:rsidP="00CA7906">
      <w:pPr>
        <w:suppressAutoHyphens/>
        <w:spacing w:line="360" w:lineRule="auto"/>
        <w:rPr>
          <w:rFonts w:cstheme="minorHAnsi"/>
          <w:sz w:val="24"/>
          <w:szCs w:val="24"/>
        </w:rPr>
      </w:pPr>
      <w:r w:rsidRPr="00CA7906">
        <w:rPr>
          <w:rFonts w:cstheme="minorHAnsi"/>
          <w:sz w:val="24"/>
          <w:szCs w:val="24"/>
        </w:rPr>
        <w:t xml:space="preserve">At the request of the provider community, the proposed amendments also incorporate the rates for Opioid Treatment Programs (OTPs) into this regulation. These OTP rates are currently in 101 CMR 444.00: </w:t>
      </w:r>
      <w:r w:rsidRPr="00CA7906">
        <w:rPr>
          <w:rFonts w:cstheme="minorHAnsi"/>
          <w:i/>
          <w:iCs/>
          <w:sz w:val="24"/>
          <w:szCs w:val="24"/>
        </w:rPr>
        <w:t>Rates for Certain Substance Use Disorder Services</w:t>
      </w:r>
      <w:r w:rsidRPr="00CA7906">
        <w:rPr>
          <w:rFonts w:cstheme="minorHAnsi"/>
          <w:sz w:val="24"/>
          <w:szCs w:val="24"/>
        </w:rPr>
        <w:t>; however, they have been noted for removal, effective July 1, 2025.</w:t>
      </w:r>
    </w:p>
    <w:p w14:paraId="6AB4AC51" w14:textId="77777777" w:rsidR="00CA7906" w:rsidRPr="00CA7906" w:rsidRDefault="00CA7906" w:rsidP="00CA7906">
      <w:pPr>
        <w:suppressAutoHyphens/>
        <w:spacing w:line="360" w:lineRule="auto"/>
        <w:rPr>
          <w:rFonts w:cstheme="minorHAnsi"/>
          <w:sz w:val="24"/>
          <w:szCs w:val="24"/>
        </w:rPr>
      </w:pPr>
    </w:p>
    <w:p w14:paraId="2819F12B" w14:textId="1AF99FAF" w:rsidR="00CA7906" w:rsidRPr="00CA7906" w:rsidRDefault="00CA7906" w:rsidP="00CA7906">
      <w:pPr>
        <w:suppressAutoHyphens/>
        <w:spacing w:line="360" w:lineRule="auto"/>
        <w:rPr>
          <w:rFonts w:cstheme="minorHAnsi"/>
          <w:sz w:val="24"/>
          <w:szCs w:val="24"/>
        </w:rPr>
      </w:pPr>
      <w:r w:rsidRPr="00CA7906">
        <w:rPr>
          <w:rFonts w:cstheme="minorHAnsi"/>
          <w:sz w:val="24"/>
          <w:szCs w:val="24"/>
        </w:rPr>
        <w:lastRenderedPageBreak/>
        <w:t xml:space="preserve">Additionally, the proposed amendments include a new rate aimed to improve access to medications for opioid use disorders (MOUD), including methadone, for nursing facility residents with substance use disorders (SUDs). The purpose of the rate is to incentivize OTPs to work more closely with nursing facilities to deliver medications directly to residents and reduce the need for daily resident transportation to OTPs, thereby generating savings from reduced transportation costs. </w:t>
      </w:r>
    </w:p>
    <w:p w14:paraId="7929274C" w14:textId="3E5B1421" w:rsidR="00CA7906" w:rsidRPr="00CA7906" w:rsidRDefault="00CA7906" w:rsidP="00CA7906">
      <w:pPr>
        <w:suppressAutoHyphens/>
        <w:spacing w:line="360" w:lineRule="auto"/>
        <w:rPr>
          <w:rFonts w:cstheme="minorHAnsi"/>
          <w:sz w:val="24"/>
          <w:szCs w:val="24"/>
        </w:rPr>
      </w:pPr>
      <w:r w:rsidRPr="00CA7906">
        <w:rPr>
          <w:rFonts w:cstheme="minorHAnsi"/>
          <w:sz w:val="24"/>
          <w:szCs w:val="24"/>
        </w:rPr>
        <w:t>The estimated fiscal impact of the proposed amendments to the clinically managed detoxification programs; supportive case management services; triage, engagement, and assessment (TEA) program services; and office-based opioid treatment (OBOT) ambulatory and recovery coach rates for DPH is an overall annualized increase in state spending of 13.11% or approximately $9.76 million over FY24 spend</w:t>
      </w:r>
      <w:r w:rsidR="0087574A">
        <w:rPr>
          <w:rFonts w:cstheme="minorHAnsi"/>
          <w:sz w:val="24"/>
          <w:szCs w:val="24"/>
        </w:rPr>
        <w:t>ing</w:t>
      </w:r>
      <w:r w:rsidRPr="00CA7906">
        <w:rPr>
          <w:rFonts w:cstheme="minorHAnsi"/>
          <w:sz w:val="24"/>
          <w:szCs w:val="24"/>
        </w:rPr>
        <w:t xml:space="preserve"> of $74.4 million. The estimated fiscal impact to MassHealth is an overall </w:t>
      </w:r>
      <w:proofErr w:type="gramStart"/>
      <w:r w:rsidRPr="00CA7906">
        <w:rPr>
          <w:rFonts w:cstheme="minorHAnsi"/>
          <w:sz w:val="24"/>
          <w:szCs w:val="24"/>
        </w:rPr>
        <w:t>annualized</w:t>
      </w:r>
      <w:proofErr w:type="gramEnd"/>
      <w:r w:rsidRPr="00CA7906">
        <w:rPr>
          <w:rFonts w:cstheme="minorHAnsi"/>
          <w:sz w:val="24"/>
          <w:szCs w:val="24"/>
        </w:rPr>
        <w:t xml:space="preserve"> increase in spending of 13.47% or approximately $1.6 million over FY24 fee for service spend</w:t>
      </w:r>
      <w:r w:rsidR="00C05633">
        <w:rPr>
          <w:rFonts w:cstheme="minorHAnsi"/>
          <w:sz w:val="24"/>
          <w:szCs w:val="24"/>
        </w:rPr>
        <w:t>ing</w:t>
      </w:r>
      <w:r w:rsidRPr="00CA7906">
        <w:rPr>
          <w:rFonts w:cstheme="minorHAnsi"/>
          <w:sz w:val="24"/>
          <w:szCs w:val="24"/>
        </w:rPr>
        <w:t xml:space="preserve"> of $11.9 million. The increase in spending in FY26 will be covered through a combination of the Chapter 257 Reserve Account and the DPH and MassHealth FY26 operating budgets.</w:t>
      </w:r>
    </w:p>
    <w:p w14:paraId="2CDA7E7D" w14:textId="77777777" w:rsidR="00CA7906" w:rsidRPr="00CA7906" w:rsidRDefault="00CA7906" w:rsidP="00CA7906">
      <w:pPr>
        <w:suppressAutoHyphens/>
        <w:spacing w:line="360" w:lineRule="auto"/>
        <w:rPr>
          <w:rFonts w:cstheme="minorHAnsi"/>
          <w:sz w:val="24"/>
          <w:szCs w:val="24"/>
        </w:rPr>
      </w:pPr>
      <w:r w:rsidRPr="00CA7906">
        <w:rPr>
          <w:rFonts w:cstheme="minorHAnsi"/>
          <w:sz w:val="24"/>
          <w:szCs w:val="24"/>
        </w:rPr>
        <w:t>The estimated fiscal impact of the rates for OTP services being incorporated into the regulation is estimated to be $14.8 million for DPH and $18.7 million for MassHealth and will be covered through a combination of the Chapter 257 Reserve Account and the DPH and MassHealth FY26 operating budgets.</w:t>
      </w:r>
    </w:p>
    <w:p w14:paraId="2A6C4406" w14:textId="77777777" w:rsidR="00CA7906" w:rsidRPr="00CA7906" w:rsidRDefault="00CA7906" w:rsidP="00CA7906">
      <w:pPr>
        <w:suppressAutoHyphens/>
        <w:spacing w:line="360" w:lineRule="auto"/>
        <w:rPr>
          <w:rFonts w:cstheme="minorHAnsi"/>
          <w:sz w:val="24"/>
          <w:szCs w:val="24"/>
        </w:rPr>
      </w:pPr>
      <w:r w:rsidRPr="00CA7906">
        <w:rPr>
          <w:rFonts w:cstheme="minorHAnsi"/>
          <w:sz w:val="24"/>
          <w:szCs w:val="24"/>
        </w:rPr>
        <w:t xml:space="preserve">The estimated fiscal impact of the new medication access rate is approximately $900,000 and will be covered through the MassHealth agency’s operating budget. </w:t>
      </w:r>
    </w:p>
    <w:p w14:paraId="5EF8D80F" w14:textId="21EB898D" w:rsidR="00D73910" w:rsidRPr="00735AD2" w:rsidRDefault="00D73910" w:rsidP="00CA7906">
      <w:pPr>
        <w:suppressAutoHyphens/>
        <w:spacing w:line="360" w:lineRule="auto"/>
        <w:rPr>
          <w:rFonts w:eastAsia="Calibri" w:cstheme="minorHAnsi"/>
          <w:b/>
          <w:sz w:val="24"/>
          <w:szCs w:val="24"/>
          <w:u w:val="single"/>
        </w:rPr>
      </w:pPr>
      <w:r w:rsidRPr="00735AD2">
        <w:rPr>
          <w:rFonts w:cstheme="minorHAnsi"/>
          <w:sz w:val="24"/>
          <w:szCs w:val="24"/>
        </w:rPr>
        <w:t>Thank you</w:t>
      </w:r>
    </w:p>
    <w:sectPr w:rsidR="00D73910" w:rsidRPr="00735AD2" w:rsidSect="00735AD2">
      <w:headerReference w:type="default" r:id="rId8"/>
      <w:footerReference w:type="default" r:id="rId9"/>
      <w:pgSz w:w="12240" w:h="15840"/>
      <w:pgMar w:top="1170" w:right="9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AB73" w14:textId="77777777" w:rsidR="007128D0" w:rsidRDefault="007128D0" w:rsidP="00E03A2E">
      <w:pPr>
        <w:spacing w:after="0" w:line="240" w:lineRule="auto"/>
      </w:pPr>
      <w:r>
        <w:separator/>
      </w:r>
    </w:p>
  </w:endnote>
  <w:endnote w:type="continuationSeparator" w:id="0">
    <w:p w14:paraId="5C6AA172" w14:textId="77777777" w:rsidR="007128D0" w:rsidRDefault="007128D0" w:rsidP="00E0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523A" w14:textId="77777777" w:rsidR="00CE4957" w:rsidRDefault="00CE4957">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1267CBC9" wp14:editId="33019D7C">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14:paraId="6003721D" w14:textId="77777777" w:rsidR="00CE4957" w:rsidRDefault="00CE4957">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042A6">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1267CBC9"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" fillcolor="window" stroked="f" strokeweight=".5pt">
              <v:textbox style="mso-fit-shape-to-text:t" inset="0,,0">
                <w:txbxContent>
                  <w:p w14:paraId="6003721D" w14:textId="77777777" w:rsidR="00CE4957" w:rsidRDefault="00CE4957">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042A6">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64AB6099" w14:textId="77777777" w:rsidR="00CE4957" w:rsidRDefault="00CE4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769C" w14:textId="77777777" w:rsidR="007128D0" w:rsidRDefault="007128D0" w:rsidP="00E03A2E">
      <w:pPr>
        <w:spacing w:after="0" w:line="240" w:lineRule="auto"/>
      </w:pPr>
      <w:r>
        <w:separator/>
      </w:r>
    </w:p>
  </w:footnote>
  <w:footnote w:type="continuationSeparator" w:id="0">
    <w:p w14:paraId="50BC54B1" w14:textId="77777777" w:rsidR="007128D0" w:rsidRDefault="007128D0" w:rsidP="00E03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96A" w14:textId="6FDD4BA7" w:rsidR="00CE4957" w:rsidRPr="009056BD" w:rsidRDefault="00CE4957" w:rsidP="00D61C27">
    <w:pPr>
      <w:pStyle w:val="Header"/>
      <w:rPr>
        <w:rFonts w:ascii="Times New Roman" w:hAnsi="Times New Roman"/>
        <w:sz w:val="20"/>
        <w:szCs w:val="20"/>
      </w:rPr>
    </w:pPr>
    <w:r w:rsidRPr="004651C7">
      <w:rPr>
        <w:rFonts w:ascii="Times New Roman" w:hAnsi="Times New Roman"/>
        <w:sz w:val="20"/>
        <w:szCs w:val="20"/>
      </w:rPr>
      <w:t xml:space="preserve">Staff Testimony on </w:t>
    </w:r>
    <w:r>
      <w:rPr>
        <w:rFonts w:ascii="Times New Roman" w:hAnsi="Times New Roman"/>
        <w:sz w:val="20"/>
        <w:szCs w:val="20"/>
      </w:rPr>
      <w:t xml:space="preserve">the Regulation </w:t>
    </w:r>
    <w:r w:rsidRPr="009056BD">
      <w:rPr>
        <w:rFonts w:ascii="Times New Roman" w:hAnsi="Times New Roman"/>
        <w:sz w:val="20"/>
        <w:szCs w:val="20"/>
      </w:rPr>
      <w:t xml:space="preserve">101 CMR </w:t>
    </w:r>
    <w:r>
      <w:rPr>
        <w:rFonts w:ascii="Times New Roman" w:hAnsi="Times New Roman"/>
        <w:sz w:val="20"/>
        <w:szCs w:val="20"/>
      </w:rPr>
      <w:t>346.00, Effective July 1, 20</w:t>
    </w:r>
    <w:r w:rsidR="00144700">
      <w:rPr>
        <w:rFonts w:ascii="Times New Roman" w:hAnsi="Times New Roman"/>
        <w:sz w:val="20"/>
        <w:szCs w:val="20"/>
      </w:rPr>
      <w:t>2</w:t>
    </w:r>
    <w:r w:rsidR="00CA7906">
      <w:rPr>
        <w:rFonts w:ascii="Times New Roman" w:hAnsi="Times New Roman"/>
        <w:sz w:val="20"/>
        <w:szCs w:val="20"/>
      </w:rPr>
      <w:t>5</w:t>
    </w:r>
  </w:p>
  <w:p w14:paraId="5983CE59" w14:textId="6408A04A" w:rsidR="00CE4957" w:rsidRPr="009056BD" w:rsidRDefault="00CE4957" w:rsidP="00D61C27">
    <w:pPr>
      <w:pStyle w:val="Header"/>
      <w:rPr>
        <w:rFonts w:ascii="Times New Roman" w:hAnsi="Times New Roman"/>
        <w:sz w:val="24"/>
        <w:szCs w:val="24"/>
      </w:rPr>
    </w:pPr>
    <w:r w:rsidRPr="009056BD">
      <w:rPr>
        <w:rFonts w:ascii="Times New Roman" w:hAnsi="Times New Roman"/>
        <w:sz w:val="20"/>
        <w:szCs w:val="20"/>
      </w:rPr>
      <w:t>Rate</w:t>
    </w:r>
    <w:r>
      <w:rPr>
        <w:rFonts w:ascii="Times New Roman" w:hAnsi="Times New Roman"/>
        <w:sz w:val="20"/>
        <w:szCs w:val="20"/>
      </w:rPr>
      <w:t>s</w:t>
    </w:r>
    <w:r w:rsidRPr="009056BD">
      <w:rPr>
        <w:rFonts w:ascii="Times New Roman" w:hAnsi="Times New Roman"/>
        <w:sz w:val="20"/>
        <w:szCs w:val="20"/>
      </w:rPr>
      <w:t xml:space="preserve"> </w:t>
    </w:r>
    <w:r>
      <w:rPr>
        <w:rFonts w:ascii="Times New Roman" w:hAnsi="Times New Roman"/>
        <w:sz w:val="20"/>
        <w:szCs w:val="20"/>
      </w:rPr>
      <w:t>for Certain Substance Related and Addictive Disorders Programs</w:t>
    </w:r>
    <w:r w:rsidR="006B169B">
      <w:rPr>
        <w:rFonts w:ascii="Times New Roman" w:hAnsi="Times New Roman"/>
        <w:sz w:val="20"/>
        <w:szCs w:val="20"/>
      </w:rPr>
      <w:t>.  Public Hearing</w:t>
    </w:r>
    <w:r w:rsidR="001F47E2">
      <w:rPr>
        <w:rFonts w:ascii="Times New Roman" w:hAnsi="Times New Roman"/>
        <w:sz w:val="20"/>
        <w:szCs w:val="20"/>
      </w:rPr>
      <w:t>:</w:t>
    </w:r>
    <w:r w:rsidR="006B169B">
      <w:rPr>
        <w:rFonts w:ascii="Times New Roman" w:hAnsi="Times New Roman"/>
        <w:sz w:val="20"/>
        <w:szCs w:val="20"/>
      </w:rPr>
      <w:t xml:space="preserve"> </w:t>
    </w:r>
    <w:r w:rsidR="00CA7906">
      <w:rPr>
        <w:rFonts w:ascii="Times New Roman" w:hAnsi="Times New Roman"/>
        <w:sz w:val="20"/>
        <w:szCs w:val="20"/>
      </w:rPr>
      <w:t xml:space="preserve">July </w:t>
    </w:r>
    <w:r w:rsidR="001F47E2">
      <w:rPr>
        <w:rFonts w:ascii="Times New Roman" w:hAnsi="Times New Roman"/>
        <w:sz w:val="20"/>
        <w:szCs w:val="20"/>
      </w:rPr>
      <w:t>11</w:t>
    </w:r>
    <w:r w:rsidR="006B169B">
      <w:rPr>
        <w:rFonts w:ascii="Times New Roman" w:hAnsi="Times New Roman"/>
        <w:sz w:val="20"/>
        <w:szCs w:val="20"/>
      </w:rPr>
      <w:t>, 202</w:t>
    </w:r>
    <w:r w:rsidR="00CA7906">
      <w:rPr>
        <w:rFonts w:ascii="Times New Roman" w:hAnsi="Times New Roman"/>
        <w:sz w:val="20"/>
        <w:szCs w:val="20"/>
      </w:rPr>
      <w:t>5</w:t>
    </w:r>
    <w:r>
      <w:rPr>
        <w:rFonts w:ascii="Times New Roman" w:hAnsi="Times New Roman"/>
        <w:sz w:val="20"/>
        <w:szCs w:val="20"/>
      </w:rPr>
      <w:tab/>
      <w:t xml:space="preserve"> </w:t>
    </w:r>
  </w:p>
  <w:p w14:paraId="30901A2E" w14:textId="77777777" w:rsidR="00CE4957" w:rsidRDefault="00CE4957" w:rsidP="00D61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3A4"/>
    <w:multiLevelType w:val="hybridMultilevel"/>
    <w:tmpl w:val="42F0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A739F"/>
    <w:multiLevelType w:val="hybridMultilevel"/>
    <w:tmpl w:val="B7F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A2379"/>
    <w:multiLevelType w:val="hybridMultilevel"/>
    <w:tmpl w:val="401256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3063741"/>
    <w:multiLevelType w:val="hybridMultilevel"/>
    <w:tmpl w:val="9198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F20CB"/>
    <w:multiLevelType w:val="hybridMultilevel"/>
    <w:tmpl w:val="9E86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7764F"/>
    <w:multiLevelType w:val="hybridMultilevel"/>
    <w:tmpl w:val="1F4E5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CC6FA9"/>
    <w:multiLevelType w:val="hybridMultilevel"/>
    <w:tmpl w:val="01B8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C53D2"/>
    <w:multiLevelType w:val="hybridMultilevel"/>
    <w:tmpl w:val="03148A9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5055B15"/>
    <w:multiLevelType w:val="hybridMultilevel"/>
    <w:tmpl w:val="0ECA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070D2"/>
    <w:multiLevelType w:val="hybridMultilevel"/>
    <w:tmpl w:val="CC3A7C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5B8641F"/>
    <w:multiLevelType w:val="hybridMultilevel"/>
    <w:tmpl w:val="862E1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3307507">
    <w:abstractNumId w:val="7"/>
  </w:num>
  <w:num w:numId="2" w16cid:durableId="584152539">
    <w:abstractNumId w:val="6"/>
  </w:num>
  <w:num w:numId="3" w16cid:durableId="1662418009">
    <w:abstractNumId w:val="4"/>
  </w:num>
  <w:num w:numId="4" w16cid:durableId="1698386982">
    <w:abstractNumId w:val="10"/>
  </w:num>
  <w:num w:numId="5" w16cid:durableId="1419448966">
    <w:abstractNumId w:val="8"/>
  </w:num>
  <w:num w:numId="6" w16cid:durableId="777603812">
    <w:abstractNumId w:val="5"/>
  </w:num>
  <w:num w:numId="7" w16cid:durableId="258098911">
    <w:abstractNumId w:val="1"/>
  </w:num>
  <w:num w:numId="8" w16cid:durableId="1427464099">
    <w:abstractNumId w:val="9"/>
  </w:num>
  <w:num w:numId="9" w16cid:durableId="1776095135">
    <w:abstractNumId w:val="0"/>
  </w:num>
  <w:num w:numId="10" w16cid:durableId="1447654636">
    <w:abstractNumId w:val="2"/>
  </w:num>
  <w:num w:numId="11" w16cid:durableId="20596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2E"/>
    <w:rsid w:val="00000E20"/>
    <w:rsid w:val="000118B2"/>
    <w:rsid w:val="00036A12"/>
    <w:rsid w:val="00053F21"/>
    <w:rsid w:val="000615F7"/>
    <w:rsid w:val="00062447"/>
    <w:rsid w:val="00063731"/>
    <w:rsid w:val="00064266"/>
    <w:rsid w:val="0007257E"/>
    <w:rsid w:val="00077678"/>
    <w:rsid w:val="00080A3B"/>
    <w:rsid w:val="00084730"/>
    <w:rsid w:val="00097A1A"/>
    <w:rsid w:val="000A0645"/>
    <w:rsid w:val="000A6042"/>
    <w:rsid w:val="000B2FA3"/>
    <w:rsid w:val="000D4840"/>
    <w:rsid w:val="000D589A"/>
    <w:rsid w:val="000E1BBC"/>
    <w:rsid w:val="000E6451"/>
    <w:rsid w:val="00104C80"/>
    <w:rsid w:val="00112C0A"/>
    <w:rsid w:val="001148A5"/>
    <w:rsid w:val="00115583"/>
    <w:rsid w:val="00132614"/>
    <w:rsid w:val="00134409"/>
    <w:rsid w:val="00144700"/>
    <w:rsid w:val="0015602A"/>
    <w:rsid w:val="00156DDC"/>
    <w:rsid w:val="0016686E"/>
    <w:rsid w:val="001802F7"/>
    <w:rsid w:val="0018104D"/>
    <w:rsid w:val="0019310A"/>
    <w:rsid w:val="00195E29"/>
    <w:rsid w:val="001A42CB"/>
    <w:rsid w:val="001A6B39"/>
    <w:rsid w:val="001B081C"/>
    <w:rsid w:val="001B1A19"/>
    <w:rsid w:val="001C2ADA"/>
    <w:rsid w:val="001C38C1"/>
    <w:rsid w:val="001E0299"/>
    <w:rsid w:val="001E1DBE"/>
    <w:rsid w:val="001F1604"/>
    <w:rsid w:val="001F47E2"/>
    <w:rsid w:val="00202E69"/>
    <w:rsid w:val="002072D3"/>
    <w:rsid w:val="00214D62"/>
    <w:rsid w:val="00216212"/>
    <w:rsid w:val="002206CA"/>
    <w:rsid w:val="00223162"/>
    <w:rsid w:val="00223CCB"/>
    <w:rsid w:val="00231ACE"/>
    <w:rsid w:val="00245D6D"/>
    <w:rsid w:val="00247C5B"/>
    <w:rsid w:val="002543D8"/>
    <w:rsid w:val="00254C3D"/>
    <w:rsid w:val="00264839"/>
    <w:rsid w:val="00270E08"/>
    <w:rsid w:val="00275A51"/>
    <w:rsid w:val="00276EE7"/>
    <w:rsid w:val="00282147"/>
    <w:rsid w:val="002C598A"/>
    <w:rsid w:val="002C6D89"/>
    <w:rsid w:val="002D5A35"/>
    <w:rsid w:val="002F0E41"/>
    <w:rsid w:val="002F4449"/>
    <w:rsid w:val="002F7C41"/>
    <w:rsid w:val="00311FEB"/>
    <w:rsid w:val="00326C9A"/>
    <w:rsid w:val="003306A9"/>
    <w:rsid w:val="0033741D"/>
    <w:rsid w:val="0036462D"/>
    <w:rsid w:val="003759F7"/>
    <w:rsid w:val="003A2052"/>
    <w:rsid w:val="003A3FA2"/>
    <w:rsid w:val="003A5253"/>
    <w:rsid w:val="003A652D"/>
    <w:rsid w:val="003A72F3"/>
    <w:rsid w:val="003B5B74"/>
    <w:rsid w:val="003F61FD"/>
    <w:rsid w:val="004137AB"/>
    <w:rsid w:val="0042530E"/>
    <w:rsid w:val="00445CA1"/>
    <w:rsid w:val="00450AC0"/>
    <w:rsid w:val="004761E5"/>
    <w:rsid w:val="00490346"/>
    <w:rsid w:val="0049071C"/>
    <w:rsid w:val="004A5FF7"/>
    <w:rsid w:val="004B1200"/>
    <w:rsid w:val="004B51DD"/>
    <w:rsid w:val="004C19B3"/>
    <w:rsid w:val="004D791B"/>
    <w:rsid w:val="004F2633"/>
    <w:rsid w:val="004F5649"/>
    <w:rsid w:val="0051509D"/>
    <w:rsid w:val="00530403"/>
    <w:rsid w:val="005326D9"/>
    <w:rsid w:val="00537A75"/>
    <w:rsid w:val="005503BF"/>
    <w:rsid w:val="00551330"/>
    <w:rsid w:val="00562222"/>
    <w:rsid w:val="00562D64"/>
    <w:rsid w:val="00581CAA"/>
    <w:rsid w:val="00587542"/>
    <w:rsid w:val="00591711"/>
    <w:rsid w:val="005B6DC4"/>
    <w:rsid w:val="005C11FC"/>
    <w:rsid w:val="005C7DB4"/>
    <w:rsid w:val="005E3C35"/>
    <w:rsid w:val="005E578B"/>
    <w:rsid w:val="005F75DB"/>
    <w:rsid w:val="006115FF"/>
    <w:rsid w:val="00615D48"/>
    <w:rsid w:val="00636A83"/>
    <w:rsid w:val="006536F8"/>
    <w:rsid w:val="00655200"/>
    <w:rsid w:val="0065527E"/>
    <w:rsid w:val="00661624"/>
    <w:rsid w:val="00666B40"/>
    <w:rsid w:val="00684A3C"/>
    <w:rsid w:val="00691C4D"/>
    <w:rsid w:val="00695F76"/>
    <w:rsid w:val="006A18D0"/>
    <w:rsid w:val="006A30B4"/>
    <w:rsid w:val="006A487C"/>
    <w:rsid w:val="006A51EF"/>
    <w:rsid w:val="006A61F6"/>
    <w:rsid w:val="006B169B"/>
    <w:rsid w:val="006B67AD"/>
    <w:rsid w:val="006B7294"/>
    <w:rsid w:val="006C0DE8"/>
    <w:rsid w:val="006C4E2D"/>
    <w:rsid w:val="006D00CD"/>
    <w:rsid w:val="006D30A0"/>
    <w:rsid w:val="006D7E4C"/>
    <w:rsid w:val="006E2DA5"/>
    <w:rsid w:val="006F0EE4"/>
    <w:rsid w:val="006F4364"/>
    <w:rsid w:val="00711F9F"/>
    <w:rsid w:val="007128D0"/>
    <w:rsid w:val="00723ECD"/>
    <w:rsid w:val="00734A71"/>
    <w:rsid w:val="00735AD2"/>
    <w:rsid w:val="00742FD7"/>
    <w:rsid w:val="00744E35"/>
    <w:rsid w:val="00760E87"/>
    <w:rsid w:val="00795A51"/>
    <w:rsid w:val="007965E8"/>
    <w:rsid w:val="007A1A23"/>
    <w:rsid w:val="007B622C"/>
    <w:rsid w:val="007C18D2"/>
    <w:rsid w:val="007C6CC1"/>
    <w:rsid w:val="007D26A7"/>
    <w:rsid w:val="007D3FDB"/>
    <w:rsid w:val="007E62BE"/>
    <w:rsid w:val="007F148F"/>
    <w:rsid w:val="007F29B7"/>
    <w:rsid w:val="00812B17"/>
    <w:rsid w:val="0081749F"/>
    <w:rsid w:val="00821D11"/>
    <w:rsid w:val="00822AC5"/>
    <w:rsid w:val="00825038"/>
    <w:rsid w:val="00837DBE"/>
    <w:rsid w:val="0085606C"/>
    <w:rsid w:val="00865791"/>
    <w:rsid w:val="008717A8"/>
    <w:rsid w:val="0087275D"/>
    <w:rsid w:val="0087574A"/>
    <w:rsid w:val="00890C3E"/>
    <w:rsid w:val="0089717D"/>
    <w:rsid w:val="008A0F6B"/>
    <w:rsid w:val="008A299A"/>
    <w:rsid w:val="008D12B4"/>
    <w:rsid w:val="008F0023"/>
    <w:rsid w:val="008F6BD6"/>
    <w:rsid w:val="009056BD"/>
    <w:rsid w:val="00907865"/>
    <w:rsid w:val="009709C6"/>
    <w:rsid w:val="0097788D"/>
    <w:rsid w:val="0098257A"/>
    <w:rsid w:val="009840E5"/>
    <w:rsid w:val="009926D2"/>
    <w:rsid w:val="009B2EA0"/>
    <w:rsid w:val="009C05BB"/>
    <w:rsid w:val="009C663F"/>
    <w:rsid w:val="009D5628"/>
    <w:rsid w:val="009D7980"/>
    <w:rsid w:val="009E4CB0"/>
    <w:rsid w:val="009F7F57"/>
    <w:rsid w:val="00A037DE"/>
    <w:rsid w:val="00A13A2C"/>
    <w:rsid w:val="00A32070"/>
    <w:rsid w:val="00A3326E"/>
    <w:rsid w:val="00A3425E"/>
    <w:rsid w:val="00A350AA"/>
    <w:rsid w:val="00A525E6"/>
    <w:rsid w:val="00A529F5"/>
    <w:rsid w:val="00A64A18"/>
    <w:rsid w:val="00A760A0"/>
    <w:rsid w:val="00A87AC1"/>
    <w:rsid w:val="00A87C80"/>
    <w:rsid w:val="00AB3C78"/>
    <w:rsid w:val="00AB61DC"/>
    <w:rsid w:val="00AB71EF"/>
    <w:rsid w:val="00AC1B96"/>
    <w:rsid w:val="00AC6446"/>
    <w:rsid w:val="00AC699C"/>
    <w:rsid w:val="00AD4202"/>
    <w:rsid w:val="00AF2055"/>
    <w:rsid w:val="00AF475B"/>
    <w:rsid w:val="00B01AC9"/>
    <w:rsid w:val="00B054C4"/>
    <w:rsid w:val="00B2681B"/>
    <w:rsid w:val="00B37A00"/>
    <w:rsid w:val="00B40428"/>
    <w:rsid w:val="00B4550A"/>
    <w:rsid w:val="00B85877"/>
    <w:rsid w:val="00B8738F"/>
    <w:rsid w:val="00BA12DD"/>
    <w:rsid w:val="00BA3374"/>
    <w:rsid w:val="00BB0A0E"/>
    <w:rsid w:val="00BB11FC"/>
    <w:rsid w:val="00BF5001"/>
    <w:rsid w:val="00C0484F"/>
    <w:rsid w:val="00C05633"/>
    <w:rsid w:val="00C25C1A"/>
    <w:rsid w:val="00C4053C"/>
    <w:rsid w:val="00C442E9"/>
    <w:rsid w:val="00C715D6"/>
    <w:rsid w:val="00C756F1"/>
    <w:rsid w:val="00C82588"/>
    <w:rsid w:val="00C976F6"/>
    <w:rsid w:val="00CA0A81"/>
    <w:rsid w:val="00CA29B3"/>
    <w:rsid w:val="00CA6A9F"/>
    <w:rsid w:val="00CA6C09"/>
    <w:rsid w:val="00CA7906"/>
    <w:rsid w:val="00CB1EE7"/>
    <w:rsid w:val="00CB6C01"/>
    <w:rsid w:val="00CD2DCD"/>
    <w:rsid w:val="00CE25BC"/>
    <w:rsid w:val="00CE4957"/>
    <w:rsid w:val="00CF3D43"/>
    <w:rsid w:val="00CF5CDE"/>
    <w:rsid w:val="00D042A6"/>
    <w:rsid w:val="00D04FDE"/>
    <w:rsid w:val="00D1391C"/>
    <w:rsid w:val="00D21C00"/>
    <w:rsid w:val="00D411B8"/>
    <w:rsid w:val="00D43B50"/>
    <w:rsid w:val="00D44813"/>
    <w:rsid w:val="00D46B85"/>
    <w:rsid w:val="00D46FCA"/>
    <w:rsid w:val="00D50591"/>
    <w:rsid w:val="00D53719"/>
    <w:rsid w:val="00D538AE"/>
    <w:rsid w:val="00D61C27"/>
    <w:rsid w:val="00D67B8F"/>
    <w:rsid w:val="00D73910"/>
    <w:rsid w:val="00D96F54"/>
    <w:rsid w:val="00DC75F2"/>
    <w:rsid w:val="00DD164F"/>
    <w:rsid w:val="00DD2AA2"/>
    <w:rsid w:val="00DE5D33"/>
    <w:rsid w:val="00E03337"/>
    <w:rsid w:val="00E03A2E"/>
    <w:rsid w:val="00E06090"/>
    <w:rsid w:val="00E11063"/>
    <w:rsid w:val="00E23F2E"/>
    <w:rsid w:val="00E404DE"/>
    <w:rsid w:val="00E406A0"/>
    <w:rsid w:val="00E635C6"/>
    <w:rsid w:val="00E84FE0"/>
    <w:rsid w:val="00EA4AD3"/>
    <w:rsid w:val="00EA4F4D"/>
    <w:rsid w:val="00EC0C86"/>
    <w:rsid w:val="00EC4608"/>
    <w:rsid w:val="00EE211A"/>
    <w:rsid w:val="00EE2A2A"/>
    <w:rsid w:val="00EE31C1"/>
    <w:rsid w:val="00EF4892"/>
    <w:rsid w:val="00F0345A"/>
    <w:rsid w:val="00F04E6C"/>
    <w:rsid w:val="00F30770"/>
    <w:rsid w:val="00F60A5F"/>
    <w:rsid w:val="00FA0951"/>
    <w:rsid w:val="00FA3D8B"/>
    <w:rsid w:val="00FA530D"/>
    <w:rsid w:val="00FB3FAF"/>
    <w:rsid w:val="00FB59C2"/>
    <w:rsid w:val="00FD23DA"/>
    <w:rsid w:val="00FD7913"/>
    <w:rsid w:val="00FF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4BCB0"/>
  <w15:docId w15:val="{AA58B644-DD7B-40C0-85E1-5E7C9622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2E"/>
  </w:style>
  <w:style w:type="paragraph" w:styleId="Footer">
    <w:name w:val="footer"/>
    <w:basedOn w:val="Normal"/>
    <w:link w:val="FooterChar"/>
    <w:uiPriority w:val="99"/>
    <w:unhideWhenUsed/>
    <w:rsid w:val="00E03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2E"/>
  </w:style>
  <w:style w:type="paragraph" w:styleId="BalloonText">
    <w:name w:val="Balloon Text"/>
    <w:basedOn w:val="Normal"/>
    <w:link w:val="BalloonTextChar"/>
    <w:uiPriority w:val="99"/>
    <w:semiHidden/>
    <w:unhideWhenUsed/>
    <w:rsid w:val="00A76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0A0"/>
    <w:rPr>
      <w:rFonts w:ascii="Tahoma" w:hAnsi="Tahoma" w:cs="Tahoma"/>
      <w:sz w:val="16"/>
      <w:szCs w:val="16"/>
    </w:rPr>
  </w:style>
  <w:style w:type="paragraph" w:customStyle="1" w:styleId="Default">
    <w:name w:val="Default"/>
    <w:link w:val="DefaultChar"/>
    <w:rsid w:val="005C7DB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5C7DB4"/>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D411B8"/>
    <w:rPr>
      <w:sz w:val="16"/>
      <w:szCs w:val="16"/>
    </w:rPr>
  </w:style>
  <w:style w:type="paragraph" w:styleId="CommentText">
    <w:name w:val="annotation text"/>
    <w:basedOn w:val="Normal"/>
    <w:link w:val="CommentTextChar"/>
    <w:uiPriority w:val="99"/>
    <w:unhideWhenUsed/>
    <w:rsid w:val="00D411B8"/>
    <w:pPr>
      <w:spacing w:line="240" w:lineRule="auto"/>
    </w:pPr>
    <w:rPr>
      <w:sz w:val="20"/>
      <w:szCs w:val="20"/>
    </w:rPr>
  </w:style>
  <w:style w:type="character" w:customStyle="1" w:styleId="CommentTextChar">
    <w:name w:val="Comment Text Char"/>
    <w:basedOn w:val="DefaultParagraphFont"/>
    <w:link w:val="CommentText"/>
    <w:uiPriority w:val="99"/>
    <w:rsid w:val="00D411B8"/>
    <w:rPr>
      <w:sz w:val="20"/>
      <w:szCs w:val="20"/>
    </w:rPr>
  </w:style>
  <w:style w:type="paragraph" w:styleId="CommentSubject">
    <w:name w:val="annotation subject"/>
    <w:basedOn w:val="CommentText"/>
    <w:next w:val="CommentText"/>
    <w:link w:val="CommentSubjectChar"/>
    <w:uiPriority w:val="99"/>
    <w:semiHidden/>
    <w:unhideWhenUsed/>
    <w:rsid w:val="00D411B8"/>
    <w:rPr>
      <w:b/>
      <w:bCs/>
    </w:rPr>
  </w:style>
  <w:style w:type="character" w:customStyle="1" w:styleId="CommentSubjectChar">
    <w:name w:val="Comment Subject Char"/>
    <w:basedOn w:val="CommentTextChar"/>
    <w:link w:val="CommentSubject"/>
    <w:uiPriority w:val="99"/>
    <w:semiHidden/>
    <w:rsid w:val="00D411B8"/>
    <w:rPr>
      <w:b/>
      <w:bCs/>
      <w:sz w:val="20"/>
      <w:szCs w:val="20"/>
    </w:rPr>
  </w:style>
  <w:style w:type="character" w:customStyle="1" w:styleId="hvr">
    <w:name w:val="hvr"/>
    <w:basedOn w:val="DefaultParagraphFont"/>
    <w:rsid w:val="002206CA"/>
  </w:style>
  <w:style w:type="character" w:customStyle="1" w:styleId="apple-converted-space">
    <w:name w:val="apple-converted-space"/>
    <w:basedOn w:val="DefaultParagraphFont"/>
    <w:rsid w:val="002206CA"/>
  </w:style>
  <w:style w:type="paragraph" w:styleId="ListParagraph">
    <w:name w:val="List Paragraph"/>
    <w:basedOn w:val="Normal"/>
    <w:uiPriority w:val="34"/>
    <w:qFormat/>
    <w:rsid w:val="00B054C4"/>
    <w:pPr>
      <w:ind w:left="720"/>
      <w:contextualSpacing/>
    </w:pPr>
  </w:style>
  <w:style w:type="paragraph" w:styleId="FootnoteText">
    <w:name w:val="footnote text"/>
    <w:basedOn w:val="Normal"/>
    <w:link w:val="FootnoteTextChar"/>
    <w:semiHidden/>
    <w:unhideWhenUsed/>
    <w:rsid w:val="007C6C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C6CC1"/>
    <w:rPr>
      <w:rFonts w:ascii="Times New Roman" w:eastAsia="Times New Roman" w:hAnsi="Times New Roman" w:cs="Times New Roman"/>
      <w:sz w:val="20"/>
      <w:szCs w:val="20"/>
    </w:rPr>
  </w:style>
  <w:style w:type="character" w:styleId="FootnoteReference">
    <w:name w:val="footnote reference"/>
    <w:semiHidden/>
    <w:unhideWhenUsed/>
    <w:rsid w:val="007C6CC1"/>
    <w:rPr>
      <w:vertAlign w:val="superscript"/>
    </w:rPr>
  </w:style>
  <w:style w:type="character" w:styleId="Strong">
    <w:name w:val="Strong"/>
    <w:basedOn w:val="DefaultParagraphFont"/>
    <w:uiPriority w:val="22"/>
    <w:qFormat/>
    <w:rsid w:val="00735AD2"/>
    <w:rPr>
      <w:b/>
      <w:bCs/>
    </w:rPr>
  </w:style>
  <w:style w:type="paragraph" w:styleId="Revision">
    <w:name w:val="Revision"/>
    <w:hidden/>
    <w:uiPriority w:val="99"/>
    <w:semiHidden/>
    <w:rsid w:val="00CA7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5092">
      <w:bodyDiv w:val="1"/>
      <w:marLeft w:val="0"/>
      <w:marRight w:val="0"/>
      <w:marTop w:val="0"/>
      <w:marBottom w:val="0"/>
      <w:divBdr>
        <w:top w:val="none" w:sz="0" w:space="0" w:color="auto"/>
        <w:left w:val="none" w:sz="0" w:space="0" w:color="auto"/>
        <w:bottom w:val="none" w:sz="0" w:space="0" w:color="auto"/>
        <w:right w:val="none" w:sz="0" w:space="0" w:color="auto"/>
      </w:divBdr>
    </w:div>
    <w:div w:id="282612584">
      <w:bodyDiv w:val="1"/>
      <w:marLeft w:val="0"/>
      <w:marRight w:val="0"/>
      <w:marTop w:val="0"/>
      <w:marBottom w:val="0"/>
      <w:divBdr>
        <w:top w:val="none" w:sz="0" w:space="0" w:color="auto"/>
        <w:left w:val="none" w:sz="0" w:space="0" w:color="auto"/>
        <w:bottom w:val="none" w:sz="0" w:space="0" w:color="auto"/>
        <w:right w:val="none" w:sz="0" w:space="0" w:color="auto"/>
      </w:divBdr>
    </w:div>
    <w:div w:id="533276903">
      <w:bodyDiv w:val="1"/>
      <w:marLeft w:val="0"/>
      <w:marRight w:val="0"/>
      <w:marTop w:val="0"/>
      <w:marBottom w:val="0"/>
      <w:divBdr>
        <w:top w:val="none" w:sz="0" w:space="0" w:color="auto"/>
        <w:left w:val="none" w:sz="0" w:space="0" w:color="auto"/>
        <w:bottom w:val="none" w:sz="0" w:space="0" w:color="auto"/>
        <w:right w:val="none" w:sz="0" w:space="0" w:color="auto"/>
      </w:divBdr>
    </w:div>
    <w:div w:id="663355704">
      <w:bodyDiv w:val="1"/>
      <w:marLeft w:val="0"/>
      <w:marRight w:val="0"/>
      <w:marTop w:val="0"/>
      <w:marBottom w:val="0"/>
      <w:divBdr>
        <w:top w:val="none" w:sz="0" w:space="0" w:color="auto"/>
        <w:left w:val="none" w:sz="0" w:space="0" w:color="auto"/>
        <w:bottom w:val="none" w:sz="0" w:space="0" w:color="auto"/>
        <w:right w:val="none" w:sz="0" w:space="0" w:color="auto"/>
      </w:divBdr>
    </w:div>
    <w:div w:id="708338775">
      <w:bodyDiv w:val="1"/>
      <w:marLeft w:val="0"/>
      <w:marRight w:val="0"/>
      <w:marTop w:val="0"/>
      <w:marBottom w:val="0"/>
      <w:divBdr>
        <w:top w:val="none" w:sz="0" w:space="0" w:color="auto"/>
        <w:left w:val="none" w:sz="0" w:space="0" w:color="auto"/>
        <w:bottom w:val="none" w:sz="0" w:space="0" w:color="auto"/>
        <w:right w:val="none" w:sz="0" w:space="0" w:color="auto"/>
      </w:divBdr>
    </w:div>
    <w:div w:id="766343525">
      <w:bodyDiv w:val="1"/>
      <w:marLeft w:val="0"/>
      <w:marRight w:val="0"/>
      <w:marTop w:val="0"/>
      <w:marBottom w:val="0"/>
      <w:divBdr>
        <w:top w:val="none" w:sz="0" w:space="0" w:color="auto"/>
        <w:left w:val="none" w:sz="0" w:space="0" w:color="auto"/>
        <w:bottom w:val="none" w:sz="0" w:space="0" w:color="auto"/>
        <w:right w:val="none" w:sz="0" w:space="0" w:color="auto"/>
      </w:divBdr>
    </w:div>
    <w:div w:id="989016947">
      <w:bodyDiv w:val="1"/>
      <w:marLeft w:val="0"/>
      <w:marRight w:val="0"/>
      <w:marTop w:val="0"/>
      <w:marBottom w:val="0"/>
      <w:divBdr>
        <w:top w:val="none" w:sz="0" w:space="0" w:color="auto"/>
        <w:left w:val="none" w:sz="0" w:space="0" w:color="auto"/>
        <w:bottom w:val="none" w:sz="0" w:space="0" w:color="auto"/>
        <w:right w:val="none" w:sz="0" w:space="0" w:color="auto"/>
      </w:divBdr>
    </w:div>
    <w:div w:id="1126195896">
      <w:bodyDiv w:val="1"/>
      <w:marLeft w:val="0"/>
      <w:marRight w:val="0"/>
      <w:marTop w:val="0"/>
      <w:marBottom w:val="0"/>
      <w:divBdr>
        <w:top w:val="none" w:sz="0" w:space="0" w:color="auto"/>
        <w:left w:val="none" w:sz="0" w:space="0" w:color="auto"/>
        <w:bottom w:val="none" w:sz="0" w:space="0" w:color="auto"/>
        <w:right w:val="none" w:sz="0" w:space="0" w:color="auto"/>
      </w:divBdr>
    </w:div>
    <w:div w:id="1283657949">
      <w:bodyDiv w:val="1"/>
      <w:marLeft w:val="0"/>
      <w:marRight w:val="0"/>
      <w:marTop w:val="0"/>
      <w:marBottom w:val="0"/>
      <w:divBdr>
        <w:top w:val="none" w:sz="0" w:space="0" w:color="auto"/>
        <w:left w:val="none" w:sz="0" w:space="0" w:color="auto"/>
        <w:bottom w:val="none" w:sz="0" w:space="0" w:color="auto"/>
        <w:right w:val="none" w:sz="0" w:space="0" w:color="auto"/>
      </w:divBdr>
    </w:div>
    <w:div w:id="1459643245">
      <w:bodyDiv w:val="1"/>
      <w:marLeft w:val="0"/>
      <w:marRight w:val="0"/>
      <w:marTop w:val="0"/>
      <w:marBottom w:val="0"/>
      <w:divBdr>
        <w:top w:val="none" w:sz="0" w:space="0" w:color="auto"/>
        <w:left w:val="none" w:sz="0" w:space="0" w:color="auto"/>
        <w:bottom w:val="none" w:sz="0" w:space="0" w:color="auto"/>
        <w:right w:val="none" w:sz="0" w:space="0" w:color="auto"/>
      </w:divBdr>
    </w:div>
    <w:div w:id="1754862949">
      <w:bodyDiv w:val="1"/>
      <w:marLeft w:val="0"/>
      <w:marRight w:val="0"/>
      <w:marTop w:val="0"/>
      <w:marBottom w:val="0"/>
      <w:divBdr>
        <w:top w:val="none" w:sz="0" w:space="0" w:color="auto"/>
        <w:left w:val="none" w:sz="0" w:space="0" w:color="auto"/>
        <w:bottom w:val="none" w:sz="0" w:space="0" w:color="auto"/>
        <w:right w:val="none" w:sz="0" w:space="0" w:color="auto"/>
      </w:divBdr>
    </w:div>
    <w:div w:id="20795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A56D-41FD-4118-A14E-E44CAC440BA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Johnson, Sharon (EHS)</cp:lastModifiedBy>
  <cp:revision>3</cp:revision>
  <cp:lastPrinted>2018-09-20T11:56:00Z</cp:lastPrinted>
  <dcterms:created xsi:type="dcterms:W3CDTF">2025-07-09T19:17:00Z</dcterms:created>
  <dcterms:modified xsi:type="dcterms:W3CDTF">2025-07-09T19:17:00Z</dcterms:modified>
</cp:coreProperties>
</file>