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540"/>
        <w:gridCol w:w="4500"/>
        <w:gridCol w:w="4770"/>
        <w:gridCol w:w="270"/>
      </w:tblGrid>
      <w:tr w:rsidR="005F037D" w:rsidTr="00FE75E1">
        <w:trPr>
          <w:gridAfter w:val="1"/>
          <w:wAfter w:w="270" w:type="dxa"/>
          <w:trHeight w:val="4140"/>
        </w:trPr>
        <w:tc>
          <w:tcPr>
            <w:tcW w:w="9810" w:type="dxa"/>
            <w:gridSpan w:val="3"/>
          </w:tcPr>
          <w:p w:rsidR="005F037D" w:rsidRDefault="005F037D">
            <w:pPr>
              <w:keepNext/>
            </w:pPr>
          </w:p>
          <w:p w:rsidR="005F037D" w:rsidRDefault="00C10BBB" w:rsidP="00CE1085">
            <w:r>
              <w:rPr>
                <w:noProof/>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rsidTr="00FE75E1">
        <w:trPr>
          <w:gridAfter w:val="1"/>
          <w:wAfter w:w="270" w:type="dxa"/>
          <w:cantSplit/>
          <w:trHeight w:val="200"/>
        </w:trPr>
        <w:tc>
          <w:tcPr>
            <w:tcW w:w="540" w:type="dxa"/>
            <w:vMerge w:val="restart"/>
            <w:vAlign w:val="bottom"/>
          </w:tcPr>
          <w:p w:rsidR="005F037D" w:rsidRPr="00274356" w:rsidRDefault="005F037D" w:rsidP="00274356"/>
        </w:tc>
        <w:tc>
          <w:tcPr>
            <w:tcW w:w="9270" w:type="dxa"/>
            <w:gridSpan w:val="2"/>
            <w:vAlign w:val="bottom"/>
          </w:tcPr>
          <w:p w:rsidR="00936D84" w:rsidRDefault="00087907" w:rsidP="00297241">
            <w:pPr>
              <w:pStyle w:val="ESEReportName"/>
              <w:jc w:val="center"/>
            </w:pPr>
            <w:r>
              <w:t>District Analysis and Review Tool</w:t>
            </w:r>
            <w:r w:rsidR="00812E52">
              <w:t>s</w:t>
            </w:r>
            <w:r w:rsidR="00196DC3">
              <w:t xml:space="preserve"> (DART)</w:t>
            </w:r>
          </w:p>
          <w:p w:rsidR="00297241" w:rsidRPr="00297241" w:rsidRDefault="00297241" w:rsidP="00297241"/>
          <w:p w:rsidR="00297241" w:rsidRDefault="00297241" w:rsidP="00297241">
            <w:pPr>
              <w:pStyle w:val="ESEReportName"/>
              <w:jc w:val="center"/>
            </w:pPr>
            <w:r>
              <w:t xml:space="preserve">User Guide for </w:t>
            </w:r>
          </w:p>
          <w:p w:rsidR="00CE123C" w:rsidRPr="00DF70CD" w:rsidRDefault="00DF70CD" w:rsidP="00297241">
            <w:pPr>
              <w:pStyle w:val="ESEReportName"/>
              <w:jc w:val="center"/>
            </w:pPr>
            <w:r w:rsidRPr="00DF70CD">
              <w:t>DART</w:t>
            </w:r>
            <w:r w:rsidR="00173267">
              <w:t xml:space="preserve"> Detail: Staffing and Finance</w:t>
            </w:r>
          </w:p>
          <w:p w:rsidR="00CE123C" w:rsidRPr="00CE123C" w:rsidRDefault="00CE123C" w:rsidP="00297241">
            <w:pPr>
              <w:jc w:val="center"/>
            </w:pPr>
          </w:p>
          <w:p w:rsidR="005F037D" w:rsidRPr="00F66EB7" w:rsidRDefault="005F037D" w:rsidP="00297241">
            <w:pPr>
              <w:pStyle w:val="ESEReportName"/>
              <w:jc w:val="center"/>
            </w:pPr>
          </w:p>
        </w:tc>
      </w:tr>
      <w:tr w:rsidR="005F037D" w:rsidTr="00FE75E1">
        <w:trPr>
          <w:gridAfter w:val="1"/>
          <w:wAfter w:w="270" w:type="dxa"/>
          <w:cantSplit/>
          <w:trHeight w:val="240"/>
        </w:trPr>
        <w:tc>
          <w:tcPr>
            <w:tcW w:w="540" w:type="dxa"/>
            <w:vMerge/>
            <w:vAlign w:val="bottom"/>
          </w:tcPr>
          <w:p w:rsidR="005F037D" w:rsidRDefault="005F037D">
            <w:pPr>
              <w:spacing w:line="400" w:lineRule="exact"/>
              <w:rPr>
                <w:rFonts w:ascii="Arial" w:hAnsi="Arial"/>
                <w:color w:val="000000"/>
              </w:rPr>
            </w:pPr>
          </w:p>
        </w:tc>
        <w:tc>
          <w:tcPr>
            <w:tcW w:w="9270" w:type="dxa"/>
            <w:gridSpan w:val="2"/>
          </w:tcPr>
          <w:p w:rsidR="005F037D" w:rsidRPr="00EB1F6F" w:rsidRDefault="00385FE2">
            <w:r>
              <w:pict>
                <v:rect id="_x0000_i1026" style="width:0;height:1.5pt" o:hrstd="t" o:hr="t" fillcolor="#aaa" stroked="f"/>
              </w:pict>
            </w:r>
          </w:p>
        </w:tc>
      </w:tr>
      <w:tr w:rsidR="005F037D" w:rsidTr="00FE75E1">
        <w:trPr>
          <w:gridAfter w:val="1"/>
          <w:wAfter w:w="270" w:type="dxa"/>
          <w:cantSplit/>
          <w:trHeight w:val="495"/>
        </w:trPr>
        <w:tc>
          <w:tcPr>
            <w:tcW w:w="540" w:type="dxa"/>
            <w:vMerge/>
            <w:vAlign w:val="bottom"/>
          </w:tcPr>
          <w:p w:rsidR="005F037D" w:rsidRDefault="005F037D">
            <w:pPr>
              <w:spacing w:line="400" w:lineRule="exact"/>
              <w:rPr>
                <w:rFonts w:ascii="Arial" w:hAnsi="Arial"/>
                <w:color w:val="000000"/>
              </w:rPr>
            </w:pPr>
          </w:p>
        </w:tc>
        <w:tc>
          <w:tcPr>
            <w:tcW w:w="9270" w:type="dxa"/>
            <w:gridSpan w:val="2"/>
          </w:tcPr>
          <w:p w:rsidR="004F4CEB" w:rsidRPr="00FD0B7D" w:rsidRDefault="0027397D" w:rsidP="004F4CEB">
            <w:pPr>
              <w:pStyle w:val="arial9"/>
              <w:jc w:val="center"/>
              <w:rPr>
                <w:b/>
                <w:sz w:val="24"/>
              </w:rPr>
            </w:pPr>
            <w:r>
              <w:rPr>
                <w:b/>
                <w:sz w:val="24"/>
              </w:rPr>
              <w:t>June</w:t>
            </w:r>
            <w:r w:rsidR="004F4CEB">
              <w:rPr>
                <w:b/>
                <w:sz w:val="24"/>
              </w:rPr>
              <w:t xml:space="preserve"> 2016</w:t>
            </w:r>
          </w:p>
        </w:tc>
      </w:tr>
      <w:tr w:rsidR="005F037D" w:rsidTr="00FE75E1">
        <w:trPr>
          <w:gridAfter w:val="1"/>
          <w:wAfter w:w="270" w:type="dxa"/>
          <w:cantSplit/>
          <w:trHeight w:val="6246"/>
        </w:trPr>
        <w:tc>
          <w:tcPr>
            <w:tcW w:w="540" w:type="dxa"/>
            <w:vMerge/>
            <w:vAlign w:val="bottom"/>
          </w:tcPr>
          <w:p w:rsidR="005F037D" w:rsidRDefault="005F037D">
            <w:pPr>
              <w:spacing w:line="400" w:lineRule="exact"/>
              <w:rPr>
                <w:rFonts w:ascii="Arial" w:hAnsi="Arial"/>
                <w:color w:val="000000"/>
              </w:rPr>
            </w:pPr>
          </w:p>
        </w:tc>
        <w:tc>
          <w:tcPr>
            <w:tcW w:w="9270" w:type="dxa"/>
            <w:gridSpan w:val="2"/>
            <w:vAlign w:val="bottom"/>
          </w:tcPr>
          <w:p w:rsidR="005F037D" w:rsidRDefault="005F037D" w:rsidP="004E0CA6">
            <w:pPr>
              <w:pStyle w:val="AgencyTitle"/>
            </w:pPr>
            <w:r>
              <w:t xml:space="preserve">Massachusetts Department of </w:t>
            </w:r>
            <w:r w:rsidR="00440BAB">
              <w:t xml:space="preserve">Elementary and Secondary </w:t>
            </w:r>
            <w:r>
              <w:t>Education</w:t>
            </w:r>
          </w:p>
          <w:p w:rsidR="005F037D" w:rsidRDefault="005152E7" w:rsidP="00EB1F6F">
            <w:pPr>
              <w:pStyle w:val="arial9"/>
              <w:rPr>
                <w:snapToGrid w:val="0"/>
              </w:rPr>
            </w:pPr>
            <w:r>
              <w:rPr>
                <w:snapToGrid w:val="0"/>
              </w:rPr>
              <w:t>75 Pleasant</w:t>
            </w:r>
            <w:r w:rsidR="005F037D">
              <w:rPr>
                <w:snapToGrid w:val="0"/>
              </w:rPr>
              <w:t xml:space="preserve"> Street, </w:t>
            </w:r>
            <w:smartTag w:uri="urn:schemas-microsoft-com:office:smarttags" w:element="place">
              <w:smartTag w:uri="urn:schemas-microsoft-com:office:smarttags" w:element="City">
                <w:r w:rsidR="005F037D">
                  <w:rPr>
                    <w:snapToGrid w:val="0"/>
                  </w:rPr>
                  <w:t>Malden</w:t>
                </w:r>
              </w:smartTag>
              <w:r w:rsidR="005F037D">
                <w:rPr>
                  <w:snapToGrid w:val="0"/>
                </w:rPr>
                <w:t xml:space="preserve">, </w:t>
              </w:r>
              <w:smartTag w:uri="urn:schemas-microsoft-com:office:smarttags" w:element="State">
                <w:r w:rsidR="005F037D">
                  <w:rPr>
                    <w:snapToGrid w:val="0"/>
                  </w:rPr>
                  <w:t>MA</w:t>
                </w:r>
              </w:smartTag>
              <w:r w:rsidR="005F037D">
                <w:rPr>
                  <w:snapToGrid w:val="0"/>
                </w:rPr>
                <w:t xml:space="preserve"> </w:t>
              </w:r>
              <w:smartTag w:uri="urn:schemas-microsoft-com:office:smarttags" w:element="PostalCode">
                <w:r w:rsidR="005F037D">
                  <w:rPr>
                    <w:snapToGrid w:val="0"/>
                  </w:rPr>
                  <w:t>02148</w:t>
                </w:r>
              </w:smartTag>
            </w:smartTag>
            <w:r w:rsidR="00740C0D">
              <w:rPr>
                <w:snapToGrid w:val="0"/>
              </w:rPr>
              <w:t>-4906</w:t>
            </w:r>
          </w:p>
          <w:p w:rsidR="0020780F" w:rsidRPr="0020780F" w:rsidRDefault="0020780F" w:rsidP="00EB1F6F">
            <w:pPr>
              <w:pStyle w:val="arial9"/>
              <w:rPr>
                <w:snapToGrid w:val="0"/>
              </w:rPr>
            </w:pPr>
            <w:r>
              <w:rPr>
                <w:snapToGrid w:val="0"/>
              </w:rPr>
              <w:t xml:space="preserve">Phone </w:t>
            </w:r>
            <w:r w:rsidR="005F037D">
              <w:rPr>
                <w:snapToGrid w:val="0"/>
              </w:rPr>
              <w:t xml:space="preserve">781-338-3000  </w:t>
            </w:r>
            <w:r w:rsidRPr="0020780F">
              <w:rPr>
                <w:snapToGrid w:val="0"/>
              </w:rPr>
              <w:t>TTY: N.E.T. Relay 800-439-2370</w:t>
            </w:r>
          </w:p>
          <w:p w:rsidR="005F037D" w:rsidRDefault="005F037D" w:rsidP="00EB1F6F">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C118B2" w:rsidP="00345DE2"/>
          <w:p w:rsidR="00C118B2" w:rsidRPr="00345DE2" w:rsidRDefault="00C10BBB" w:rsidP="008734A6">
            <w:pPr>
              <w:jc w:val="center"/>
            </w:pPr>
            <w:r>
              <w:rPr>
                <w:noProof/>
              </w:rPr>
              <w:drawing>
                <wp:inline distT="0" distB="0" distL="0" distR="0">
                  <wp:extent cx="1533525" cy="752475"/>
                  <wp:effectExtent l="19050" t="0" r="9525"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by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 xml:space="preserve">Mitchell D. Chester, </w:t>
            </w:r>
            <w:proofErr w:type="spellStart"/>
            <w:r w:rsidRPr="00CC22F1">
              <w:t>Ed.D</w:t>
            </w:r>
            <w:proofErr w:type="spellEnd"/>
            <w:r w:rsidR="00AD298F">
              <w:t>.</w:t>
            </w:r>
          </w:p>
          <w:p w:rsidR="00C118B2" w:rsidRDefault="00C118B2" w:rsidP="008734A6">
            <w:pPr>
              <w:pStyle w:val="BoardMembers"/>
            </w:pPr>
            <w:r>
              <w:t xml:space="preserve">Commissioner </w:t>
            </w:r>
          </w:p>
          <w:p w:rsidR="00C118B2" w:rsidRPr="00345DE2" w:rsidRDefault="00C118B2" w:rsidP="00345DE2"/>
          <w:p w:rsidR="00C118B2" w:rsidRPr="00345DE2" w:rsidRDefault="00C118B2" w:rsidP="00345DE2"/>
          <w:p w:rsidR="00AD72FC" w:rsidRDefault="00AD72FC"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Pr="00345DE2" w:rsidRDefault="00F33DDE"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rsidR="00F33DDE">
              <w:t>-4906. Phone:</w:t>
            </w:r>
            <w:r>
              <w:t xml:space="preserve"> 781-338-6105.</w:t>
            </w:r>
          </w:p>
          <w:p w:rsidR="00C118B2" w:rsidRPr="00345DE2" w:rsidRDefault="00C118B2" w:rsidP="00345DE2"/>
          <w:p w:rsidR="00C118B2" w:rsidRPr="00345DE2" w:rsidRDefault="00C118B2" w:rsidP="00345DE2"/>
          <w:p w:rsidR="00C118B2" w:rsidRDefault="00C118B2" w:rsidP="008734A6">
            <w:pPr>
              <w:pStyle w:val="BoardMembers"/>
            </w:pPr>
            <w:r>
              <w:t>© 20</w:t>
            </w:r>
            <w:r w:rsidR="00720822">
              <w:t>1</w:t>
            </w:r>
            <w:r w:rsidR="00B911A0">
              <w:t>1</w:t>
            </w:r>
            <w:r>
              <w:t xml:space="preserve"> Massachusetts Department of </w:t>
            </w:r>
            <w:r w:rsidR="00440BAB" w:rsidRPr="00440BAB">
              <w:t xml:space="preserve">Elementary and Secondary </w:t>
            </w:r>
            <w:r>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C10BBB" w:rsidP="00C118B2">
            <w:pPr>
              <w:jc w:val="center"/>
              <w:rPr>
                <w:sz w:val="18"/>
              </w:rPr>
            </w:pPr>
            <w:r>
              <w:rPr>
                <w:noProof/>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3F3636" w:rsidRPr="00E9399F" w:rsidRDefault="004D45D4" w:rsidP="00E9399F">
      <w:pPr>
        <w:jc w:val="center"/>
        <w:rPr>
          <w:rFonts w:ascii="Arial" w:hAnsi="Arial" w:cs="Arial"/>
          <w:b/>
        </w:rPr>
      </w:pPr>
      <w:r>
        <w:br w:type="page"/>
      </w:r>
      <w:r w:rsidR="00DB2F2C">
        <w:lastRenderedPageBreak/>
        <w:t xml:space="preserve"> </w:t>
      </w:r>
      <w:r w:rsidR="00E9399F" w:rsidRPr="00E9399F" w:rsidDel="00E9399F">
        <w:rPr>
          <w:rFonts w:ascii="Arial" w:hAnsi="Arial" w:cs="Arial"/>
          <w:b/>
        </w:rPr>
        <w:t xml:space="preserve"> </w:t>
      </w:r>
      <w:r w:rsidR="003F3636" w:rsidRPr="00E9399F">
        <w:rPr>
          <w:rFonts w:ascii="Arial" w:hAnsi="Arial" w:cs="Arial"/>
          <w:b/>
        </w:rPr>
        <w:t>Table of Contents</w:t>
      </w:r>
    </w:p>
    <w:p w:rsidR="00BB5C2E" w:rsidRDefault="00385FE2">
      <w:pPr>
        <w:pStyle w:val="TOC1"/>
        <w:rPr>
          <w:rFonts w:asciiTheme="minorHAnsi" w:eastAsiaTheme="minorEastAsia" w:hAnsiTheme="minorHAnsi" w:cstheme="minorBidi"/>
          <w:b w:val="0"/>
          <w:noProof/>
          <w:sz w:val="22"/>
          <w:szCs w:val="22"/>
        </w:rPr>
      </w:pPr>
      <w:r w:rsidRPr="00385FE2">
        <w:fldChar w:fldCharType="begin"/>
      </w:r>
      <w:r w:rsidR="003F3636">
        <w:instrText xml:space="preserve"> TOC \o "1-3" \h \z \u </w:instrText>
      </w:r>
      <w:r w:rsidRPr="00385FE2">
        <w:fldChar w:fldCharType="separate"/>
      </w:r>
      <w:hyperlink w:anchor="_Toc452474960" w:history="1">
        <w:r w:rsidR="00BB5C2E" w:rsidRPr="004E59CC">
          <w:rPr>
            <w:rStyle w:val="Hyperlink"/>
            <w:noProof/>
          </w:rPr>
          <w:t>Introduction to DART</w:t>
        </w:r>
        <w:r w:rsidR="00BB5C2E">
          <w:rPr>
            <w:noProof/>
            <w:webHidden/>
          </w:rPr>
          <w:tab/>
        </w:r>
        <w:r>
          <w:rPr>
            <w:noProof/>
            <w:webHidden/>
          </w:rPr>
          <w:fldChar w:fldCharType="begin"/>
        </w:r>
        <w:r w:rsidR="00BB5C2E">
          <w:rPr>
            <w:noProof/>
            <w:webHidden/>
          </w:rPr>
          <w:instrText xml:space="preserve"> PAGEREF _Toc452474960 \h </w:instrText>
        </w:r>
        <w:r>
          <w:rPr>
            <w:noProof/>
            <w:webHidden/>
          </w:rPr>
        </w:r>
        <w:r>
          <w:rPr>
            <w:noProof/>
            <w:webHidden/>
          </w:rPr>
          <w:fldChar w:fldCharType="separate"/>
        </w:r>
        <w:r w:rsidR="00802FD5">
          <w:rPr>
            <w:noProof/>
            <w:webHidden/>
          </w:rPr>
          <w:t>1</w:t>
        </w:r>
        <w:r>
          <w:rPr>
            <w:noProof/>
            <w:webHidden/>
          </w:rPr>
          <w:fldChar w:fldCharType="end"/>
        </w:r>
      </w:hyperlink>
    </w:p>
    <w:p w:rsidR="00BB5C2E" w:rsidRDefault="00385FE2">
      <w:pPr>
        <w:pStyle w:val="TOC1"/>
        <w:rPr>
          <w:rFonts w:asciiTheme="minorHAnsi" w:eastAsiaTheme="minorEastAsia" w:hAnsiTheme="minorHAnsi" w:cstheme="minorBidi"/>
          <w:b w:val="0"/>
          <w:noProof/>
          <w:sz w:val="22"/>
          <w:szCs w:val="22"/>
        </w:rPr>
      </w:pPr>
      <w:hyperlink w:anchor="_Toc452474961" w:history="1">
        <w:r w:rsidR="00BB5C2E" w:rsidRPr="004E59CC">
          <w:rPr>
            <w:rStyle w:val="Hyperlink"/>
            <w:noProof/>
          </w:rPr>
          <w:t>Overview of DART Tools</w:t>
        </w:r>
        <w:r w:rsidR="00BB5C2E">
          <w:rPr>
            <w:noProof/>
            <w:webHidden/>
          </w:rPr>
          <w:tab/>
        </w:r>
        <w:r>
          <w:rPr>
            <w:noProof/>
            <w:webHidden/>
          </w:rPr>
          <w:fldChar w:fldCharType="begin"/>
        </w:r>
        <w:r w:rsidR="00BB5C2E">
          <w:rPr>
            <w:noProof/>
            <w:webHidden/>
          </w:rPr>
          <w:instrText xml:space="preserve"> PAGEREF _Toc452474961 \h </w:instrText>
        </w:r>
        <w:r>
          <w:rPr>
            <w:noProof/>
            <w:webHidden/>
          </w:rPr>
        </w:r>
        <w:r>
          <w:rPr>
            <w:noProof/>
            <w:webHidden/>
          </w:rPr>
          <w:fldChar w:fldCharType="separate"/>
        </w:r>
        <w:r w:rsidR="00802FD5">
          <w:rPr>
            <w:noProof/>
            <w:webHidden/>
          </w:rPr>
          <w:t>2</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62" w:history="1">
        <w:r w:rsidR="00BB5C2E" w:rsidRPr="004E59CC">
          <w:rPr>
            <w:rStyle w:val="Hyperlink"/>
            <w:noProof/>
          </w:rPr>
          <w:t>DART Tools</w:t>
        </w:r>
        <w:r w:rsidR="00BB5C2E">
          <w:rPr>
            <w:noProof/>
            <w:webHidden/>
          </w:rPr>
          <w:tab/>
        </w:r>
        <w:r>
          <w:rPr>
            <w:noProof/>
            <w:webHidden/>
          </w:rPr>
          <w:fldChar w:fldCharType="begin"/>
        </w:r>
        <w:r w:rsidR="00BB5C2E">
          <w:rPr>
            <w:noProof/>
            <w:webHidden/>
          </w:rPr>
          <w:instrText xml:space="preserve"> PAGEREF _Toc452474962 \h </w:instrText>
        </w:r>
        <w:r>
          <w:rPr>
            <w:noProof/>
            <w:webHidden/>
          </w:rPr>
        </w:r>
        <w:r>
          <w:rPr>
            <w:noProof/>
            <w:webHidden/>
          </w:rPr>
          <w:fldChar w:fldCharType="separate"/>
        </w:r>
        <w:r w:rsidR="00802FD5">
          <w:rPr>
            <w:noProof/>
            <w:webHidden/>
          </w:rPr>
          <w:t>2</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63" w:history="1">
        <w:r w:rsidR="00BB5C2E" w:rsidRPr="004E59CC">
          <w:rPr>
            <w:rStyle w:val="Hyperlink"/>
            <w:noProof/>
          </w:rPr>
          <w:t>Provide Feedback to ESE</w:t>
        </w:r>
        <w:r w:rsidR="00BB5C2E">
          <w:rPr>
            <w:noProof/>
            <w:webHidden/>
          </w:rPr>
          <w:tab/>
        </w:r>
        <w:r>
          <w:rPr>
            <w:noProof/>
            <w:webHidden/>
          </w:rPr>
          <w:fldChar w:fldCharType="begin"/>
        </w:r>
        <w:r w:rsidR="00BB5C2E">
          <w:rPr>
            <w:noProof/>
            <w:webHidden/>
          </w:rPr>
          <w:instrText xml:space="preserve"> PAGEREF _Toc452474963 \h </w:instrText>
        </w:r>
        <w:r>
          <w:rPr>
            <w:noProof/>
            <w:webHidden/>
          </w:rPr>
        </w:r>
        <w:r>
          <w:rPr>
            <w:noProof/>
            <w:webHidden/>
          </w:rPr>
          <w:fldChar w:fldCharType="separate"/>
        </w:r>
        <w:r w:rsidR="00802FD5">
          <w:rPr>
            <w:noProof/>
            <w:webHidden/>
          </w:rPr>
          <w:t>2</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64" w:history="1">
        <w:r w:rsidR="00BB5C2E" w:rsidRPr="004E59CC">
          <w:rPr>
            <w:rStyle w:val="Hyperlink"/>
            <w:noProof/>
          </w:rPr>
          <w:t>Use the RSS Feed for Updates</w:t>
        </w:r>
        <w:r w:rsidR="00BB5C2E">
          <w:rPr>
            <w:noProof/>
            <w:webHidden/>
          </w:rPr>
          <w:tab/>
        </w:r>
        <w:r>
          <w:rPr>
            <w:noProof/>
            <w:webHidden/>
          </w:rPr>
          <w:fldChar w:fldCharType="begin"/>
        </w:r>
        <w:r w:rsidR="00BB5C2E">
          <w:rPr>
            <w:noProof/>
            <w:webHidden/>
          </w:rPr>
          <w:instrText xml:space="preserve"> PAGEREF _Toc452474964 \h </w:instrText>
        </w:r>
        <w:r>
          <w:rPr>
            <w:noProof/>
            <w:webHidden/>
          </w:rPr>
        </w:r>
        <w:r>
          <w:rPr>
            <w:noProof/>
            <w:webHidden/>
          </w:rPr>
          <w:fldChar w:fldCharType="separate"/>
        </w:r>
        <w:r w:rsidR="00802FD5">
          <w:rPr>
            <w:noProof/>
            <w:webHidden/>
          </w:rPr>
          <w:t>3</w:t>
        </w:r>
        <w:r>
          <w:rPr>
            <w:noProof/>
            <w:webHidden/>
          </w:rPr>
          <w:fldChar w:fldCharType="end"/>
        </w:r>
      </w:hyperlink>
    </w:p>
    <w:p w:rsidR="00BB5C2E" w:rsidRDefault="00385FE2">
      <w:pPr>
        <w:pStyle w:val="TOC1"/>
        <w:rPr>
          <w:rFonts w:asciiTheme="minorHAnsi" w:eastAsiaTheme="minorEastAsia" w:hAnsiTheme="minorHAnsi" w:cstheme="minorBidi"/>
          <w:b w:val="0"/>
          <w:noProof/>
          <w:sz w:val="22"/>
          <w:szCs w:val="22"/>
        </w:rPr>
      </w:pPr>
      <w:hyperlink w:anchor="_Toc452474965" w:history="1">
        <w:r w:rsidR="00BB5C2E" w:rsidRPr="004E59CC">
          <w:rPr>
            <w:rStyle w:val="Hyperlink"/>
            <w:noProof/>
          </w:rPr>
          <w:t>Considerations in Using DART Data</w:t>
        </w:r>
        <w:r w:rsidR="00BB5C2E">
          <w:rPr>
            <w:noProof/>
            <w:webHidden/>
          </w:rPr>
          <w:tab/>
        </w:r>
        <w:r>
          <w:rPr>
            <w:noProof/>
            <w:webHidden/>
          </w:rPr>
          <w:fldChar w:fldCharType="begin"/>
        </w:r>
        <w:r w:rsidR="00BB5C2E">
          <w:rPr>
            <w:noProof/>
            <w:webHidden/>
          </w:rPr>
          <w:instrText xml:space="preserve"> PAGEREF _Toc452474965 \h </w:instrText>
        </w:r>
        <w:r>
          <w:rPr>
            <w:noProof/>
            <w:webHidden/>
          </w:rPr>
        </w:r>
        <w:r>
          <w:rPr>
            <w:noProof/>
            <w:webHidden/>
          </w:rPr>
          <w:fldChar w:fldCharType="separate"/>
        </w:r>
        <w:r w:rsidR="00802FD5">
          <w:rPr>
            <w:noProof/>
            <w:webHidden/>
          </w:rPr>
          <w:t>3</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66" w:history="1">
        <w:r w:rsidR="00BB5C2E" w:rsidRPr="004E59CC">
          <w:rPr>
            <w:rStyle w:val="Hyperlink"/>
            <w:noProof/>
          </w:rPr>
          <w:t>Remember: DARTs are a snapshot.</w:t>
        </w:r>
        <w:r w:rsidR="00BB5C2E">
          <w:rPr>
            <w:noProof/>
            <w:webHidden/>
          </w:rPr>
          <w:tab/>
        </w:r>
        <w:r>
          <w:rPr>
            <w:noProof/>
            <w:webHidden/>
          </w:rPr>
          <w:fldChar w:fldCharType="begin"/>
        </w:r>
        <w:r w:rsidR="00BB5C2E">
          <w:rPr>
            <w:noProof/>
            <w:webHidden/>
          </w:rPr>
          <w:instrText xml:space="preserve"> PAGEREF _Toc452474966 \h </w:instrText>
        </w:r>
        <w:r>
          <w:rPr>
            <w:noProof/>
            <w:webHidden/>
          </w:rPr>
        </w:r>
        <w:r>
          <w:rPr>
            <w:noProof/>
            <w:webHidden/>
          </w:rPr>
          <w:fldChar w:fldCharType="separate"/>
        </w:r>
        <w:r w:rsidR="00802FD5">
          <w:rPr>
            <w:noProof/>
            <w:webHidden/>
          </w:rPr>
          <w:t>3</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67" w:history="1">
        <w:r w:rsidR="00BB5C2E" w:rsidRPr="004E59CC">
          <w:rPr>
            <w:rStyle w:val="Hyperlink"/>
            <w:noProof/>
          </w:rPr>
          <w:t>Considerations for Data Analysis</w:t>
        </w:r>
        <w:r w:rsidR="00BB5C2E">
          <w:rPr>
            <w:noProof/>
            <w:webHidden/>
          </w:rPr>
          <w:tab/>
        </w:r>
        <w:r>
          <w:rPr>
            <w:noProof/>
            <w:webHidden/>
          </w:rPr>
          <w:fldChar w:fldCharType="begin"/>
        </w:r>
        <w:r w:rsidR="00BB5C2E">
          <w:rPr>
            <w:noProof/>
            <w:webHidden/>
          </w:rPr>
          <w:instrText xml:space="preserve"> PAGEREF _Toc452474967 \h </w:instrText>
        </w:r>
        <w:r>
          <w:rPr>
            <w:noProof/>
            <w:webHidden/>
          </w:rPr>
        </w:r>
        <w:r>
          <w:rPr>
            <w:noProof/>
            <w:webHidden/>
          </w:rPr>
          <w:fldChar w:fldCharType="separate"/>
        </w:r>
        <w:r w:rsidR="00802FD5">
          <w:rPr>
            <w:noProof/>
            <w:webHidden/>
          </w:rPr>
          <w:t>3</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68" w:history="1">
        <w:r w:rsidR="00BB5C2E" w:rsidRPr="004E59CC">
          <w:rPr>
            <w:rStyle w:val="Hyperlink"/>
            <w:noProof/>
          </w:rPr>
          <w:t>Keep Current With Data Updates in DART Files.</w:t>
        </w:r>
        <w:r w:rsidR="00BB5C2E">
          <w:rPr>
            <w:noProof/>
            <w:webHidden/>
          </w:rPr>
          <w:tab/>
        </w:r>
        <w:r>
          <w:rPr>
            <w:noProof/>
            <w:webHidden/>
          </w:rPr>
          <w:fldChar w:fldCharType="begin"/>
        </w:r>
        <w:r w:rsidR="00BB5C2E">
          <w:rPr>
            <w:noProof/>
            <w:webHidden/>
          </w:rPr>
          <w:instrText xml:space="preserve"> PAGEREF _Toc452474968 \h </w:instrText>
        </w:r>
        <w:r>
          <w:rPr>
            <w:noProof/>
            <w:webHidden/>
          </w:rPr>
        </w:r>
        <w:r>
          <w:rPr>
            <w:noProof/>
            <w:webHidden/>
          </w:rPr>
          <w:fldChar w:fldCharType="separate"/>
        </w:r>
        <w:r w:rsidR="00802FD5">
          <w:rPr>
            <w:noProof/>
            <w:webHidden/>
          </w:rPr>
          <w:t>3</w:t>
        </w:r>
        <w:r>
          <w:rPr>
            <w:noProof/>
            <w:webHidden/>
          </w:rPr>
          <w:fldChar w:fldCharType="end"/>
        </w:r>
      </w:hyperlink>
    </w:p>
    <w:p w:rsidR="00BB5C2E" w:rsidRDefault="00385FE2">
      <w:pPr>
        <w:pStyle w:val="TOC1"/>
        <w:rPr>
          <w:rFonts w:asciiTheme="minorHAnsi" w:eastAsiaTheme="minorEastAsia" w:hAnsiTheme="minorHAnsi" w:cstheme="minorBidi"/>
          <w:b w:val="0"/>
          <w:noProof/>
          <w:sz w:val="22"/>
          <w:szCs w:val="22"/>
        </w:rPr>
      </w:pPr>
      <w:hyperlink w:anchor="_Toc452474969" w:history="1">
        <w:r w:rsidR="00BB5C2E" w:rsidRPr="004E59CC">
          <w:rPr>
            <w:rStyle w:val="Hyperlink"/>
            <w:noProof/>
          </w:rPr>
          <w:t>Using the DART Detail: Staffing and Finance File</w:t>
        </w:r>
        <w:r w:rsidR="00BB5C2E">
          <w:rPr>
            <w:noProof/>
            <w:webHidden/>
          </w:rPr>
          <w:tab/>
        </w:r>
        <w:r>
          <w:rPr>
            <w:noProof/>
            <w:webHidden/>
          </w:rPr>
          <w:fldChar w:fldCharType="begin"/>
        </w:r>
        <w:r w:rsidR="00BB5C2E">
          <w:rPr>
            <w:noProof/>
            <w:webHidden/>
          </w:rPr>
          <w:instrText xml:space="preserve"> PAGEREF _Toc452474969 \h </w:instrText>
        </w:r>
        <w:r>
          <w:rPr>
            <w:noProof/>
            <w:webHidden/>
          </w:rPr>
        </w:r>
        <w:r>
          <w:rPr>
            <w:noProof/>
            <w:webHidden/>
          </w:rPr>
          <w:fldChar w:fldCharType="separate"/>
        </w:r>
        <w:r w:rsidR="00802FD5">
          <w:rPr>
            <w:noProof/>
            <w:webHidden/>
          </w:rPr>
          <w:t>4</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70" w:history="1">
        <w:r w:rsidR="00BB5C2E" w:rsidRPr="004E59CC">
          <w:rPr>
            <w:rStyle w:val="Hyperlink"/>
            <w:noProof/>
          </w:rPr>
          <w:t>Download the File to Your Computer</w:t>
        </w:r>
        <w:r w:rsidR="00BB5C2E">
          <w:rPr>
            <w:noProof/>
            <w:webHidden/>
          </w:rPr>
          <w:tab/>
        </w:r>
        <w:r>
          <w:rPr>
            <w:noProof/>
            <w:webHidden/>
          </w:rPr>
          <w:fldChar w:fldCharType="begin"/>
        </w:r>
        <w:r w:rsidR="00BB5C2E">
          <w:rPr>
            <w:noProof/>
            <w:webHidden/>
          </w:rPr>
          <w:instrText xml:space="preserve"> PAGEREF _Toc452474970 \h </w:instrText>
        </w:r>
        <w:r>
          <w:rPr>
            <w:noProof/>
            <w:webHidden/>
          </w:rPr>
        </w:r>
        <w:r>
          <w:rPr>
            <w:noProof/>
            <w:webHidden/>
          </w:rPr>
          <w:fldChar w:fldCharType="separate"/>
        </w:r>
        <w:r w:rsidR="00802FD5">
          <w:rPr>
            <w:noProof/>
            <w:webHidden/>
          </w:rPr>
          <w:t>4</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71" w:history="1">
        <w:r w:rsidR="00BB5C2E" w:rsidRPr="004E59CC">
          <w:rPr>
            <w:rStyle w:val="Hyperlink"/>
            <w:noProof/>
          </w:rPr>
          <w:t>Select Districts to Populate the DART Reports</w:t>
        </w:r>
        <w:r w:rsidR="00BB5C2E">
          <w:rPr>
            <w:noProof/>
            <w:webHidden/>
          </w:rPr>
          <w:tab/>
        </w:r>
        <w:r>
          <w:rPr>
            <w:noProof/>
            <w:webHidden/>
          </w:rPr>
          <w:fldChar w:fldCharType="begin"/>
        </w:r>
        <w:r w:rsidR="00BB5C2E">
          <w:rPr>
            <w:noProof/>
            <w:webHidden/>
          </w:rPr>
          <w:instrText xml:space="preserve"> PAGEREF _Toc452474971 \h </w:instrText>
        </w:r>
        <w:r>
          <w:rPr>
            <w:noProof/>
            <w:webHidden/>
          </w:rPr>
        </w:r>
        <w:r>
          <w:rPr>
            <w:noProof/>
            <w:webHidden/>
          </w:rPr>
          <w:fldChar w:fldCharType="separate"/>
        </w:r>
        <w:r w:rsidR="00802FD5">
          <w:rPr>
            <w:noProof/>
            <w:webHidden/>
          </w:rPr>
          <w:t>5</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72" w:history="1">
        <w:r w:rsidR="00BB5C2E" w:rsidRPr="004E59CC">
          <w:rPr>
            <w:rStyle w:val="Hyperlink"/>
            <w:noProof/>
          </w:rPr>
          <w:t>Print Reports</w:t>
        </w:r>
        <w:r w:rsidR="00BB5C2E">
          <w:rPr>
            <w:noProof/>
            <w:webHidden/>
          </w:rPr>
          <w:tab/>
        </w:r>
        <w:r>
          <w:rPr>
            <w:noProof/>
            <w:webHidden/>
          </w:rPr>
          <w:fldChar w:fldCharType="begin"/>
        </w:r>
        <w:r w:rsidR="00BB5C2E">
          <w:rPr>
            <w:noProof/>
            <w:webHidden/>
          </w:rPr>
          <w:instrText xml:space="preserve"> PAGEREF _Toc452474972 \h </w:instrText>
        </w:r>
        <w:r>
          <w:rPr>
            <w:noProof/>
            <w:webHidden/>
          </w:rPr>
        </w:r>
        <w:r>
          <w:rPr>
            <w:noProof/>
            <w:webHidden/>
          </w:rPr>
          <w:fldChar w:fldCharType="separate"/>
        </w:r>
        <w:r w:rsidR="00802FD5">
          <w:rPr>
            <w:noProof/>
            <w:webHidden/>
          </w:rPr>
          <w:t>6</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73" w:history="1">
        <w:r w:rsidR="00BB5C2E" w:rsidRPr="004E59CC">
          <w:rPr>
            <w:rStyle w:val="Hyperlink"/>
            <w:noProof/>
          </w:rPr>
          <w:t>Create Your Own Reports Using DART Data</w:t>
        </w:r>
        <w:r w:rsidR="00BB5C2E">
          <w:rPr>
            <w:noProof/>
            <w:webHidden/>
          </w:rPr>
          <w:tab/>
        </w:r>
        <w:r>
          <w:rPr>
            <w:noProof/>
            <w:webHidden/>
          </w:rPr>
          <w:fldChar w:fldCharType="begin"/>
        </w:r>
        <w:r w:rsidR="00BB5C2E">
          <w:rPr>
            <w:noProof/>
            <w:webHidden/>
          </w:rPr>
          <w:instrText xml:space="preserve"> PAGEREF _Toc452474973 \h </w:instrText>
        </w:r>
        <w:r>
          <w:rPr>
            <w:noProof/>
            <w:webHidden/>
          </w:rPr>
        </w:r>
        <w:r>
          <w:rPr>
            <w:noProof/>
            <w:webHidden/>
          </w:rPr>
          <w:fldChar w:fldCharType="separate"/>
        </w:r>
        <w:r w:rsidR="00802FD5">
          <w:rPr>
            <w:noProof/>
            <w:webHidden/>
          </w:rPr>
          <w:t>7</w:t>
        </w:r>
        <w:r>
          <w:rPr>
            <w:noProof/>
            <w:webHidden/>
          </w:rPr>
          <w:fldChar w:fldCharType="end"/>
        </w:r>
      </w:hyperlink>
    </w:p>
    <w:p w:rsidR="00BB5C2E" w:rsidRDefault="00385FE2">
      <w:pPr>
        <w:pStyle w:val="TOC1"/>
        <w:rPr>
          <w:rFonts w:asciiTheme="minorHAnsi" w:eastAsiaTheme="minorEastAsia" w:hAnsiTheme="minorHAnsi" w:cstheme="minorBidi"/>
          <w:b w:val="0"/>
          <w:noProof/>
          <w:sz w:val="22"/>
          <w:szCs w:val="22"/>
        </w:rPr>
      </w:pPr>
      <w:hyperlink w:anchor="_Toc452474974" w:history="1">
        <w:r w:rsidR="00BB5C2E" w:rsidRPr="004E59CC">
          <w:rPr>
            <w:rStyle w:val="Hyperlink"/>
            <w:noProof/>
          </w:rPr>
          <w:t>Data Used in DART Detail: Staffing and Finance</w:t>
        </w:r>
        <w:r w:rsidR="00BB5C2E">
          <w:rPr>
            <w:noProof/>
            <w:webHidden/>
          </w:rPr>
          <w:tab/>
        </w:r>
        <w:r>
          <w:rPr>
            <w:noProof/>
            <w:webHidden/>
          </w:rPr>
          <w:fldChar w:fldCharType="begin"/>
        </w:r>
        <w:r w:rsidR="00BB5C2E">
          <w:rPr>
            <w:noProof/>
            <w:webHidden/>
          </w:rPr>
          <w:instrText xml:space="preserve"> PAGEREF _Toc452474974 \h </w:instrText>
        </w:r>
        <w:r>
          <w:rPr>
            <w:noProof/>
            <w:webHidden/>
          </w:rPr>
        </w:r>
        <w:r>
          <w:rPr>
            <w:noProof/>
            <w:webHidden/>
          </w:rPr>
          <w:fldChar w:fldCharType="separate"/>
        </w:r>
        <w:r w:rsidR="00802FD5">
          <w:rPr>
            <w:noProof/>
            <w:webHidden/>
          </w:rPr>
          <w:t>8</w:t>
        </w:r>
        <w:r>
          <w:rPr>
            <w:noProof/>
            <w:webHidden/>
          </w:rPr>
          <w:fldChar w:fldCharType="end"/>
        </w:r>
      </w:hyperlink>
    </w:p>
    <w:p w:rsidR="00BB5C2E" w:rsidRDefault="00385FE2">
      <w:pPr>
        <w:pStyle w:val="TOC2"/>
        <w:tabs>
          <w:tab w:val="right" w:leader="dot" w:pos="9350"/>
        </w:tabs>
        <w:rPr>
          <w:rFonts w:asciiTheme="minorHAnsi" w:eastAsiaTheme="minorEastAsia" w:hAnsiTheme="minorHAnsi" w:cstheme="minorBidi"/>
          <w:noProof/>
          <w:sz w:val="22"/>
          <w:szCs w:val="22"/>
        </w:rPr>
      </w:pPr>
      <w:hyperlink w:anchor="_Toc452474975" w:history="1">
        <w:r w:rsidR="00BB5C2E" w:rsidRPr="004E59CC">
          <w:rPr>
            <w:rStyle w:val="Hyperlink"/>
            <w:noProof/>
          </w:rPr>
          <w:t>Data Used in Reports</w:t>
        </w:r>
        <w:r w:rsidR="00BB5C2E">
          <w:rPr>
            <w:noProof/>
            <w:webHidden/>
          </w:rPr>
          <w:tab/>
        </w:r>
        <w:r>
          <w:rPr>
            <w:noProof/>
            <w:webHidden/>
          </w:rPr>
          <w:fldChar w:fldCharType="begin"/>
        </w:r>
        <w:r w:rsidR="00BB5C2E">
          <w:rPr>
            <w:noProof/>
            <w:webHidden/>
          </w:rPr>
          <w:instrText xml:space="preserve"> PAGEREF _Toc452474975 \h </w:instrText>
        </w:r>
        <w:r>
          <w:rPr>
            <w:noProof/>
            <w:webHidden/>
          </w:rPr>
        </w:r>
        <w:r>
          <w:rPr>
            <w:noProof/>
            <w:webHidden/>
          </w:rPr>
          <w:fldChar w:fldCharType="separate"/>
        </w:r>
        <w:r w:rsidR="00802FD5">
          <w:rPr>
            <w:noProof/>
            <w:webHidden/>
          </w:rPr>
          <w:t>8</w:t>
        </w:r>
        <w:r>
          <w:rPr>
            <w:noProof/>
            <w:webHidden/>
          </w:rPr>
          <w:fldChar w:fldCharType="end"/>
        </w:r>
      </w:hyperlink>
    </w:p>
    <w:p w:rsidR="00BB5C2E" w:rsidRDefault="00385FE2">
      <w:pPr>
        <w:pStyle w:val="TOC2"/>
        <w:tabs>
          <w:tab w:val="right" w:leader="dot" w:pos="9350"/>
        </w:tabs>
        <w:rPr>
          <w:rFonts w:asciiTheme="minorHAnsi" w:eastAsiaTheme="minorEastAsia" w:hAnsiTheme="minorHAnsi" w:cstheme="minorBidi"/>
          <w:noProof/>
          <w:sz w:val="22"/>
          <w:szCs w:val="22"/>
        </w:rPr>
      </w:pPr>
      <w:hyperlink w:anchor="_Toc452474976" w:history="1">
        <w:r w:rsidR="00BB5C2E" w:rsidRPr="004E59CC">
          <w:rPr>
            <w:rStyle w:val="Hyperlink"/>
            <w:noProof/>
          </w:rPr>
          <w:t>District at a Glance</w:t>
        </w:r>
        <w:r w:rsidR="00BB5C2E">
          <w:rPr>
            <w:noProof/>
            <w:webHidden/>
          </w:rPr>
          <w:tab/>
        </w:r>
        <w:r>
          <w:rPr>
            <w:noProof/>
            <w:webHidden/>
          </w:rPr>
          <w:fldChar w:fldCharType="begin"/>
        </w:r>
        <w:r w:rsidR="00BB5C2E">
          <w:rPr>
            <w:noProof/>
            <w:webHidden/>
          </w:rPr>
          <w:instrText xml:space="preserve"> PAGEREF _Toc452474976 \h </w:instrText>
        </w:r>
        <w:r>
          <w:rPr>
            <w:noProof/>
            <w:webHidden/>
          </w:rPr>
        </w:r>
        <w:r>
          <w:rPr>
            <w:noProof/>
            <w:webHidden/>
          </w:rPr>
          <w:fldChar w:fldCharType="separate"/>
        </w:r>
        <w:r w:rsidR="00802FD5">
          <w:rPr>
            <w:noProof/>
            <w:webHidden/>
          </w:rPr>
          <w:t>8</w:t>
        </w:r>
        <w:r>
          <w:rPr>
            <w:noProof/>
            <w:webHidden/>
          </w:rPr>
          <w:fldChar w:fldCharType="end"/>
        </w:r>
      </w:hyperlink>
    </w:p>
    <w:p w:rsidR="00BB5C2E" w:rsidRDefault="00385FE2">
      <w:pPr>
        <w:pStyle w:val="TOC2"/>
        <w:tabs>
          <w:tab w:val="right" w:leader="dot" w:pos="9350"/>
        </w:tabs>
        <w:rPr>
          <w:rFonts w:asciiTheme="minorHAnsi" w:eastAsiaTheme="minorEastAsia" w:hAnsiTheme="minorHAnsi" w:cstheme="minorBidi"/>
          <w:noProof/>
          <w:sz w:val="22"/>
          <w:szCs w:val="22"/>
        </w:rPr>
      </w:pPr>
      <w:hyperlink w:anchor="_Toc452474977" w:history="1">
        <w:r w:rsidR="00BB5C2E" w:rsidRPr="004E59CC">
          <w:rPr>
            <w:rStyle w:val="Hyperlink"/>
            <w:noProof/>
          </w:rPr>
          <w:t>Staffing Reports</w:t>
        </w:r>
        <w:r w:rsidR="00BB5C2E">
          <w:rPr>
            <w:noProof/>
            <w:webHidden/>
          </w:rPr>
          <w:tab/>
        </w:r>
        <w:r>
          <w:rPr>
            <w:noProof/>
            <w:webHidden/>
          </w:rPr>
          <w:fldChar w:fldCharType="begin"/>
        </w:r>
        <w:r w:rsidR="00BB5C2E">
          <w:rPr>
            <w:noProof/>
            <w:webHidden/>
          </w:rPr>
          <w:instrText xml:space="preserve"> PAGEREF _Toc452474977 \h </w:instrText>
        </w:r>
        <w:r>
          <w:rPr>
            <w:noProof/>
            <w:webHidden/>
          </w:rPr>
        </w:r>
        <w:r>
          <w:rPr>
            <w:noProof/>
            <w:webHidden/>
          </w:rPr>
          <w:fldChar w:fldCharType="separate"/>
        </w:r>
        <w:r w:rsidR="00802FD5">
          <w:rPr>
            <w:noProof/>
            <w:webHidden/>
          </w:rPr>
          <w:t>8</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78" w:history="1">
        <w:r w:rsidR="00BB5C2E" w:rsidRPr="004E59CC">
          <w:rPr>
            <w:rStyle w:val="Hyperlink"/>
            <w:noProof/>
          </w:rPr>
          <w:t>District Staffing</w:t>
        </w:r>
        <w:r w:rsidR="00BB5C2E">
          <w:rPr>
            <w:noProof/>
            <w:webHidden/>
          </w:rPr>
          <w:tab/>
        </w:r>
        <w:r>
          <w:rPr>
            <w:noProof/>
            <w:webHidden/>
          </w:rPr>
          <w:fldChar w:fldCharType="begin"/>
        </w:r>
        <w:r w:rsidR="00BB5C2E">
          <w:rPr>
            <w:noProof/>
            <w:webHidden/>
          </w:rPr>
          <w:instrText xml:space="preserve"> PAGEREF _Toc452474978 \h </w:instrText>
        </w:r>
        <w:r>
          <w:rPr>
            <w:noProof/>
            <w:webHidden/>
          </w:rPr>
        </w:r>
        <w:r>
          <w:rPr>
            <w:noProof/>
            <w:webHidden/>
          </w:rPr>
          <w:fldChar w:fldCharType="separate"/>
        </w:r>
        <w:r w:rsidR="00802FD5">
          <w:rPr>
            <w:noProof/>
            <w:webHidden/>
          </w:rPr>
          <w:t>8</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79" w:history="1">
        <w:r w:rsidR="00BB5C2E" w:rsidRPr="004E59CC">
          <w:rPr>
            <w:rStyle w:val="Hyperlink"/>
            <w:noProof/>
          </w:rPr>
          <w:t>Teachers</w:t>
        </w:r>
        <w:r w:rsidR="00BB5C2E">
          <w:rPr>
            <w:noProof/>
            <w:webHidden/>
          </w:rPr>
          <w:tab/>
        </w:r>
        <w:r>
          <w:rPr>
            <w:noProof/>
            <w:webHidden/>
          </w:rPr>
          <w:fldChar w:fldCharType="begin"/>
        </w:r>
        <w:r w:rsidR="00BB5C2E">
          <w:rPr>
            <w:noProof/>
            <w:webHidden/>
          </w:rPr>
          <w:instrText xml:space="preserve"> PAGEREF _Toc452474979 \h </w:instrText>
        </w:r>
        <w:r>
          <w:rPr>
            <w:noProof/>
            <w:webHidden/>
          </w:rPr>
        </w:r>
        <w:r>
          <w:rPr>
            <w:noProof/>
            <w:webHidden/>
          </w:rPr>
          <w:fldChar w:fldCharType="separate"/>
        </w:r>
        <w:r w:rsidR="00802FD5">
          <w:rPr>
            <w:noProof/>
            <w:webHidden/>
          </w:rPr>
          <w:t>9</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80" w:history="1">
        <w:r w:rsidR="00BB5C2E" w:rsidRPr="004E59CC">
          <w:rPr>
            <w:rStyle w:val="Hyperlink"/>
            <w:noProof/>
          </w:rPr>
          <w:t>Special Education Staff</w:t>
        </w:r>
        <w:r w:rsidR="00BB5C2E">
          <w:rPr>
            <w:noProof/>
            <w:webHidden/>
          </w:rPr>
          <w:tab/>
        </w:r>
        <w:r>
          <w:rPr>
            <w:noProof/>
            <w:webHidden/>
          </w:rPr>
          <w:fldChar w:fldCharType="begin"/>
        </w:r>
        <w:r w:rsidR="00BB5C2E">
          <w:rPr>
            <w:noProof/>
            <w:webHidden/>
          </w:rPr>
          <w:instrText xml:space="preserve"> PAGEREF _Toc452474980 \h </w:instrText>
        </w:r>
        <w:r>
          <w:rPr>
            <w:noProof/>
            <w:webHidden/>
          </w:rPr>
        </w:r>
        <w:r>
          <w:rPr>
            <w:noProof/>
            <w:webHidden/>
          </w:rPr>
          <w:fldChar w:fldCharType="separate"/>
        </w:r>
        <w:r w:rsidR="00802FD5">
          <w:rPr>
            <w:noProof/>
            <w:webHidden/>
          </w:rPr>
          <w:t>9</w:t>
        </w:r>
        <w:r>
          <w:rPr>
            <w:noProof/>
            <w:webHidden/>
          </w:rPr>
          <w:fldChar w:fldCharType="end"/>
        </w:r>
      </w:hyperlink>
    </w:p>
    <w:p w:rsidR="00BB5C2E" w:rsidRDefault="00385FE2">
      <w:pPr>
        <w:pStyle w:val="TOC2"/>
        <w:tabs>
          <w:tab w:val="right" w:leader="dot" w:pos="9350"/>
        </w:tabs>
        <w:rPr>
          <w:rFonts w:asciiTheme="minorHAnsi" w:eastAsiaTheme="minorEastAsia" w:hAnsiTheme="minorHAnsi" w:cstheme="minorBidi"/>
          <w:noProof/>
          <w:sz w:val="22"/>
          <w:szCs w:val="22"/>
        </w:rPr>
      </w:pPr>
      <w:hyperlink w:anchor="_Toc452474981" w:history="1">
        <w:r w:rsidR="00BB5C2E" w:rsidRPr="004E59CC">
          <w:rPr>
            <w:rStyle w:val="Hyperlink"/>
            <w:noProof/>
          </w:rPr>
          <w:t>Finance Reports</w:t>
        </w:r>
        <w:r w:rsidR="00BB5C2E">
          <w:rPr>
            <w:noProof/>
            <w:webHidden/>
          </w:rPr>
          <w:tab/>
        </w:r>
        <w:r>
          <w:rPr>
            <w:noProof/>
            <w:webHidden/>
          </w:rPr>
          <w:fldChar w:fldCharType="begin"/>
        </w:r>
        <w:r w:rsidR="00BB5C2E">
          <w:rPr>
            <w:noProof/>
            <w:webHidden/>
          </w:rPr>
          <w:instrText xml:space="preserve"> PAGEREF _Toc452474981 \h </w:instrText>
        </w:r>
        <w:r>
          <w:rPr>
            <w:noProof/>
            <w:webHidden/>
          </w:rPr>
        </w:r>
        <w:r>
          <w:rPr>
            <w:noProof/>
            <w:webHidden/>
          </w:rPr>
          <w:fldChar w:fldCharType="separate"/>
        </w:r>
        <w:r w:rsidR="00802FD5">
          <w:rPr>
            <w:noProof/>
            <w:webHidden/>
          </w:rPr>
          <w:t>10</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82" w:history="1">
        <w:r w:rsidR="00BB5C2E" w:rsidRPr="004E59CC">
          <w:rPr>
            <w:rStyle w:val="Hyperlink"/>
            <w:noProof/>
          </w:rPr>
          <w:t>District Finance Summary</w:t>
        </w:r>
        <w:r w:rsidR="00BB5C2E">
          <w:rPr>
            <w:noProof/>
            <w:webHidden/>
          </w:rPr>
          <w:tab/>
        </w:r>
        <w:r>
          <w:rPr>
            <w:noProof/>
            <w:webHidden/>
          </w:rPr>
          <w:fldChar w:fldCharType="begin"/>
        </w:r>
        <w:r w:rsidR="00BB5C2E">
          <w:rPr>
            <w:noProof/>
            <w:webHidden/>
          </w:rPr>
          <w:instrText xml:space="preserve"> PAGEREF _Toc452474982 \h </w:instrText>
        </w:r>
        <w:r>
          <w:rPr>
            <w:noProof/>
            <w:webHidden/>
          </w:rPr>
        </w:r>
        <w:r>
          <w:rPr>
            <w:noProof/>
            <w:webHidden/>
          </w:rPr>
          <w:fldChar w:fldCharType="separate"/>
        </w:r>
        <w:r w:rsidR="00802FD5">
          <w:rPr>
            <w:noProof/>
            <w:webHidden/>
          </w:rPr>
          <w:t>10</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83" w:history="1">
        <w:r w:rsidR="00BB5C2E" w:rsidRPr="004E59CC">
          <w:rPr>
            <w:rStyle w:val="Hyperlink"/>
            <w:noProof/>
          </w:rPr>
          <w:t>Finance Charts</w:t>
        </w:r>
        <w:r w:rsidR="00BB5C2E">
          <w:rPr>
            <w:noProof/>
            <w:webHidden/>
          </w:rPr>
          <w:tab/>
        </w:r>
        <w:r>
          <w:rPr>
            <w:noProof/>
            <w:webHidden/>
          </w:rPr>
          <w:fldChar w:fldCharType="begin"/>
        </w:r>
        <w:r w:rsidR="00BB5C2E">
          <w:rPr>
            <w:noProof/>
            <w:webHidden/>
          </w:rPr>
          <w:instrText xml:space="preserve"> PAGEREF _Toc452474983 \h </w:instrText>
        </w:r>
        <w:r>
          <w:rPr>
            <w:noProof/>
            <w:webHidden/>
          </w:rPr>
        </w:r>
        <w:r>
          <w:rPr>
            <w:noProof/>
            <w:webHidden/>
          </w:rPr>
          <w:fldChar w:fldCharType="separate"/>
        </w:r>
        <w:r w:rsidR="00802FD5">
          <w:rPr>
            <w:noProof/>
            <w:webHidden/>
          </w:rPr>
          <w:t>10</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84" w:history="1">
        <w:r w:rsidR="00BB5C2E" w:rsidRPr="004E59CC">
          <w:rPr>
            <w:rStyle w:val="Hyperlink"/>
            <w:noProof/>
          </w:rPr>
          <w:t>Expenditure by Source</w:t>
        </w:r>
        <w:r w:rsidR="00BB5C2E">
          <w:rPr>
            <w:noProof/>
            <w:webHidden/>
          </w:rPr>
          <w:tab/>
        </w:r>
        <w:r>
          <w:rPr>
            <w:noProof/>
            <w:webHidden/>
          </w:rPr>
          <w:fldChar w:fldCharType="begin"/>
        </w:r>
        <w:r w:rsidR="00BB5C2E">
          <w:rPr>
            <w:noProof/>
            <w:webHidden/>
          </w:rPr>
          <w:instrText xml:space="preserve"> PAGEREF _Toc452474984 \h </w:instrText>
        </w:r>
        <w:r>
          <w:rPr>
            <w:noProof/>
            <w:webHidden/>
          </w:rPr>
        </w:r>
        <w:r>
          <w:rPr>
            <w:noProof/>
            <w:webHidden/>
          </w:rPr>
          <w:fldChar w:fldCharType="separate"/>
        </w:r>
        <w:r w:rsidR="00802FD5">
          <w:rPr>
            <w:noProof/>
            <w:webHidden/>
          </w:rPr>
          <w:t>11</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85" w:history="1">
        <w:r w:rsidR="00BB5C2E" w:rsidRPr="004E59CC">
          <w:rPr>
            <w:rStyle w:val="Hyperlink"/>
            <w:noProof/>
          </w:rPr>
          <w:t>Per Pupil Expenditures:  Summary and Details</w:t>
        </w:r>
        <w:r w:rsidR="00BB5C2E">
          <w:rPr>
            <w:noProof/>
            <w:webHidden/>
          </w:rPr>
          <w:tab/>
        </w:r>
        <w:r>
          <w:rPr>
            <w:noProof/>
            <w:webHidden/>
          </w:rPr>
          <w:fldChar w:fldCharType="begin"/>
        </w:r>
        <w:r w:rsidR="00BB5C2E">
          <w:rPr>
            <w:noProof/>
            <w:webHidden/>
          </w:rPr>
          <w:instrText xml:space="preserve"> PAGEREF _Toc452474985 \h </w:instrText>
        </w:r>
        <w:r>
          <w:rPr>
            <w:noProof/>
            <w:webHidden/>
          </w:rPr>
        </w:r>
        <w:r>
          <w:rPr>
            <w:noProof/>
            <w:webHidden/>
          </w:rPr>
          <w:fldChar w:fldCharType="separate"/>
        </w:r>
        <w:r w:rsidR="00802FD5">
          <w:rPr>
            <w:noProof/>
            <w:webHidden/>
          </w:rPr>
          <w:t>11</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86" w:history="1">
        <w:r w:rsidR="00BB5C2E" w:rsidRPr="004E59CC">
          <w:rPr>
            <w:rStyle w:val="Hyperlink"/>
            <w:noProof/>
          </w:rPr>
          <w:t>Median Expenditure Per In-district Pupil by District Type and Size</w:t>
        </w:r>
        <w:r w:rsidR="00BB5C2E">
          <w:rPr>
            <w:noProof/>
            <w:webHidden/>
          </w:rPr>
          <w:tab/>
        </w:r>
        <w:r>
          <w:rPr>
            <w:noProof/>
            <w:webHidden/>
          </w:rPr>
          <w:fldChar w:fldCharType="begin"/>
        </w:r>
        <w:r w:rsidR="00BB5C2E">
          <w:rPr>
            <w:noProof/>
            <w:webHidden/>
          </w:rPr>
          <w:instrText xml:space="preserve"> PAGEREF _Toc452474986 \h </w:instrText>
        </w:r>
        <w:r>
          <w:rPr>
            <w:noProof/>
            <w:webHidden/>
          </w:rPr>
        </w:r>
        <w:r>
          <w:rPr>
            <w:noProof/>
            <w:webHidden/>
          </w:rPr>
          <w:fldChar w:fldCharType="separate"/>
        </w:r>
        <w:r w:rsidR="00802FD5">
          <w:rPr>
            <w:noProof/>
            <w:webHidden/>
          </w:rPr>
          <w:t>12</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87" w:history="1">
        <w:r w:rsidR="00BB5C2E" w:rsidRPr="004E59CC">
          <w:rPr>
            <w:rStyle w:val="Hyperlink"/>
            <w:noProof/>
          </w:rPr>
          <w:t>Out-of-district Expenditures</w:t>
        </w:r>
        <w:r w:rsidR="00BB5C2E">
          <w:rPr>
            <w:noProof/>
            <w:webHidden/>
          </w:rPr>
          <w:tab/>
        </w:r>
        <w:r>
          <w:rPr>
            <w:noProof/>
            <w:webHidden/>
          </w:rPr>
          <w:fldChar w:fldCharType="begin"/>
        </w:r>
        <w:r w:rsidR="00BB5C2E">
          <w:rPr>
            <w:noProof/>
            <w:webHidden/>
          </w:rPr>
          <w:instrText xml:space="preserve"> PAGEREF _Toc452474987 \h </w:instrText>
        </w:r>
        <w:r>
          <w:rPr>
            <w:noProof/>
            <w:webHidden/>
          </w:rPr>
        </w:r>
        <w:r>
          <w:rPr>
            <w:noProof/>
            <w:webHidden/>
          </w:rPr>
          <w:fldChar w:fldCharType="separate"/>
        </w:r>
        <w:r w:rsidR="00802FD5">
          <w:rPr>
            <w:noProof/>
            <w:webHidden/>
          </w:rPr>
          <w:t>13</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88" w:history="1">
        <w:r w:rsidR="00BB5C2E" w:rsidRPr="004E59CC">
          <w:rPr>
            <w:rStyle w:val="Hyperlink"/>
            <w:noProof/>
          </w:rPr>
          <w:t>Revenues</w:t>
        </w:r>
        <w:r w:rsidR="00BB5C2E">
          <w:rPr>
            <w:noProof/>
            <w:webHidden/>
          </w:rPr>
          <w:tab/>
        </w:r>
        <w:r>
          <w:rPr>
            <w:noProof/>
            <w:webHidden/>
          </w:rPr>
          <w:fldChar w:fldCharType="begin"/>
        </w:r>
        <w:r w:rsidR="00BB5C2E">
          <w:rPr>
            <w:noProof/>
            <w:webHidden/>
          </w:rPr>
          <w:instrText xml:space="preserve"> PAGEREF _Toc452474988 \h </w:instrText>
        </w:r>
        <w:r>
          <w:rPr>
            <w:noProof/>
            <w:webHidden/>
          </w:rPr>
        </w:r>
        <w:r>
          <w:rPr>
            <w:noProof/>
            <w:webHidden/>
          </w:rPr>
          <w:fldChar w:fldCharType="separate"/>
        </w:r>
        <w:r w:rsidR="00802FD5">
          <w:rPr>
            <w:noProof/>
            <w:webHidden/>
          </w:rPr>
          <w:t>13</w:t>
        </w:r>
        <w:r>
          <w:rPr>
            <w:noProof/>
            <w:webHidden/>
          </w:rPr>
          <w:fldChar w:fldCharType="end"/>
        </w:r>
      </w:hyperlink>
    </w:p>
    <w:p w:rsidR="00BB5C2E" w:rsidRDefault="00385FE2">
      <w:pPr>
        <w:pStyle w:val="TOC3"/>
        <w:tabs>
          <w:tab w:val="right" w:leader="dot" w:pos="9350"/>
        </w:tabs>
        <w:rPr>
          <w:rFonts w:asciiTheme="minorHAnsi" w:eastAsiaTheme="minorEastAsia" w:hAnsiTheme="minorHAnsi" w:cstheme="minorBidi"/>
          <w:noProof/>
          <w:szCs w:val="22"/>
        </w:rPr>
      </w:pPr>
      <w:hyperlink w:anchor="_Toc452474989" w:history="1">
        <w:r w:rsidR="00BB5C2E" w:rsidRPr="004E59CC">
          <w:rPr>
            <w:rStyle w:val="Hyperlink"/>
            <w:noProof/>
          </w:rPr>
          <w:t>Revolving Funds</w:t>
        </w:r>
        <w:r w:rsidR="00BB5C2E">
          <w:rPr>
            <w:noProof/>
            <w:webHidden/>
          </w:rPr>
          <w:tab/>
        </w:r>
        <w:r>
          <w:rPr>
            <w:noProof/>
            <w:webHidden/>
          </w:rPr>
          <w:fldChar w:fldCharType="begin"/>
        </w:r>
        <w:r w:rsidR="00BB5C2E">
          <w:rPr>
            <w:noProof/>
            <w:webHidden/>
          </w:rPr>
          <w:instrText xml:space="preserve"> PAGEREF _Toc452474989 \h </w:instrText>
        </w:r>
        <w:r>
          <w:rPr>
            <w:noProof/>
            <w:webHidden/>
          </w:rPr>
        </w:r>
        <w:r>
          <w:rPr>
            <w:noProof/>
            <w:webHidden/>
          </w:rPr>
          <w:fldChar w:fldCharType="separate"/>
        </w:r>
        <w:r w:rsidR="00802FD5">
          <w:rPr>
            <w:noProof/>
            <w:webHidden/>
          </w:rPr>
          <w:t>13</w:t>
        </w:r>
        <w:r>
          <w:rPr>
            <w:noProof/>
            <w:webHidden/>
          </w:rPr>
          <w:fldChar w:fldCharType="end"/>
        </w:r>
      </w:hyperlink>
    </w:p>
    <w:p w:rsidR="00BB5C2E" w:rsidRDefault="00385FE2">
      <w:pPr>
        <w:pStyle w:val="TOC1"/>
        <w:rPr>
          <w:rFonts w:asciiTheme="minorHAnsi" w:eastAsiaTheme="minorEastAsia" w:hAnsiTheme="minorHAnsi" w:cstheme="minorBidi"/>
          <w:b w:val="0"/>
          <w:noProof/>
          <w:sz w:val="22"/>
          <w:szCs w:val="22"/>
        </w:rPr>
      </w:pPr>
      <w:hyperlink w:anchor="_Toc452474990" w:history="1">
        <w:r w:rsidR="00BB5C2E" w:rsidRPr="004E59CC">
          <w:rPr>
            <w:rStyle w:val="Hyperlink"/>
            <w:noProof/>
          </w:rPr>
          <w:t>Appendix A: Staffing Definitions</w:t>
        </w:r>
        <w:r w:rsidR="00BB5C2E">
          <w:rPr>
            <w:noProof/>
            <w:webHidden/>
          </w:rPr>
          <w:tab/>
        </w:r>
        <w:r>
          <w:rPr>
            <w:noProof/>
            <w:webHidden/>
          </w:rPr>
          <w:fldChar w:fldCharType="begin"/>
        </w:r>
        <w:r w:rsidR="00BB5C2E">
          <w:rPr>
            <w:noProof/>
            <w:webHidden/>
          </w:rPr>
          <w:instrText xml:space="preserve"> PAGEREF _Toc452474990 \h </w:instrText>
        </w:r>
        <w:r>
          <w:rPr>
            <w:noProof/>
            <w:webHidden/>
          </w:rPr>
        </w:r>
        <w:r>
          <w:rPr>
            <w:noProof/>
            <w:webHidden/>
          </w:rPr>
          <w:fldChar w:fldCharType="separate"/>
        </w:r>
        <w:r w:rsidR="00802FD5">
          <w:rPr>
            <w:noProof/>
            <w:webHidden/>
          </w:rPr>
          <w:t>14</w:t>
        </w:r>
        <w:r>
          <w:rPr>
            <w:noProof/>
            <w:webHidden/>
          </w:rPr>
          <w:fldChar w:fldCharType="end"/>
        </w:r>
      </w:hyperlink>
    </w:p>
    <w:p w:rsidR="00BB5C2E" w:rsidRDefault="00385FE2">
      <w:pPr>
        <w:pStyle w:val="TOC1"/>
        <w:rPr>
          <w:rFonts w:asciiTheme="minorHAnsi" w:eastAsiaTheme="minorEastAsia" w:hAnsiTheme="minorHAnsi" w:cstheme="minorBidi"/>
          <w:b w:val="0"/>
          <w:noProof/>
          <w:sz w:val="22"/>
          <w:szCs w:val="22"/>
        </w:rPr>
      </w:pPr>
      <w:hyperlink w:anchor="_Toc452474991" w:history="1">
        <w:r w:rsidR="00BB5C2E" w:rsidRPr="004E59CC">
          <w:rPr>
            <w:rStyle w:val="Hyperlink"/>
            <w:noProof/>
          </w:rPr>
          <w:t>Appendix B: Financial Definitions</w:t>
        </w:r>
        <w:r w:rsidR="00BB5C2E">
          <w:rPr>
            <w:noProof/>
            <w:webHidden/>
          </w:rPr>
          <w:tab/>
        </w:r>
        <w:r>
          <w:rPr>
            <w:noProof/>
            <w:webHidden/>
          </w:rPr>
          <w:fldChar w:fldCharType="begin"/>
        </w:r>
        <w:r w:rsidR="00BB5C2E">
          <w:rPr>
            <w:noProof/>
            <w:webHidden/>
          </w:rPr>
          <w:instrText xml:space="preserve"> PAGEREF _Toc452474991 \h </w:instrText>
        </w:r>
        <w:r>
          <w:rPr>
            <w:noProof/>
            <w:webHidden/>
          </w:rPr>
        </w:r>
        <w:r>
          <w:rPr>
            <w:noProof/>
            <w:webHidden/>
          </w:rPr>
          <w:fldChar w:fldCharType="separate"/>
        </w:r>
        <w:r w:rsidR="00802FD5">
          <w:rPr>
            <w:noProof/>
            <w:webHidden/>
          </w:rPr>
          <w:t>18</w:t>
        </w:r>
        <w:r>
          <w:rPr>
            <w:noProof/>
            <w:webHidden/>
          </w:rPr>
          <w:fldChar w:fldCharType="end"/>
        </w:r>
      </w:hyperlink>
    </w:p>
    <w:p w:rsidR="00EB0E59" w:rsidRPr="00EB0E59" w:rsidRDefault="00385FE2" w:rsidP="00EB0E59">
      <w:r>
        <w:fldChar w:fldCharType="end"/>
      </w:r>
    </w:p>
    <w:p w:rsidR="00EB0E59" w:rsidRDefault="00EB0E59" w:rsidP="00EB0E59"/>
    <w:p w:rsidR="00EB0E59" w:rsidRDefault="00EB0E59" w:rsidP="00EB0E59">
      <w:pPr>
        <w:tabs>
          <w:tab w:val="left" w:pos="6749"/>
        </w:tabs>
      </w:pPr>
      <w:r>
        <w:tab/>
      </w:r>
    </w:p>
    <w:p w:rsidR="00EB0E59" w:rsidRDefault="00EB0E59" w:rsidP="00EB0E59"/>
    <w:p w:rsidR="00FD2C86" w:rsidRPr="00EB0E59" w:rsidRDefault="00FD2C86" w:rsidP="00EB0E59">
      <w:pPr>
        <w:sectPr w:rsidR="00FD2C86" w:rsidRPr="00EB0E59" w:rsidSect="00B616AF">
          <w:footerReference w:type="even" r:id="rId16"/>
          <w:pgSz w:w="12240" w:h="15840"/>
          <w:pgMar w:top="1440" w:right="1440" w:bottom="446" w:left="1440" w:header="720" w:footer="720" w:gutter="0"/>
          <w:cols w:space="720"/>
        </w:sectPr>
      </w:pPr>
    </w:p>
    <w:p w:rsidR="00A32D7E" w:rsidRDefault="00A32D7E" w:rsidP="00144CB4">
      <w:pPr>
        <w:pStyle w:val="Heading1"/>
        <w:sectPr w:rsidR="00A32D7E" w:rsidSect="00A81E8F">
          <w:footerReference w:type="default" r:id="rId17"/>
          <w:type w:val="continuous"/>
          <w:pgSz w:w="12240" w:h="15840"/>
          <w:pgMar w:top="900" w:right="1440" w:bottom="446" w:left="1440" w:header="720" w:footer="720" w:gutter="0"/>
          <w:cols w:space="720"/>
        </w:sectPr>
      </w:pPr>
      <w:bookmarkStart w:id="0" w:name="OLE_LINK15"/>
      <w:bookmarkStart w:id="1" w:name="OLE_LINK16"/>
    </w:p>
    <w:p w:rsidR="00144CB4" w:rsidRDefault="00365C14" w:rsidP="00144CB4">
      <w:pPr>
        <w:pStyle w:val="Heading1"/>
      </w:pPr>
      <w:bookmarkStart w:id="2" w:name="_Toc452474960"/>
      <w:r>
        <w:lastRenderedPageBreak/>
        <w:t>I</w:t>
      </w:r>
      <w:r w:rsidR="00144CB4">
        <w:t>ntroduction</w:t>
      </w:r>
      <w:r w:rsidR="008305A3">
        <w:t xml:space="preserve"> to DART</w:t>
      </w:r>
      <w:bookmarkEnd w:id="2"/>
    </w:p>
    <w:p w:rsidR="003C3503" w:rsidRDefault="00D2783D" w:rsidP="0007660C">
      <w:pPr>
        <w:pStyle w:val="NormalWeb"/>
      </w:pPr>
      <w:r>
        <w:t xml:space="preserve">The </w:t>
      </w:r>
      <w:r w:rsidR="00812E52">
        <w:t xml:space="preserve">Department of Elementary and Secondary Education </w:t>
      </w:r>
      <w:r w:rsidR="005C5D41">
        <w:t xml:space="preserve">provides a framework for both accountability and assistance for the 400 districts in the Commonwealth of Massachusetts. As part of that system, the Department seeks to make the data it receives from districts available </w:t>
      </w:r>
      <w:r w:rsidR="00C53E93">
        <w:t>to</w:t>
      </w:r>
      <w:r w:rsidR="005C5D41">
        <w:t xml:space="preserve"> policymakers, parents, the public </w:t>
      </w:r>
      <w:r w:rsidR="00556CFF">
        <w:t xml:space="preserve">and the Department </w:t>
      </w:r>
      <w:r w:rsidR="00E0345C">
        <w:t xml:space="preserve">to </w:t>
      </w:r>
      <w:r w:rsidR="006933D2">
        <w:t xml:space="preserve">use in </w:t>
      </w:r>
      <w:r w:rsidR="005C5D41">
        <w:t>assess</w:t>
      </w:r>
      <w:r w:rsidR="006933D2">
        <w:t>ing</w:t>
      </w:r>
      <w:r w:rsidR="005C5D41">
        <w:t xml:space="preserve"> effectiveness and monitor</w:t>
      </w:r>
      <w:r w:rsidR="006933D2">
        <w:t>ing</w:t>
      </w:r>
      <w:r w:rsidR="005C5D41">
        <w:t xml:space="preserve"> improvement in teaching and learning. </w:t>
      </w:r>
      <w:r w:rsidR="00B61FE7">
        <w:t>F</w:t>
      </w:r>
      <w:r w:rsidR="00556CFF">
        <w:t>rom the vast amount of data available</w:t>
      </w:r>
      <w:r w:rsidR="00B61FE7">
        <w:t xml:space="preserve">, </w:t>
      </w:r>
      <w:r w:rsidR="00556CFF">
        <w:t>reports offer</w:t>
      </w:r>
      <w:r w:rsidR="00B61FE7">
        <w:t>ing</w:t>
      </w:r>
      <w:r w:rsidR="00556CFF">
        <w:t xml:space="preserve"> comparisons and trends</w:t>
      </w:r>
      <w:r w:rsidR="00B61FE7">
        <w:t xml:space="preserve"> for a limited number of indicators can be a good starting point </w:t>
      </w:r>
      <w:r w:rsidR="00DD46C2">
        <w:t>for self-assessment, inquiry, or</w:t>
      </w:r>
      <w:r w:rsidR="00B61FE7">
        <w:t xml:space="preserve"> district and school review.</w:t>
      </w:r>
      <w:r w:rsidR="0007660C">
        <w:t xml:space="preserve"> T</w:t>
      </w:r>
      <w:r w:rsidR="00812E52">
        <w:t>he Department has develop</w:t>
      </w:r>
      <w:r w:rsidR="0072296B">
        <w:t>ed</w:t>
      </w:r>
      <w:r w:rsidR="00812E52">
        <w:t xml:space="preserve"> a suite of tools</w:t>
      </w:r>
      <w:r w:rsidR="00556CFF">
        <w:t xml:space="preserve"> </w:t>
      </w:r>
      <w:r w:rsidR="0007660C">
        <w:t xml:space="preserve">called the </w:t>
      </w:r>
      <w:hyperlink r:id="rId18" w:history="1">
        <w:r w:rsidR="00842E7B">
          <w:rPr>
            <w:rStyle w:val="Hyperlink"/>
          </w:rPr>
          <w:t>District Analysis and Review Tools (DART)</w:t>
        </w:r>
      </w:hyperlink>
      <w:r w:rsidR="00842E7B">
        <w:t xml:space="preserve"> </w:t>
      </w:r>
      <w:r w:rsidR="00556CFF">
        <w:t>to provide such reports</w:t>
      </w:r>
      <w:r w:rsidR="00812E52">
        <w:t xml:space="preserve">. </w:t>
      </w:r>
    </w:p>
    <w:p w:rsidR="00794736" w:rsidRDefault="00794736" w:rsidP="00794736">
      <w:r>
        <w:t xml:space="preserve">DARTs provide a snapshot of school and district trends </w:t>
      </w:r>
      <w:r w:rsidR="00E0345C">
        <w:t>in</w:t>
      </w:r>
      <w:r>
        <w:t xml:space="preserve"> various </w:t>
      </w:r>
      <w:r w:rsidR="00E0345C">
        <w:t xml:space="preserve">kinds of </w:t>
      </w:r>
      <w:r>
        <w:t>data and allow users to:</w:t>
      </w:r>
    </w:p>
    <w:p w:rsidR="00794736" w:rsidRDefault="00794736" w:rsidP="00794736">
      <w:pPr>
        <w:numPr>
          <w:ilvl w:val="0"/>
          <w:numId w:val="15"/>
        </w:numPr>
      </w:pPr>
      <w:r>
        <w:t>Look at trends over several years</w:t>
      </w:r>
    </w:p>
    <w:p w:rsidR="00794736" w:rsidRDefault="00794736" w:rsidP="00794736">
      <w:pPr>
        <w:numPr>
          <w:ilvl w:val="0"/>
          <w:numId w:val="15"/>
        </w:numPr>
      </w:pPr>
      <w:r>
        <w:t>View school and district data in charts that are easy to interpret</w:t>
      </w:r>
    </w:p>
    <w:p w:rsidR="00794736" w:rsidRDefault="00794736" w:rsidP="00794736">
      <w:pPr>
        <w:numPr>
          <w:ilvl w:val="0"/>
          <w:numId w:val="15"/>
        </w:numPr>
      </w:pPr>
      <w:r>
        <w:t>Evaluate and reflect on districts and schools</w:t>
      </w:r>
      <w:r w:rsidR="000C7C25">
        <w:t xml:space="preserve"> and their progress</w:t>
      </w:r>
    </w:p>
    <w:p w:rsidR="00794736" w:rsidRDefault="00794736" w:rsidP="00794736">
      <w:pPr>
        <w:numPr>
          <w:ilvl w:val="0"/>
          <w:numId w:val="15"/>
        </w:numPr>
      </w:pPr>
      <w:r>
        <w:t xml:space="preserve">Find districts and schools </w:t>
      </w:r>
      <w:r w:rsidR="00EF7606">
        <w:t xml:space="preserve">with similar student </w:t>
      </w:r>
      <w:r>
        <w:t>demographic</w:t>
      </w:r>
      <w:r w:rsidR="00EF7606">
        <w:t>s</w:t>
      </w:r>
      <w:r>
        <w:t xml:space="preserve"> </w:t>
      </w:r>
    </w:p>
    <w:p w:rsidR="00794736" w:rsidRDefault="00794736" w:rsidP="00794736">
      <w:pPr>
        <w:numPr>
          <w:ilvl w:val="0"/>
          <w:numId w:val="15"/>
        </w:numPr>
      </w:pPr>
      <w:r>
        <w:t>Make comparisons with a similar district</w:t>
      </w:r>
      <w:r w:rsidR="000C7C25">
        <w:t>(s)</w:t>
      </w:r>
      <w:r>
        <w:t xml:space="preserve"> that has shown promising trends.</w:t>
      </w:r>
    </w:p>
    <w:p w:rsidR="00DD46C2" w:rsidRDefault="00812E52" w:rsidP="0007660C">
      <w:pPr>
        <w:pStyle w:val="NormalWeb"/>
      </w:pPr>
      <w:r w:rsidRPr="000C7C25">
        <w:rPr>
          <w:b/>
          <w:i/>
        </w:rPr>
        <w:t>DART for Districts</w:t>
      </w:r>
      <w:r>
        <w:t xml:space="preserve"> and </w:t>
      </w:r>
      <w:r w:rsidRPr="000C7C25">
        <w:rPr>
          <w:b/>
          <w:i/>
        </w:rPr>
        <w:t>DART for Schools</w:t>
      </w:r>
      <w:r w:rsidR="00DD46C2">
        <w:t xml:space="preserve"> provide </w:t>
      </w:r>
      <w:r>
        <w:t>chart</w:t>
      </w:r>
      <w:r w:rsidR="00025831">
        <w:t>s</w:t>
      </w:r>
      <w:r w:rsidR="00EF7606">
        <w:t xml:space="preserve"> and tables</w:t>
      </w:r>
      <w:r w:rsidR="00025831">
        <w:t xml:space="preserve"> on a wide range of indicators</w:t>
      </w:r>
      <w:r w:rsidR="00556CFF">
        <w:t xml:space="preserve"> </w:t>
      </w:r>
      <w:r w:rsidR="00540AA9">
        <w:t>suggested</w:t>
      </w:r>
      <w:r w:rsidR="00556CFF">
        <w:t xml:space="preserve"> by </w:t>
      </w:r>
      <w:r w:rsidR="00540AA9">
        <w:t xml:space="preserve">a number of stakeholder groups </w:t>
      </w:r>
      <w:r w:rsidR="00556CFF">
        <w:t>around the state</w:t>
      </w:r>
      <w:r w:rsidR="0096470D">
        <w:t xml:space="preserve">. </w:t>
      </w:r>
      <w:r w:rsidR="00540AA9">
        <w:t>Taken together, t</w:t>
      </w:r>
      <w:r w:rsidR="0096470D">
        <w:t>he</w:t>
      </w:r>
      <w:r w:rsidR="00540AA9">
        <w:t>se</w:t>
      </w:r>
      <w:r w:rsidR="0096470D">
        <w:t xml:space="preserve"> </w:t>
      </w:r>
      <w:r w:rsidR="00025831">
        <w:t xml:space="preserve">indicators </w:t>
      </w:r>
      <w:r w:rsidR="00DD46C2">
        <w:t xml:space="preserve">offer a </w:t>
      </w:r>
      <w:r>
        <w:t>snapshot</w:t>
      </w:r>
      <w:r w:rsidR="0096470D">
        <w:t xml:space="preserve"> of a district’s </w:t>
      </w:r>
      <w:r w:rsidR="00540AA9">
        <w:t>overall effectiveness</w:t>
      </w:r>
      <w:r w:rsidR="0096470D">
        <w:t xml:space="preserve"> </w:t>
      </w:r>
      <w:r w:rsidR="00540AA9">
        <w:t>across</w:t>
      </w:r>
      <w:r w:rsidR="0096470D">
        <w:t xml:space="preserve"> key areas including </w:t>
      </w:r>
      <w:r w:rsidR="00DD46C2">
        <w:t xml:space="preserve"> </w:t>
      </w:r>
      <w:r w:rsidR="00DD46C2" w:rsidRPr="00DD46C2">
        <w:t>curriculum and instruction, leadership and governance, human resources, professional development, student support, and finance and asset management</w:t>
      </w:r>
      <w:r w:rsidR="00DD46C2">
        <w:t xml:space="preserve">. </w:t>
      </w:r>
    </w:p>
    <w:p w:rsidR="000C7C25" w:rsidRDefault="00DD46C2" w:rsidP="0070367B">
      <w:r w:rsidRPr="000C7C25">
        <w:rPr>
          <w:b/>
          <w:i/>
        </w:rPr>
        <w:t xml:space="preserve">DART </w:t>
      </w:r>
      <w:r w:rsidR="00540AA9" w:rsidRPr="000C7C25">
        <w:rPr>
          <w:b/>
          <w:i/>
        </w:rPr>
        <w:t>Detail</w:t>
      </w:r>
      <w:r w:rsidR="00540AA9">
        <w:t xml:space="preserve"> </w:t>
      </w:r>
      <w:r>
        <w:t xml:space="preserve">tools </w:t>
      </w:r>
      <w:r w:rsidR="00556CFF">
        <w:t xml:space="preserve">support </w:t>
      </w:r>
      <w:r w:rsidR="00F80E30">
        <w:t>targeted</w:t>
      </w:r>
      <w:r w:rsidR="00556CFF">
        <w:t xml:space="preserve"> inquir</w:t>
      </w:r>
      <w:r w:rsidR="00F80E30">
        <w:t>ies</w:t>
      </w:r>
      <w:r w:rsidR="00556CFF">
        <w:t xml:space="preserve"> in specific areas. </w:t>
      </w:r>
    </w:p>
    <w:p w:rsidR="000C7C25" w:rsidRDefault="0096470D" w:rsidP="000C7C25">
      <w:pPr>
        <w:pStyle w:val="ListParagraph"/>
        <w:numPr>
          <w:ilvl w:val="0"/>
          <w:numId w:val="16"/>
        </w:numPr>
      </w:pPr>
      <w:r w:rsidRPr="000C7C25">
        <w:rPr>
          <w:i/>
        </w:rPr>
        <w:t>DART Detail:</w:t>
      </w:r>
      <w:r w:rsidR="004214BF" w:rsidRPr="000C7C25">
        <w:rPr>
          <w:i/>
        </w:rPr>
        <w:t xml:space="preserve"> </w:t>
      </w:r>
      <w:r w:rsidRPr="000C7C25">
        <w:rPr>
          <w:i/>
        </w:rPr>
        <w:t>Staffing and Finance</w:t>
      </w:r>
      <w:r w:rsidR="00556CFF">
        <w:t xml:space="preserve"> </w:t>
      </w:r>
      <w:r w:rsidR="00DD46C2">
        <w:t xml:space="preserve">provides reports </w:t>
      </w:r>
      <w:r w:rsidR="00E0345C">
        <w:t>on</w:t>
      </w:r>
      <w:r w:rsidR="00DD46C2">
        <w:t xml:space="preserve"> finance and staffing data </w:t>
      </w:r>
      <w:r w:rsidR="00E0345C">
        <w:t>with trends and district comparisons. They include some data that has not previously been publicly available.</w:t>
      </w:r>
    </w:p>
    <w:p w:rsidR="0096470D" w:rsidRPr="0072296B" w:rsidRDefault="00DD46C2" w:rsidP="0070367B">
      <w:pPr>
        <w:pStyle w:val="ListParagraph"/>
        <w:numPr>
          <w:ilvl w:val="0"/>
          <w:numId w:val="16"/>
        </w:numPr>
        <w:rPr>
          <w:i/>
        </w:rPr>
      </w:pPr>
      <w:r w:rsidRPr="000C7C25">
        <w:rPr>
          <w:i/>
        </w:rPr>
        <w:t>DART Detail</w:t>
      </w:r>
      <w:r w:rsidR="003C3503" w:rsidRPr="000C7C25">
        <w:rPr>
          <w:i/>
        </w:rPr>
        <w:t>: English Language Learners</w:t>
      </w:r>
      <w:r>
        <w:t xml:space="preserve"> </w:t>
      </w:r>
      <w:r w:rsidR="003C3503">
        <w:t xml:space="preserve">provides detailed information </w:t>
      </w:r>
      <w:r>
        <w:t xml:space="preserve">on English language learners </w:t>
      </w:r>
      <w:r w:rsidR="003C3503">
        <w:t xml:space="preserve">in districts and their schools, including some data that has not </w:t>
      </w:r>
      <w:r w:rsidR="00E0345C">
        <w:t xml:space="preserve">previously </w:t>
      </w:r>
      <w:r w:rsidR="003C3503">
        <w:t xml:space="preserve">been </w:t>
      </w:r>
      <w:r w:rsidR="00E0345C">
        <w:t xml:space="preserve">publicly </w:t>
      </w:r>
      <w:r w:rsidR="003C3503">
        <w:t xml:space="preserve">available. </w:t>
      </w:r>
    </w:p>
    <w:p w:rsidR="00851224" w:rsidRPr="00851224" w:rsidRDefault="001B1652" w:rsidP="00851224">
      <w:pPr>
        <w:pStyle w:val="ListParagraph"/>
        <w:numPr>
          <w:ilvl w:val="0"/>
          <w:numId w:val="16"/>
        </w:numPr>
      </w:pPr>
      <w:r w:rsidRPr="00851224">
        <w:rPr>
          <w:i/>
        </w:rPr>
        <w:t>DART Detail: Success After High School</w:t>
      </w:r>
      <w:r w:rsidRPr="00851224">
        <w:t xml:space="preserve"> provides</w:t>
      </w:r>
      <w:r w:rsidR="00851224">
        <w:t xml:space="preserve"> information on </w:t>
      </w:r>
      <w:r w:rsidR="00851224" w:rsidRPr="00851224">
        <w:t>post</w:t>
      </w:r>
      <w:r w:rsidR="00851224">
        <w:t>-</w:t>
      </w:r>
      <w:r w:rsidR="00851224" w:rsidRPr="00851224">
        <w:t>secondary and career</w:t>
      </w:r>
      <w:r w:rsidR="00851224">
        <w:t xml:space="preserve"> </w:t>
      </w:r>
      <w:r w:rsidR="00851224" w:rsidRPr="00851224">
        <w:t>readiness including demographics, high school indicators, programs of study, high school performance, postsecondary education outcomes, and career development education</w:t>
      </w:r>
      <w:r w:rsidR="00851224">
        <w:t>,</w:t>
      </w:r>
    </w:p>
    <w:p w:rsidR="001B1652" w:rsidRPr="0096470D" w:rsidRDefault="001B1652" w:rsidP="00851224">
      <w:pPr>
        <w:ind w:left="360"/>
      </w:pPr>
      <w:proofErr w:type="gramStart"/>
      <w:r>
        <w:t>including</w:t>
      </w:r>
      <w:proofErr w:type="gramEnd"/>
      <w:r>
        <w:t xml:space="preserve"> some data that has not previously been publicly available. </w:t>
      </w:r>
    </w:p>
    <w:p w:rsidR="0072296B" w:rsidRDefault="0072296B" w:rsidP="0072296B">
      <w:pPr>
        <w:ind w:left="720"/>
      </w:pPr>
    </w:p>
    <w:p w:rsidR="00E5118A" w:rsidRDefault="001D3EF4" w:rsidP="005614B3">
      <w:pPr>
        <w:pStyle w:val="Heading1"/>
      </w:pPr>
      <w:r>
        <w:br w:type="page"/>
      </w:r>
      <w:bookmarkStart w:id="3" w:name="_Toc452474961"/>
      <w:r w:rsidR="00E5118A">
        <w:lastRenderedPageBreak/>
        <w:t>Overview of DART Tools</w:t>
      </w:r>
      <w:bookmarkEnd w:id="3"/>
    </w:p>
    <w:p w:rsidR="00E5118A" w:rsidRDefault="00EF7606" w:rsidP="00C375E5">
      <w:r>
        <w:t xml:space="preserve">DART for Districts and Schools is accessible on each district’s </w:t>
      </w:r>
      <w:r w:rsidRPr="00EF7606">
        <w:rPr>
          <w:i/>
        </w:rPr>
        <w:t>Profiles</w:t>
      </w:r>
      <w:r>
        <w:t xml:space="preserve"> page on the Department website. </w:t>
      </w:r>
      <w:r w:rsidR="00E5118A">
        <w:t xml:space="preserve">DART </w:t>
      </w:r>
      <w:r w:rsidR="001B1652">
        <w:t xml:space="preserve">Detail </w:t>
      </w:r>
      <w:r w:rsidR="00E5118A">
        <w:t xml:space="preserve">tools are </w:t>
      </w:r>
      <w:r w:rsidR="003C3503">
        <w:t xml:space="preserve">Excel files </w:t>
      </w:r>
      <w:r w:rsidR="00E5118A">
        <w:t xml:space="preserve">on the Department’s website at </w:t>
      </w:r>
      <w:hyperlink r:id="rId19" w:history="1">
        <w:r w:rsidR="00851224" w:rsidRPr="00851224">
          <w:rPr>
            <w:rStyle w:val="Hyperlink"/>
          </w:rPr>
          <w:t>www.mass.gov/ese/dart</w:t>
        </w:r>
      </w:hyperlink>
      <w:r w:rsidR="00C375E5">
        <w:t>.</w:t>
      </w:r>
      <w:r w:rsidR="00851224">
        <w:t xml:space="preserve"> </w:t>
      </w:r>
      <w:r w:rsidR="00C375E5">
        <w:t>S</w:t>
      </w:r>
      <w:r w:rsidR="00C53E93">
        <w:t xml:space="preserve">ee </w:t>
      </w:r>
      <w:r w:rsidR="000C7C25">
        <w:t>below</w:t>
      </w:r>
      <w:r w:rsidR="00F67E78">
        <w:t xml:space="preserve"> for detailed instructions on downloading and </w:t>
      </w:r>
      <w:r w:rsidR="003760CA">
        <w:t>using</w:t>
      </w:r>
      <w:r w:rsidR="003C2047">
        <w:t xml:space="preserve"> </w:t>
      </w:r>
      <w:r w:rsidR="00C375E5">
        <w:t>them</w:t>
      </w:r>
      <w:r w:rsidR="00F67E78">
        <w:t>.</w:t>
      </w:r>
    </w:p>
    <w:p w:rsidR="00F861C0" w:rsidRPr="00E5118A" w:rsidRDefault="00F861C0" w:rsidP="00F861C0">
      <w:pPr>
        <w:pStyle w:val="Heading3"/>
        <w:jc w:val="center"/>
      </w:pPr>
      <w:bookmarkStart w:id="4" w:name="_Toc452474962"/>
      <w:r>
        <w:t>DART Tools</w:t>
      </w:r>
      <w:bookmarkEnd w:id="4"/>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343"/>
        <w:gridCol w:w="4680"/>
        <w:gridCol w:w="2160"/>
        <w:gridCol w:w="1278"/>
      </w:tblGrid>
      <w:tr w:rsidR="00E5118A" w:rsidTr="00A01263">
        <w:trPr>
          <w:tblHeader/>
        </w:trPr>
        <w:tc>
          <w:tcPr>
            <w:tcW w:w="1343" w:type="dxa"/>
            <w:tcBorders>
              <w:top w:val="single" w:sz="4" w:space="0" w:color="auto"/>
              <w:left w:val="single" w:sz="4" w:space="0" w:color="auto"/>
              <w:bottom w:val="single" w:sz="12" w:space="0" w:color="auto"/>
              <w:right w:val="single" w:sz="4" w:space="0" w:color="auto"/>
              <w:tl2br w:val="nil"/>
              <w:tr2bl w:val="nil"/>
            </w:tcBorders>
            <w:shd w:val="clear" w:color="auto" w:fill="D9D9D9"/>
            <w:vAlign w:val="center"/>
          </w:tcPr>
          <w:p w:rsidR="00F67E78" w:rsidRPr="00A01263" w:rsidRDefault="00E5118A" w:rsidP="00E5118A">
            <w:pPr>
              <w:rPr>
                <w:rFonts w:ascii="Cambria" w:hAnsi="Cambria"/>
                <w:b/>
                <w:sz w:val="22"/>
              </w:rPr>
            </w:pPr>
            <w:r w:rsidRPr="00A01263">
              <w:rPr>
                <w:rFonts w:ascii="Cambria" w:hAnsi="Cambria"/>
                <w:b/>
                <w:sz w:val="22"/>
              </w:rPr>
              <w:t>DART</w:t>
            </w:r>
            <w:r w:rsidR="00F67E78" w:rsidRPr="00A01263">
              <w:rPr>
                <w:rFonts w:ascii="Cambria" w:hAnsi="Cambria"/>
                <w:b/>
                <w:sz w:val="22"/>
              </w:rPr>
              <w:t xml:space="preserve"> Tool</w:t>
            </w:r>
          </w:p>
        </w:tc>
        <w:tc>
          <w:tcPr>
            <w:tcW w:w="4680" w:type="dxa"/>
            <w:tcBorders>
              <w:top w:val="single" w:sz="4" w:space="0" w:color="auto"/>
              <w:left w:val="single" w:sz="4" w:space="0" w:color="auto"/>
              <w:bottom w:val="single" w:sz="12" w:space="0" w:color="auto"/>
              <w:right w:val="single" w:sz="4" w:space="0" w:color="auto"/>
              <w:tl2br w:val="nil"/>
              <w:tr2bl w:val="nil"/>
            </w:tcBorders>
            <w:shd w:val="clear" w:color="auto" w:fill="D9D9D9"/>
            <w:vAlign w:val="center"/>
          </w:tcPr>
          <w:p w:rsidR="00E5118A" w:rsidRPr="00A01263" w:rsidRDefault="00E5118A" w:rsidP="00A01263">
            <w:pPr>
              <w:jc w:val="center"/>
              <w:rPr>
                <w:rFonts w:ascii="Arial Narrow" w:hAnsi="Arial Narrow"/>
                <w:b/>
                <w:sz w:val="22"/>
              </w:rPr>
            </w:pPr>
            <w:r w:rsidRPr="00A01263">
              <w:rPr>
                <w:rFonts w:ascii="Arial Narrow" w:hAnsi="Arial Narrow"/>
                <w:b/>
                <w:sz w:val="22"/>
              </w:rPr>
              <w:t>Data included</w:t>
            </w:r>
          </w:p>
        </w:tc>
        <w:tc>
          <w:tcPr>
            <w:tcW w:w="2160" w:type="dxa"/>
            <w:tcBorders>
              <w:top w:val="single" w:sz="4" w:space="0" w:color="auto"/>
              <w:left w:val="single" w:sz="4" w:space="0" w:color="auto"/>
              <w:bottom w:val="single" w:sz="12" w:space="0" w:color="auto"/>
              <w:right w:val="single" w:sz="4" w:space="0" w:color="auto"/>
              <w:tl2br w:val="nil"/>
              <w:tr2bl w:val="nil"/>
            </w:tcBorders>
            <w:shd w:val="clear" w:color="auto" w:fill="D9D9D9"/>
            <w:vAlign w:val="center"/>
          </w:tcPr>
          <w:p w:rsidR="00E5118A" w:rsidRPr="00A01263" w:rsidRDefault="00E5118A" w:rsidP="00A01263">
            <w:pPr>
              <w:jc w:val="center"/>
              <w:rPr>
                <w:rFonts w:ascii="Arial Narrow" w:hAnsi="Arial Narrow"/>
                <w:b/>
                <w:sz w:val="22"/>
              </w:rPr>
            </w:pPr>
            <w:r w:rsidRPr="00A01263">
              <w:rPr>
                <w:rFonts w:ascii="Arial Narrow" w:hAnsi="Arial Narrow"/>
                <w:b/>
                <w:sz w:val="22"/>
              </w:rPr>
              <w:t>Comparisons</w:t>
            </w:r>
          </w:p>
        </w:tc>
        <w:tc>
          <w:tcPr>
            <w:tcW w:w="1278" w:type="dxa"/>
            <w:tcBorders>
              <w:top w:val="single" w:sz="4" w:space="0" w:color="auto"/>
              <w:left w:val="single" w:sz="4" w:space="0" w:color="auto"/>
              <w:bottom w:val="single" w:sz="12" w:space="0" w:color="auto"/>
              <w:right w:val="single" w:sz="4" w:space="0" w:color="auto"/>
              <w:tl2br w:val="nil"/>
              <w:tr2bl w:val="nil"/>
            </w:tcBorders>
            <w:shd w:val="clear" w:color="auto" w:fill="D9D9D9"/>
            <w:vAlign w:val="center"/>
          </w:tcPr>
          <w:p w:rsidR="00E5118A" w:rsidRPr="00A01263" w:rsidRDefault="00E5118A" w:rsidP="00A01263">
            <w:pPr>
              <w:jc w:val="center"/>
              <w:rPr>
                <w:rFonts w:ascii="Arial Narrow" w:hAnsi="Arial Narrow"/>
                <w:b/>
                <w:sz w:val="22"/>
              </w:rPr>
            </w:pPr>
            <w:r w:rsidRPr="00A01263">
              <w:rPr>
                <w:rFonts w:ascii="Arial Narrow" w:hAnsi="Arial Narrow"/>
                <w:b/>
                <w:sz w:val="22"/>
              </w:rPr>
              <w:t>Years</w:t>
            </w:r>
          </w:p>
        </w:tc>
      </w:tr>
      <w:tr w:rsidR="00E5118A" w:rsidTr="00A01263">
        <w:tc>
          <w:tcPr>
            <w:tcW w:w="1343" w:type="dxa"/>
          </w:tcPr>
          <w:p w:rsidR="00E5118A" w:rsidRPr="00A01263" w:rsidRDefault="00E5118A" w:rsidP="009163D9">
            <w:pPr>
              <w:rPr>
                <w:rFonts w:ascii="Cambria" w:hAnsi="Cambria"/>
                <w:i/>
                <w:sz w:val="20"/>
                <w:szCs w:val="20"/>
              </w:rPr>
            </w:pPr>
            <w:r w:rsidRPr="00A01263">
              <w:rPr>
                <w:rFonts w:ascii="Cambria" w:hAnsi="Cambria"/>
                <w:i/>
                <w:sz w:val="20"/>
                <w:szCs w:val="20"/>
              </w:rPr>
              <w:t>DART for Districts</w:t>
            </w:r>
          </w:p>
        </w:tc>
        <w:tc>
          <w:tcPr>
            <w:tcW w:w="4680" w:type="dxa"/>
          </w:tcPr>
          <w:p w:rsidR="00E5118A" w:rsidRPr="00A01263" w:rsidRDefault="00E5118A" w:rsidP="009163D9">
            <w:pPr>
              <w:rPr>
                <w:rFonts w:ascii="Arial Narrow" w:hAnsi="Arial Narrow"/>
                <w:sz w:val="20"/>
                <w:szCs w:val="20"/>
              </w:rPr>
            </w:pPr>
            <w:r w:rsidRPr="00A01263">
              <w:rPr>
                <w:rFonts w:ascii="Arial Narrow" w:hAnsi="Arial Narrow"/>
                <w:sz w:val="20"/>
                <w:szCs w:val="20"/>
              </w:rPr>
              <w:t>Selected indicators on curriculum and instruction, leadership and governance, human resources, professional development, student support, and finance and asset management</w:t>
            </w:r>
          </w:p>
          <w:p w:rsidR="0068594B" w:rsidRPr="00A01263" w:rsidRDefault="0068594B" w:rsidP="009163D9">
            <w:pPr>
              <w:rPr>
                <w:rFonts w:ascii="Arial Narrow" w:hAnsi="Arial Narrow"/>
                <w:sz w:val="20"/>
                <w:szCs w:val="20"/>
              </w:rPr>
            </w:pPr>
          </w:p>
          <w:p w:rsidR="0068594B" w:rsidRPr="00A01263" w:rsidRDefault="001C0FFD" w:rsidP="009577D6">
            <w:pPr>
              <w:rPr>
                <w:rFonts w:ascii="Arial Narrow" w:hAnsi="Arial Narrow"/>
                <w:sz w:val="20"/>
                <w:szCs w:val="20"/>
              </w:rPr>
            </w:pPr>
            <w:r w:rsidRPr="00A01263">
              <w:rPr>
                <w:rFonts w:ascii="Arial Narrow" w:hAnsi="Arial Narrow"/>
                <w:sz w:val="20"/>
                <w:szCs w:val="20"/>
              </w:rPr>
              <w:t xml:space="preserve">Included: </w:t>
            </w:r>
            <w:r w:rsidR="0068594B" w:rsidRPr="00A01263">
              <w:rPr>
                <w:rFonts w:ascii="Arial Narrow" w:hAnsi="Arial Narrow"/>
                <w:sz w:val="20"/>
                <w:szCs w:val="20"/>
              </w:rPr>
              <w:t>all districts</w:t>
            </w:r>
          </w:p>
        </w:tc>
        <w:tc>
          <w:tcPr>
            <w:tcW w:w="2160" w:type="dxa"/>
          </w:tcPr>
          <w:p w:rsidR="00E5118A" w:rsidRPr="00A01263" w:rsidRDefault="00E5118A" w:rsidP="009163D9">
            <w:pPr>
              <w:rPr>
                <w:rFonts w:ascii="Arial Narrow" w:hAnsi="Arial Narrow"/>
                <w:sz w:val="20"/>
                <w:szCs w:val="20"/>
              </w:rPr>
            </w:pPr>
            <w:r w:rsidRPr="00A01263">
              <w:rPr>
                <w:rFonts w:ascii="Arial Narrow" w:hAnsi="Arial Narrow"/>
                <w:sz w:val="20"/>
                <w:szCs w:val="20"/>
              </w:rPr>
              <w:t>Compare two districts and the state</w:t>
            </w:r>
          </w:p>
        </w:tc>
        <w:tc>
          <w:tcPr>
            <w:tcW w:w="1278" w:type="dxa"/>
          </w:tcPr>
          <w:p w:rsidR="00E5118A" w:rsidRPr="00A01263" w:rsidRDefault="000B3726" w:rsidP="009163D9">
            <w:pPr>
              <w:rPr>
                <w:rFonts w:ascii="Arial Narrow" w:hAnsi="Arial Narrow"/>
                <w:sz w:val="20"/>
                <w:szCs w:val="20"/>
              </w:rPr>
            </w:pPr>
            <w:r>
              <w:rPr>
                <w:rFonts w:ascii="Arial Narrow" w:hAnsi="Arial Narrow"/>
                <w:sz w:val="20"/>
                <w:szCs w:val="20"/>
              </w:rPr>
              <w:t>5 years</w:t>
            </w:r>
            <w:r w:rsidR="00E5118A" w:rsidRPr="00A01263">
              <w:rPr>
                <w:rFonts w:ascii="Arial Narrow" w:hAnsi="Arial Narrow"/>
                <w:sz w:val="20"/>
                <w:szCs w:val="20"/>
              </w:rPr>
              <w:t xml:space="preserve"> </w:t>
            </w:r>
          </w:p>
        </w:tc>
      </w:tr>
      <w:tr w:rsidR="00E5118A" w:rsidTr="00A01263">
        <w:tc>
          <w:tcPr>
            <w:tcW w:w="1343" w:type="dxa"/>
          </w:tcPr>
          <w:p w:rsidR="00E5118A" w:rsidRPr="00A01263" w:rsidRDefault="00E5118A" w:rsidP="009163D9">
            <w:pPr>
              <w:rPr>
                <w:rFonts w:ascii="Cambria" w:hAnsi="Cambria"/>
                <w:i/>
                <w:sz w:val="20"/>
                <w:szCs w:val="20"/>
              </w:rPr>
            </w:pPr>
            <w:r w:rsidRPr="00A01263">
              <w:rPr>
                <w:rFonts w:ascii="Cambria" w:hAnsi="Cambria"/>
                <w:i/>
                <w:sz w:val="20"/>
                <w:szCs w:val="20"/>
              </w:rPr>
              <w:t>DART for Schools</w:t>
            </w:r>
          </w:p>
        </w:tc>
        <w:tc>
          <w:tcPr>
            <w:tcW w:w="4680" w:type="dxa"/>
          </w:tcPr>
          <w:p w:rsidR="0068594B" w:rsidRPr="00A01263" w:rsidRDefault="00E5118A" w:rsidP="009163D9">
            <w:pPr>
              <w:rPr>
                <w:rFonts w:ascii="Arial Narrow" w:hAnsi="Arial Narrow"/>
                <w:sz w:val="20"/>
                <w:szCs w:val="20"/>
              </w:rPr>
            </w:pPr>
            <w:r w:rsidRPr="00A01263">
              <w:rPr>
                <w:rFonts w:ascii="Arial Narrow" w:hAnsi="Arial Narrow"/>
                <w:sz w:val="20"/>
                <w:szCs w:val="20"/>
              </w:rPr>
              <w:t>Selected indicators on curriculum and instruction, leadership and governance, human resources, professional development, student support</w:t>
            </w:r>
          </w:p>
          <w:p w:rsidR="009F2DC8" w:rsidRPr="00A01263" w:rsidRDefault="009F2DC8" w:rsidP="009163D9">
            <w:pPr>
              <w:rPr>
                <w:rFonts w:ascii="Arial Narrow" w:hAnsi="Arial Narrow"/>
                <w:sz w:val="20"/>
                <w:szCs w:val="20"/>
              </w:rPr>
            </w:pPr>
          </w:p>
          <w:p w:rsidR="0068594B" w:rsidRPr="00A01263" w:rsidRDefault="001C0FFD" w:rsidP="002C477D">
            <w:pPr>
              <w:rPr>
                <w:rFonts w:ascii="Arial Narrow" w:hAnsi="Arial Narrow"/>
                <w:sz w:val="20"/>
                <w:szCs w:val="20"/>
              </w:rPr>
            </w:pPr>
            <w:r w:rsidRPr="00A01263">
              <w:rPr>
                <w:rFonts w:ascii="Arial Narrow" w:hAnsi="Arial Narrow"/>
                <w:sz w:val="20"/>
                <w:szCs w:val="20"/>
              </w:rPr>
              <w:t>Included: a</w:t>
            </w:r>
            <w:r w:rsidR="0068594B" w:rsidRPr="00A01263">
              <w:rPr>
                <w:rFonts w:ascii="Arial Narrow" w:hAnsi="Arial Narrow"/>
                <w:sz w:val="20"/>
                <w:szCs w:val="20"/>
              </w:rPr>
              <w:t>ll schools</w:t>
            </w:r>
            <w:r w:rsidR="002C477D" w:rsidRPr="00A01263">
              <w:rPr>
                <w:rFonts w:ascii="Arial Narrow" w:hAnsi="Arial Narrow"/>
                <w:sz w:val="20"/>
                <w:szCs w:val="20"/>
              </w:rPr>
              <w:t xml:space="preserve"> and</w:t>
            </w:r>
            <w:r w:rsidR="0068594B" w:rsidRPr="00A01263">
              <w:rPr>
                <w:rFonts w:ascii="Arial Narrow" w:hAnsi="Arial Narrow"/>
                <w:sz w:val="20"/>
                <w:szCs w:val="20"/>
              </w:rPr>
              <w:t xml:space="preserve"> single school districts </w:t>
            </w:r>
          </w:p>
        </w:tc>
        <w:tc>
          <w:tcPr>
            <w:tcW w:w="2160" w:type="dxa"/>
          </w:tcPr>
          <w:p w:rsidR="00E5118A" w:rsidRPr="00A01263" w:rsidRDefault="00E5118A" w:rsidP="009163D9">
            <w:pPr>
              <w:rPr>
                <w:rFonts w:ascii="Arial Narrow" w:hAnsi="Arial Narrow"/>
                <w:sz w:val="20"/>
                <w:szCs w:val="20"/>
              </w:rPr>
            </w:pPr>
            <w:r w:rsidRPr="00A01263">
              <w:rPr>
                <w:rFonts w:ascii="Arial Narrow" w:hAnsi="Arial Narrow"/>
                <w:sz w:val="20"/>
                <w:szCs w:val="20"/>
              </w:rPr>
              <w:t xml:space="preserve">Compare two </w:t>
            </w:r>
            <w:r w:rsidR="00F80E30" w:rsidRPr="00A01263">
              <w:rPr>
                <w:rFonts w:ascii="Arial Narrow" w:hAnsi="Arial Narrow"/>
                <w:sz w:val="20"/>
                <w:szCs w:val="20"/>
              </w:rPr>
              <w:t>schools</w:t>
            </w:r>
            <w:r w:rsidRPr="00A01263">
              <w:rPr>
                <w:rFonts w:ascii="Arial Narrow" w:hAnsi="Arial Narrow"/>
                <w:sz w:val="20"/>
                <w:szCs w:val="20"/>
              </w:rPr>
              <w:t xml:space="preserve"> and the state</w:t>
            </w:r>
          </w:p>
        </w:tc>
        <w:tc>
          <w:tcPr>
            <w:tcW w:w="1278" w:type="dxa"/>
          </w:tcPr>
          <w:p w:rsidR="00E5118A" w:rsidRPr="00A01263" w:rsidRDefault="000B3726" w:rsidP="000B3726">
            <w:pPr>
              <w:rPr>
                <w:rFonts w:ascii="Arial Narrow" w:hAnsi="Arial Narrow"/>
                <w:sz w:val="20"/>
                <w:szCs w:val="20"/>
              </w:rPr>
            </w:pPr>
            <w:r>
              <w:rPr>
                <w:rFonts w:ascii="Arial Narrow" w:hAnsi="Arial Narrow"/>
                <w:sz w:val="20"/>
                <w:szCs w:val="20"/>
              </w:rPr>
              <w:t>5 years</w:t>
            </w:r>
          </w:p>
        </w:tc>
      </w:tr>
      <w:tr w:rsidR="00FD485C" w:rsidTr="00A01263">
        <w:tc>
          <w:tcPr>
            <w:tcW w:w="1343" w:type="dxa"/>
          </w:tcPr>
          <w:p w:rsidR="00FD485C" w:rsidRPr="00A01263" w:rsidRDefault="00FD485C" w:rsidP="009163D9">
            <w:pPr>
              <w:rPr>
                <w:rFonts w:ascii="Cambria" w:hAnsi="Cambria"/>
                <w:i/>
                <w:sz w:val="20"/>
                <w:szCs w:val="20"/>
              </w:rPr>
            </w:pPr>
            <w:r w:rsidRPr="00A01263">
              <w:rPr>
                <w:rFonts w:ascii="Cambria" w:hAnsi="Cambria"/>
                <w:i/>
                <w:sz w:val="20"/>
                <w:szCs w:val="20"/>
              </w:rPr>
              <w:t>DART Detail: Staffing and Finance</w:t>
            </w:r>
          </w:p>
        </w:tc>
        <w:tc>
          <w:tcPr>
            <w:tcW w:w="4680" w:type="dxa"/>
          </w:tcPr>
          <w:p w:rsidR="00C55AAE" w:rsidRDefault="00EF7606" w:rsidP="009163D9">
            <w:pPr>
              <w:rPr>
                <w:rFonts w:ascii="Arial Narrow" w:hAnsi="Arial Narrow"/>
                <w:sz w:val="20"/>
                <w:szCs w:val="20"/>
              </w:rPr>
            </w:pPr>
            <w:r>
              <w:rPr>
                <w:rFonts w:ascii="Arial Narrow" w:hAnsi="Arial Narrow"/>
                <w:sz w:val="20"/>
                <w:szCs w:val="20"/>
              </w:rPr>
              <w:t>Overview</w:t>
            </w:r>
            <w:r w:rsidR="00B82539">
              <w:rPr>
                <w:rFonts w:ascii="Arial Narrow" w:hAnsi="Arial Narrow"/>
                <w:sz w:val="20"/>
                <w:szCs w:val="20"/>
              </w:rPr>
              <w:t>—</w:t>
            </w:r>
            <w:r w:rsidR="00C55AAE">
              <w:rPr>
                <w:rFonts w:ascii="Arial Narrow" w:hAnsi="Arial Narrow"/>
                <w:sz w:val="20"/>
                <w:szCs w:val="20"/>
              </w:rPr>
              <w:t>enrollment, performance, staff and finance highlights</w:t>
            </w:r>
            <w:r>
              <w:rPr>
                <w:rFonts w:ascii="Arial Narrow" w:hAnsi="Arial Narrow"/>
                <w:sz w:val="20"/>
                <w:szCs w:val="20"/>
              </w:rPr>
              <w:t>,</w:t>
            </w:r>
            <w:r w:rsidR="00123CB5">
              <w:rPr>
                <w:rFonts w:ascii="Arial Narrow" w:hAnsi="Arial Narrow"/>
                <w:sz w:val="20"/>
                <w:szCs w:val="20"/>
              </w:rPr>
              <w:t xml:space="preserve"> finance charts</w:t>
            </w:r>
            <w:r w:rsidR="00C55AAE">
              <w:rPr>
                <w:rFonts w:ascii="Arial Narrow" w:hAnsi="Arial Narrow"/>
                <w:sz w:val="20"/>
                <w:szCs w:val="20"/>
              </w:rPr>
              <w:t xml:space="preserve"> </w:t>
            </w:r>
          </w:p>
          <w:p w:rsidR="00C55AAE" w:rsidRDefault="00C55AAE" w:rsidP="009163D9">
            <w:pPr>
              <w:rPr>
                <w:rFonts w:ascii="Arial Narrow" w:hAnsi="Arial Narrow"/>
                <w:sz w:val="20"/>
                <w:szCs w:val="20"/>
              </w:rPr>
            </w:pPr>
          </w:p>
          <w:p w:rsidR="00FD485C" w:rsidRPr="00A01263" w:rsidRDefault="0072296B" w:rsidP="009163D9">
            <w:pPr>
              <w:rPr>
                <w:rFonts w:ascii="Arial Narrow" w:hAnsi="Arial Narrow"/>
                <w:sz w:val="20"/>
                <w:szCs w:val="20"/>
              </w:rPr>
            </w:pPr>
            <w:r>
              <w:rPr>
                <w:rFonts w:ascii="Arial Narrow" w:hAnsi="Arial Narrow"/>
                <w:sz w:val="20"/>
                <w:szCs w:val="20"/>
              </w:rPr>
              <w:t>Selected indicators on</w:t>
            </w:r>
            <w:r w:rsidR="00EF7606">
              <w:rPr>
                <w:rFonts w:ascii="Arial Narrow" w:hAnsi="Arial Narrow"/>
                <w:sz w:val="20"/>
                <w:szCs w:val="20"/>
              </w:rPr>
              <w:t>:</w:t>
            </w:r>
            <w:r>
              <w:rPr>
                <w:rFonts w:ascii="Arial Narrow" w:hAnsi="Arial Narrow"/>
                <w:sz w:val="20"/>
                <w:szCs w:val="20"/>
              </w:rPr>
              <w:t xml:space="preserve"> s</w:t>
            </w:r>
            <w:r w:rsidR="00FD485C" w:rsidRPr="00A01263">
              <w:rPr>
                <w:rFonts w:ascii="Arial Narrow" w:hAnsi="Arial Narrow"/>
                <w:sz w:val="20"/>
                <w:szCs w:val="20"/>
              </w:rPr>
              <w:t>taff FTEs and student/staff ratios</w:t>
            </w:r>
            <w:r w:rsidR="00EF7606">
              <w:rPr>
                <w:rFonts w:ascii="Arial Narrow" w:hAnsi="Arial Narrow"/>
                <w:sz w:val="20"/>
                <w:szCs w:val="20"/>
              </w:rPr>
              <w:t>;</w:t>
            </w:r>
            <w:r w:rsidR="00123CB5">
              <w:rPr>
                <w:rFonts w:ascii="Arial Narrow" w:hAnsi="Arial Narrow"/>
                <w:sz w:val="20"/>
                <w:szCs w:val="20"/>
              </w:rPr>
              <w:t xml:space="preserve"> </w:t>
            </w:r>
            <w:r w:rsidR="00EF7606">
              <w:rPr>
                <w:rFonts w:ascii="Arial Narrow" w:hAnsi="Arial Narrow"/>
                <w:sz w:val="20"/>
                <w:szCs w:val="20"/>
              </w:rPr>
              <w:t>expenditures (dollars and per pupil)</w:t>
            </w:r>
          </w:p>
          <w:p w:rsidR="00583755" w:rsidRDefault="00583755" w:rsidP="003C3503">
            <w:pPr>
              <w:rPr>
                <w:rFonts w:ascii="Arial Narrow" w:hAnsi="Arial Narrow"/>
                <w:sz w:val="20"/>
                <w:szCs w:val="20"/>
              </w:rPr>
            </w:pPr>
          </w:p>
          <w:p w:rsidR="0068594B" w:rsidRPr="00583755" w:rsidRDefault="001C0FFD" w:rsidP="003C3503">
            <w:pPr>
              <w:rPr>
                <w:rFonts w:ascii="Arial Narrow" w:hAnsi="Arial Narrow"/>
                <w:sz w:val="20"/>
                <w:szCs w:val="20"/>
              </w:rPr>
            </w:pPr>
            <w:r w:rsidRPr="00583755">
              <w:rPr>
                <w:rFonts w:ascii="Arial Narrow" w:hAnsi="Arial Narrow"/>
                <w:sz w:val="20"/>
                <w:szCs w:val="20"/>
              </w:rPr>
              <w:t xml:space="preserve">Included: municipal and regional </w:t>
            </w:r>
            <w:r w:rsidR="0068594B" w:rsidRPr="00583755">
              <w:rPr>
                <w:rFonts w:ascii="Arial Narrow" w:hAnsi="Arial Narrow"/>
                <w:sz w:val="20"/>
                <w:szCs w:val="20"/>
              </w:rPr>
              <w:t>districts</w:t>
            </w:r>
            <w:r w:rsidR="00C869B8" w:rsidRPr="00583755">
              <w:rPr>
                <w:rFonts w:ascii="Arial Narrow" w:hAnsi="Arial Narrow"/>
                <w:sz w:val="20"/>
                <w:szCs w:val="20"/>
              </w:rPr>
              <w:t>*</w:t>
            </w:r>
          </w:p>
        </w:tc>
        <w:tc>
          <w:tcPr>
            <w:tcW w:w="2160" w:type="dxa"/>
          </w:tcPr>
          <w:p w:rsidR="00C55AAE" w:rsidRDefault="00B82539" w:rsidP="009163D9">
            <w:pPr>
              <w:rPr>
                <w:rFonts w:ascii="Arial Narrow" w:hAnsi="Arial Narrow"/>
                <w:sz w:val="20"/>
                <w:szCs w:val="20"/>
              </w:rPr>
            </w:pPr>
            <w:r>
              <w:rPr>
                <w:rFonts w:ascii="Arial Narrow" w:hAnsi="Arial Narrow"/>
                <w:sz w:val="20"/>
                <w:szCs w:val="20"/>
              </w:rPr>
              <w:t>One district</w:t>
            </w:r>
          </w:p>
          <w:p w:rsidR="0072296B" w:rsidRDefault="0072296B" w:rsidP="009163D9">
            <w:pPr>
              <w:rPr>
                <w:rFonts w:ascii="Arial Narrow" w:hAnsi="Arial Narrow"/>
                <w:sz w:val="20"/>
                <w:szCs w:val="20"/>
              </w:rPr>
            </w:pPr>
          </w:p>
          <w:p w:rsidR="00C55AAE" w:rsidRDefault="00C55AAE" w:rsidP="009163D9">
            <w:pPr>
              <w:rPr>
                <w:rFonts w:ascii="Arial Narrow" w:hAnsi="Arial Narrow"/>
                <w:sz w:val="20"/>
                <w:szCs w:val="20"/>
              </w:rPr>
            </w:pPr>
          </w:p>
          <w:p w:rsidR="00B82539" w:rsidRDefault="00B82539" w:rsidP="00B82539">
            <w:pPr>
              <w:rPr>
                <w:rFonts w:ascii="Arial Narrow" w:hAnsi="Arial Narrow"/>
                <w:sz w:val="20"/>
                <w:szCs w:val="20"/>
              </w:rPr>
            </w:pPr>
            <w:r w:rsidRPr="00A01263">
              <w:rPr>
                <w:rFonts w:ascii="Arial Narrow" w:hAnsi="Arial Narrow"/>
                <w:sz w:val="20"/>
                <w:szCs w:val="20"/>
              </w:rPr>
              <w:t>Compare four districts and the state</w:t>
            </w:r>
          </w:p>
          <w:p w:rsidR="00B82539" w:rsidRDefault="00B82539" w:rsidP="00B82539">
            <w:pPr>
              <w:rPr>
                <w:rFonts w:ascii="Arial Narrow" w:hAnsi="Arial Narrow"/>
                <w:sz w:val="20"/>
                <w:szCs w:val="20"/>
              </w:rPr>
            </w:pPr>
          </w:p>
          <w:p w:rsidR="003E09E1" w:rsidRPr="00A01263" w:rsidRDefault="003E09E1" w:rsidP="00123CB5">
            <w:pPr>
              <w:rPr>
                <w:rFonts w:ascii="Arial Narrow" w:hAnsi="Arial Narrow"/>
                <w:sz w:val="20"/>
                <w:szCs w:val="20"/>
              </w:rPr>
            </w:pPr>
          </w:p>
        </w:tc>
        <w:tc>
          <w:tcPr>
            <w:tcW w:w="1278" w:type="dxa"/>
          </w:tcPr>
          <w:p w:rsidR="00C55AAE" w:rsidRDefault="00C55AAE" w:rsidP="000B3726">
            <w:pPr>
              <w:rPr>
                <w:rFonts w:ascii="Arial Narrow" w:hAnsi="Arial Narrow"/>
                <w:sz w:val="20"/>
                <w:szCs w:val="20"/>
              </w:rPr>
            </w:pPr>
            <w:r>
              <w:rPr>
                <w:rFonts w:ascii="Arial Narrow" w:hAnsi="Arial Narrow"/>
                <w:sz w:val="20"/>
                <w:szCs w:val="20"/>
              </w:rPr>
              <w:t>5 years</w:t>
            </w:r>
          </w:p>
          <w:p w:rsidR="00123CB5" w:rsidRDefault="00123CB5" w:rsidP="000B3726">
            <w:pPr>
              <w:rPr>
                <w:rFonts w:ascii="Arial Narrow" w:hAnsi="Arial Narrow"/>
                <w:sz w:val="20"/>
                <w:szCs w:val="20"/>
              </w:rPr>
            </w:pPr>
          </w:p>
          <w:p w:rsidR="00C55AAE" w:rsidRDefault="00C55AAE" w:rsidP="000B3726">
            <w:pPr>
              <w:rPr>
                <w:rFonts w:ascii="Arial Narrow" w:hAnsi="Arial Narrow"/>
                <w:sz w:val="20"/>
                <w:szCs w:val="20"/>
              </w:rPr>
            </w:pPr>
          </w:p>
          <w:p w:rsidR="00B82539" w:rsidRDefault="00B82539" w:rsidP="00B82539">
            <w:pPr>
              <w:rPr>
                <w:rFonts w:ascii="Arial Narrow" w:hAnsi="Arial Narrow"/>
                <w:sz w:val="20"/>
                <w:szCs w:val="20"/>
              </w:rPr>
            </w:pPr>
            <w:r>
              <w:rPr>
                <w:rFonts w:ascii="Arial Narrow" w:hAnsi="Arial Narrow"/>
                <w:sz w:val="20"/>
                <w:szCs w:val="20"/>
              </w:rPr>
              <w:t>3 years</w:t>
            </w:r>
          </w:p>
          <w:p w:rsidR="00B82539" w:rsidRDefault="00B82539" w:rsidP="00B82539">
            <w:pPr>
              <w:rPr>
                <w:rFonts w:ascii="Arial Narrow" w:hAnsi="Arial Narrow"/>
                <w:sz w:val="20"/>
                <w:szCs w:val="20"/>
              </w:rPr>
            </w:pPr>
          </w:p>
          <w:p w:rsidR="00583755" w:rsidRPr="00A01263" w:rsidRDefault="00583755" w:rsidP="00123CB5">
            <w:pPr>
              <w:rPr>
                <w:rFonts w:ascii="Arial Narrow" w:hAnsi="Arial Narrow"/>
                <w:sz w:val="20"/>
                <w:szCs w:val="20"/>
              </w:rPr>
            </w:pPr>
          </w:p>
        </w:tc>
      </w:tr>
      <w:tr w:rsidR="001B1652" w:rsidTr="003C3503">
        <w:tc>
          <w:tcPr>
            <w:tcW w:w="1343" w:type="dxa"/>
          </w:tcPr>
          <w:p w:rsidR="001B1652" w:rsidRDefault="001B1652" w:rsidP="003C3503">
            <w:pPr>
              <w:rPr>
                <w:rFonts w:ascii="Cambria" w:hAnsi="Cambria"/>
                <w:i/>
                <w:sz w:val="20"/>
                <w:szCs w:val="20"/>
              </w:rPr>
            </w:pPr>
            <w:r>
              <w:rPr>
                <w:rFonts w:ascii="Cambria" w:hAnsi="Cambria"/>
                <w:i/>
                <w:sz w:val="20"/>
                <w:szCs w:val="20"/>
              </w:rPr>
              <w:t>DART Detail:</w:t>
            </w:r>
          </w:p>
          <w:p w:rsidR="001B1652" w:rsidRDefault="001B1652" w:rsidP="003C3503">
            <w:pPr>
              <w:rPr>
                <w:rFonts w:ascii="Cambria" w:hAnsi="Cambria"/>
                <w:i/>
                <w:sz w:val="20"/>
                <w:szCs w:val="20"/>
              </w:rPr>
            </w:pPr>
            <w:r>
              <w:rPr>
                <w:rFonts w:ascii="Cambria" w:hAnsi="Cambria"/>
                <w:i/>
                <w:sz w:val="20"/>
                <w:szCs w:val="20"/>
              </w:rPr>
              <w:t>Success After</w:t>
            </w:r>
          </w:p>
          <w:p w:rsidR="001B1652" w:rsidRPr="00A01263" w:rsidRDefault="001B1652" w:rsidP="003C3503">
            <w:pPr>
              <w:rPr>
                <w:rFonts w:ascii="Cambria" w:hAnsi="Cambria"/>
                <w:i/>
                <w:sz w:val="20"/>
                <w:szCs w:val="20"/>
              </w:rPr>
            </w:pPr>
            <w:r>
              <w:rPr>
                <w:rFonts w:ascii="Cambria" w:hAnsi="Cambria"/>
                <w:i/>
                <w:sz w:val="20"/>
                <w:szCs w:val="20"/>
              </w:rPr>
              <w:t>High School</w:t>
            </w:r>
          </w:p>
        </w:tc>
        <w:tc>
          <w:tcPr>
            <w:tcW w:w="4680" w:type="dxa"/>
          </w:tcPr>
          <w:p w:rsidR="001B1652" w:rsidRDefault="001B1652" w:rsidP="00AA6B1C">
            <w:pPr>
              <w:rPr>
                <w:rFonts w:ascii="Arial Narrow" w:hAnsi="Arial Narrow"/>
                <w:sz w:val="20"/>
                <w:szCs w:val="20"/>
              </w:rPr>
            </w:pPr>
            <w:r>
              <w:rPr>
                <w:rFonts w:ascii="Arial Narrow" w:hAnsi="Arial Narrow"/>
                <w:sz w:val="20"/>
                <w:szCs w:val="20"/>
              </w:rPr>
              <w:t>Selected indicators on high school course-taking, performance, programs of study, post-secondary education outcomes, and career development education.</w:t>
            </w:r>
          </w:p>
          <w:p w:rsidR="001B1652" w:rsidRDefault="001B1652" w:rsidP="00AA6B1C">
            <w:pPr>
              <w:rPr>
                <w:rFonts w:ascii="Arial Narrow" w:hAnsi="Arial Narrow"/>
                <w:sz w:val="20"/>
                <w:szCs w:val="20"/>
              </w:rPr>
            </w:pPr>
          </w:p>
          <w:p w:rsidR="001B1652" w:rsidRDefault="001B1652" w:rsidP="00AA6B1C">
            <w:pPr>
              <w:rPr>
                <w:rFonts w:ascii="Arial Narrow" w:hAnsi="Arial Narrow"/>
                <w:sz w:val="20"/>
                <w:szCs w:val="20"/>
              </w:rPr>
            </w:pPr>
            <w:r>
              <w:rPr>
                <w:rFonts w:ascii="Arial Narrow" w:hAnsi="Arial Narrow"/>
                <w:sz w:val="20"/>
                <w:szCs w:val="20"/>
              </w:rPr>
              <w:t>Included: all schools containing grades 9 to 12</w:t>
            </w:r>
          </w:p>
        </w:tc>
        <w:tc>
          <w:tcPr>
            <w:tcW w:w="2160" w:type="dxa"/>
          </w:tcPr>
          <w:p w:rsidR="001B1652" w:rsidRPr="00A01263" w:rsidRDefault="001B1652" w:rsidP="003C3503">
            <w:pPr>
              <w:rPr>
                <w:rFonts w:ascii="Arial Narrow" w:hAnsi="Arial Narrow"/>
                <w:sz w:val="20"/>
                <w:szCs w:val="20"/>
              </w:rPr>
            </w:pPr>
            <w:r>
              <w:rPr>
                <w:rFonts w:ascii="Arial Narrow" w:hAnsi="Arial Narrow"/>
                <w:sz w:val="20"/>
                <w:szCs w:val="20"/>
              </w:rPr>
              <w:t>Compare two schools and the state</w:t>
            </w:r>
          </w:p>
        </w:tc>
        <w:tc>
          <w:tcPr>
            <w:tcW w:w="1278" w:type="dxa"/>
          </w:tcPr>
          <w:p w:rsidR="001B1652" w:rsidRDefault="001B1652" w:rsidP="000B3726">
            <w:pPr>
              <w:rPr>
                <w:rFonts w:ascii="Arial Narrow" w:hAnsi="Arial Narrow"/>
                <w:sz w:val="20"/>
                <w:szCs w:val="20"/>
              </w:rPr>
            </w:pPr>
            <w:r>
              <w:rPr>
                <w:rFonts w:ascii="Arial Narrow" w:hAnsi="Arial Narrow"/>
                <w:sz w:val="20"/>
                <w:szCs w:val="20"/>
              </w:rPr>
              <w:t>5 years</w:t>
            </w:r>
          </w:p>
        </w:tc>
      </w:tr>
      <w:tr w:rsidR="003C3503" w:rsidTr="003C3503">
        <w:tc>
          <w:tcPr>
            <w:tcW w:w="1343" w:type="dxa"/>
          </w:tcPr>
          <w:p w:rsidR="003C3503" w:rsidRPr="00A01263" w:rsidRDefault="003C3503" w:rsidP="003C3503">
            <w:pPr>
              <w:rPr>
                <w:rFonts w:ascii="Cambria" w:hAnsi="Cambria"/>
                <w:i/>
                <w:sz w:val="20"/>
                <w:szCs w:val="20"/>
              </w:rPr>
            </w:pPr>
            <w:r w:rsidRPr="00A01263">
              <w:rPr>
                <w:rFonts w:ascii="Cambria" w:hAnsi="Cambria"/>
                <w:i/>
                <w:sz w:val="20"/>
                <w:szCs w:val="20"/>
              </w:rPr>
              <w:t xml:space="preserve">DART Detail: </w:t>
            </w:r>
            <w:r>
              <w:rPr>
                <w:rFonts w:ascii="Cambria" w:hAnsi="Cambria"/>
                <w:i/>
                <w:sz w:val="20"/>
                <w:szCs w:val="20"/>
              </w:rPr>
              <w:t>English Language Learners</w:t>
            </w:r>
          </w:p>
        </w:tc>
        <w:tc>
          <w:tcPr>
            <w:tcW w:w="4680" w:type="dxa"/>
          </w:tcPr>
          <w:p w:rsidR="00AA6B1C" w:rsidRDefault="00AA6B1C" w:rsidP="00AA6B1C">
            <w:pPr>
              <w:rPr>
                <w:rFonts w:ascii="Arial Narrow" w:hAnsi="Arial Narrow"/>
                <w:sz w:val="20"/>
                <w:szCs w:val="20"/>
              </w:rPr>
            </w:pPr>
            <w:r>
              <w:rPr>
                <w:rFonts w:ascii="Arial Narrow" w:hAnsi="Arial Narrow"/>
                <w:sz w:val="20"/>
                <w:szCs w:val="20"/>
              </w:rPr>
              <w:t>Selected indicators specific to English language learner students and programming, including enrollment and demographics, curriculum and assessment, English language proficiency (MEPA), staffing, and federal grants.</w:t>
            </w:r>
          </w:p>
          <w:p w:rsidR="003C3503" w:rsidRDefault="003C3503" w:rsidP="003C3503">
            <w:pPr>
              <w:rPr>
                <w:rFonts w:ascii="Arial Narrow" w:hAnsi="Arial Narrow"/>
                <w:sz w:val="20"/>
                <w:szCs w:val="20"/>
              </w:rPr>
            </w:pPr>
          </w:p>
          <w:p w:rsidR="003C3503" w:rsidRPr="00A01263" w:rsidRDefault="003C3503" w:rsidP="003C3503">
            <w:pPr>
              <w:rPr>
                <w:rFonts w:ascii="Arial Narrow" w:hAnsi="Arial Narrow"/>
                <w:sz w:val="20"/>
                <w:szCs w:val="20"/>
              </w:rPr>
            </w:pPr>
            <w:r w:rsidRPr="00A01263">
              <w:rPr>
                <w:rFonts w:ascii="Arial Narrow" w:hAnsi="Arial Narrow"/>
                <w:sz w:val="20"/>
                <w:szCs w:val="20"/>
              </w:rPr>
              <w:t>Included: all districts</w:t>
            </w:r>
            <w:r w:rsidR="00AA6B1C">
              <w:rPr>
                <w:rFonts w:ascii="Arial Narrow" w:hAnsi="Arial Narrow"/>
                <w:sz w:val="20"/>
                <w:szCs w:val="20"/>
              </w:rPr>
              <w:t>, including single school districts</w:t>
            </w:r>
          </w:p>
        </w:tc>
        <w:tc>
          <w:tcPr>
            <w:tcW w:w="2160" w:type="dxa"/>
          </w:tcPr>
          <w:p w:rsidR="003C3503" w:rsidRPr="00A01263" w:rsidRDefault="003C3503" w:rsidP="003C3503">
            <w:pPr>
              <w:rPr>
                <w:rFonts w:ascii="Arial Narrow" w:hAnsi="Arial Narrow"/>
                <w:sz w:val="20"/>
                <w:szCs w:val="20"/>
              </w:rPr>
            </w:pPr>
            <w:r w:rsidRPr="00A01263">
              <w:rPr>
                <w:rFonts w:ascii="Arial Narrow" w:hAnsi="Arial Narrow"/>
                <w:sz w:val="20"/>
                <w:szCs w:val="20"/>
              </w:rPr>
              <w:t xml:space="preserve">Compare </w:t>
            </w:r>
            <w:r>
              <w:rPr>
                <w:rFonts w:ascii="Arial Narrow" w:hAnsi="Arial Narrow"/>
                <w:sz w:val="20"/>
                <w:szCs w:val="20"/>
              </w:rPr>
              <w:t xml:space="preserve">ten </w:t>
            </w:r>
            <w:r w:rsidRPr="00A01263">
              <w:rPr>
                <w:rFonts w:ascii="Arial Narrow" w:hAnsi="Arial Narrow"/>
                <w:sz w:val="20"/>
                <w:szCs w:val="20"/>
              </w:rPr>
              <w:t xml:space="preserve">districts and the state, </w:t>
            </w:r>
            <w:r>
              <w:rPr>
                <w:rFonts w:ascii="Arial Narrow" w:hAnsi="Arial Narrow"/>
                <w:sz w:val="20"/>
                <w:szCs w:val="20"/>
              </w:rPr>
              <w:t xml:space="preserve">and all schools in one </w:t>
            </w:r>
          </w:p>
        </w:tc>
        <w:tc>
          <w:tcPr>
            <w:tcW w:w="1278" w:type="dxa"/>
          </w:tcPr>
          <w:p w:rsidR="000B3726" w:rsidRDefault="000B3726" w:rsidP="000B3726">
            <w:pPr>
              <w:rPr>
                <w:rFonts w:ascii="Arial Narrow" w:hAnsi="Arial Narrow"/>
                <w:sz w:val="20"/>
                <w:szCs w:val="20"/>
              </w:rPr>
            </w:pPr>
            <w:r>
              <w:rPr>
                <w:rFonts w:ascii="Arial Narrow" w:hAnsi="Arial Narrow"/>
                <w:sz w:val="20"/>
                <w:szCs w:val="20"/>
              </w:rPr>
              <w:t xml:space="preserve">Most recent </w:t>
            </w:r>
          </w:p>
          <w:p w:rsidR="003C3503" w:rsidRPr="00A01263" w:rsidRDefault="000B3726" w:rsidP="000B3726">
            <w:pPr>
              <w:rPr>
                <w:rFonts w:ascii="Arial Narrow" w:hAnsi="Arial Narrow"/>
                <w:sz w:val="20"/>
                <w:szCs w:val="20"/>
              </w:rPr>
            </w:pPr>
            <w:r>
              <w:rPr>
                <w:rFonts w:ascii="Arial Narrow" w:hAnsi="Arial Narrow"/>
                <w:sz w:val="20"/>
                <w:szCs w:val="20"/>
              </w:rPr>
              <w:t>5 years</w:t>
            </w:r>
          </w:p>
        </w:tc>
      </w:tr>
    </w:tbl>
    <w:p w:rsidR="00A35E4E" w:rsidRDefault="00A35E4E" w:rsidP="00A35E4E"/>
    <w:p w:rsidR="001F12CD" w:rsidRDefault="001F12CD" w:rsidP="001F12CD">
      <w:pPr>
        <w:pStyle w:val="Italic"/>
        <w:ind w:left="0"/>
      </w:pPr>
      <w:r>
        <w:t xml:space="preserve">* Because comparable financial data is not available for charter schools, </w:t>
      </w:r>
      <w:r w:rsidR="00B82539">
        <w:t>this DART does not include these districts</w:t>
      </w:r>
      <w:r w:rsidR="00E212A5">
        <w:t>.</w:t>
      </w:r>
    </w:p>
    <w:p w:rsidR="00A35E4E" w:rsidRDefault="00A35E4E" w:rsidP="00A35E4E"/>
    <w:p w:rsidR="0072296B" w:rsidRDefault="0072296B" w:rsidP="0072296B">
      <w:pPr>
        <w:pStyle w:val="Heading3"/>
      </w:pPr>
      <w:bookmarkStart w:id="5" w:name="_Toc452474963"/>
      <w:r>
        <w:t>Provide Feedback to ESE</w:t>
      </w:r>
      <w:bookmarkEnd w:id="5"/>
    </w:p>
    <w:p w:rsidR="0072296B" w:rsidRDefault="0072296B" w:rsidP="0072296B">
      <w:r w:rsidRPr="0072296B">
        <w:t xml:space="preserve">Please consider taking the anonymous, 5-minute </w:t>
      </w:r>
      <w:hyperlink r:id="rId20" w:history="1">
        <w:r w:rsidRPr="0072296B">
          <w:rPr>
            <w:rStyle w:val="Hyperlink"/>
          </w:rPr>
          <w:t>DART survey</w:t>
        </w:r>
      </w:hyperlink>
      <w:r>
        <w:t xml:space="preserve"> to provide feedback to ESE about the user experience and make suggestions for new indicators. Your comments are appreciated.</w:t>
      </w:r>
    </w:p>
    <w:p w:rsidR="0072296B" w:rsidRDefault="0072296B" w:rsidP="00C375E5">
      <w:pPr>
        <w:ind w:left="360"/>
        <w:jc w:val="center"/>
      </w:pPr>
      <w:r>
        <w:rPr>
          <w:noProof/>
        </w:rPr>
        <w:drawing>
          <wp:inline distT="0" distB="0" distL="0" distR="0">
            <wp:extent cx="2327910" cy="569595"/>
            <wp:effectExtent l="19050" t="19050" r="15240" b="20955"/>
            <wp:docPr id="10" name="Picture 10" descr="Screenshot of Survey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shot of Survey Link"/>
                    <pic:cNvPicPr>
                      <a:picLocks noChangeAspect="1" noChangeArrowheads="1"/>
                    </pic:cNvPicPr>
                  </pic:nvPicPr>
                  <pic:blipFill>
                    <a:blip r:embed="rId21" cstate="print"/>
                    <a:srcRect/>
                    <a:stretch>
                      <a:fillRect/>
                    </a:stretch>
                  </pic:blipFill>
                  <pic:spPr bwMode="auto">
                    <a:xfrm>
                      <a:off x="0" y="0"/>
                      <a:ext cx="2324613" cy="568788"/>
                    </a:xfrm>
                    <a:prstGeom prst="rect">
                      <a:avLst/>
                    </a:prstGeom>
                    <a:noFill/>
                    <a:ln w="6350">
                      <a:solidFill>
                        <a:schemeClr val="bg1">
                          <a:lumMod val="65000"/>
                        </a:schemeClr>
                      </a:solidFill>
                      <a:miter lim="800000"/>
                      <a:headEnd/>
                      <a:tailEnd/>
                    </a:ln>
                  </pic:spPr>
                </pic:pic>
              </a:graphicData>
            </a:graphic>
          </wp:inline>
        </w:drawing>
      </w:r>
      <w:r>
        <w:t xml:space="preserve"> </w:t>
      </w:r>
    </w:p>
    <w:p w:rsidR="0072296B" w:rsidRDefault="0072296B" w:rsidP="0072296B">
      <w:pPr>
        <w:pStyle w:val="Heading3"/>
      </w:pPr>
      <w:bookmarkStart w:id="6" w:name="_Toc452474964"/>
      <w:r>
        <w:lastRenderedPageBreak/>
        <w:t>Use the RSS Feed for Updates</w:t>
      </w:r>
      <w:bookmarkEnd w:id="6"/>
    </w:p>
    <w:p w:rsidR="0072296B" w:rsidRDefault="0072296B" w:rsidP="0072296B">
      <w:r>
        <w:t xml:space="preserve">You can sign up for notification of DART updates by subscribing to our RSS feed. On the DART home page there is an RSS icon just above the title bar. Click on the icon, </w:t>
      </w:r>
      <w:proofErr w:type="gramStart"/>
      <w:r>
        <w:t>then</w:t>
      </w:r>
      <w:proofErr w:type="gramEnd"/>
      <w:r>
        <w:t xml:space="preserve"> select the DART RSS feed from the list. When you click on it, you will be invited to subscribe.</w:t>
      </w:r>
    </w:p>
    <w:p w:rsidR="00314D99" w:rsidRDefault="00314D99">
      <w:pPr>
        <w:rPr>
          <w:rFonts w:ascii="Arial" w:hAnsi="Arial" w:cs="Arial"/>
          <w:b/>
          <w:bCs/>
          <w:kern w:val="32"/>
          <w:sz w:val="32"/>
          <w:szCs w:val="32"/>
        </w:rPr>
      </w:pPr>
      <w:bookmarkStart w:id="7" w:name="_Toc319929254"/>
      <w:bookmarkStart w:id="8" w:name="_Toc337712546"/>
      <w:bookmarkEnd w:id="0"/>
      <w:bookmarkEnd w:id="1"/>
    </w:p>
    <w:p w:rsidR="008A3C04" w:rsidRDefault="008A3C04">
      <w:pPr>
        <w:rPr>
          <w:rFonts w:ascii="Arial" w:hAnsi="Arial" w:cs="Arial"/>
          <w:b/>
          <w:bCs/>
          <w:kern w:val="32"/>
          <w:sz w:val="32"/>
          <w:szCs w:val="32"/>
        </w:rPr>
      </w:pPr>
    </w:p>
    <w:p w:rsidR="00002DE8" w:rsidRDefault="00002DE8" w:rsidP="00002DE8">
      <w:pPr>
        <w:pStyle w:val="Heading1"/>
      </w:pPr>
      <w:bookmarkStart w:id="9" w:name="_Toc452474965"/>
      <w:r>
        <w:t>Considerations in Using DART Data</w:t>
      </w:r>
      <w:bookmarkEnd w:id="9"/>
    </w:p>
    <w:p w:rsidR="00002DE8" w:rsidRDefault="00002DE8" w:rsidP="00002DE8">
      <w:pPr>
        <w:pStyle w:val="Heading3"/>
      </w:pPr>
      <w:bookmarkStart w:id="10" w:name="_Toc452474966"/>
      <w:r>
        <w:t>Remember: DARTs are a snapshot.</w:t>
      </w:r>
      <w:bookmarkEnd w:id="10"/>
    </w:p>
    <w:p w:rsidR="00002DE8" w:rsidRDefault="00002DE8" w:rsidP="00002DE8">
      <w:r>
        <w:t xml:space="preserve">The DARTs provide a gauge of the overall condition of a district or school, but do not have all available information. They should be treated as a good starting point for exploring the data and identifying areas of focus for further inquiry. The ESE website, especially </w:t>
      </w:r>
      <w:hyperlink r:id="rId22" w:history="1">
        <w:r w:rsidRPr="002D39D0">
          <w:rPr>
            <w:rStyle w:val="Hyperlink"/>
          </w:rPr>
          <w:t>School and District Profiles</w:t>
        </w:r>
      </w:hyperlink>
      <w:r>
        <w:t>, provides additional detail and should be referenced for deeper analysis. Local data is a powerful addition tool for inquiry.</w:t>
      </w:r>
      <w:r w:rsidR="00123CB5" w:rsidDel="00123CB5">
        <w:t xml:space="preserve"> </w:t>
      </w:r>
      <w:r>
        <w:t>U</w:t>
      </w:r>
      <w:r w:rsidRPr="00C07629">
        <w:t>sers are cautioned to view the data provided in DART</w:t>
      </w:r>
      <w:r>
        <w:t>s</w:t>
      </w:r>
      <w:r w:rsidRPr="00C07629">
        <w:t xml:space="preserve"> as a starting point for further investigation of relative differences</w:t>
      </w:r>
      <w:r>
        <w:t xml:space="preserve"> and data outliers</w:t>
      </w:r>
      <w:r w:rsidRPr="00C07629">
        <w:t>.</w:t>
      </w:r>
    </w:p>
    <w:p w:rsidR="00002DE8" w:rsidRDefault="00002DE8" w:rsidP="00002DE8">
      <w:pPr>
        <w:pStyle w:val="Heading3"/>
      </w:pPr>
      <w:bookmarkStart w:id="11" w:name="_Toc452474967"/>
      <w:r>
        <w:t>Considerations for Data Analysis</w:t>
      </w:r>
      <w:bookmarkEnd w:id="11"/>
      <w:r>
        <w:t xml:space="preserve"> </w:t>
      </w:r>
    </w:p>
    <w:p w:rsidR="00002DE8" w:rsidRDefault="00002DE8" w:rsidP="00002DE8">
      <w:r>
        <w:t xml:space="preserve">Districts put great effort into providing a lot of data to the Department, which is used for district self-assessment, Department reviews, </w:t>
      </w:r>
      <w:proofErr w:type="gramStart"/>
      <w:r>
        <w:t>legislative</w:t>
      </w:r>
      <w:proofErr w:type="gramEnd"/>
      <w:r>
        <w:t xml:space="preserve"> and grants reporting, public posting, and research. The data supports analysis and decision-making but it is not perfect. Some healthy skepticism is appropriate, for instance, </w:t>
      </w:r>
      <w:r w:rsidR="00123CB5">
        <w:t xml:space="preserve">when </w:t>
      </w:r>
      <w:r>
        <w:t>there is a real outlier in the data. The data collection process is subject to difficulties of several kinds, including simple keying errors. Other factors that affect data include:</w:t>
      </w:r>
    </w:p>
    <w:p w:rsidR="00002DE8" w:rsidRDefault="00002DE8" w:rsidP="00002DE8">
      <w:pPr>
        <w:pStyle w:val="ESEBullet-Lev1"/>
      </w:pPr>
      <w:r>
        <w:t>Without being in error, district staff may interpret the Department’s codes differently, so comparison at the detail level may make less sense than comparison at subtotal level</w:t>
      </w:r>
      <w:r w:rsidR="00EF7606">
        <w:t>s</w:t>
      </w:r>
      <w:r>
        <w:t xml:space="preserve">. </w:t>
      </w:r>
    </w:p>
    <w:p w:rsidR="00002DE8" w:rsidRDefault="00002DE8" w:rsidP="00002DE8">
      <w:pPr>
        <w:pStyle w:val="ESEBullet-Lev1"/>
      </w:pPr>
      <w:r>
        <w:t xml:space="preserve">When the Department requires a new data collection (e.g., EPIMS, course schedules), data is more inconsistent for the first year or two. </w:t>
      </w:r>
    </w:p>
    <w:p w:rsidR="00002DE8" w:rsidRDefault="00002DE8" w:rsidP="00002DE8">
      <w:pPr>
        <w:pStyle w:val="ESEBullet-Lev1"/>
      </w:pPr>
      <w:r>
        <w:t xml:space="preserve">Department coding is not perfectly aligned across different areas (e.g., staffing and finance.) </w:t>
      </w:r>
    </w:p>
    <w:p w:rsidR="00002DE8" w:rsidRDefault="00002DE8" w:rsidP="00002DE8">
      <w:r>
        <w:t xml:space="preserve">Ultimately, if data </w:t>
      </w:r>
      <w:proofErr w:type="gramStart"/>
      <w:r>
        <w:t>raises</w:t>
      </w:r>
      <w:proofErr w:type="gramEnd"/>
      <w:r>
        <w:t xml:space="preserve"> questions relevant to a decision-making process it is </w:t>
      </w:r>
      <w:r w:rsidR="00EF7606">
        <w:t>recommended that users</w:t>
      </w:r>
      <w:r>
        <w:t xml:space="preserve"> follow up with other districts directly or to contact the Department for further information.</w:t>
      </w:r>
    </w:p>
    <w:p w:rsidR="00123CB5" w:rsidRPr="00BF0406" w:rsidRDefault="00851224" w:rsidP="00123CB5">
      <w:pPr>
        <w:pStyle w:val="Heading3"/>
      </w:pPr>
      <w:bookmarkStart w:id="12" w:name="_Toc452474968"/>
      <w:r>
        <w:t>Keep Current With Data Updates in DART F</w:t>
      </w:r>
      <w:r w:rsidR="00123CB5">
        <w:t>iles.</w:t>
      </w:r>
      <w:bookmarkEnd w:id="12"/>
      <w:r w:rsidR="00123CB5">
        <w:t xml:space="preserve"> </w:t>
      </w:r>
    </w:p>
    <w:p w:rsidR="00D26E6B" w:rsidRDefault="00123CB5" w:rsidP="00123CB5">
      <w:r>
        <w:t xml:space="preserve">About three times a year, new data become available and the DART Excel files are updated and posted to the website again. </w:t>
      </w:r>
    </w:p>
    <w:p w:rsidR="00D26E6B" w:rsidRDefault="00D26E6B" w:rsidP="00123CB5"/>
    <w:p w:rsidR="00002DE8" w:rsidRPr="00851224" w:rsidRDefault="00123CB5" w:rsidP="00123CB5">
      <w:pPr>
        <w:rPr>
          <w:i/>
        </w:rPr>
      </w:pPr>
      <w:r w:rsidRPr="00851224">
        <w:rPr>
          <w:i/>
        </w:rPr>
        <w:t>Files previously downloaded to local computers will not automatically update. Check the website periodically and download the current files.</w:t>
      </w:r>
    </w:p>
    <w:p w:rsidR="00123CB5" w:rsidRDefault="00123CB5">
      <w:pPr>
        <w:rPr>
          <w:rFonts w:ascii="Arial" w:hAnsi="Arial" w:cs="Arial"/>
          <w:b/>
          <w:bCs/>
          <w:kern w:val="32"/>
          <w:sz w:val="32"/>
          <w:szCs w:val="32"/>
        </w:rPr>
      </w:pPr>
      <w:r>
        <w:br w:type="page"/>
      </w:r>
    </w:p>
    <w:p w:rsidR="009B468F" w:rsidRDefault="009B468F" w:rsidP="009B468F">
      <w:pPr>
        <w:pStyle w:val="Heading1"/>
      </w:pPr>
      <w:bookmarkStart w:id="13" w:name="_Toc452474969"/>
      <w:r>
        <w:lastRenderedPageBreak/>
        <w:t xml:space="preserve">Using </w:t>
      </w:r>
      <w:r w:rsidR="001B1652">
        <w:t xml:space="preserve">the </w:t>
      </w:r>
      <w:r>
        <w:t xml:space="preserve">DART </w:t>
      </w:r>
      <w:r w:rsidR="001B1652">
        <w:t xml:space="preserve">Detail: Staffing and Finance </w:t>
      </w:r>
      <w:r>
        <w:t>File</w:t>
      </w:r>
      <w:bookmarkEnd w:id="13"/>
    </w:p>
    <w:p w:rsidR="009B468F" w:rsidRDefault="009B468F" w:rsidP="009B468F">
      <w:pPr>
        <w:pStyle w:val="Heading3"/>
      </w:pPr>
      <w:bookmarkStart w:id="14" w:name="_Toc452474970"/>
      <w:r>
        <w:t xml:space="preserve">Download </w:t>
      </w:r>
      <w:r w:rsidR="001B1652">
        <w:t xml:space="preserve">the </w:t>
      </w:r>
      <w:r>
        <w:t>File to Your Computer</w:t>
      </w:r>
      <w:bookmarkEnd w:id="14"/>
    </w:p>
    <w:p w:rsidR="00625D0A" w:rsidRPr="00625D0A" w:rsidRDefault="001B1652" w:rsidP="00625D0A">
      <w:r>
        <w:t xml:space="preserve">The </w:t>
      </w:r>
      <w:r w:rsidR="009B468F">
        <w:t xml:space="preserve">DART file </w:t>
      </w:r>
      <w:r>
        <w:t>wil</w:t>
      </w:r>
      <w:r w:rsidR="009760C6">
        <w:t>l</w:t>
      </w:r>
      <w:r>
        <w:t xml:space="preserve"> </w:t>
      </w:r>
      <w:r w:rsidR="009B468F">
        <w:t xml:space="preserve">work better if </w:t>
      </w:r>
      <w:r>
        <w:t xml:space="preserve">you </w:t>
      </w:r>
      <w:r w:rsidR="009B468F">
        <w:t>download</w:t>
      </w:r>
      <w:r>
        <w:t xml:space="preserve"> it</w:t>
      </w:r>
      <w:r w:rsidR="009B468F">
        <w:t xml:space="preserve"> to your computer; </w:t>
      </w:r>
      <w:r w:rsidR="009B468F" w:rsidRPr="00430476">
        <w:rPr>
          <w:i/>
        </w:rPr>
        <w:t>however, DARTs are upda</w:t>
      </w:r>
      <w:r w:rsidR="009B468F">
        <w:rPr>
          <w:i/>
        </w:rPr>
        <w:t>ted periodically,</w:t>
      </w:r>
      <w:r w:rsidR="009B468F" w:rsidRPr="00430476">
        <w:rPr>
          <w:i/>
        </w:rPr>
        <w:t xml:space="preserve"> so check the website </w:t>
      </w:r>
      <w:r w:rsidR="009B468F">
        <w:rPr>
          <w:i/>
        </w:rPr>
        <w:t>and</w:t>
      </w:r>
      <w:r w:rsidR="009B468F" w:rsidRPr="00430476">
        <w:rPr>
          <w:i/>
        </w:rPr>
        <w:t xml:space="preserve"> download </w:t>
      </w:r>
      <w:r w:rsidR="009760C6">
        <w:rPr>
          <w:i/>
        </w:rPr>
        <w:t>updated</w:t>
      </w:r>
      <w:r w:rsidR="009760C6" w:rsidRPr="00430476">
        <w:rPr>
          <w:i/>
        </w:rPr>
        <w:t xml:space="preserve"> </w:t>
      </w:r>
      <w:r w:rsidR="009B468F" w:rsidRPr="00430476">
        <w:rPr>
          <w:i/>
        </w:rPr>
        <w:t xml:space="preserve">versions. </w:t>
      </w:r>
      <w:r w:rsidR="00625D0A" w:rsidRPr="00625D0A">
        <w:t>DART files are very large and cannot be emailed. To share them, send a link to the website.</w:t>
      </w:r>
    </w:p>
    <w:p w:rsidR="009B468F" w:rsidRDefault="009B468F" w:rsidP="009B468F"/>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4788"/>
        <w:gridCol w:w="4788"/>
      </w:tblGrid>
      <w:tr w:rsidR="00E41FB4" w:rsidTr="00C375E5">
        <w:trPr>
          <w:trHeight w:val="773"/>
        </w:trPr>
        <w:tc>
          <w:tcPr>
            <w:tcW w:w="4788" w:type="dxa"/>
          </w:tcPr>
          <w:p w:rsidR="00E41FB4" w:rsidRPr="00C375E5" w:rsidRDefault="009760C6" w:rsidP="00123CB5">
            <w:pPr>
              <w:spacing w:before="120" w:after="120"/>
              <w:rPr>
                <w:i/>
              </w:rPr>
            </w:pPr>
            <w:r w:rsidRPr="00C375E5">
              <w:rPr>
                <w:i/>
              </w:rPr>
              <w:t>O</w:t>
            </w:r>
            <w:r w:rsidR="00E41FB4" w:rsidRPr="00C375E5">
              <w:rPr>
                <w:i/>
              </w:rPr>
              <w:t>pen the DESE home page and click on the DART link in the list on the left</w:t>
            </w:r>
            <w:r w:rsidR="00C375E5">
              <w:rPr>
                <w:i/>
              </w:rPr>
              <w:t>:</w:t>
            </w:r>
          </w:p>
        </w:tc>
        <w:tc>
          <w:tcPr>
            <w:tcW w:w="4788" w:type="dxa"/>
          </w:tcPr>
          <w:p w:rsidR="00E41FB4" w:rsidRDefault="00C375E5" w:rsidP="00C375E5">
            <w:pPr>
              <w:spacing w:before="120" w:after="120"/>
            </w:pPr>
            <w:r>
              <w:rPr>
                <w:i/>
              </w:rPr>
              <w:t>t</w:t>
            </w:r>
            <w:r w:rsidR="00E41FB4" w:rsidRPr="00C375E5">
              <w:rPr>
                <w:i/>
              </w:rPr>
              <w:t>hen click on the link shown below</w:t>
            </w:r>
            <w:r>
              <w:rPr>
                <w:i/>
              </w:rPr>
              <w:t>:</w:t>
            </w:r>
          </w:p>
        </w:tc>
      </w:tr>
      <w:tr w:rsidR="00E41FB4" w:rsidTr="00C375E5">
        <w:trPr>
          <w:trHeight w:val="1475"/>
        </w:trPr>
        <w:tc>
          <w:tcPr>
            <w:tcW w:w="4788" w:type="dxa"/>
          </w:tcPr>
          <w:p w:rsidR="00E41FB4" w:rsidRDefault="00385FE2" w:rsidP="00123CB5">
            <w:pPr>
              <w:spacing w:before="120" w:after="120"/>
            </w:pPr>
            <w:r>
              <w:rPr>
                <w:noProof/>
              </w:rPr>
              <w:pict>
                <v:roundrect id="_x0000_s1029" style="position:absolute;margin-left:2.4pt;margin-top:169.6pt;width:36pt;height:10.8pt;z-index:251659264;mso-position-horizontal-relative:text;mso-position-vertical-relative:text" arcsize="10923f" filled="f" fillcolor="#c0504d [3205]" strokecolor="#c00000" strokeweight="1pt">
                  <v:shadow on="t" type="perspective" color="#622423 [1605]" opacity=".5" offset="1pt" offset2="-1pt"/>
                </v:roundrect>
              </w:pict>
            </w:r>
            <w:r w:rsidR="00E41FB4" w:rsidRPr="00E41FB4">
              <w:rPr>
                <w:noProof/>
              </w:rPr>
              <w:drawing>
                <wp:inline distT="0" distB="0" distL="0" distR="0">
                  <wp:extent cx="2600809" cy="2301240"/>
                  <wp:effectExtent l="19050" t="0" r="9041"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2601643" cy="2301978"/>
                          </a:xfrm>
                          <a:prstGeom prst="rect">
                            <a:avLst/>
                          </a:prstGeom>
                          <a:noFill/>
                          <a:ln w="9525">
                            <a:noFill/>
                            <a:miter lim="800000"/>
                            <a:headEnd/>
                            <a:tailEnd/>
                          </a:ln>
                        </pic:spPr>
                      </pic:pic>
                    </a:graphicData>
                  </a:graphic>
                </wp:inline>
              </w:drawing>
            </w:r>
          </w:p>
        </w:tc>
        <w:tc>
          <w:tcPr>
            <w:tcW w:w="4788" w:type="dxa"/>
          </w:tcPr>
          <w:p w:rsidR="00123CB5" w:rsidRDefault="00385FE2" w:rsidP="00123CB5">
            <w:pPr>
              <w:spacing w:before="120" w:after="120"/>
            </w:pPr>
            <w:r>
              <w:rPr>
                <w:noProof/>
              </w:rPr>
              <w:pict>
                <v:roundrect id="_x0000_s1028" style="position:absolute;margin-left:6.3pt;margin-top:137.2pt;width:151.5pt;height:17.4pt;z-index:251658240;mso-position-horizontal-relative:text;mso-position-vertical-relative:text" arcsize="10923f" filled="f" fillcolor="#c0504d [3205]" strokecolor="#c00000" strokeweight="1pt">
                  <v:shadow on="t" type="perspective" color="#622423 [1605]" opacity=".5" offset="1pt" offset2="-1pt"/>
                </v:roundrect>
              </w:pict>
            </w:r>
            <w:r w:rsidR="00E41FB4" w:rsidRPr="00E41FB4">
              <w:rPr>
                <w:noProof/>
              </w:rPr>
              <w:drawing>
                <wp:inline distT="0" distB="0" distL="0" distR="0">
                  <wp:extent cx="2698881" cy="2171700"/>
                  <wp:effectExtent l="19050" t="0" r="6219"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2697153" cy="2170310"/>
                          </a:xfrm>
                          <a:prstGeom prst="rect">
                            <a:avLst/>
                          </a:prstGeom>
                          <a:noFill/>
                          <a:ln w="9525">
                            <a:noFill/>
                            <a:miter lim="800000"/>
                            <a:headEnd/>
                            <a:tailEnd/>
                          </a:ln>
                        </pic:spPr>
                      </pic:pic>
                    </a:graphicData>
                  </a:graphic>
                </wp:inline>
              </w:drawing>
            </w:r>
          </w:p>
        </w:tc>
      </w:tr>
      <w:tr w:rsidR="00123CB5" w:rsidTr="00C375E5">
        <w:trPr>
          <w:trHeight w:val="503"/>
        </w:trPr>
        <w:tc>
          <w:tcPr>
            <w:tcW w:w="4788" w:type="dxa"/>
          </w:tcPr>
          <w:p w:rsidR="00123CB5" w:rsidRPr="00C375E5" w:rsidRDefault="00123CB5" w:rsidP="00123CB5">
            <w:pPr>
              <w:spacing w:before="120" w:after="120"/>
              <w:rPr>
                <w:i/>
              </w:rPr>
            </w:pPr>
          </w:p>
          <w:p w:rsidR="00123CB5" w:rsidRPr="00C375E5" w:rsidRDefault="00C375E5" w:rsidP="008305A3">
            <w:pPr>
              <w:spacing w:before="120" w:after="120"/>
              <w:rPr>
                <w:i/>
                <w:noProof/>
              </w:rPr>
            </w:pPr>
            <w:r>
              <w:rPr>
                <w:i/>
              </w:rPr>
              <w:t>s</w:t>
            </w:r>
            <w:r w:rsidR="00123CB5" w:rsidRPr="00C375E5">
              <w:rPr>
                <w:i/>
              </w:rPr>
              <w:t>croll down to the file, and click on it</w:t>
            </w:r>
            <w:r>
              <w:rPr>
                <w:i/>
              </w:rPr>
              <w:t>:</w:t>
            </w:r>
          </w:p>
        </w:tc>
        <w:tc>
          <w:tcPr>
            <w:tcW w:w="4788" w:type="dxa"/>
          </w:tcPr>
          <w:p w:rsidR="00123CB5" w:rsidRDefault="00123CB5" w:rsidP="00123CB5">
            <w:pPr>
              <w:spacing w:before="120" w:after="120"/>
            </w:pPr>
          </w:p>
          <w:p w:rsidR="00123CB5" w:rsidRPr="00C375E5" w:rsidRDefault="00C375E5" w:rsidP="00123CB5">
            <w:pPr>
              <w:spacing w:before="120" w:after="120"/>
              <w:rPr>
                <w:i/>
                <w:noProof/>
              </w:rPr>
            </w:pPr>
            <w:r>
              <w:rPr>
                <w:i/>
              </w:rPr>
              <w:t>s</w:t>
            </w:r>
            <w:r w:rsidR="00123CB5" w:rsidRPr="00C375E5">
              <w:rPr>
                <w:i/>
              </w:rPr>
              <w:t>ave the file to your computer</w:t>
            </w:r>
            <w:r>
              <w:rPr>
                <w:i/>
              </w:rPr>
              <w:t>:</w:t>
            </w:r>
          </w:p>
        </w:tc>
      </w:tr>
      <w:tr w:rsidR="00123CB5" w:rsidTr="00C375E5">
        <w:trPr>
          <w:trHeight w:val="1475"/>
        </w:trPr>
        <w:tc>
          <w:tcPr>
            <w:tcW w:w="4788" w:type="dxa"/>
          </w:tcPr>
          <w:p w:rsidR="00123CB5" w:rsidRDefault="00385FE2" w:rsidP="00123CB5">
            <w:pPr>
              <w:spacing w:before="120" w:after="120"/>
              <w:rPr>
                <w:noProof/>
              </w:rPr>
            </w:pPr>
            <w:r>
              <w:rPr>
                <w:noProof/>
              </w:rPr>
              <w:pict>
                <v:roundrect id="_x0000_s1033" style="position:absolute;margin-left:1.5pt;margin-top:184.3pt;width:151.5pt;height:17.4pt;z-index:251661312;mso-position-horizontal-relative:text;mso-position-vertical-relative:text" arcsize="10923f" filled="f" fillcolor="#c0504d [3205]" strokecolor="#c00000" strokeweight="1pt">
                  <v:shadow on="t" type="perspective" color="#622423 [1605]" opacity=".5" offset="1pt" offset2="-1pt"/>
                </v:roundrect>
              </w:pict>
            </w:r>
            <w:r w:rsidR="00123CB5" w:rsidRPr="00123CB5">
              <w:rPr>
                <w:noProof/>
              </w:rPr>
              <w:drawing>
                <wp:inline distT="0" distB="0" distL="0" distR="0">
                  <wp:extent cx="2600960" cy="2423160"/>
                  <wp:effectExtent l="19050" t="0" r="889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srcRect/>
                          <a:stretch>
                            <a:fillRect/>
                          </a:stretch>
                        </pic:blipFill>
                        <pic:spPr bwMode="auto">
                          <a:xfrm>
                            <a:off x="0" y="0"/>
                            <a:ext cx="2604298" cy="2426270"/>
                          </a:xfrm>
                          <a:prstGeom prst="rect">
                            <a:avLst/>
                          </a:prstGeom>
                          <a:noFill/>
                          <a:ln w="9525">
                            <a:noFill/>
                            <a:miter lim="800000"/>
                            <a:headEnd/>
                            <a:tailEnd/>
                          </a:ln>
                        </pic:spPr>
                      </pic:pic>
                    </a:graphicData>
                  </a:graphic>
                </wp:inline>
              </w:drawing>
            </w:r>
          </w:p>
        </w:tc>
        <w:tc>
          <w:tcPr>
            <w:tcW w:w="4788" w:type="dxa"/>
          </w:tcPr>
          <w:p w:rsidR="00123CB5" w:rsidRDefault="00123CB5" w:rsidP="00123CB5">
            <w:pPr>
              <w:spacing w:before="120" w:after="120"/>
              <w:rPr>
                <w:noProof/>
              </w:rPr>
            </w:pPr>
            <w:r w:rsidRPr="00123CB5">
              <w:rPr>
                <w:noProof/>
              </w:rPr>
              <w:drawing>
                <wp:inline distT="0" distB="0" distL="0" distR="0">
                  <wp:extent cx="2838450" cy="2278380"/>
                  <wp:effectExtent l="1905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2840486" cy="2280014"/>
                          </a:xfrm>
                          <a:prstGeom prst="rect">
                            <a:avLst/>
                          </a:prstGeom>
                          <a:noFill/>
                          <a:ln w="9525">
                            <a:noFill/>
                            <a:miter lim="800000"/>
                            <a:headEnd/>
                            <a:tailEnd/>
                          </a:ln>
                        </pic:spPr>
                      </pic:pic>
                    </a:graphicData>
                  </a:graphic>
                </wp:inline>
              </w:drawing>
            </w:r>
          </w:p>
        </w:tc>
      </w:tr>
    </w:tbl>
    <w:p w:rsidR="00E41FB4" w:rsidRDefault="00E41FB4" w:rsidP="00123CB5">
      <w:pPr>
        <w:spacing w:before="120" w:after="120"/>
      </w:pPr>
    </w:p>
    <w:p w:rsidR="00C375E5" w:rsidRDefault="00C375E5" w:rsidP="00C375E5">
      <w:pPr>
        <w:ind w:left="720"/>
      </w:pPr>
      <w:r>
        <w:rPr>
          <w:i/>
        </w:rPr>
        <w:t>Note f</w:t>
      </w:r>
      <w:r w:rsidRPr="000F6EFC">
        <w:rPr>
          <w:i/>
        </w:rPr>
        <w:t>or Mac users</w:t>
      </w:r>
      <w:r>
        <w:rPr>
          <w:i/>
        </w:rPr>
        <w:t xml:space="preserve">: </w:t>
      </w:r>
      <w:r>
        <w:t xml:space="preserve">the </w:t>
      </w:r>
      <w:r w:rsidRPr="00073D82">
        <w:rPr>
          <w:i/>
        </w:rPr>
        <w:t>DART Detail: Staffing and Finance</w:t>
      </w:r>
      <w:r>
        <w:t xml:space="preserve"> file works for both PCs and Macs, but Mac users cannot open this file directly from the website. Download it before opening it. </w:t>
      </w:r>
    </w:p>
    <w:p w:rsidR="00C375E5" w:rsidRDefault="00C375E5" w:rsidP="00C375E5"/>
    <w:p w:rsidR="00C375E5" w:rsidRDefault="00C375E5" w:rsidP="00123CB5">
      <w:pPr>
        <w:spacing w:before="120" w:after="120"/>
      </w:pPr>
    </w:p>
    <w:p w:rsidR="009B468F" w:rsidRDefault="009B468F" w:rsidP="009B468F">
      <w:pPr>
        <w:pStyle w:val="Heading3"/>
      </w:pPr>
      <w:bookmarkStart w:id="15" w:name="_Toc452474971"/>
      <w:r>
        <w:t xml:space="preserve">Select Districts to Populate </w:t>
      </w:r>
      <w:r w:rsidR="0061729C">
        <w:t xml:space="preserve">the </w:t>
      </w:r>
      <w:r>
        <w:t>DART Reports</w:t>
      </w:r>
      <w:bookmarkEnd w:id="15"/>
      <w:r>
        <w:t xml:space="preserve"> </w:t>
      </w:r>
    </w:p>
    <w:p w:rsidR="00C375E5" w:rsidRDefault="00C375E5" w:rsidP="009B468F"/>
    <w:p w:rsidR="00733394" w:rsidRDefault="0061729C" w:rsidP="009B468F">
      <w:r>
        <w:t xml:space="preserve">Open </w:t>
      </w:r>
      <w:r w:rsidR="009B468F">
        <w:t>the Home page</w:t>
      </w:r>
      <w:r w:rsidR="00733394">
        <w:t xml:space="preserve"> (see screen shot on the following page</w:t>
      </w:r>
      <w:r w:rsidR="009B468F">
        <w:t>.</w:t>
      </w:r>
      <w:r w:rsidR="00733394">
        <w:t>)</w:t>
      </w:r>
      <w:r w:rsidR="009B468F">
        <w:t xml:space="preserve"> </w:t>
      </w:r>
    </w:p>
    <w:p w:rsidR="00733394" w:rsidRDefault="00733394" w:rsidP="009B468F"/>
    <w:p w:rsidR="00800783" w:rsidRDefault="0061729C" w:rsidP="009B468F">
      <w:r>
        <w:t>Click</w:t>
      </w:r>
      <w:r w:rsidR="00800783">
        <w:t xml:space="preserve"> on the first green box and </w:t>
      </w:r>
      <w:r>
        <w:t xml:space="preserve">select a district </w:t>
      </w:r>
      <w:r w:rsidR="00800783">
        <w:t xml:space="preserve">from the dropdown menu. </w:t>
      </w:r>
    </w:p>
    <w:p w:rsidR="00864030" w:rsidRDefault="00864030" w:rsidP="00800783"/>
    <w:p w:rsidR="008305A3" w:rsidRDefault="008305A3" w:rsidP="008305A3">
      <w:r>
        <w:t>A list of ten districts with similar student demographics</w:t>
      </w:r>
      <w:r>
        <w:rPr>
          <w:rStyle w:val="FootnoteReference"/>
        </w:rPr>
        <w:footnoteReference w:id="1"/>
      </w:r>
      <w:r>
        <w:t xml:space="preserve"> will appear below with the selected district in orange and the highest performing of the other districts in blue. (</w:t>
      </w:r>
      <w:r w:rsidRPr="00071CBB">
        <w:t xml:space="preserve">Highest performance is based on achievement and </w:t>
      </w:r>
      <w:r>
        <w:t>growth</w:t>
      </w:r>
      <w:r w:rsidRPr="00071CBB">
        <w:t xml:space="preserve"> in ELA, math</w:t>
      </w:r>
      <w:r>
        <w:t>,</w:t>
      </w:r>
      <w:r w:rsidRPr="00071CBB">
        <w:t xml:space="preserve"> and science / technology over the past four years.</w:t>
      </w:r>
      <w:r>
        <w:t>)</w:t>
      </w:r>
    </w:p>
    <w:p w:rsidR="008305A3" w:rsidRPr="00745A5C" w:rsidRDefault="008305A3" w:rsidP="008305A3">
      <w:r>
        <w:t xml:space="preserve">  </w:t>
      </w:r>
    </w:p>
    <w:p w:rsidR="008305A3" w:rsidRDefault="008305A3" w:rsidP="008305A3">
      <w:r>
        <w:t>Select three more districts in the green boxes at the top of the page if you</w:t>
      </w:r>
      <w:r w:rsidR="00D26E6B">
        <w:t xml:space="preserve"> choose to</w:t>
      </w:r>
      <w:r>
        <w:t>. You are not limited to the similar districts shown in the box, but they will show up at the top of the drop-down list</w:t>
      </w:r>
      <w:r w:rsidR="00D26E6B">
        <w:t>.</w:t>
      </w:r>
    </w:p>
    <w:p w:rsidR="008305A3" w:rsidRDefault="008305A3" w:rsidP="008305A3"/>
    <w:p w:rsidR="008305A3" w:rsidRPr="008E0786" w:rsidRDefault="008305A3" w:rsidP="008305A3">
      <w:pPr>
        <w:rPr>
          <w:i/>
        </w:rPr>
      </w:pPr>
      <w:r w:rsidRPr="008E0786">
        <w:rPr>
          <w:i/>
        </w:rPr>
        <w:t xml:space="preserve">Note: if a district seems to be missing from </w:t>
      </w:r>
      <w:r>
        <w:rPr>
          <w:i/>
        </w:rPr>
        <w:t xml:space="preserve">a </w:t>
      </w:r>
      <w:r w:rsidRPr="008E0786">
        <w:rPr>
          <w:i/>
        </w:rPr>
        <w:t xml:space="preserve">drop-down list </w:t>
      </w:r>
      <w:r>
        <w:rPr>
          <w:i/>
        </w:rPr>
        <w:t xml:space="preserve">but is in the similar-districts box, </w:t>
      </w:r>
      <w:r w:rsidRPr="008E0786">
        <w:rPr>
          <w:i/>
        </w:rPr>
        <w:t xml:space="preserve">go to the top of the </w:t>
      </w:r>
      <w:r>
        <w:rPr>
          <w:i/>
        </w:rPr>
        <w:t xml:space="preserve">drop-down </w:t>
      </w:r>
      <w:r w:rsidRPr="008E0786">
        <w:rPr>
          <w:i/>
        </w:rPr>
        <w:t>list</w:t>
      </w:r>
      <w:r>
        <w:rPr>
          <w:i/>
        </w:rPr>
        <w:t>; the similar districts are pulled to the top of the list</w:t>
      </w:r>
      <w:r w:rsidRPr="008E0786">
        <w:rPr>
          <w:i/>
        </w:rPr>
        <w:t xml:space="preserve">. </w:t>
      </w:r>
    </w:p>
    <w:p w:rsidR="008305A3" w:rsidRDefault="008305A3" w:rsidP="008305A3"/>
    <w:p w:rsidR="008305A3" w:rsidRDefault="008305A3" w:rsidP="008305A3">
      <w:r>
        <w:t>You can go to various reports by clicking on the links in the Table of Contents on the Home page</w:t>
      </w:r>
      <w:r w:rsidR="00733394">
        <w:t xml:space="preserve"> </w:t>
      </w:r>
      <w:r>
        <w:t>OR by clicking on the worksheet tabs on the bottom of the screen.</w:t>
      </w:r>
    </w:p>
    <w:p w:rsidR="008305A3" w:rsidRDefault="008305A3" w:rsidP="008305A3"/>
    <w:p w:rsidR="008305A3" w:rsidRDefault="008305A3" w:rsidP="008305A3">
      <w:pPr>
        <w:jc w:val="center"/>
      </w:pPr>
      <w:r>
        <w:rPr>
          <w:noProof/>
        </w:rPr>
        <w:drawing>
          <wp:inline distT="0" distB="0" distL="0" distR="0">
            <wp:extent cx="5665470" cy="274320"/>
            <wp:effectExtent l="19050" t="0" r="0" b="0"/>
            <wp:docPr id="1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srcRect t="14286"/>
                    <a:stretch>
                      <a:fillRect/>
                    </a:stretch>
                  </pic:blipFill>
                  <pic:spPr bwMode="auto">
                    <a:xfrm>
                      <a:off x="0" y="0"/>
                      <a:ext cx="5665470" cy="274320"/>
                    </a:xfrm>
                    <a:prstGeom prst="rect">
                      <a:avLst/>
                    </a:prstGeom>
                    <a:noFill/>
                    <a:ln w="9525">
                      <a:noFill/>
                      <a:miter lim="800000"/>
                      <a:headEnd/>
                      <a:tailEnd/>
                    </a:ln>
                  </pic:spPr>
                </pic:pic>
              </a:graphicData>
            </a:graphic>
          </wp:inline>
        </w:drawing>
      </w:r>
    </w:p>
    <w:p w:rsidR="008305A3" w:rsidRDefault="008305A3" w:rsidP="008305A3"/>
    <w:p w:rsidR="008305A3" w:rsidRPr="00071CBB" w:rsidRDefault="008305A3" w:rsidP="008305A3">
      <w:r w:rsidRPr="00071CBB">
        <w:t xml:space="preserve">Links to additional resources including other DART tools are </w:t>
      </w:r>
      <w:r>
        <w:t>also on the Home Page</w:t>
      </w:r>
      <w:r w:rsidRPr="00071CBB">
        <w:t>.</w:t>
      </w:r>
    </w:p>
    <w:p w:rsidR="008305A3" w:rsidRDefault="008305A3" w:rsidP="008305A3"/>
    <w:p w:rsidR="00733394" w:rsidRDefault="00733394">
      <w:r>
        <w:br w:type="page"/>
      </w:r>
    </w:p>
    <w:p w:rsidR="00733394" w:rsidRPr="00071CBB" w:rsidRDefault="00733394" w:rsidP="008305A3"/>
    <w:tbl>
      <w:tblPr>
        <w:tblStyle w:val="TableGrid"/>
        <w:tblW w:w="0" w:type="auto"/>
        <w:tblLook w:val="04A0"/>
      </w:tblPr>
      <w:tblGrid>
        <w:gridCol w:w="9576"/>
      </w:tblGrid>
      <w:tr w:rsidR="00733394" w:rsidTr="00733394">
        <w:trPr>
          <w:cantSplit/>
        </w:trPr>
        <w:tc>
          <w:tcPr>
            <w:tcW w:w="9576" w:type="dxa"/>
          </w:tcPr>
          <w:p w:rsidR="00733394" w:rsidRPr="00733394" w:rsidRDefault="00733394" w:rsidP="00733394">
            <w:pPr>
              <w:jc w:val="center"/>
              <w:rPr>
                <w:rFonts w:asciiTheme="minorHAnsi" w:hAnsiTheme="minorHAnsi"/>
                <w:sz w:val="36"/>
                <w:szCs w:val="36"/>
              </w:rPr>
            </w:pPr>
            <w:r w:rsidRPr="00733394">
              <w:rPr>
                <w:rFonts w:asciiTheme="minorHAnsi" w:hAnsiTheme="minorHAnsi"/>
                <w:sz w:val="36"/>
                <w:szCs w:val="36"/>
              </w:rPr>
              <w:t>Home page:</w:t>
            </w:r>
          </w:p>
        </w:tc>
      </w:tr>
      <w:tr w:rsidR="00733394" w:rsidTr="00733394">
        <w:trPr>
          <w:cantSplit/>
        </w:trPr>
        <w:tc>
          <w:tcPr>
            <w:tcW w:w="9576" w:type="dxa"/>
          </w:tcPr>
          <w:p w:rsidR="00733394" w:rsidRDefault="00D26E6B" w:rsidP="008305A3">
            <w:r>
              <w:rPr>
                <w:noProof/>
              </w:rPr>
              <w:drawing>
                <wp:inline distT="0" distB="0" distL="0" distR="0">
                  <wp:extent cx="5943600" cy="577596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943600" cy="5775960"/>
                          </a:xfrm>
                          <a:prstGeom prst="rect">
                            <a:avLst/>
                          </a:prstGeom>
                          <a:noFill/>
                          <a:ln w="9525">
                            <a:noFill/>
                            <a:miter lim="800000"/>
                            <a:headEnd/>
                            <a:tailEnd/>
                          </a:ln>
                        </pic:spPr>
                      </pic:pic>
                    </a:graphicData>
                  </a:graphic>
                </wp:inline>
              </w:drawing>
            </w:r>
          </w:p>
        </w:tc>
      </w:tr>
    </w:tbl>
    <w:p w:rsidR="008305A3" w:rsidRDefault="008305A3" w:rsidP="008305A3"/>
    <w:p w:rsidR="00733394" w:rsidRDefault="00733394" w:rsidP="008305A3"/>
    <w:p w:rsidR="009B468F" w:rsidRDefault="009B468F" w:rsidP="009B468F">
      <w:pPr>
        <w:pStyle w:val="Heading3"/>
      </w:pPr>
      <w:bookmarkStart w:id="16" w:name="_Toc452474972"/>
      <w:r>
        <w:t>Print Reports</w:t>
      </w:r>
      <w:bookmarkEnd w:id="16"/>
    </w:p>
    <w:p w:rsidR="00D61B93" w:rsidRDefault="00D61B93" w:rsidP="00D61B93">
      <w:r>
        <w:t xml:space="preserve">Reports are formatted in 8.5” x 11” for easy printing to a desktop printer or </w:t>
      </w:r>
      <w:r w:rsidR="00D26E6B">
        <w:t>a</w:t>
      </w:r>
      <w:r>
        <w:t xml:space="preserve">n Adobe </w:t>
      </w:r>
      <w:proofErr w:type="spellStart"/>
      <w:r>
        <w:t>pdf</w:t>
      </w:r>
      <w:proofErr w:type="spellEnd"/>
      <w:r>
        <w:t xml:space="preserve"> file. </w:t>
      </w:r>
    </w:p>
    <w:p w:rsidR="009B468F" w:rsidRDefault="009B468F" w:rsidP="00D61B93">
      <w:r>
        <w:t xml:space="preserve">If you want to </w:t>
      </w:r>
      <w:r w:rsidR="00D61B93">
        <w:t xml:space="preserve">share reports </w:t>
      </w:r>
      <w:r>
        <w:t xml:space="preserve">with others, print to Adobe Acrobat to create a </w:t>
      </w:r>
      <w:proofErr w:type="spellStart"/>
      <w:r>
        <w:t>pdf</w:t>
      </w:r>
      <w:proofErr w:type="spellEnd"/>
      <w:r>
        <w:t xml:space="preserve"> file. The DART file is too large to email.</w:t>
      </w:r>
      <w:r w:rsidR="00D61B93">
        <w:t xml:space="preserve"> </w:t>
      </w:r>
    </w:p>
    <w:p w:rsidR="009B468F" w:rsidRDefault="009B468F" w:rsidP="009B468F"/>
    <w:p w:rsidR="00733394" w:rsidRDefault="00733394">
      <w:pPr>
        <w:rPr>
          <w:rFonts w:ascii="Arial" w:hAnsi="Arial" w:cs="Arial"/>
          <w:b/>
          <w:bCs/>
          <w:szCs w:val="26"/>
        </w:rPr>
      </w:pPr>
      <w:r>
        <w:br w:type="page"/>
      </w:r>
    </w:p>
    <w:p w:rsidR="009B468F" w:rsidRDefault="009B468F" w:rsidP="009B468F">
      <w:pPr>
        <w:pStyle w:val="Heading3"/>
      </w:pPr>
      <w:bookmarkStart w:id="17" w:name="_Toc452474973"/>
      <w:r w:rsidRPr="00071CBB">
        <w:lastRenderedPageBreak/>
        <w:t xml:space="preserve">Create Your Own Reports </w:t>
      </w:r>
      <w:r w:rsidR="00D61B93" w:rsidRPr="00071CBB">
        <w:t>Using</w:t>
      </w:r>
      <w:r w:rsidRPr="00071CBB">
        <w:t xml:space="preserve"> DART Data</w:t>
      </w:r>
      <w:bookmarkEnd w:id="17"/>
    </w:p>
    <w:p w:rsidR="00F01C65" w:rsidRDefault="00F01C65" w:rsidP="009B468F"/>
    <w:p w:rsidR="00F01C65" w:rsidRDefault="00F01C65" w:rsidP="00F01C65">
      <w:r w:rsidRPr="009243A7">
        <w:rPr>
          <w:b/>
          <w:i/>
        </w:rPr>
        <w:t>Warning about copying</w:t>
      </w:r>
      <w:r>
        <w:rPr>
          <w:b/>
          <w:i/>
        </w:rPr>
        <w:t xml:space="preserve"> data and reports</w:t>
      </w:r>
      <w:r w:rsidRPr="009243A7">
        <w:rPr>
          <w:b/>
          <w:i/>
        </w:rPr>
        <w:t>:</w:t>
      </w:r>
      <w:r>
        <w:t xml:space="preserve"> </w:t>
      </w:r>
      <w:r>
        <w:rPr>
          <w:i/>
        </w:rPr>
        <w:t>b</w:t>
      </w:r>
      <w:r w:rsidRPr="009243A7">
        <w:rPr>
          <w:i/>
        </w:rPr>
        <w:t>e sure to use Paste Special</w:t>
      </w:r>
      <w:r w:rsidR="008305A3">
        <w:rPr>
          <w:i/>
        </w:rPr>
        <w:t xml:space="preserve"> as described below.</w:t>
      </w:r>
      <w:r>
        <w:rPr>
          <w:i/>
        </w:rPr>
        <w:t xml:space="preserve"> </w:t>
      </w:r>
      <w:r>
        <w:t xml:space="preserve">If you just copy and paste, your new file will have cumbersome formulas linked to the original DART file and/or error messages. </w:t>
      </w:r>
    </w:p>
    <w:p w:rsidR="00F01C65" w:rsidRDefault="00F01C65" w:rsidP="009B468F"/>
    <w:p w:rsidR="009B468F" w:rsidRDefault="009B468F" w:rsidP="009B468F">
      <w:r>
        <w:t>You need to copy the data in such a way that it is no longer based on formulas and is not linked in any way to the DART file, as follows:</w:t>
      </w:r>
    </w:p>
    <w:p w:rsidR="009B468F" w:rsidRDefault="009B468F" w:rsidP="009B468F"/>
    <w:p w:rsidR="00D61B93" w:rsidRDefault="00D61B93" w:rsidP="00D61B93">
      <w:pPr>
        <w:pStyle w:val="ListParagraph"/>
        <w:numPr>
          <w:ilvl w:val="0"/>
          <w:numId w:val="17"/>
        </w:numPr>
      </w:pPr>
      <w:r>
        <w:t>S</w:t>
      </w:r>
      <w:r w:rsidR="009B468F">
        <w:t xml:space="preserve">elect </w:t>
      </w:r>
      <w:r>
        <w:t xml:space="preserve">all the </w:t>
      </w:r>
      <w:r w:rsidR="009B468F">
        <w:t>data</w:t>
      </w:r>
      <w:r w:rsidR="00F01C65">
        <w:t xml:space="preserve"> and click on Copy</w:t>
      </w:r>
    </w:p>
    <w:p w:rsidR="00F01C65" w:rsidRDefault="00F01C65" w:rsidP="00D61B93">
      <w:pPr>
        <w:pStyle w:val="ListParagraph"/>
        <w:numPr>
          <w:ilvl w:val="0"/>
          <w:numId w:val="17"/>
        </w:numPr>
      </w:pPr>
      <w:r>
        <w:t>Open a new workbook</w:t>
      </w:r>
      <w:r w:rsidR="008305A3">
        <w:t xml:space="preserve"> and select a cell</w:t>
      </w:r>
    </w:p>
    <w:p w:rsidR="00F01C65" w:rsidRDefault="008305A3" w:rsidP="00D61B93">
      <w:pPr>
        <w:pStyle w:val="ListParagraph"/>
        <w:numPr>
          <w:ilvl w:val="0"/>
          <w:numId w:val="17"/>
        </w:numPr>
      </w:pPr>
      <w:r>
        <w:t>Go to the Paste icon (top left) and c</w:t>
      </w:r>
      <w:r w:rsidR="00F01C65">
        <w:t xml:space="preserve">hoose </w:t>
      </w:r>
      <w:r w:rsidR="00071CBB">
        <w:t xml:space="preserve">Paste Special </w:t>
      </w:r>
      <w:r w:rsidR="00F01C65">
        <w:t>in the dropdown list</w:t>
      </w:r>
    </w:p>
    <w:p w:rsidR="008305A3" w:rsidRDefault="00F01C65" w:rsidP="00002DE8">
      <w:pPr>
        <w:pStyle w:val="ListParagraph"/>
        <w:numPr>
          <w:ilvl w:val="0"/>
          <w:numId w:val="17"/>
        </w:numPr>
      </w:pPr>
      <w:r>
        <w:t xml:space="preserve"> Scroll down and select “</w:t>
      </w:r>
      <w:proofErr w:type="spellStart"/>
      <w:r>
        <w:t>csv</w:t>
      </w:r>
      <w:proofErr w:type="spellEnd"/>
      <w:r>
        <w:t>” format</w:t>
      </w:r>
    </w:p>
    <w:p w:rsidR="009B468F" w:rsidRDefault="00D26E6B" w:rsidP="00002DE8">
      <w:pPr>
        <w:pStyle w:val="ListParagraph"/>
        <w:numPr>
          <w:ilvl w:val="0"/>
          <w:numId w:val="17"/>
        </w:numPr>
      </w:pPr>
      <w:r>
        <w:t>S</w:t>
      </w:r>
      <w:r w:rsidR="009B468F">
        <w:t>ave your new file.</w:t>
      </w:r>
    </w:p>
    <w:p w:rsidR="009B468F" w:rsidRDefault="009B468F" w:rsidP="009B468F"/>
    <w:bookmarkEnd w:id="7"/>
    <w:bookmarkEnd w:id="8"/>
    <w:p w:rsidR="004D2D33" w:rsidRPr="004D2D33" w:rsidRDefault="004D2D33" w:rsidP="000C7C25">
      <w:pPr>
        <w:rPr>
          <w:i/>
        </w:rPr>
      </w:pPr>
    </w:p>
    <w:p w:rsidR="00F867FC" w:rsidRDefault="00F867FC">
      <w:pPr>
        <w:rPr>
          <w:rFonts w:ascii="Arial" w:hAnsi="Arial" w:cs="Arial"/>
          <w:b/>
          <w:bCs/>
          <w:kern w:val="32"/>
          <w:sz w:val="32"/>
          <w:szCs w:val="32"/>
        </w:rPr>
      </w:pPr>
      <w:r>
        <w:br w:type="page"/>
      </w:r>
    </w:p>
    <w:p w:rsidR="00173267" w:rsidRDefault="008305A3" w:rsidP="00173267">
      <w:pPr>
        <w:pStyle w:val="Heading1"/>
      </w:pPr>
      <w:bookmarkStart w:id="18" w:name="_Toc337808312"/>
      <w:bookmarkStart w:id="19" w:name="_Toc452474974"/>
      <w:r>
        <w:lastRenderedPageBreak/>
        <w:t xml:space="preserve">Data Used in </w:t>
      </w:r>
      <w:r w:rsidR="00173267">
        <w:t>DART Detail: Staffing and Finance</w:t>
      </w:r>
      <w:bookmarkEnd w:id="18"/>
      <w:bookmarkEnd w:id="19"/>
    </w:p>
    <w:p w:rsidR="00173267" w:rsidRDefault="00173267" w:rsidP="00173267">
      <w:pPr>
        <w:pStyle w:val="Heading2"/>
      </w:pPr>
      <w:bookmarkStart w:id="20" w:name="_Toc337808313"/>
      <w:bookmarkStart w:id="21" w:name="_Toc452474975"/>
      <w:r>
        <w:t>Data Used in Reports</w:t>
      </w:r>
      <w:bookmarkEnd w:id="20"/>
      <w:bookmarkEnd w:id="21"/>
    </w:p>
    <w:p w:rsidR="00173267" w:rsidRDefault="00173267" w:rsidP="00173267">
      <w:r>
        <w:t xml:space="preserve">Data from: End of Year Financial Reports (EOYRs), Chapter 70 program, Department of Revenue (DOR), Educational Personnel Information Management System (EPIMS), Student Information Management System (SIMS) and Massachusetts Comprehensive Assessment System (MCAS) </w:t>
      </w:r>
    </w:p>
    <w:p w:rsidR="00173267" w:rsidRDefault="00173267" w:rsidP="00173267"/>
    <w:p w:rsidR="00173267" w:rsidRPr="00D21063" w:rsidRDefault="00173267" w:rsidP="00EF7606">
      <w:pPr>
        <w:pStyle w:val="Heading2"/>
      </w:pPr>
      <w:bookmarkStart w:id="22" w:name="_Toc452474976"/>
      <w:bookmarkStart w:id="23" w:name="_Toc337808314"/>
      <w:r>
        <w:t>District at a Glance</w:t>
      </w:r>
      <w:bookmarkEnd w:id="22"/>
    </w:p>
    <w:p w:rsidR="00173267" w:rsidRPr="00540AA9" w:rsidRDefault="00173267" w:rsidP="00173267">
      <w:r w:rsidRPr="00A91978">
        <w:rPr>
          <w:u w:val="single"/>
        </w:rPr>
        <w:t>Sources:</w:t>
      </w:r>
      <w:r>
        <w:rPr>
          <w:b/>
        </w:rPr>
        <w:t xml:space="preserve"> </w:t>
      </w:r>
      <w:r>
        <w:t xml:space="preserve"> SIMS, MCAS, EPIMS, EOYR</w:t>
      </w:r>
    </w:p>
    <w:p w:rsidR="00173267" w:rsidRDefault="00173267" w:rsidP="00173267"/>
    <w:p w:rsidR="00173267" w:rsidRPr="00A91978" w:rsidRDefault="00173267" w:rsidP="00173267">
      <w:pPr>
        <w:rPr>
          <w:u w:val="single"/>
        </w:rPr>
      </w:pPr>
      <w:r w:rsidRPr="00A91978">
        <w:rPr>
          <w:u w:val="single"/>
        </w:rPr>
        <w:t>Description:</w:t>
      </w:r>
    </w:p>
    <w:p w:rsidR="00173267" w:rsidRDefault="00173267" w:rsidP="00173267">
      <w:pPr>
        <w:numPr>
          <w:ilvl w:val="0"/>
          <w:numId w:val="12"/>
        </w:numPr>
        <w:spacing w:before="40" w:after="40"/>
      </w:pPr>
      <w:r>
        <w:t>Five year trends of enrollment, performance, staffing and finance</w:t>
      </w:r>
      <w:r w:rsidR="00D26E6B" w:rsidRPr="00D26E6B">
        <w:t xml:space="preserve"> </w:t>
      </w:r>
      <w:r w:rsidR="00D26E6B">
        <w:t xml:space="preserve">highlights </w:t>
      </w:r>
    </w:p>
    <w:p w:rsidR="00173267" w:rsidRDefault="00173267" w:rsidP="00173267">
      <w:pPr>
        <w:numPr>
          <w:ilvl w:val="0"/>
          <w:numId w:val="12"/>
        </w:numPr>
        <w:spacing w:before="40" w:after="40"/>
      </w:pPr>
      <w:r>
        <w:t>State comparison for most recent data year</w:t>
      </w:r>
    </w:p>
    <w:p w:rsidR="00173267" w:rsidRDefault="00173267" w:rsidP="00173267"/>
    <w:p w:rsidR="00173267" w:rsidRPr="00A91978" w:rsidRDefault="00173267" w:rsidP="00173267">
      <w:pPr>
        <w:rPr>
          <w:u w:val="single"/>
        </w:rPr>
      </w:pPr>
      <w:r w:rsidRPr="00A91978">
        <w:rPr>
          <w:u w:val="single"/>
        </w:rPr>
        <w:t>Uses:</w:t>
      </w:r>
    </w:p>
    <w:p w:rsidR="00173267" w:rsidRDefault="00173267" w:rsidP="00173267">
      <w:r>
        <w:t xml:space="preserve">District at a Glance provides an overall picture of a district and </w:t>
      </w:r>
      <w:r w:rsidR="00D26E6B">
        <w:t xml:space="preserve">its </w:t>
      </w:r>
      <w:r>
        <w:t>recent trends in key areas.</w:t>
      </w:r>
    </w:p>
    <w:p w:rsidR="00173267" w:rsidRDefault="00173267" w:rsidP="00173267"/>
    <w:p w:rsidR="00173267" w:rsidRDefault="00173267" w:rsidP="00173267">
      <w:pPr>
        <w:pStyle w:val="Heading2"/>
      </w:pPr>
      <w:bookmarkStart w:id="24" w:name="_Toc452474977"/>
      <w:r>
        <w:t>Staffing Reports</w:t>
      </w:r>
      <w:bookmarkEnd w:id="23"/>
      <w:bookmarkEnd w:id="24"/>
    </w:p>
    <w:p w:rsidR="00173267" w:rsidRDefault="00173267" w:rsidP="00173267">
      <w:r>
        <w:t>Staffing reports provide full-time-equivalents (FTEs) and student to staff ratios for various staffing categories</w:t>
      </w:r>
      <w:r w:rsidR="00D26E6B">
        <w:t>. They</w:t>
      </w:r>
      <w:r>
        <w:t xml:space="preserve"> compare four districts over three years. Year-to-year FTEs show hiring trends while student-to-staff ratios </w:t>
      </w:r>
      <w:r w:rsidR="00D26E6B">
        <w:t>allow</w:t>
      </w:r>
      <w:r>
        <w:t xml:space="preserve"> comparison</w:t>
      </w:r>
      <w:r w:rsidR="00D26E6B">
        <w:t>s</w:t>
      </w:r>
      <w:r>
        <w:t xml:space="preserve"> across districts. State student-to-staff ratios provide</w:t>
      </w:r>
      <w:r w:rsidR="00D26E6B">
        <w:t xml:space="preserve"> </w:t>
      </w:r>
      <w:r>
        <w:t>another point of comparison.</w:t>
      </w:r>
    </w:p>
    <w:p w:rsidR="00173267" w:rsidRDefault="00173267" w:rsidP="00173267"/>
    <w:p w:rsidR="00173267" w:rsidRPr="00A91978" w:rsidRDefault="00173267" w:rsidP="00173267">
      <w:pPr>
        <w:pStyle w:val="Heading3"/>
      </w:pPr>
      <w:bookmarkStart w:id="25" w:name="_Toc452474978"/>
      <w:r w:rsidRPr="00A91978">
        <w:t>District Staffing</w:t>
      </w:r>
      <w:bookmarkEnd w:id="25"/>
    </w:p>
    <w:p w:rsidR="00173267" w:rsidRPr="00540AA9" w:rsidRDefault="00173267" w:rsidP="00173267">
      <w:r w:rsidRPr="00A91978">
        <w:rPr>
          <w:u w:val="single"/>
        </w:rPr>
        <w:t>Sources:</w:t>
      </w:r>
      <w:r>
        <w:rPr>
          <w:b/>
        </w:rPr>
        <w:t xml:space="preserve"> </w:t>
      </w:r>
      <w:r>
        <w:t>SIMS (Oct); EPIMS (Oct)</w:t>
      </w:r>
    </w:p>
    <w:p w:rsidR="00173267" w:rsidRDefault="00173267" w:rsidP="00173267">
      <w:pPr>
        <w:rPr>
          <w:b/>
        </w:rPr>
      </w:pPr>
    </w:p>
    <w:p w:rsidR="00173267" w:rsidRPr="00A91978" w:rsidRDefault="00173267" w:rsidP="00173267">
      <w:pPr>
        <w:rPr>
          <w:u w:val="single"/>
        </w:rPr>
      </w:pPr>
      <w:r w:rsidRPr="00A91978">
        <w:rPr>
          <w:u w:val="single"/>
        </w:rPr>
        <w:t>Description:</w:t>
      </w:r>
    </w:p>
    <w:p w:rsidR="00173267" w:rsidRDefault="00173267" w:rsidP="00173267">
      <w:r>
        <w:t xml:space="preserve">Staff is grouped in categories </w:t>
      </w:r>
      <w:r w:rsidR="00002DE8">
        <w:t>of</w:t>
      </w:r>
      <w:r>
        <w:t xml:space="preserve"> administration and instructional leadership, instruction, student support, and clerical/technical support. The jobs included in each category are listed in Appendix A and in the </w:t>
      </w:r>
      <w:r w:rsidRPr="002B5032">
        <w:rPr>
          <w:i/>
        </w:rPr>
        <w:t>Staffing Definitions</w:t>
      </w:r>
      <w:r>
        <w:t xml:space="preserve"> worksheet in the DART file. Student-to-staff ratios in this report are based on </w:t>
      </w:r>
      <w:r w:rsidRPr="00AF4FE4">
        <w:rPr>
          <w:u w:val="single"/>
        </w:rPr>
        <w:t>all</w:t>
      </w:r>
      <w:r>
        <w:t xml:space="preserve"> students. </w:t>
      </w:r>
    </w:p>
    <w:p w:rsidR="00173267" w:rsidRDefault="00173267" w:rsidP="00173267"/>
    <w:p w:rsidR="00173267" w:rsidRPr="00A91978" w:rsidRDefault="00173267" w:rsidP="00173267">
      <w:pPr>
        <w:rPr>
          <w:u w:val="single"/>
        </w:rPr>
      </w:pPr>
      <w:r w:rsidRPr="00A91978">
        <w:rPr>
          <w:u w:val="single"/>
        </w:rPr>
        <w:t>Uses:</w:t>
      </w:r>
    </w:p>
    <w:p w:rsidR="00173267" w:rsidRDefault="00173267" w:rsidP="00173267">
      <w:r>
        <w:t xml:space="preserve">Use FTEs to see hiring trends over three years, and to see the impact of relative district size (for instance, lesser or greater specialization among administrators based on absolute numbers of staff.) Use student-to-staff ratios to compare relative staffing levels across districts and the state. </w:t>
      </w:r>
    </w:p>
    <w:p w:rsidR="00173267" w:rsidRDefault="00173267" w:rsidP="00173267"/>
    <w:p w:rsidR="00D26E6B" w:rsidRDefault="00D26E6B">
      <w:pPr>
        <w:rPr>
          <w:rFonts w:ascii="Arial" w:hAnsi="Arial" w:cs="Arial"/>
          <w:b/>
          <w:bCs/>
          <w:szCs w:val="26"/>
        </w:rPr>
      </w:pPr>
      <w:r>
        <w:br w:type="page"/>
      </w:r>
    </w:p>
    <w:p w:rsidR="00173267" w:rsidRPr="00A91978" w:rsidRDefault="00173267" w:rsidP="00173267">
      <w:pPr>
        <w:pStyle w:val="Heading3"/>
      </w:pPr>
      <w:bookmarkStart w:id="26" w:name="_Toc452474979"/>
      <w:r w:rsidRPr="00A91978">
        <w:lastRenderedPageBreak/>
        <w:t>Teachers</w:t>
      </w:r>
      <w:bookmarkEnd w:id="26"/>
    </w:p>
    <w:p w:rsidR="00173267" w:rsidRPr="00540AA9" w:rsidRDefault="00173267" w:rsidP="00173267">
      <w:r w:rsidRPr="00A91978">
        <w:rPr>
          <w:u w:val="single"/>
        </w:rPr>
        <w:t>Sources:</w:t>
      </w:r>
      <w:r>
        <w:rPr>
          <w:b/>
        </w:rPr>
        <w:t xml:space="preserve"> </w:t>
      </w:r>
      <w:r>
        <w:t>SIMS (Oct); EPIMS (Oct)</w:t>
      </w:r>
    </w:p>
    <w:p w:rsidR="00173267" w:rsidRDefault="00173267" w:rsidP="00173267">
      <w:pPr>
        <w:rPr>
          <w:b/>
        </w:rPr>
      </w:pPr>
    </w:p>
    <w:p w:rsidR="00173267" w:rsidRPr="00A91978" w:rsidRDefault="00173267" w:rsidP="00173267">
      <w:pPr>
        <w:rPr>
          <w:u w:val="single"/>
        </w:rPr>
      </w:pPr>
      <w:r w:rsidRPr="00A91978">
        <w:rPr>
          <w:u w:val="single"/>
        </w:rPr>
        <w:t>Description:</w:t>
      </w:r>
    </w:p>
    <w:p w:rsidR="00173267" w:rsidRDefault="00173267" w:rsidP="00173267">
      <w:r>
        <w:t>Teachers are grouped by program area (general education, students with disabilities, vocation</w:t>
      </w:r>
      <w:r w:rsidR="00D26E6B">
        <w:t>al</w:t>
      </w:r>
      <w:r>
        <w:t xml:space="preserve">-technical, and English language learners.) General education teachers are further broken out by subject categories (ELA/reading/math/science/social studies, arts and languages, and other.) </w:t>
      </w:r>
      <w:r w:rsidR="00002DE8">
        <w:t xml:space="preserve">Program areas are derived from </w:t>
      </w:r>
      <w:r>
        <w:t>EPIMS assignment codes</w:t>
      </w:r>
      <w:r w:rsidR="00D26E6B">
        <w:t>. S</w:t>
      </w:r>
      <w:r w:rsidR="00002DE8">
        <w:t xml:space="preserve">ubjects </w:t>
      </w:r>
      <w:r w:rsidR="00D26E6B">
        <w:t xml:space="preserve">are derived </w:t>
      </w:r>
      <w:r w:rsidR="00002DE8">
        <w:t xml:space="preserve">from EPIMS </w:t>
      </w:r>
      <w:r>
        <w:t xml:space="preserve">course numbers (see Appendix </w:t>
      </w:r>
      <w:proofErr w:type="gramStart"/>
      <w:r>
        <w:t>A</w:t>
      </w:r>
      <w:proofErr w:type="gramEnd"/>
      <w:r>
        <w:t xml:space="preserve">, or the </w:t>
      </w:r>
      <w:r w:rsidRPr="000F6840">
        <w:rPr>
          <w:i/>
        </w:rPr>
        <w:t>Staffing Definitions</w:t>
      </w:r>
      <w:r>
        <w:t xml:space="preserve"> worksheet in the DART file.) </w:t>
      </w:r>
      <w:r w:rsidR="005E0DE2">
        <w:t xml:space="preserve">In this report, student-to-staff ratios </w:t>
      </w:r>
      <w:r>
        <w:t>are based on the relevant student group</w:t>
      </w:r>
      <w:r w:rsidR="005E0DE2">
        <w:t xml:space="preserve"> (</w:t>
      </w:r>
      <w:r w:rsidR="00FC6D25">
        <w:t>e.g. students with disabilities divided by SPED teachers.</w:t>
      </w:r>
      <w:r w:rsidR="005E0DE2">
        <w:t>)</w:t>
      </w:r>
      <w:r w:rsidR="00D26E6B">
        <w:t xml:space="preserve"> </w:t>
      </w:r>
      <w:r w:rsidR="00FC6D25">
        <w:t>“A</w:t>
      </w:r>
      <w:r>
        <w:t>ll students</w:t>
      </w:r>
      <w:r w:rsidR="00FC6D25">
        <w:t>”</w:t>
      </w:r>
      <w:r>
        <w:t xml:space="preserve"> </w:t>
      </w:r>
      <w:r w:rsidR="00FC6D25">
        <w:t>is</w:t>
      </w:r>
      <w:r>
        <w:t xml:space="preserve"> </w:t>
      </w:r>
      <w:r w:rsidR="00FC6D25">
        <w:t>used</w:t>
      </w:r>
      <w:r>
        <w:t xml:space="preserve"> in the ratio </w:t>
      </w:r>
      <w:r w:rsidR="005E0DE2">
        <w:t xml:space="preserve">for regular education teachers </w:t>
      </w:r>
      <w:r>
        <w:t xml:space="preserve">because, for example, many students with disabilities are in regular education classes most of the day. </w:t>
      </w:r>
    </w:p>
    <w:p w:rsidR="00173267" w:rsidRDefault="00173267" w:rsidP="00173267"/>
    <w:p w:rsidR="00173267" w:rsidRPr="00A91978" w:rsidRDefault="00173267" w:rsidP="00173267">
      <w:pPr>
        <w:rPr>
          <w:u w:val="single"/>
        </w:rPr>
      </w:pPr>
      <w:r w:rsidRPr="00A91978">
        <w:rPr>
          <w:u w:val="single"/>
        </w:rPr>
        <w:t>Uses:</w:t>
      </w:r>
    </w:p>
    <w:p w:rsidR="00173267" w:rsidRDefault="00173267" w:rsidP="00173267">
      <w:r>
        <w:t xml:space="preserve">Use FTEs to consider trends in hiring over three years and to see the impact of relative district size (for instance, lesser or greater specialization among administrators based on absolute numbers of staff.)  Use student-to-staff ratios to compare relative staffing levels across districts and the state.  Comparisons show the way different districts deploy their teaching workforce to cover all subjects, and to meet the needs of selected populations (students with disabilities and English language learners.) </w:t>
      </w:r>
    </w:p>
    <w:p w:rsidR="00173267" w:rsidRDefault="00173267" w:rsidP="00173267"/>
    <w:p w:rsidR="00173267" w:rsidRDefault="00173267" w:rsidP="00173267">
      <w:r>
        <w:t xml:space="preserve">Student-to-staff ratios are useful guides, but where student populations are heavily weighted (e.g., large vocational-technical or English language learner enrollment) the general education ratio may seem </w:t>
      </w:r>
      <w:r w:rsidR="005E0DE2">
        <w:t xml:space="preserve">anomalous </w:t>
      </w:r>
      <w:r>
        <w:t>because these teachers provide less services to vocational-technical or ELL students. Data anomalies also occur in vocational-technical data because there is inconsistency in assignment coding (for instance, some vocational-technical schools report all their teachers as general education.) Common sense should guide analysis and questions when data seems highly unusual.</w:t>
      </w:r>
    </w:p>
    <w:p w:rsidR="00173267" w:rsidRDefault="00173267" w:rsidP="00173267"/>
    <w:p w:rsidR="00173267" w:rsidRPr="00A91978" w:rsidRDefault="00173267" w:rsidP="00173267">
      <w:pPr>
        <w:pStyle w:val="Heading3"/>
      </w:pPr>
      <w:bookmarkStart w:id="27" w:name="_Toc452474980"/>
      <w:r>
        <w:t>S</w:t>
      </w:r>
      <w:r w:rsidR="00E96C7B">
        <w:t>pecial Education S</w:t>
      </w:r>
      <w:r>
        <w:t>taff</w:t>
      </w:r>
      <w:bookmarkEnd w:id="27"/>
      <w:r w:rsidRPr="00A91978">
        <w:t xml:space="preserve"> </w:t>
      </w:r>
    </w:p>
    <w:p w:rsidR="00173267" w:rsidRPr="00540AA9" w:rsidRDefault="00173267" w:rsidP="00173267">
      <w:r w:rsidRPr="00A91978">
        <w:rPr>
          <w:u w:val="single"/>
        </w:rPr>
        <w:t>Sources:</w:t>
      </w:r>
      <w:r>
        <w:rPr>
          <w:b/>
        </w:rPr>
        <w:t xml:space="preserve"> </w:t>
      </w:r>
      <w:r>
        <w:t>SIMS (Oct); EPIMS (Oct)</w:t>
      </w:r>
    </w:p>
    <w:p w:rsidR="00173267" w:rsidRDefault="00173267" w:rsidP="00173267">
      <w:pPr>
        <w:rPr>
          <w:b/>
        </w:rPr>
      </w:pPr>
    </w:p>
    <w:p w:rsidR="00173267" w:rsidRPr="00A91978" w:rsidRDefault="00173267" w:rsidP="00173267">
      <w:pPr>
        <w:rPr>
          <w:u w:val="single"/>
        </w:rPr>
      </w:pPr>
      <w:r w:rsidRPr="00A91978">
        <w:rPr>
          <w:u w:val="single"/>
        </w:rPr>
        <w:t>Description:</w:t>
      </w:r>
    </w:p>
    <w:p w:rsidR="00173267" w:rsidRDefault="00173267" w:rsidP="00173267">
      <w:r>
        <w:t xml:space="preserve">Staff for students with disabilities (SWD) is reported here with student-to-staff ratios based on </w:t>
      </w:r>
      <w:r w:rsidRPr="00C75FCE">
        <w:rPr>
          <w:i/>
        </w:rPr>
        <w:t>in-district</w:t>
      </w:r>
      <w:r>
        <w:t xml:space="preserve"> </w:t>
      </w:r>
      <w:r w:rsidR="00FC6D25">
        <w:t xml:space="preserve">SWD </w:t>
      </w:r>
      <w:r>
        <w:t>students. S</w:t>
      </w:r>
      <w:r w:rsidR="00FC6D25">
        <w:t>PED</w:t>
      </w:r>
      <w:r>
        <w:t xml:space="preserve"> paraprofessionals are included in this report.</w:t>
      </w:r>
    </w:p>
    <w:p w:rsidR="00173267" w:rsidRDefault="00173267" w:rsidP="00173267"/>
    <w:p w:rsidR="00173267" w:rsidRPr="00A91978" w:rsidRDefault="00173267" w:rsidP="00173267">
      <w:pPr>
        <w:rPr>
          <w:u w:val="single"/>
        </w:rPr>
      </w:pPr>
      <w:r w:rsidRPr="00A91978">
        <w:rPr>
          <w:u w:val="single"/>
        </w:rPr>
        <w:t>Uses:</w:t>
      </w:r>
    </w:p>
    <w:p w:rsidR="00173267" w:rsidRDefault="00173267" w:rsidP="00173267">
      <w:r w:rsidRPr="005E0DE2">
        <w:rPr>
          <w:i/>
        </w:rPr>
        <w:t>FTEs</w:t>
      </w:r>
      <w:r>
        <w:t xml:space="preserve"> </w:t>
      </w:r>
      <w:r w:rsidR="005E0DE2">
        <w:t xml:space="preserve">show </w:t>
      </w:r>
      <w:r>
        <w:t xml:space="preserve">trends in hiring over three years, and the impact of relative district size (for instance, lesser or greater specialization among administrators based on absolute numbers of staff.)  Use </w:t>
      </w:r>
      <w:r w:rsidRPr="005E0DE2">
        <w:rPr>
          <w:i/>
        </w:rPr>
        <w:t>student-to-staff ratios</w:t>
      </w:r>
      <w:r>
        <w:t xml:space="preserve"> to compare relative staffing levels across districts and the state.</w:t>
      </w:r>
    </w:p>
    <w:p w:rsidR="00173267" w:rsidRDefault="00173267" w:rsidP="00173267"/>
    <w:p w:rsidR="00173267" w:rsidRDefault="00173267" w:rsidP="00173267">
      <w:r>
        <w:t xml:space="preserve">Staff for students with disabilities is deployed in ways that cannot be decoded from the data in this report; for example, one cannot distinguish between a district using an inclusion approach for virtually all students </w:t>
      </w:r>
      <w:r w:rsidR="005E0DE2">
        <w:t xml:space="preserve">with disabilities </w:t>
      </w:r>
      <w:r>
        <w:t xml:space="preserve">from one providing </w:t>
      </w:r>
      <w:r w:rsidR="00FC6D25">
        <w:t xml:space="preserve">more </w:t>
      </w:r>
      <w:r>
        <w:t xml:space="preserve">pull-out and separate classroom services. </w:t>
      </w:r>
    </w:p>
    <w:p w:rsidR="00173267" w:rsidRDefault="00173267" w:rsidP="00173267"/>
    <w:p w:rsidR="00173267" w:rsidRDefault="00173267" w:rsidP="00173267">
      <w:pPr>
        <w:pStyle w:val="Heading2"/>
      </w:pPr>
      <w:bookmarkStart w:id="28" w:name="_Toc337808315"/>
      <w:bookmarkStart w:id="29" w:name="_Toc452474981"/>
      <w:r>
        <w:lastRenderedPageBreak/>
        <w:t>Finance Reports</w:t>
      </w:r>
      <w:bookmarkEnd w:id="28"/>
      <w:bookmarkEnd w:id="29"/>
    </w:p>
    <w:p w:rsidR="00173267" w:rsidRPr="006072BF" w:rsidRDefault="005D4201" w:rsidP="00173267">
      <w:r>
        <w:t xml:space="preserve">The Finance Summary report provides 5 year trends for a number of </w:t>
      </w:r>
      <w:r w:rsidR="00FC6D25">
        <w:t xml:space="preserve">finance </w:t>
      </w:r>
      <w:r>
        <w:t xml:space="preserve">data points. Finance charts </w:t>
      </w:r>
      <w:r w:rsidR="00FC6D25">
        <w:t>present some</w:t>
      </w:r>
      <w:r>
        <w:t xml:space="preserve"> information in another format. Other </w:t>
      </w:r>
      <w:r w:rsidR="00173267">
        <w:t>finance reports compare data for four districts over three years. Some of the data is available on the website but is presented here with trends and district comparisons</w:t>
      </w:r>
      <w:r>
        <w:t xml:space="preserve">. </w:t>
      </w:r>
      <w:r w:rsidR="00733394">
        <w:t>Other</w:t>
      </w:r>
      <w:r w:rsidR="00173267">
        <w:t xml:space="preserve"> data is not available on the website, e.g. dollar expenditures from the complete EOYR.</w:t>
      </w:r>
    </w:p>
    <w:p w:rsidR="00173267" w:rsidRDefault="00173267" w:rsidP="00173267"/>
    <w:p w:rsidR="00173267" w:rsidRPr="00D21063" w:rsidRDefault="00173267" w:rsidP="00173267">
      <w:pPr>
        <w:pStyle w:val="Heading3"/>
      </w:pPr>
      <w:bookmarkStart w:id="30" w:name="_Toc452474982"/>
      <w:r>
        <w:t>District Finance Summary</w:t>
      </w:r>
      <w:bookmarkEnd w:id="30"/>
    </w:p>
    <w:p w:rsidR="00173267" w:rsidRPr="00540AA9" w:rsidRDefault="00173267" w:rsidP="00173267">
      <w:r w:rsidRPr="00A91978">
        <w:rPr>
          <w:u w:val="single"/>
        </w:rPr>
        <w:t>Sources:</w:t>
      </w:r>
      <w:r>
        <w:rPr>
          <w:b/>
        </w:rPr>
        <w:t xml:space="preserve"> </w:t>
      </w:r>
      <w:r>
        <w:t xml:space="preserve"> EOYR, </w:t>
      </w:r>
      <w:r w:rsidR="005D4201">
        <w:t xml:space="preserve">Charter/Choice reports, </w:t>
      </w:r>
      <w:r>
        <w:t>Chapter 70 Program, Department of Revenue (DOR)</w:t>
      </w:r>
    </w:p>
    <w:p w:rsidR="00173267" w:rsidRDefault="00173267" w:rsidP="00173267"/>
    <w:p w:rsidR="00173267" w:rsidRPr="00A91978" w:rsidRDefault="00173267" w:rsidP="00173267">
      <w:pPr>
        <w:rPr>
          <w:u w:val="single"/>
        </w:rPr>
      </w:pPr>
      <w:r w:rsidRPr="00A91978">
        <w:rPr>
          <w:u w:val="single"/>
        </w:rPr>
        <w:t>Description:</w:t>
      </w:r>
    </w:p>
    <w:p w:rsidR="00173267" w:rsidRDefault="00173267" w:rsidP="00173267">
      <w:pPr>
        <w:numPr>
          <w:ilvl w:val="0"/>
          <w:numId w:val="12"/>
        </w:numPr>
        <w:spacing w:before="40" w:after="40"/>
      </w:pPr>
      <w:r>
        <w:t>Five year trends of finance data including per pupil expenditures, all dollar expenditures from local appropriations and grants/revolving funds, state aid, out-of-district expenditure details, Chapter 70 details, and tax levy data (for municipal districts but not regional districts)</w:t>
      </w:r>
    </w:p>
    <w:p w:rsidR="00173267" w:rsidRDefault="00173267" w:rsidP="00173267">
      <w:pPr>
        <w:numPr>
          <w:ilvl w:val="0"/>
          <w:numId w:val="12"/>
        </w:numPr>
        <w:spacing w:before="40" w:after="40"/>
      </w:pPr>
      <w:r>
        <w:t>State comparison for most recent year of data, where applicable</w:t>
      </w:r>
    </w:p>
    <w:p w:rsidR="00173267" w:rsidRDefault="00173267" w:rsidP="00173267"/>
    <w:p w:rsidR="00173267" w:rsidRPr="00A91978" w:rsidRDefault="00173267" w:rsidP="00173267">
      <w:pPr>
        <w:rPr>
          <w:u w:val="single"/>
        </w:rPr>
      </w:pPr>
      <w:r w:rsidRPr="00A91978">
        <w:rPr>
          <w:u w:val="single"/>
        </w:rPr>
        <w:t>Uses:</w:t>
      </w:r>
    </w:p>
    <w:p w:rsidR="00173267" w:rsidRDefault="00173267" w:rsidP="00173267">
      <w:r>
        <w:t>The District Finance Summary integrates finance data from several sources into one report with five year trends for an overview of district finances.</w:t>
      </w:r>
    </w:p>
    <w:p w:rsidR="00173267" w:rsidRDefault="00173267" w:rsidP="00173267"/>
    <w:p w:rsidR="007E708D" w:rsidRPr="00D21063" w:rsidRDefault="007E708D" w:rsidP="007E708D">
      <w:pPr>
        <w:pStyle w:val="Heading3"/>
      </w:pPr>
      <w:bookmarkStart w:id="31" w:name="_Toc452474983"/>
      <w:r>
        <w:t>Finance Charts</w:t>
      </w:r>
      <w:bookmarkEnd w:id="31"/>
    </w:p>
    <w:p w:rsidR="007E708D" w:rsidRPr="00540AA9" w:rsidRDefault="007E708D" w:rsidP="007E708D">
      <w:r w:rsidRPr="00A91978">
        <w:rPr>
          <w:u w:val="single"/>
        </w:rPr>
        <w:t>Sources:</w:t>
      </w:r>
      <w:r>
        <w:rPr>
          <w:b/>
        </w:rPr>
        <w:t xml:space="preserve"> </w:t>
      </w:r>
      <w:r>
        <w:t xml:space="preserve"> EOYR</w:t>
      </w:r>
    </w:p>
    <w:p w:rsidR="007E708D" w:rsidRDefault="007E708D" w:rsidP="007E708D"/>
    <w:p w:rsidR="007E708D" w:rsidRPr="00A91978" w:rsidRDefault="007E708D" w:rsidP="007E708D">
      <w:pPr>
        <w:rPr>
          <w:u w:val="single"/>
        </w:rPr>
      </w:pPr>
      <w:r w:rsidRPr="00A91978">
        <w:rPr>
          <w:u w:val="single"/>
        </w:rPr>
        <w:t>Description:</w:t>
      </w:r>
    </w:p>
    <w:p w:rsidR="007E708D" w:rsidRDefault="007E708D" w:rsidP="007E708D">
      <w:pPr>
        <w:numPr>
          <w:ilvl w:val="0"/>
          <w:numId w:val="12"/>
        </w:numPr>
        <w:spacing w:before="40" w:after="40"/>
      </w:pPr>
      <w:r>
        <w:t xml:space="preserve">Five year trends for FTE </w:t>
      </w:r>
      <w:proofErr w:type="gramStart"/>
      <w:r>
        <w:t>pupils</w:t>
      </w:r>
      <w:proofErr w:type="gramEnd"/>
      <w:r>
        <w:t xml:space="preserve"> in-district and spending per in-district pupil are graphed in one chart with two axes of values.</w:t>
      </w:r>
    </w:p>
    <w:p w:rsidR="007E708D" w:rsidRDefault="007E708D" w:rsidP="007E708D">
      <w:pPr>
        <w:numPr>
          <w:ilvl w:val="0"/>
          <w:numId w:val="12"/>
        </w:numPr>
        <w:spacing w:before="40" w:after="40"/>
      </w:pPr>
      <w:r>
        <w:t>Expenditure in total dollars by source of funds, with Chapter 70 aid and NSS, is charted for five years.</w:t>
      </w:r>
    </w:p>
    <w:p w:rsidR="007E708D" w:rsidRDefault="007E708D" w:rsidP="007E708D">
      <w:pPr>
        <w:numPr>
          <w:ilvl w:val="0"/>
          <w:numId w:val="12"/>
        </w:numPr>
        <w:spacing w:before="40" w:after="40"/>
      </w:pPr>
      <w:r>
        <w:t>Expenditure on capital, debt and community activities</w:t>
      </w:r>
      <w:r w:rsidR="00FC6D25">
        <w:t xml:space="preserve"> and MSBA aid are</w:t>
      </w:r>
      <w:r>
        <w:t xml:space="preserve"> charted separately for five years.</w:t>
      </w:r>
    </w:p>
    <w:p w:rsidR="007E708D" w:rsidRDefault="00FC6D25" w:rsidP="007E708D">
      <w:pPr>
        <w:numPr>
          <w:ilvl w:val="0"/>
          <w:numId w:val="12"/>
        </w:numPr>
        <w:spacing w:before="40" w:after="40"/>
      </w:pPr>
      <w:r>
        <w:t xml:space="preserve">The </w:t>
      </w:r>
      <w:proofErr w:type="spellStart"/>
      <w:r>
        <w:t>scatterplot</w:t>
      </w:r>
      <w:proofErr w:type="spellEnd"/>
      <w:r>
        <w:t xml:space="preserve"> compares the</w:t>
      </w:r>
      <w:r w:rsidR="007E708D">
        <w:t xml:space="preserve"> selected district to all </w:t>
      </w:r>
      <w:r>
        <w:t>others on size and per pupil expenditures</w:t>
      </w:r>
      <w:r w:rsidR="007E708D">
        <w:t xml:space="preserve">, </w:t>
      </w:r>
      <w:proofErr w:type="gramStart"/>
      <w:r>
        <w:t>for a</w:t>
      </w:r>
      <w:r w:rsidR="007E708D">
        <w:t xml:space="preserve"> select</w:t>
      </w:r>
      <w:r>
        <w:t>ed</w:t>
      </w:r>
      <w:r w:rsidR="007E708D">
        <w:t xml:space="preserve"> major functional areas</w:t>
      </w:r>
      <w:proofErr w:type="gramEnd"/>
      <w:r w:rsidR="007E708D">
        <w:t>.</w:t>
      </w:r>
    </w:p>
    <w:p w:rsidR="007E708D" w:rsidRDefault="007E708D" w:rsidP="007E708D"/>
    <w:p w:rsidR="007E708D" w:rsidRPr="00A91978" w:rsidRDefault="007E708D" w:rsidP="007E708D">
      <w:pPr>
        <w:rPr>
          <w:u w:val="single"/>
        </w:rPr>
      </w:pPr>
      <w:r w:rsidRPr="00A91978">
        <w:rPr>
          <w:u w:val="single"/>
        </w:rPr>
        <w:t>Uses:</w:t>
      </w:r>
    </w:p>
    <w:p w:rsidR="007E708D" w:rsidRDefault="007E708D" w:rsidP="007E708D">
      <w:r>
        <w:t>The Finance Charts provide a visual</w:t>
      </w:r>
      <w:r w:rsidR="00F94833">
        <w:t xml:space="preserve"> way</w:t>
      </w:r>
      <w:r>
        <w:t xml:space="preserve"> to </w:t>
      </w:r>
      <w:r w:rsidR="00F94833">
        <w:t>understand</w:t>
      </w:r>
      <w:r>
        <w:t xml:space="preserve"> costs over five years and compared to all districts. </w:t>
      </w:r>
    </w:p>
    <w:p w:rsidR="007E708D" w:rsidRDefault="007E708D" w:rsidP="007E708D"/>
    <w:p w:rsidR="00FC6D25" w:rsidRDefault="00FC6D25">
      <w:pPr>
        <w:rPr>
          <w:rFonts w:ascii="Arial" w:hAnsi="Arial" w:cs="Arial"/>
          <w:b/>
          <w:bCs/>
          <w:szCs w:val="26"/>
        </w:rPr>
      </w:pPr>
      <w:r>
        <w:br w:type="page"/>
      </w:r>
    </w:p>
    <w:p w:rsidR="00173267" w:rsidRPr="00D21063" w:rsidRDefault="00173267" w:rsidP="00173267">
      <w:pPr>
        <w:pStyle w:val="Heading3"/>
      </w:pPr>
      <w:bookmarkStart w:id="32" w:name="_Toc452474984"/>
      <w:r>
        <w:lastRenderedPageBreak/>
        <w:t>Expenditure by Source</w:t>
      </w:r>
      <w:bookmarkEnd w:id="32"/>
    </w:p>
    <w:p w:rsidR="00173267" w:rsidRPr="00540AA9" w:rsidRDefault="00173267" w:rsidP="00173267">
      <w:r>
        <w:rPr>
          <w:u w:val="single"/>
        </w:rPr>
        <w:t>Source</w:t>
      </w:r>
      <w:r w:rsidRPr="00A91978">
        <w:rPr>
          <w:u w:val="single"/>
        </w:rPr>
        <w:t>:</w:t>
      </w:r>
      <w:r>
        <w:rPr>
          <w:b/>
        </w:rPr>
        <w:t xml:space="preserve"> </w:t>
      </w:r>
      <w:r>
        <w:t>EOYR</w:t>
      </w:r>
    </w:p>
    <w:p w:rsidR="00173267" w:rsidRDefault="00173267" w:rsidP="00173267"/>
    <w:p w:rsidR="00173267" w:rsidRPr="00A91978" w:rsidRDefault="00173267" w:rsidP="00173267">
      <w:pPr>
        <w:rPr>
          <w:u w:val="single"/>
        </w:rPr>
      </w:pPr>
      <w:r w:rsidRPr="00A91978">
        <w:rPr>
          <w:u w:val="single"/>
        </w:rPr>
        <w:t>Description:</w:t>
      </w:r>
    </w:p>
    <w:p w:rsidR="00173267" w:rsidRDefault="00173267" w:rsidP="00173267">
      <w:pPr>
        <w:numPr>
          <w:ilvl w:val="0"/>
          <w:numId w:val="12"/>
        </w:numPr>
        <w:spacing w:before="40" w:after="40"/>
      </w:pPr>
      <w:r>
        <w:t xml:space="preserve">Expenditure by category from school committee, municipal, grant, and revolving funds, with percentages compared to the state </w:t>
      </w:r>
    </w:p>
    <w:p w:rsidR="00173267" w:rsidRDefault="00173267" w:rsidP="00173267">
      <w:pPr>
        <w:numPr>
          <w:ilvl w:val="0"/>
          <w:numId w:val="12"/>
        </w:numPr>
        <w:spacing w:before="40" w:after="40"/>
      </w:pPr>
      <w:r>
        <w:t>Expenditures for all categories; those included in per pupil expenditures plus capital, debt, and community services expenditures</w:t>
      </w:r>
    </w:p>
    <w:p w:rsidR="00173267" w:rsidRDefault="00173267" w:rsidP="00173267"/>
    <w:p w:rsidR="00173267" w:rsidRPr="00A91978" w:rsidRDefault="00173267" w:rsidP="00173267">
      <w:pPr>
        <w:rPr>
          <w:u w:val="single"/>
        </w:rPr>
      </w:pPr>
      <w:r w:rsidRPr="00A91978">
        <w:rPr>
          <w:u w:val="single"/>
        </w:rPr>
        <w:t>Uses:</w:t>
      </w:r>
    </w:p>
    <w:p w:rsidR="00173267" w:rsidRDefault="00173267" w:rsidP="00173267">
      <w:r>
        <w:t xml:space="preserve">The Expenditure by Source report </w:t>
      </w:r>
      <w:r w:rsidR="008A3C04">
        <w:t>separates</w:t>
      </w:r>
      <w:r w:rsidR="005D4201">
        <w:t xml:space="preserve"> general funds expenditures into school committee and municipality, and non-general funds expenditures into grants and local revolving funds. </w:t>
      </w:r>
      <w:r w:rsidR="008A3C04">
        <w:t>For instance, t</w:t>
      </w:r>
      <w:r w:rsidR="005D4201">
        <w:t xml:space="preserve">o see if municipal expenditures </w:t>
      </w:r>
      <w:r w:rsidR="008A3C04">
        <w:t xml:space="preserve">for administration or operations </w:t>
      </w:r>
      <w:r w:rsidR="005D4201">
        <w:t xml:space="preserve">are in line, one can </w:t>
      </w:r>
      <w:r>
        <w:t>compar</w:t>
      </w:r>
      <w:r w:rsidR="005D4201">
        <w:t>e</w:t>
      </w:r>
      <w:r>
        <w:t xml:space="preserve"> </w:t>
      </w:r>
      <w:r w:rsidR="00463DFF">
        <w:t xml:space="preserve">total </w:t>
      </w:r>
      <w:r>
        <w:t xml:space="preserve">spending in </w:t>
      </w:r>
      <w:r w:rsidR="008A3C04">
        <w:t xml:space="preserve">those </w:t>
      </w:r>
      <w:r w:rsidR="00463DFF">
        <w:t xml:space="preserve">functional </w:t>
      </w:r>
      <w:r>
        <w:t xml:space="preserve">areas to </w:t>
      </w:r>
      <w:r w:rsidR="00463DFF">
        <w:t xml:space="preserve">other </w:t>
      </w:r>
      <w:proofErr w:type="gramStart"/>
      <w:r w:rsidR="00463DFF">
        <w:t xml:space="preserve">districts </w:t>
      </w:r>
      <w:r>
        <w:t>.</w:t>
      </w:r>
      <w:proofErr w:type="gramEnd"/>
      <w:r w:rsidR="00463DFF">
        <w:t xml:space="preserve"> </w:t>
      </w:r>
    </w:p>
    <w:p w:rsidR="00173267" w:rsidRDefault="00173267" w:rsidP="00173267"/>
    <w:p w:rsidR="00173267" w:rsidRPr="00D21063" w:rsidRDefault="00173267" w:rsidP="00173267">
      <w:pPr>
        <w:pStyle w:val="Heading3"/>
      </w:pPr>
      <w:bookmarkStart w:id="33" w:name="_Toc452474985"/>
      <w:r>
        <w:t>Per Pupil E</w:t>
      </w:r>
      <w:r w:rsidRPr="00D21063">
        <w:t>xpenditures:  Summary</w:t>
      </w:r>
      <w:r>
        <w:t xml:space="preserve"> and</w:t>
      </w:r>
      <w:r w:rsidRPr="00D21063">
        <w:t xml:space="preserve"> Details</w:t>
      </w:r>
      <w:bookmarkEnd w:id="33"/>
    </w:p>
    <w:p w:rsidR="00173267" w:rsidRPr="00540AA9" w:rsidRDefault="00173267" w:rsidP="00173267">
      <w:r w:rsidRPr="00A91978">
        <w:rPr>
          <w:u w:val="single"/>
        </w:rPr>
        <w:t>Sources:</w:t>
      </w:r>
      <w:r>
        <w:rPr>
          <w:b/>
        </w:rPr>
        <w:t xml:space="preserve"> </w:t>
      </w:r>
      <w:r>
        <w:t>EOYR; SIMS (</w:t>
      </w:r>
      <w:r w:rsidR="008A3C04">
        <w:t>EOY</w:t>
      </w:r>
      <w:r>
        <w:t xml:space="preserve">); </w:t>
      </w:r>
      <w:r w:rsidR="008A3C04">
        <w:rPr>
          <w:i/>
        </w:rPr>
        <w:t xml:space="preserve">student to </w:t>
      </w:r>
      <w:r w:rsidRPr="0034735C">
        <w:rPr>
          <w:i/>
        </w:rPr>
        <w:t>teacher ratio</w:t>
      </w:r>
      <w:r>
        <w:rPr>
          <w:i/>
        </w:rPr>
        <w:t xml:space="preserve"> from </w:t>
      </w:r>
      <w:r w:rsidRPr="00D21063">
        <w:rPr>
          <w:i/>
        </w:rPr>
        <w:t>SIMS (Oct)</w:t>
      </w:r>
      <w:r>
        <w:rPr>
          <w:i/>
        </w:rPr>
        <w:t xml:space="preserve"> and</w:t>
      </w:r>
      <w:r w:rsidRPr="00D21063">
        <w:rPr>
          <w:i/>
        </w:rPr>
        <w:t xml:space="preserve"> EPIMS (Oct)</w:t>
      </w:r>
    </w:p>
    <w:p w:rsidR="00173267" w:rsidRDefault="00173267" w:rsidP="00173267"/>
    <w:p w:rsidR="00173267" w:rsidRPr="00A91978" w:rsidRDefault="00173267" w:rsidP="00173267">
      <w:pPr>
        <w:rPr>
          <w:u w:val="single"/>
        </w:rPr>
      </w:pPr>
      <w:r w:rsidRPr="00A91978">
        <w:rPr>
          <w:u w:val="single"/>
        </w:rPr>
        <w:t>Description:</w:t>
      </w:r>
    </w:p>
    <w:p w:rsidR="00173267" w:rsidRDefault="00173267" w:rsidP="00173267">
      <w:pPr>
        <w:numPr>
          <w:ilvl w:val="0"/>
          <w:numId w:val="12"/>
        </w:numPr>
        <w:spacing w:before="40" w:after="40"/>
      </w:pPr>
      <w:r>
        <w:t>Three years of per pupil expenditures for four districts and the state</w:t>
      </w:r>
      <w:r w:rsidR="00463DFF">
        <w:t>, including all sources of funding</w:t>
      </w:r>
    </w:p>
    <w:p w:rsidR="00173267" w:rsidRDefault="00173267" w:rsidP="00173267">
      <w:pPr>
        <w:numPr>
          <w:ilvl w:val="0"/>
          <w:numId w:val="12"/>
        </w:numPr>
        <w:spacing w:before="40" w:after="40"/>
      </w:pPr>
      <w:r>
        <w:t>Full-time-equivalent (FTE) pupils, which are calculated from SIMS (End of Year) as all students’ days in membership divided by 180 days</w:t>
      </w:r>
    </w:p>
    <w:p w:rsidR="00173267" w:rsidRDefault="00173267" w:rsidP="00173267">
      <w:pPr>
        <w:numPr>
          <w:ilvl w:val="0"/>
          <w:numId w:val="12"/>
        </w:numPr>
        <w:spacing w:before="40" w:after="40"/>
      </w:pPr>
      <w:r>
        <w:t>Per pupil expenditure totals for in-district (enrolled pupils), out-of-district— tuition paid for charter, choice, tuition agreements, special education out-placements, and all pupils</w:t>
      </w:r>
    </w:p>
    <w:p w:rsidR="00173267" w:rsidRDefault="00173267" w:rsidP="00173267">
      <w:pPr>
        <w:numPr>
          <w:ilvl w:val="0"/>
          <w:numId w:val="12"/>
        </w:numPr>
        <w:spacing w:before="40" w:after="40"/>
      </w:pPr>
      <w:r>
        <w:t>E</w:t>
      </w:r>
      <w:r w:rsidRPr="002E6386">
        <w:t>xpenditures for administration, instruction</w:t>
      </w:r>
      <w:r>
        <w:t xml:space="preserve"> and student support</w:t>
      </w:r>
      <w:r w:rsidRPr="002E6386">
        <w:t>,</w:t>
      </w:r>
      <w:r>
        <w:t xml:space="preserve"> pupil services,</w:t>
      </w:r>
      <w:r w:rsidRPr="002E6386">
        <w:t xml:space="preserve"> operations, </w:t>
      </w:r>
      <w:r>
        <w:t xml:space="preserve">benefits and fixed charges, </w:t>
      </w:r>
      <w:r w:rsidRPr="002E6386">
        <w:t>and out-of-district</w:t>
      </w:r>
      <w:r>
        <w:t xml:space="preserve"> tuitions and transportation</w:t>
      </w:r>
    </w:p>
    <w:p w:rsidR="00463DFF" w:rsidRDefault="00173267" w:rsidP="00463DFF">
      <w:pPr>
        <w:numPr>
          <w:ilvl w:val="0"/>
          <w:numId w:val="12"/>
        </w:numPr>
        <w:spacing w:before="40" w:after="40"/>
      </w:pPr>
      <w:r>
        <w:t>Comparison of expenditures per in-district pupil to the median among similar size districts with the same grade-span (K-12, elementary, secondary, voc/tech/</w:t>
      </w:r>
      <w:proofErr w:type="spellStart"/>
      <w:r>
        <w:t>ag</w:t>
      </w:r>
      <w:proofErr w:type="spellEnd"/>
      <w:r>
        <w:t>)</w:t>
      </w:r>
      <w:r w:rsidR="00463DFF" w:rsidRPr="00463DFF">
        <w:t xml:space="preserve"> </w:t>
      </w:r>
    </w:p>
    <w:p w:rsidR="00463DFF" w:rsidRPr="00463DFF" w:rsidRDefault="00463DFF" w:rsidP="00173267">
      <w:pPr>
        <w:numPr>
          <w:ilvl w:val="0"/>
          <w:numId w:val="12"/>
        </w:numPr>
        <w:spacing w:before="40" w:after="40"/>
        <w:rPr>
          <w:i/>
        </w:rPr>
      </w:pPr>
      <w:r w:rsidRPr="00463DFF">
        <w:rPr>
          <w:i/>
        </w:rPr>
        <w:t>Not included</w:t>
      </w:r>
      <w:r w:rsidR="008A3C04">
        <w:rPr>
          <w:i/>
        </w:rPr>
        <w:t xml:space="preserve"> in per pupil calculations</w:t>
      </w:r>
      <w:r w:rsidRPr="00463DFF">
        <w:rPr>
          <w:i/>
        </w:rPr>
        <w:t>: expenditures on regional assessments, community services, fixed assets, and debt</w:t>
      </w:r>
    </w:p>
    <w:p w:rsidR="00173267" w:rsidRDefault="00173267" w:rsidP="00173267"/>
    <w:p w:rsidR="00173267" w:rsidRPr="00A91978" w:rsidRDefault="00173267" w:rsidP="00173267">
      <w:pPr>
        <w:rPr>
          <w:u w:val="single"/>
        </w:rPr>
      </w:pPr>
      <w:r w:rsidRPr="00A91978">
        <w:rPr>
          <w:u w:val="single"/>
        </w:rPr>
        <w:t>Uses:</w:t>
      </w:r>
    </w:p>
    <w:p w:rsidR="00173267" w:rsidRDefault="00173267" w:rsidP="00173267">
      <w:r>
        <w:t xml:space="preserve">The summary report’s category totals are a good starting point for comparison. To drill down further, use the detail reports, but be aware that detail lines may differ across districts for reasons not directly related to </w:t>
      </w:r>
      <w:r w:rsidR="008A3C04">
        <w:t>budget choices</w:t>
      </w:r>
      <w:r>
        <w:t xml:space="preserve">. For instance, reporting may reflect different finance coding by districts rather than a different deployment of staff, particularly because definitions of staff roles in EOYR and EPIMS are not perfectly consistent. For example, a teaching role might be coded as a classroom teacher (2305) in one district and as a specialist teacher (2310) in another. Curriculum supervision might be done by an assistant superintendent or by several directors of curriculum areas. </w:t>
      </w:r>
      <w:r w:rsidRPr="00402D23">
        <w:rPr>
          <w:i/>
        </w:rPr>
        <w:t xml:space="preserve">Note that there is no one right way to allocate resources. For instance, districts may have different approaches to providing instructional leadership </w:t>
      </w:r>
      <w:r>
        <w:rPr>
          <w:i/>
        </w:rPr>
        <w:t xml:space="preserve">and supervision </w:t>
      </w:r>
      <w:r w:rsidRPr="00402D23">
        <w:rPr>
          <w:i/>
        </w:rPr>
        <w:t>that may be equally effective.</w:t>
      </w:r>
      <w:r>
        <w:t xml:space="preserve"> </w:t>
      </w:r>
    </w:p>
    <w:p w:rsidR="00173267" w:rsidRDefault="00173267" w:rsidP="00173267"/>
    <w:p w:rsidR="00173267" w:rsidRDefault="00173267" w:rsidP="00173267">
      <w:r>
        <w:lastRenderedPageBreak/>
        <w:t>Analyze in-district, out-of-district and all totals separately because they have different denominators (different FTE pupils.) In-district expenditures are decided by the policy and program decisions of the school committee and superintendent—how to staff schools and the central office, provide pupil services, and so on. Out-of-district expenditures are driven by factors largely out of the district’s control, such as families choosing charter schools or using the school choice option to attend another district, and by the incidence of high-needs special education students. Further detail on out-of-district costs is available in another report.</w:t>
      </w:r>
    </w:p>
    <w:p w:rsidR="00173267" w:rsidRDefault="00173267" w:rsidP="00173267"/>
    <w:p w:rsidR="00173267" w:rsidRDefault="00173267" w:rsidP="00173267">
      <w:r>
        <w:t xml:space="preserve">Note that in-district pupils include both those resident in the district and those who tuition in—a few districts have a substantial percentage of </w:t>
      </w:r>
      <w:proofErr w:type="spellStart"/>
      <w:r>
        <w:t>tuitioned</w:t>
      </w:r>
      <w:proofErr w:type="spellEnd"/>
      <w:r>
        <w:t xml:space="preserve">-in students. Those </w:t>
      </w:r>
      <w:proofErr w:type="spellStart"/>
      <w:r>
        <w:t>tuitioned</w:t>
      </w:r>
      <w:proofErr w:type="spellEnd"/>
      <w:r>
        <w:t xml:space="preserve">-in through the choice program bring about $5,000 tuition, while those </w:t>
      </w:r>
      <w:proofErr w:type="spellStart"/>
      <w:r>
        <w:t>tuitioned</w:t>
      </w:r>
      <w:proofErr w:type="spellEnd"/>
      <w:r>
        <w:t>-in by agreement typically bring a higher amount that is closer to the cost per pupil in the receiving district.</w:t>
      </w:r>
    </w:p>
    <w:p w:rsidR="00173267" w:rsidRDefault="00173267" w:rsidP="00173267"/>
    <w:p w:rsidR="00173267" w:rsidRDefault="00173267" w:rsidP="00173267">
      <w:r>
        <w:t xml:space="preserve">Total costs per pupil are a measure of overall spending, but because out-of-district costs vary so much, comparable </w:t>
      </w:r>
      <w:r w:rsidRPr="004D0C55">
        <w:rPr>
          <w:i/>
        </w:rPr>
        <w:t>total</w:t>
      </w:r>
      <w:r>
        <w:t xml:space="preserve"> costs may not indicate comparable resources allocated to </w:t>
      </w:r>
      <w:r w:rsidRPr="004D0C55">
        <w:rPr>
          <w:i/>
        </w:rPr>
        <w:t>in-district</w:t>
      </w:r>
      <w:r>
        <w:t xml:space="preserve"> students. </w:t>
      </w:r>
    </w:p>
    <w:p w:rsidR="00173267" w:rsidRDefault="00173267" w:rsidP="00173267"/>
    <w:p w:rsidR="00173267" w:rsidRDefault="00173267" w:rsidP="00173267">
      <w:r>
        <w:t xml:space="preserve">Per pupil expenditures data allows the user to benchmark and compare typical costs for educating locally enrolled students. Total dollars spent on schools may be considerably larger than indicated by per pupil expenditures. Regional assessments, indirect cost transfers, community services, fixed assets (capital investment) and debt service are not included because they vary widely across districts and across years, but are paid for with local appropriations and sometimes other funding sources. For example, one district may pay regional assessments to send some students to a regional vocational-technical school while another may provide vocational-technical education in its own schools. Towns and districts make decisions to build or renovate school buildings based on particular circumstances such as aging facilities or expanding enrollment. </w:t>
      </w:r>
    </w:p>
    <w:p w:rsidR="00173267" w:rsidRDefault="00173267" w:rsidP="00173267"/>
    <w:p w:rsidR="00173267" w:rsidRPr="00A91978" w:rsidRDefault="00173267" w:rsidP="00173267">
      <w:pPr>
        <w:pStyle w:val="Heading3"/>
      </w:pPr>
      <w:bookmarkStart w:id="34" w:name="_Toc452474986"/>
      <w:r w:rsidRPr="00A91978">
        <w:t xml:space="preserve">Median </w:t>
      </w:r>
      <w:r>
        <w:t xml:space="preserve">Expenditure </w:t>
      </w:r>
      <w:proofErr w:type="gramStart"/>
      <w:r>
        <w:t>Per</w:t>
      </w:r>
      <w:proofErr w:type="gramEnd"/>
      <w:r>
        <w:t xml:space="preserve"> In-district Pupil </w:t>
      </w:r>
      <w:r w:rsidRPr="00A91978">
        <w:t xml:space="preserve">by District </w:t>
      </w:r>
      <w:r>
        <w:t xml:space="preserve">Type and </w:t>
      </w:r>
      <w:r w:rsidRPr="00A91978">
        <w:t>Size</w:t>
      </w:r>
      <w:bookmarkEnd w:id="34"/>
    </w:p>
    <w:p w:rsidR="00173267" w:rsidRPr="00D21063" w:rsidRDefault="00173267" w:rsidP="00173267">
      <w:r w:rsidRPr="00D21063">
        <w:rPr>
          <w:u w:val="single"/>
        </w:rPr>
        <w:t>Sources:</w:t>
      </w:r>
      <w:r w:rsidRPr="00D21063">
        <w:t xml:space="preserve"> EOYR; SIMS (</w:t>
      </w:r>
      <w:r w:rsidR="004D0C55">
        <w:t>Oct</w:t>
      </w:r>
      <w:r w:rsidRPr="00D21063">
        <w:t xml:space="preserve">) </w:t>
      </w:r>
    </w:p>
    <w:p w:rsidR="00173267" w:rsidRDefault="00173267" w:rsidP="00173267"/>
    <w:p w:rsidR="00173267" w:rsidRPr="00A91978" w:rsidRDefault="00173267" w:rsidP="00173267">
      <w:pPr>
        <w:rPr>
          <w:u w:val="single"/>
        </w:rPr>
      </w:pPr>
      <w:r w:rsidRPr="00A91978">
        <w:rPr>
          <w:u w:val="single"/>
        </w:rPr>
        <w:t>Description:</w:t>
      </w:r>
    </w:p>
    <w:p w:rsidR="00173267" w:rsidRDefault="00173267" w:rsidP="00173267">
      <w:r>
        <w:t xml:space="preserve">This report groups districts of similar grade-span and enrollment size and provides each group’s median, minimum and maximum expenditure per in-district pupil over three years. </w:t>
      </w:r>
      <w:r w:rsidR="004D0C55">
        <w:t xml:space="preserve">Districts are grouped by enrollment size (similar to in-district FTE pupils, but based on Oct </w:t>
      </w:r>
      <w:r>
        <w:t>SIMS</w:t>
      </w:r>
      <w:r w:rsidR="004D0C55">
        <w:t>.)</w:t>
      </w:r>
      <w:r>
        <w:t xml:space="preserve"> </w:t>
      </w:r>
    </w:p>
    <w:p w:rsidR="00173267" w:rsidRDefault="00173267" w:rsidP="00173267"/>
    <w:p w:rsidR="00173267" w:rsidRPr="00A91978" w:rsidRDefault="00173267" w:rsidP="00173267">
      <w:pPr>
        <w:rPr>
          <w:u w:val="single"/>
        </w:rPr>
      </w:pPr>
      <w:r w:rsidRPr="00A91978">
        <w:rPr>
          <w:u w:val="single"/>
        </w:rPr>
        <w:t>Uses:</w:t>
      </w:r>
    </w:p>
    <w:p w:rsidR="00173267" w:rsidRPr="00516787" w:rsidRDefault="00173267" w:rsidP="00173267">
      <w:pPr>
        <w:rPr>
          <w:i/>
        </w:rPr>
      </w:pPr>
      <w:r>
        <w:t xml:space="preserve">District costs vary systematically by size and grade-span, so these groups provide relevant comparison information. </w:t>
      </w:r>
      <w:r w:rsidRPr="00516787">
        <w:t>For instance, K-12 district</w:t>
      </w:r>
      <w:r>
        <w:t xml:space="preserve"> costs</w:t>
      </w:r>
      <w:r w:rsidRPr="00516787">
        <w:t xml:space="preserve"> are typically lower than </w:t>
      </w:r>
      <w:r>
        <w:t xml:space="preserve">those of </w:t>
      </w:r>
      <w:r w:rsidRPr="00516787">
        <w:t xml:space="preserve">vocation-agricultural districts, and </w:t>
      </w:r>
      <w:r w:rsidR="004D0C55">
        <w:t xml:space="preserve">K-12 districts with </w:t>
      </w:r>
      <w:r w:rsidRPr="00516787">
        <w:t xml:space="preserve">the lowest </w:t>
      </w:r>
      <w:r w:rsidR="004D0C55">
        <w:t>median</w:t>
      </w:r>
      <w:r>
        <w:t xml:space="preserve"> in-district </w:t>
      </w:r>
      <w:r w:rsidRPr="00516787">
        <w:t xml:space="preserve">per pupil expenditures are in the </w:t>
      </w:r>
      <w:r>
        <w:t xml:space="preserve">1,000-3,000 enrollment range. </w:t>
      </w:r>
    </w:p>
    <w:p w:rsidR="00173267" w:rsidRPr="00D21063" w:rsidRDefault="00173267" w:rsidP="00173267"/>
    <w:p w:rsidR="00173267" w:rsidRPr="00516787" w:rsidRDefault="00173267" w:rsidP="00173267">
      <w:pPr>
        <w:rPr>
          <w:i/>
        </w:rPr>
      </w:pPr>
      <w:r w:rsidRPr="00516787">
        <w:t>Th</w:t>
      </w:r>
      <w:r>
        <w:t xml:space="preserve">is report provides </w:t>
      </w:r>
      <w:r w:rsidRPr="00516787">
        <w:t>median</w:t>
      </w:r>
      <w:r>
        <w:t xml:space="preserve">s </w:t>
      </w:r>
      <w:r w:rsidRPr="00516787">
        <w:t>instead of average</w:t>
      </w:r>
      <w:r>
        <w:t>s</w:t>
      </w:r>
      <w:r w:rsidRPr="00516787">
        <w:t xml:space="preserve"> </w:t>
      </w:r>
      <w:r w:rsidR="00463DFF">
        <w:t xml:space="preserve">so </w:t>
      </w:r>
      <w:r w:rsidR="00463DFF" w:rsidRPr="00516787">
        <w:t>high</w:t>
      </w:r>
      <w:r w:rsidR="00463DFF">
        <w:t>-cost outliers don’t distort the numbers</w:t>
      </w:r>
      <w:proofErr w:type="gramStart"/>
      <w:r w:rsidR="00463DFF">
        <w:t>.</w:t>
      </w:r>
      <w:r w:rsidRPr="00516787">
        <w:t>.</w:t>
      </w:r>
      <w:proofErr w:type="gramEnd"/>
      <w:r w:rsidRPr="00516787">
        <w:t xml:space="preserve"> The range of expenditures within </w:t>
      </w:r>
      <w:r>
        <w:t xml:space="preserve">each </w:t>
      </w:r>
      <w:r w:rsidRPr="00516787">
        <w:t xml:space="preserve">group </w:t>
      </w:r>
      <w:r>
        <w:t>can be very wide</w:t>
      </w:r>
      <w:r w:rsidR="00BB5C2E">
        <w:t>, in part because districts within a size category have varying levels of wealth.</w:t>
      </w:r>
    </w:p>
    <w:p w:rsidR="00173267" w:rsidRDefault="00173267" w:rsidP="00173267"/>
    <w:p w:rsidR="00173267" w:rsidRPr="00D21063" w:rsidRDefault="00173267" w:rsidP="00173267">
      <w:pPr>
        <w:pStyle w:val="Heading3"/>
      </w:pPr>
      <w:bookmarkStart w:id="35" w:name="_Toc452474987"/>
      <w:r>
        <w:lastRenderedPageBreak/>
        <w:t>Out-of-district Expenditures</w:t>
      </w:r>
      <w:bookmarkEnd w:id="35"/>
    </w:p>
    <w:p w:rsidR="00173267" w:rsidRPr="00540AA9" w:rsidRDefault="00173267" w:rsidP="00173267">
      <w:r w:rsidRPr="00A91978">
        <w:rPr>
          <w:u w:val="single"/>
        </w:rPr>
        <w:t>Sources:</w:t>
      </w:r>
      <w:r>
        <w:rPr>
          <w:b/>
        </w:rPr>
        <w:t xml:space="preserve"> </w:t>
      </w:r>
      <w:r>
        <w:t>EOYR; SIMS End of Year (previously Schedule 11)</w:t>
      </w:r>
    </w:p>
    <w:p w:rsidR="00173267" w:rsidRDefault="00173267" w:rsidP="00173267"/>
    <w:p w:rsidR="00173267" w:rsidRPr="00A91978" w:rsidRDefault="00173267" w:rsidP="00173267">
      <w:pPr>
        <w:rPr>
          <w:u w:val="single"/>
        </w:rPr>
      </w:pPr>
      <w:r w:rsidRPr="00A91978">
        <w:rPr>
          <w:u w:val="single"/>
        </w:rPr>
        <w:t>Description:</w:t>
      </w:r>
    </w:p>
    <w:p w:rsidR="00173267" w:rsidRDefault="00173267" w:rsidP="00173267">
      <w:pPr>
        <w:numPr>
          <w:ilvl w:val="0"/>
          <w:numId w:val="12"/>
        </w:numPr>
        <w:spacing w:before="40" w:after="40"/>
      </w:pPr>
      <w:r>
        <w:t>Three years of expenditures for four districts for specific out-of-district tuition lines</w:t>
      </w:r>
    </w:p>
    <w:p w:rsidR="00173267" w:rsidRDefault="00173267" w:rsidP="00173267">
      <w:pPr>
        <w:numPr>
          <w:ilvl w:val="0"/>
          <w:numId w:val="12"/>
        </w:numPr>
        <w:spacing w:before="40" w:after="40"/>
      </w:pPr>
      <w:r>
        <w:t>FTEs and average tuition costs for charter and choice out-of-district students</w:t>
      </w:r>
    </w:p>
    <w:p w:rsidR="00173267" w:rsidRDefault="00173267" w:rsidP="00173267">
      <w:pPr>
        <w:numPr>
          <w:ilvl w:val="0"/>
          <w:numId w:val="12"/>
        </w:numPr>
        <w:spacing w:before="40" w:after="40"/>
      </w:pPr>
      <w:r>
        <w:t>State aid that supports out-of-district tuitions</w:t>
      </w:r>
    </w:p>
    <w:p w:rsidR="00173267" w:rsidRDefault="00173267" w:rsidP="00173267"/>
    <w:p w:rsidR="00173267" w:rsidRPr="00A91978" w:rsidRDefault="00173267" w:rsidP="00173267">
      <w:pPr>
        <w:rPr>
          <w:u w:val="single"/>
        </w:rPr>
      </w:pPr>
      <w:r w:rsidRPr="00A91978">
        <w:rPr>
          <w:u w:val="single"/>
        </w:rPr>
        <w:t>Uses:</w:t>
      </w:r>
    </w:p>
    <w:p w:rsidR="00173267" w:rsidRDefault="00173267" w:rsidP="00173267">
      <w:r>
        <w:t>The Out-of-district Expenditures report helps the public understand very different levels of average cost. If a district has many choice students enrolled in other districts, its average expenditure per out-of-district pupil will be low. These tuitions are about $5,000, which is less than the cost to educate a student in-district. If there are no choice or charter options (or few students exercising these options) average expenditure per out-of-district pupil will typically be much higher, as the tuitions will be mostly for placements of high needs students with disabilities. The report includes the percentage of out-of-district students in the lower-cost choice and charter tuition categories as a rough benchmark to help compare average costs.</w:t>
      </w:r>
    </w:p>
    <w:p w:rsidR="00173267" w:rsidRDefault="00173267" w:rsidP="00173267"/>
    <w:p w:rsidR="00463DFF" w:rsidRPr="00D21063" w:rsidRDefault="00463DFF" w:rsidP="00463DFF">
      <w:pPr>
        <w:pStyle w:val="Heading3"/>
      </w:pPr>
      <w:bookmarkStart w:id="36" w:name="_Toc452474988"/>
      <w:r>
        <w:t>Revenues</w:t>
      </w:r>
      <w:bookmarkEnd w:id="36"/>
    </w:p>
    <w:p w:rsidR="00463DFF" w:rsidRPr="00540AA9" w:rsidRDefault="00463DFF" w:rsidP="00463DFF">
      <w:r>
        <w:rPr>
          <w:u w:val="single"/>
        </w:rPr>
        <w:t>Source</w:t>
      </w:r>
      <w:r w:rsidRPr="00A91978">
        <w:rPr>
          <w:u w:val="single"/>
        </w:rPr>
        <w:t>:</w:t>
      </w:r>
      <w:r>
        <w:rPr>
          <w:b/>
        </w:rPr>
        <w:t xml:space="preserve"> </w:t>
      </w:r>
      <w:r>
        <w:t>EOYR</w:t>
      </w:r>
    </w:p>
    <w:p w:rsidR="00463DFF" w:rsidRDefault="00463DFF" w:rsidP="00463DFF"/>
    <w:p w:rsidR="00463DFF" w:rsidRPr="00A91978" w:rsidRDefault="00463DFF" w:rsidP="00463DFF">
      <w:pPr>
        <w:rPr>
          <w:u w:val="single"/>
        </w:rPr>
      </w:pPr>
      <w:r w:rsidRPr="00A91978">
        <w:rPr>
          <w:u w:val="single"/>
        </w:rPr>
        <w:t>Description:</w:t>
      </w:r>
    </w:p>
    <w:p w:rsidR="00463DFF" w:rsidRDefault="00463DFF" w:rsidP="00463DFF">
      <w:pPr>
        <w:numPr>
          <w:ilvl w:val="0"/>
          <w:numId w:val="12"/>
        </w:numPr>
        <w:spacing w:before="40" w:after="40"/>
      </w:pPr>
      <w:r>
        <w:t xml:space="preserve">Three years of revenues as reported in the EOYR Schedule 1 for four districts </w:t>
      </w:r>
    </w:p>
    <w:p w:rsidR="00463DFF" w:rsidRDefault="00463DFF" w:rsidP="00463DFF"/>
    <w:p w:rsidR="00463DFF" w:rsidRPr="00A91978" w:rsidRDefault="00463DFF" w:rsidP="00463DFF">
      <w:pPr>
        <w:rPr>
          <w:u w:val="single"/>
        </w:rPr>
      </w:pPr>
      <w:r w:rsidRPr="00A91978">
        <w:rPr>
          <w:u w:val="single"/>
        </w:rPr>
        <w:t>Uses:</w:t>
      </w:r>
    </w:p>
    <w:p w:rsidR="00463DFF" w:rsidRDefault="00463DFF" w:rsidP="00463DFF">
      <w:r>
        <w:t>The Revenues report provides detailed data in the categories of local general funds (excluding actual property tax levy dollars), state aid, federal and state grants and revolving funds. This level of revenues detail has not been published before.</w:t>
      </w:r>
    </w:p>
    <w:p w:rsidR="00463DFF" w:rsidRDefault="00463DFF" w:rsidP="00463DFF"/>
    <w:p w:rsidR="00463DFF" w:rsidRDefault="00463DFF" w:rsidP="00463DFF"/>
    <w:p w:rsidR="00173267" w:rsidRPr="00D21063" w:rsidRDefault="00173267" w:rsidP="00173267">
      <w:pPr>
        <w:pStyle w:val="Heading3"/>
      </w:pPr>
      <w:bookmarkStart w:id="37" w:name="_Toc452474989"/>
      <w:r>
        <w:t>Revolving Funds</w:t>
      </w:r>
      <w:bookmarkEnd w:id="37"/>
    </w:p>
    <w:p w:rsidR="00173267" w:rsidRPr="00540AA9" w:rsidRDefault="00173267" w:rsidP="00173267">
      <w:r>
        <w:rPr>
          <w:u w:val="single"/>
        </w:rPr>
        <w:t>Source</w:t>
      </w:r>
      <w:r w:rsidRPr="00A91978">
        <w:rPr>
          <w:u w:val="single"/>
        </w:rPr>
        <w:t>:</w:t>
      </w:r>
      <w:r>
        <w:rPr>
          <w:b/>
        </w:rPr>
        <w:t xml:space="preserve"> </w:t>
      </w:r>
      <w:r>
        <w:t>EOYR</w:t>
      </w:r>
    </w:p>
    <w:p w:rsidR="00173267" w:rsidRDefault="00173267" w:rsidP="00173267"/>
    <w:p w:rsidR="00173267" w:rsidRPr="00A91978" w:rsidRDefault="00173267" w:rsidP="00173267">
      <w:pPr>
        <w:rPr>
          <w:u w:val="single"/>
        </w:rPr>
      </w:pPr>
      <w:r w:rsidRPr="00A91978">
        <w:rPr>
          <w:u w:val="single"/>
        </w:rPr>
        <w:t>Description:</w:t>
      </w:r>
    </w:p>
    <w:p w:rsidR="00173267" w:rsidRDefault="00173267" w:rsidP="00173267">
      <w:pPr>
        <w:numPr>
          <w:ilvl w:val="0"/>
          <w:numId w:val="12"/>
        </w:numPr>
        <w:spacing w:before="40" w:after="40"/>
      </w:pPr>
      <w:r>
        <w:t xml:space="preserve">Three years of revenues and expenditures for revolving funds as reported in the EOYR for four districts </w:t>
      </w:r>
    </w:p>
    <w:p w:rsidR="00173267" w:rsidRDefault="00173267" w:rsidP="00173267">
      <w:pPr>
        <w:numPr>
          <w:ilvl w:val="0"/>
          <w:numId w:val="12"/>
        </w:numPr>
        <w:spacing w:before="40" w:after="40"/>
      </w:pPr>
      <w:r>
        <w:t>Annual net amount (revenues minus expenditures)</w:t>
      </w:r>
    </w:p>
    <w:p w:rsidR="00173267" w:rsidRDefault="00173267" w:rsidP="00173267"/>
    <w:p w:rsidR="00173267" w:rsidRPr="00A91978" w:rsidRDefault="00173267" w:rsidP="00173267">
      <w:pPr>
        <w:rPr>
          <w:u w:val="single"/>
        </w:rPr>
      </w:pPr>
      <w:r w:rsidRPr="00A91978">
        <w:rPr>
          <w:u w:val="single"/>
        </w:rPr>
        <w:t>Uses:</w:t>
      </w:r>
    </w:p>
    <w:p w:rsidR="00173267" w:rsidRDefault="00173267" w:rsidP="00173267">
      <w:pPr>
        <w:rPr>
          <w:rFonts w:ascii="Arial" w:hAnsi="Arial" w:cs="Arial"/>
          <w:b/>
          <w:bCs/>
          <w:kern w:val="32"/>
          <w:sz w:val="32"/>
          <w:szCs w:val="32"/>
        </w:rPr>
      </w:pPr>
      <w:r>
        <w:t>The Re</w:t>
      </w:r>
      <w:r w:rsidR="00BB5C2E">
        <w:t>volving Funds report provides the annual cash flow</w:t>
      </w:r>
      <w:r>
        <w:t xml:space="preserve"> of a district’s revolving funds. </w:t>
      </w:r>
      <w:r w:rsidR="00BB5C2E">
        <w:t>D</w:t>
      </w:r>
      <w:r>
        <w:t>istrict</w:t>
      </w:r>
      <w:r w:rsidR="00BB5C2E">
        <w:t>s</w:t>
      </w:r>
      <w:r>
        <w:t xml:space="preserve"> can roll over </w:t>
      </w:r>
      <w:r w:rsidR="00BB5C2E">
        <w:t xml:space="preserve">revolving fund </w:t>
      </w:r>
      <w:r>
        <w:t xml:space="preserve">balances from one year to the </w:t>
      </w:r>
      <w:proofErr w:type="spellStart"/>
      <w:r>
        <w:t>next</w:t>
      </w:r>
      <w:r w:rsidR="00BB5C2E">
        <w:t>a</w:t>
      </w:r>
      <w:proofErr w:type="spellEnd"/>
      <w:r>
        <w:t>. While expenditures must be for specific designated purposes, the rate of expenditure can be managed by the district, with negative cash flow one year and positive cash flow another year.</w:t>
      </w:r>
      <w:r w:rsidR="00BB5C2E">
        <w:t xml:space="preserve"> DESE does not have data on balances.</w:t>
      </w:r>
      <w:bookmarkStart w:id="38" w:name="_Toc337808316"/>
      <w:r>
        <w:br w:type="page"/>
      </w:r>
    </w:p>
    <w:p w:rsidR="00173267" w:rsidRPr="00C16C27" w:rsidRDefault="00173267" w:rsidP="00173267">
      <w:pPr>
        <w:pStyle w:val="Heading1"/>
        <w:rPr>
          <w:sz w:val="20"/>
          <w:szCs w:val="20"/>
        </w:rPr>
      </w:pPr>
      <w:bookmarkStart w:id="39" w:name="_Toc337808321"/>
      <w:bookmarkStart w:id="40" w:name="_Toc452474990"/>
      <w:bookmarkEnd w:id="38"/>
      <w:r>
        <w:lastRenderedPageBreak/>
        <w:t>Appendix A: Staffing Definitions</w:t>
      </w:r>
      <w:bookmarkEnd w:id="39"/>
      <w:bookmarkEnd w:id="40"/>
    </w:p>
    <w:p w:rsidR="00173267" w:rsidRDefault="00173267" w:rsidP="00173267">
      <w:r w:rsidRPr="0089303C">
        <w:t>A complete description of EPIMS codes is on the ESE website in</w:t>
      </w:r>
      <w:r>
        <w:t xml:space="preserve"> </w:t>
      </w:r>
      <w:r w:rsidRPr="007F163A">
        <w:rPr>
          <w:i/>
        </w:rPr>
        <w:t>Appendix A-G of the Data Handbook</w:t>
      </w:r>
      <w:r>
        <w:t xml:space="preserve">: </w:t>
      </w:r>
      <w:hyperlink r:id="rId29" w:history="1">
        <w:r w:rsidRPr="00122C14">
          <w:rPr>
            <w:rStyle w:val="Hyperlink"/>
          </w:rPr>
          <w:t>http://www.doe.mass.edu/infoservices/data/epims/</w:t>
        </w:r>
      </w:hyperlink>
      <w:r>
        <w:t xml:space="preserve">  </w:t>
      </w:r>
      <w:proofErr w:type="gramStart"/>
      <w:r>
        <w:t>The</w:t>
      </w:r>
      <w:proofErr w:type="gramEnd"/>
      <w:r>
        <w:t xml:space="preserve"> following tables show how DART staffing reports group EPIMS codes into staff categories, teaching areas, and teaching subjects.</w:t>
      </w:r>
    </w:p>
    <w:p w:rsidR="00173267" w:rsidRDefault="00173267" w:rsidP="00173267"/>
    <w:tbl>
      <w:tblPr>
        <w:tblW w:w="6570" w:type="dxa"/>
        <w:jc w:val="center"/>
        <w:tblLook w:val="0000"/>
      </w:tblPr>
      <w:tblGrid>
        <w:gridCol w:w="5760"/>
        <w:gridCol w:w="810"/>
      </w:tblGrid>
      <w:tr w:rsidR="00173267" w:rsidTr="00893DB4">
        <w:trPr>
          <w:trHeight w:val="513"/>
          <w:tblHeader/>
          <w:jc w:val="center"/>
        </w:trPr>
        <w:tc>
          <w:tcPr>
            <w:tcW w:w="5760" w:type="dxa"/>
            <w:tcBorders>
              <w:top w:val="nil"/>
              <w:left w:val="nil"/>
              <w:bottom w:val="nil"/>
              <w:right w:val="nil"/>
            </w:tcBorders>
            <w:shd w:val="clear" w:color="auto" w:fill="CCCCCC"/>
            <w:noWrap/>
            <w:vAlign w:val="center"/>
          </w:tcPr>
          <w:p w:rsidR="00173267" w:rsidRPr="00D3282E" w:rsidRDefault="00173267" w:rsidP="00893DB4">
            <w:pPr>
              <w:rPr>
                <w:rFonts w:ascii="Arial" w:hAnsi="Arial" w:cs="Arial"/>
                <w:b/>
                <w:sz w:val="22"/>
                <w:szCs w:val="22"/>
              </w:rPr>
            </w:pPr>
            <w:r w:rsidRPr="00D3282E">
              <w:rPr>
                <w:rFonts w:ascii="Arial" w:hAnsi="Arial" w:cs="Arial"/>
                <w:b/>
                <w:sz w:val="22"/>
                <w:szCs w:val="22"/>
              </w:rPr>
              <w:t>Staff Categories by EPIMS Job Code</w:t>
            </w:r>
          </w:p>
        </w:tc>
        <w:tc>
          <w:tcPr>
            <w:tcW w:w="810" w:type="dxa"/>
            <w:tcBorders>
              <w:top w:val="nil"/>
              <w:left w:val="nil"/>
              <w:bottom w:val="nil"/>
              <w:right w:val="nil"/>
            </w:tcBorders>
            <w:shd w:val="clear" w:color="auto" w:fill="CCCCCC"/>
            <w:noWrap/>
            <w:vAlign w:val="center"/>
          </w:tcPr>
          <w:p w:rsidR="00173267" w:rsidRPr="00D3282E" w:rsidRDefault="00173267" w:rsidP="00893DB4">
            <w:pPr>
              <w:rPr>
                <w:rFonts w:ascii="Arial" w:hAnsi="Arial" w:cs="Arial"/>
                <w:b/>
                <w:sz w:val="18"/>
                <w:szCs w:val="18"/>
              </w:rPr>
            </w:pPr>
            <w:r>
              <w:rPr>
                <w:rFonts w:ascii="Arial" w:hAnsi="Arial" w:cs="Arial"/>
                <w:b/>
                <w:sz w:val="18"/>
                <w:szCs w:val="18"/>
              </w:rPr>
              <w:t>Code</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District Administrators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Superintendent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1200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Asst/Assoc/Vice Superintendent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1201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Business Official</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1202</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Other District Administrator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1205</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Technology</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1224</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Nurse Leader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1226</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Other Instructional Leaders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of Guidance</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of Pupil Personnel</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Special Education Administrator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1212</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Arts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1213</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of Assessment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1214</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Curriculum</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1215</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English Language Learner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1216</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English</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1217</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Foreign Language</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1218</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History/Social Studies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1219</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Library/Media</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1220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Mathematics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1221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w:t>
            </w:r>
            <w:smartTag w:uri="urn:schemas-microsoft-com:office:smarttags" w:element="place">
              <w:smartTag w:uri="urn:schemas-microsoft-com:office:smarttags" w:element="City">
                <w:r>
                  <w:rPr>
                    <w:rFonts w:ascii="Arial" w:hAnsi="Arial" w:cs="Arial"/>
                    <w:color w:val="000000"/>
                    <w:sz w:val="20"/>
                    <w:szCs w:val="20"/>
                  </w:rPr>
                  <w:t>Reading</w:t>
                </w:r>
              </w:smartTag>
            </w:smartTag>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1222</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Science</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1223</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Supervisor/Director: Professional Development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1225</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School Administrators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Principal</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1305</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Asst/Vice Principal</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1310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Other School Administrator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1320</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Instructional Coaches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sz w:val="20"/>
                <w:szCs w:val="20"/>
              </w:rPr>
            </w:pPr>
            <w:r>
              <w:rPr>
                <w:rFonts w:ascii="Arial" w:hAnsi="Arial" w:cs="Arial"/>
                <w:sz w:val="20"/>
                <w:szCs w:val="20"/>
              </w:rPr>
              <w:t>2330</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Teachers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Teacher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2305</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Teacher - support content instruction</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2310</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Substitutes (Long-term)</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2325</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Paraprofessionals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4100</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Tutors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3323</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Instructional Support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Educational Interpreter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3324</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Diagnostic and Evaluation Staff</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3325</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Recreation Specialist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3326</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Rehabilitation Counselor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3327</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Work Study Coordinator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3328</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Guidance Counselor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3329</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Librarian</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3330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lastRenderedPageBreak/>
              <w:t xml:space="preserve">    Junior ROTC</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3340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Adjustment Counselor - Non-SPED</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3350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Psychologist - Non-SPED</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3360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Social Worker - Non-SPED</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3370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Other Professional Support (DSSR)</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3381</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SPED Instructional Support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Adjustment Counselor - SPED</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3351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Psychologist - SPED</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3361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Social Worker - SPED</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3371</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SPED Related Staff</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Audiologist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3411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Occupational Therapist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3421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Physical Therapist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3431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Peripatologist</w:t>
            </w:r>
            <w:proofErr w:type="spellEnd"/>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3441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Speech Pathologist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3451</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Other Related SPED Staff</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3461</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Medical/Health Services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Physician</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5010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Psychiatrist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5015</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Nurse - Non-SPED</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5020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School Nurse - SPED</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5021</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Clerical</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Administrative Aides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6100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Administrative Clerks/Secretaries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6110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SPED Administrative Aides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6120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SPED Clerks/Secretaries</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6130</w:t>
            </w: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Other Administrative Support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6150</w:t>
            </w:r>
          </w:p>
        </w:tc>
      </w:tr>
      <w:tr w:rsidR="00173267" w:rsidTr="00893DB4">
        <w:trPr>
          <w:trHeight w:val="300"/>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b/>
                <w:bCs/>
                <w:color w:val="000000"/>
                <w:sz w:val="20"/>
                <w:szCs w:val="20"/>
              </w:rPr>
            </w:pPr>
            <w:r>
              <w:rPr>
                <w:rFonts w:ascii="Arial" w:hAnsi="Arial" w:cs="Arial"/>
                <w:b/>
                <w:bCs/>
                <w:color w:val="000000"/>
                <w:sz w:val="20"/>
                <w:szCs w:val="20"/>
              </w:rPr>
              <w:t>Tech Support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p>
        </w:tc>
      </w:tr>
      <w:tr w:rsidR="00173267" w:rsidTr="00893DB4">
        <w:trPr>
          <w:trHeight w:val="255"/>
          <w:jc w:val="center"/>
        </w:trPr>
        <w:tc>
          <w:tcPr>
            <w:tcW w:w="576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 xml:space="preserve">    Information Services and Technical Support</w:t>
            </w:r>
          </w:p>
        </w:tc>
        <w:tc>
          <w:tcPr>
            <w:tcW w:w="810" w:type="dxa"/>
            <w:tcBorders>
              <w:top w:val="nil"/>
              <w:left w:val="nil"/>
              <w:bottom w:val="nil"/>
              <w:right w:val="nil"/>
            </w:tcBorders>
            <w:shd w:val="clear" w:color="auto" w:fill="auto"/>
            <w:noWrap/>
            <w:vAlign w:val="bottom"/>
          </w:tcPr>
          <w:p w:rsidR="00173267" w:rsidRDefault="00173267" w:rsidP="00893DB4">
            <w:pPr>
              <w:rPr>
                <w:rFonts w:ascii="Arial" w:hAnsi="Arial" w:cs="Arial"/>
                <w:color w:val="000000"/>
                <w:sz w:val="20"/>
                <w:szCs w:val="20"/>
              </w:rPr>
            </w:pPr>
            <w:r>
              <w:rPr>
                <w:rFonts w:ascii="Arial" w:hAnsi="Arial" w:cs="Arial"/>
                <w:color w:val="000000"/>
                <w:sz w:val="20"/>
                <w:szCs w:val="20"/>
              </w:rPr>
              <w:t>6140</w:t>
            </w:r>
          </w:p>
        </w:tc>
      </w:tr>
    </w:tbl>
    <w:p w:rsidR="00173267" w:rsidRDefault="00173267" w:rsidP="00173267"/>
    <w:p w:rsidR="00173267" w:rsidRPr="008174FB" w:rsidRDefault="00173267" w:rsidP="00173267">
      <w:pPr>
        <w:rPr>
          <w:rFonts w:ascii="Calibri" w:hAnsi="Calibri"/>
        </w:rPr>
      </w:pPr>
      <w:r>
        <w:rPr>
          <w:rFonts w:ascii="Calibri" w:hAnsi="Calibri"/>
        </w:rPr>
        <w:br w:type="page"/>
      </w:r>
    </w:p>
    <w:tbl>
      <w:tblPr>
        <w:tblW w:w="6570" w:type="dxa"/>
        <w:jc w:val="center"/>
        <w:tblLook w:val="0000"/>
      </w:tblPr>
      <w:tblGrid>
        <w:gridCol w:w="5760"/>
        <w:gridCol w:w="810"/>
      </w:tblGrid>
      <w:tr w:rsidR="00173267" w:rsidRPr="008174FB" w:rsidTr="00893DB4">
        <w:trPr>
          <w:trHeight w:val="510"/>
          <w:tblHeader/>
          <w:jc w:val="center"/>
        </w:trPr>
        <w:tc>
          <w:tcPr>
            <w:tcW w:w="5760" w:type="dxa"/>
            <w:tcBorders>
              <w:top w:val="nil"/>
              <w:left w:val="nil"/>
              <w:bottom w:val="nil"/>
              <w:right w:val="nil"/>
            </w:tcBorders>
            <w:shd w:val="clear" w:color="000000" w:fill="C0C0C0"/>
            <w:vAlign w:val="center"/>
          </w:tcPr>
          <w:p w:rsidR="00173267" w:rsidRPr="007C11FC" w:rsidRDefault="00173267" w:rsidP="00893DB4">
            <w:pPr>
              <w:rPr>
                <w:rFonts w:ascii="Arial" w:hAnsi="Arial" w:cs="Arial"/>
                <w:b/>
                <w:bCs/>
                <w:color w:val="000000"/>
                <w:sz w:val="22"/>
                <w:szCs w:val="22"/>
              </w:rPr>
            </w:pPr>
            <w:r>
              <w:rPr>
                <w:rFonts w:ascii="Arial" w:hAnsi="Arial" w:cs="Arial"/>
                <w:b/>
                <w:bCs/>
                <w:color w:val="000000"/>
                <w:sz w:val="22"/>
                <w:szCs w:val="22"/>
              </w:rPr>
              <w:lastRenderedPageBreak/>
              <w:t>Teaching Areas by EPIMS Assignment Code</w:t>
            </w:r>
          </w:p>
        </w:tc>
        <w:tc>
          <w:tcPr>
            <w:tcW w:w="810" w:type="dxa"/>
            <w:tcBorders>
              <w:top w:val="nil"/>
              <w:left w:val="nil"/>
              <w:bottom w:val="nil"/>
              <w:right w:val="nil"/>
            </w:tcBorders>
            <w:shd w:val="clear" w:color="000000" w:fill="C0C0C0"/>
            <w:vAlign w:val="center"/>
          </w:tcPr>
          <w:p w:rsidR="00173267" w:rsidRPr="002959C5" w:rsidRDefault="00173267" w:rsidP="00893DB4">
            <w:pPr>
              <w:rPr>
                <w:rFonts w:ascii="Arial" w:hAnsi="Arial" w:cs="Arial"/>
                <w:b/>
                <w:bCs/>
                <w:color w:val="000000"/>
                <w:sz w:val="18"/>
                <w:szCs w:val="18"/>
              </w:rPr>
            </w:pPr>
            <w:r>
              <w:rPr>
                <w:rFonts w:ascii="Arial" w:hAnsi="Arial" w:cs="Arial"/>
                <w:b/>
                <w:bCs/>
                <w:color w:val="000000"/>
                <w:sz w:val="18"/>
                <w:szCs w:val="18"/>
              </w:rPr>
              <w:t xml:space="preserve">Code </w:t>
            </w:r>
          </w:p>
        </w:tc>
      </w:tr>
      <w:tr w:rsidR="00173267" w:rsidRPr="008174FB" w:rsidTr="00893DB4">
        <w:trPr>
          <w:trHeight w:val="315"/>
          <w:jc w:val="center"/>
        </w:trPr>
        <w:tc>
          <w:tcPr>
            <w:tcW w:w="5760" w:type="dxa"/>
            <w:tcBorders>
              <w:top w:val="nil"/>
              <w:left w:val="nil"/>
              <w:bottom w:val="nil"/>
              <w:right w:val="nil"/>
            </w:tcBorders>
            <w:shd w:val="clear" w:color="auto" w:fill="auto"/>
            <w:vAlign w:val="bottom"/>
          </w:tcPr>
          <w:p w:rsidR="00173267" w:rsidRPr="00D3282E" w:rsidRDefault="00173267" w:rsidP="00893DB4">
            <w:pPr>
              <w:rPr>
                <w:rFonts w:ascii="Arial" w:hAnsi="Arial" w:cs="Arial"/>
                <w:b/>
                <w:bCs/>
                <w:color w:val="000000"/>
                <w:sz w:val="20"/>
                <w:szCs w:val="20"/>
              </w:rPr>
            </w:pPr>
            <w:r w:rsidRPr="00D3282E">
              <w:rPr>
                <w:rFonts w:ascii="Arial" w:hAnsi="Arial" w:cs="Arial"/>
                <w:b/>
                <w:bCs/>
                <w:color w:val="000000"/>
                <w:sz w:val="20"/>
                <w:szCs w:val="20"/>
              </w:rPr>
              <w:t>General education</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 </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Not available</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000</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Non-Secondary Level Classroom Teacher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001</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Secondary Level Classroom Teacher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002</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Support Content General Education</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012</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Reading Teacher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017</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Non-Core Subject: Non-Secondary Level Classroom Teacher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212</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Non-Core Subject: Secondary Level Classroom Teacher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213</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Non-Core Support Content General Education</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215</w:t>
            </w:r>
          </w:p>
        </w:tc>
      </w:tr>
      <w:tr w:rsidR="00173267" w:rsidRPr="008174FB" w:rsidTr="00893DB4">
        <w:trPr>
          <w:trHeight w:val="315"/>
          <w:jc w:val="center"/>
        </w:trPr>
        <w:tc>
          <w:tcPr>
            <w:tcW w:w="5760" w:type="dxa"/>
            <w:tcBorders>
              <w:top w:val="nil"/>
              <w:left w:val="nil"/>
              <w:bottom w:val="nil"/>
              <w:right w:val="nil"/>
            </w:tcBorders>
            <w:shd w:val="clear" w:color="auto" w:fill="auto"/>
            <w:vAlign w:val="bottom"/>
          </w:tcPr>
          <w:p w:rsidR="00173267" w:rsidRPr="00D3282E" w:rsidRDefault="00173267" w:rsidP="00893DB4">
            <w:pPr>
              <w:rPr>
                <w:rFonts w:ascii="Arial" w:hAnsi="Arial" w:cs="Arial"/>
                <w:b/>
                <w:bCs/>
                <w:color w:val="000000"/>
                <w:sz w:val="20"/>
                <w:szCs w:val="20"/>
              </w:rPr>
            </w:pPr>
            <w:r w:rsidRPr="00D3282E">
              <w:rPr>
                <w:rFonts w:ascii="Arial" w:hAnsi="Arial" w:cs="Arial"/>
                <w:b/>
                <w:bCs/>
                <w:color w:val="000000"/>
                <w:sz w:val="20"/>
                <w:szCs w:val="20"/>
              </w:rPr>
              <w:t>Vocational-technical</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 </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Non-Core Subject: Career and Technical Education</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208</w:t>
            </w:r>
          </w:p>
        </w:tc>
      </w:tr>
      <w:tr w:rsidR="00173267" w:rsidRPr="008174FB" w:rsidTr="00893DB4">
        <w:trPr>
          <w:trHeight w:val="315"/>
          <w:jc w:val="center"/>
        </w:trPr>
        <w:tc>
          <w:tcPr>
            <w:tcW w:w="5760" w:type="dxa"/>
            <w:tcBorders>
              <w:top w:val="nil"/>
              <w:left w:val="nil"/>
              <w:bottom w:val="nil"/>
              <w:right w:val="nil"/>
            </w:tcBorders>
            <w:shd w:val="clear" w:color="auto" w:fill="auto"/>
            <w:vAlign w:val="bottom"/>
          </w:tcPr>
          <w:p w:rsidR="00173267" w:rsidRPr="00D3282E" w:rsidRDefault="00173267" w:rsidP="00893DB4">
            <w:pPr>
              <w:rPr>
                <w:rFonts w:ascii="Arial" w:hAnsi="Arial" w:cs="Arial"/>
                <w:b/>
                <w:bCs/>
                <w:color w:val="000000"/>
                <w:sz w:val="20"/>
                <w:szCs w:val="20"/>
              </w:rPr>
            </w:pPr>
            <w:r w:rsidRPr="00D3282E">
              <w:rPr>
                <w:rFonts w:ascii="Arial" w:hAnsi="Arial" w:cs="Arial"/>
                <w:b/>
                <w:bCs/>
                <w:color w:val="000000"/>
                <w:sz w:val="20"/>
                <w:szCs w:val="20"/>
              </w:rPr>
              <w:t>Special education</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 </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Mild/Moderate Disabilities Sole Content</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003</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Severe Disabilities Sole Content</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004</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Mild/Moderate Disabilities Consultative</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005</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Severe Disabilities Consultative</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006</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Vision Impairments</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007</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Deaf/Hard of Hearing</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008</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Non-Core Subject: Vision Impairments</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209</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Non-Core Subject: Speech/Language/Hearing Disorder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210</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Non-Core Subject: Deaf/Hard of Hearing</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211</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Non-Core Subject: Other Special Education Instruction</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214</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Special Ed: Shared Physical Education at Non-Secondary</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301</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Special Ed: Shared Physical Education at Secondary</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302</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Special Ed: Shared Vocational Education</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303</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Special Ed: Other Shared Instructional Staff</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304</w:t>
            </w:r>
          </w:p>
        </w:tc>
      </w:tr>
      <w:tr w:rsidR="00173267" w:rsidRPr="008174FB" w:rsidTr="00893DB4">
        <w:trPr>
          <w:trHeight w:val="315"/>
          <w:jc w:val="center"/>
        </w:trPr>
        <w:tc>
          <w:tcPr>
            <w:tcW w:w="5760" w:type="dxa"/>
            <w:tcBorders>
              <w:top w:val="nil"/>
              <w:left w:val="nil"/>
              <w:bottom w:val="nil"/>
              <w:right w:val="nil"/>
            </w:tcBorders>
            <w:shd w:val="clear" w:color="auto" w:fill="auto"/>
            <w:vAlign w:val="bottom"/>
          </w:tcPr>
          <w:p w:rsidR="00173267" w:rsidRPr="00D3282E" w:rsidRDefault="00173267" w:rsidP="00893DB4">
            <w:pPr>
              <w:rPr>
                <w:rFonts w:ascii="Arial" w:hAnsi="Arial" w:cs="Arial"/>
                <w:b/>
                <w:bCs/>
                <w:color w:val="000000"/>
                <w:sz w:val="20"/>
                <w:szCs w:val="20"/>
              </w:rPr>
            </w:pPr>
            <w:r w:rsidRPr="00D3282E">
              <w:rPr>
                <w:rFonts w:ascii="Arial" w:hAnsi="Arial" w:cs="Arial"/>
                <w:b/>
                <w:bCs/>
                <w:color w:val="000000"/>
                <w:sz w:val="20"/>
                <w:szCs w:val="20"/>
              </w:rPr>
              <w:t>English as a second language</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 </w:t>
            </w:r>
          </w:p>
        </w:tc>
      </w:tr>
      <w:tr w:rsidR="00173267" w:rsidRPr="008174FB" w:rsidTr="00893DB4">
        <w:trPr>
          <w:trHeight w:val="28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Non-Secondary Level ESL Teacher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010</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Secondary Level ESL Teacher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011</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Non-Secondary Content Support ESL Teacher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014</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Secondary Content Support ESL Teacher</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020</w:t>
            </w:r>
          </w:p>
        </w:tc>
      </w:tr>
      <w:tr w:rsidR="00173267" w:rsidRPr="008174FB" w:rsidTr="00893DB4">
        <w:trPr>
          <w:trHeight w:val="315"/>
          <w:jc w:val="center"/>
        </w:trPr>
        <w:tc>
          <w:tcPr>
            <w:tcW w:w="5760" w:type="dxa"/>
            <w:tcBorders>
              <w:top w:val="nil"/>
              <w:left w:val="nil"/>
              <w:bottom w:val="nil"/>
              <w:right w:val="nil"/>
            </w:tcBorders>
            <w:shd w:val="clear" w:color="auto" w:fill="auto"/>
            <w:vAlign w:val="bottom"/>
          </w:tcPr>
          <w:p w:rsidR="00173267" w:rsidRPr="00D3282E" w:rsidRDefault="00173267" w:rsidP="00893DB4">
            <w:pPr>
              <w:rPr>
                <w:rFonts w:ascii="Arial" w:hAnsi="Arial" w:cs="Arial"/>
                <w:b/>
                <w:bCs/>
                <w:color w:val="000000"/>
                <w:sz w:val="20"/>
                <w:szCs w:val="20"/>
              </w:rPr>
            </w:pPr>
            <w:r w:rsidRPr="00D3282E">
              <w:rPr>
                <w:rFonts w:ascii="Arial" w:hAnsi="Arial" w:cs="Arial"/>
                <w:b/>
                <w:bCs/>
                <w:color w:val="000000"/>
                <w:sz w:val="20"/>
                <w:szCs w:val="20"/>
              </w:rPr>
              <w:t>Sheltered content/bilingual</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 </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Sheltered Content Teacher &gt; or = 50%</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009</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Other Bilingual Education</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016</w:t>
            </w:r>
          </w:p>
        </w:tc>
      </w:tr>
      <w:tr w:rsidR="00173267" w:rsidRPr="008174FB" w:rsidTr="00893DB4">
        <w:trPr>
          <w:trHeight w:val="255"/>
          <w:jc w:val="center"/>
        </w:trPr>
        <w:tc>
          <w:tcPr>
            <w:tcW w:w="5760" w:type="dxa"/>
            <w:tcBorders>
              <w:top w:val="nil"/>
              <w:left w:val="nil"/>
              <w:bottom w:val="nil"/>
              <w:right w:val="nil"/>
            </w:tcBorders>
            <w:shd w:val="clear" w:color="auto" w:fill="auto"/>
            <w:vAlign w:val="bottom"/>
          </w:tcPr>
          <w:p w:rsidR="00173267" w:rsidRPr="00D3282E" w:rsidRDefault="00173267" w:rsidP="00893DB4">
            <w:pPr>
              <w:ind w:left="267"/>
              <w:rPr>
                <w:rFonts w:ascii="Arial" w:hAnsi="Arial" w:cs="Arial"/>
                <w:color w:val="000000"/>
                <w:sz w:val="20"/>
                <w:szCs w:val="20"/>
              </w:rPr>
            </w:pPr>
            <w:r w:rsidRPr="00D3282E">
              <w:rPr>
                <w:rFonts w:ascii="Arial" w:hAnsi="Arial" w:cs="Arial"/>
                <w:color w:val="000000"/>
                <w:sz w:val="20"/>
                <w:szCs w:val="20"/>
              </w:rPr>
              <w:t>Core Subject: Sheltered Content Teacher &lt; 50%</w:t>
            </w:r>
          </w:p>
        </w:tc>
        <w:tc>
          <w:tcPr>
            <w:tcW w:w="810" w:type="dxa"/>
            <w:tcBorders>
              <w:top w:val="nil"/>
              <w:left w:val="nil"/>
              <w:bottom w:val="nil"/>
              <w:right w:val="nil"/>
            </w:tcBorders>
            <w:shd w:val="clear" w:color="auto" w:fill="auto"/>
            <w:vAlign w:val="bottom"/>
          </w:tcPr>
          <w:p w:rsidR="00173267" w:rsidRPr="00D3282E" w:rsidRDefault="00173267" w:rsidP="00893DB4">
            <w:pPr>
              <w:rPr>
                <w:rFonts w:ascii="Arial" w:hAnsi="Arial" w:cs="Arial"/>
                <w:color w:val="000000"/>
                <w:sz w:val="20"/>
                <w:szCs w:val="20"/>
              </w:rPr>
            </w:pPr>
            <w:r w:rsidRPr="00D3282E">
              <w:rPr>
                <w:rFonts w:ascii="Arial" w:hAnsi="Arial" w:cs="Arial"/>
                <w:color w:val="000000"/>
                <w:sz w:val="20"/>
                <w:szCs w:val="20"/>
              </w:rPr>
              <w:t>019</w:t>
            </w:r>
          </w:p>
        </w:tc>
      </w:tr>
    </w:tbl>
    <w:p w:rsidR="00173267" w:rsidRDefault="00173267" w:rsidP="00173267"/>
    <w:p w:rsidR="00173267" w:rsidRDefault="00173267" w:rsidP="00173267">
      <w:r>
        <w:br w:type="page"/>
      </w:r>
    </w:p>
    <w:tbl>
      <w:tblPr>
        <w:tblW w:w="6570" w:type="dxa"/>
        <w:jc w:val="center"/>
        <w:tblLayout w:type="fixed"/>
        <w:tblLook w:val="0000"/>
      </w:tblPr>
      <w:tblGrid>
        <w:gridCol w:w="5760"/>
        <w:gridCol w:w="810"/>
      </w:tblGrid>
      <w:tr w:rsidR="00173267" w:rsidTr="00893DB4">
        <w:trPr>
          <w:trHeight w:val="684"/>
          <w:jc w:val="center"/>
        </w:trPr>
        <w:tc>
          <w:tcPr>
            <w:tcW w:w="5760" w:type="dxa"/>
            <w:tcBorders>
              <w:left w:val="nil"/>
            </w:tcBorders>
            <w:shd w:val="clear" w:color="000000" w:fill="C0C0C0"/>
            <w:noWrap/>
            <w:vAlign w:val="center"/>
          </w:tcPr>
          <w:p w:rsidR="00173267" w:rsidRPr="00287251" w:rsidRDefault="00173267" w:rsidP="00893DB4">
            <w:pPr>
              <w:rPr>
                <w:rFonts w:ascii="Arial" w:hAnsi="Arial" w:cs="Arial"/>
                <w:b/>
                <w:color w:val="000000"/>
                <w:sz w:val="22"/>
                <w:szCs w:val="22"/>
              </w:rPr>
            </w:pPr>
            <w:r w:rsidRPr="00287251">
              <w:rPr>
                <w:rFonts w:ascii="Arial" w:hAnsi="Arial" w:cs="Arial"/>
                <w:b/>
                <w:color w:val="000000"/>
                <w:sz w:val="22"/>
                <w:szCs w:val="22"/>
              </w:rPr>
              <w:lastRenderedPageBreak/>
              <w:t>T</w:t>
            </w:r>
            <w:r>
              <w:rPr>
                <w:rFonts w:ascii="Arial" w:hAnsi="Arial" w:cs="Arial"/>
                <w:b/>
                <w:color w:val="000000"/>
                <w:sz w:val="22"/>
                <w:szCs w:val="22"/>
              </w:rPr>
              <w:t>eaching</w:t>
            </w:r>
            <w:r w:rsidRPr="00287251">
              <w:rPr>
                <w:rFonts w:ascii="Arial" w:hAnsi="Arial" w:cs="Arial"/>
                <w:b/>
                <w:color w:val="000000"/>
                <w:sz w:val="22"/>
                <w:szCs w:val="22"/>
              </w:rPr>
              <w:t xml:space="preserve"> Subjects by EPIMS Course Code</w:t>
            </w:r>
          </w:p>
        </w:tc>
        <w:tc>
          <w:tcPr>
            <w:tcW w:w="810" w:type="dxa"/>
            <w:tcBorders>
              <w:right w:val="nil"/>
            </w:tcBorders>
            <w:shd w:val="clear" w:color="000000" w:fill="C0C0C0"/>
            <w:vAlign w:val="center"/>
          </w:tcPr>
          <w:p w:rsidR="00173267" w:rsidRPr="002959C5" w:rsidRDefault="00173267" w:rsidP="00893DB4">
            <w:pPr>
              <w:rPr>
                <w:rFonts w:ascii="Arial" w:hAnsi="Arial" w:cs="Arial"/>
                <w:color w:val="000000"/>
                <w:sz w:val="18"/>
                <w:szCs w:val="18"/>
              </w:rPr>
            </w:pPr>
            <w:r>
              <w:rPr>
                <w:rFonts w:ascii="Arial" w:hAnsi="Arial" w:cs="Arial"/>
                <w:b/>
                <w:bCs/>
                <w:color w:val="000000"/>
                <w:sz w:val="18"/>
                <w:szCs w:val="18"/>
              </w:rPr>
              <w:t xml:space="preserve">Code </w:t>
            </w:r>
          </w:p>
        </w:tc>
      </w:tr>
      <w:tr w:rsidR="00173267" w:rsidTr="00893DB4">
        <w:trPr>
          <w:trHeight w:val="423"/>
          <w:jc w:val="center"/>
        </w:trPr>
        <w:tc>
          <w:tcPr>
            <w:tcW w:w="5760" w:type="dxa"/>
            <w:tcBorders>
              <w:left w:val="nil"/>
            </w:tcBorders>
            <w:shd w:val="clear" w:color="auto" w:fill="auto"/>
            <w:vAlign w:val="bottom"/>
          </w:tcPr>
          <w:p w:rsidR="00173267" w:rsidRPr="002959C5" w:rsidRDefault="00173267" w:rsidP="00893DB4">
            <w:pPr>
              <w:rPr>
                <w:rFonts w:ascii="Arial" w:hAnsi="Arial" w:cs="Arial"/>
                <w:b/>
                <w:bCs/>
                <w:color w:val="000000"/>
                <w:sz w:val="18"/>
                <w:szCs w:val="18"/>
              </w:rPr>
            </w:pPr>
            <w:r w:rsidRPr="002959C5">
              <w:rPr>
                <w:rFonts w:ascii="Arial" w:hAnsi="Arial" w:cs="Arial"/>
                <w:b/>
                <w:bCs/>
                <w:color w:val="000000"/>
                <w:sz w:val="18"/>
                <w:szCs w:val="18"/>
              </w:rPr>
              <w:t>ELA/Reading/Math/Science/Social Studies</w:t>
            </w:r>
          </w:p>
        </w:tc>
        <w:tc>
          <w:tcPr>
            <w:tcW w:w="810" w:type="dxa"/>
            <w:tcBorders>
              <w:right w:val="nil"/>
            </w:tcBorders>
            <w:vAlign w:val="bottom"/>
          </w:tcPr>
          <w:p w:rsidR="00173267" w:rsidRPr="002959C5" w:rsidRDefault="00173267" w:rsidP="00893DB4">
            <w:pPr>
              <w:rPr>
                <w:rFonts w:ascii="Arial" w:hAnsi="Arial" w:cs="Arial"/>
                <w:b/>
                <w:bCs/>
                <w:color w:val="000000"/>
                <w:sz w:val="18"/>
                <w:szCs w:val="18"/>
              </w:rPr>
            </w:pPr>
            <w:r w:rsidRPr="002959C5">
              <w:rPr>
                <w:rFonts w:ascii="Arial" w:hAnsi="Arial" w:cs="Arial"/>
                <w:color w:val="000000"/>
                <w:sz w:val="18"/>
                <w:szCs w:val="18"/>
              </w:rPr>
              <w:t> </w:t>
            </w:r>
          </w:p>
        </w:tc>
      </w:tr>
      <w:tr w:rsidR="00173267" w:rsidTr="00893DB4">
        <w:trPr>
          <w:trHeight w:val="255"/>
          <w:jc w:val="center"/>
        </w:trPr>
        <w:tc>
          <w:tcPr>
            <w:tcW w:w="5760" w:type="dxa"/>
            <w:tcBorders>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English</w:t>
            </w:r>
          </w:p>
        </w:tc>
        <w:tc>
          <w:tcPr>
            <w:tcW w:w="810" w:type="dxa"/>
            <w:tcBorders>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01</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Mathematics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02</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Science</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03</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History, Social Studies, Social Sciences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04</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smartTag w:uri="urn:schemas-microsoft-com:office:smarttags" w:element="place">
              <w:smartTag w:uri="urn:schemas-microsoft-com:office:smarttags" w:element="City">
                <w:r w:rsidRPr="002959C5">
                  <w:rPr>
                    <w:rFonts w:ascii="Arial" w:hAnsi="Arial" w:cs="Arial"/>
                    <w:color w:val="000000"/>
                    <w:sz w:val="18"/>
                    <w:szCs w:val="18"/>
                  </w:rPr>
                  <w:t>Reading</w:t>
                </w:r>
              </w:smartTag>
            </w:smartTag>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74</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All Subjects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99</w:t>
            </w:r>
          </w:p>
        </w:tc>
      </w:tr>
      <w:tr w:rsidR="00173267" w:rsidTr="00893DB4">
        <w:trPr>
          <w:trHeight w:val="31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rPr>
                <w:rFonts w:ascii="Arial" w:hAnsi="Arial" w:cs="Arial"/>
                <w:b/>
                <w:bCs/>
                <w:color w:val="000000"/>
                <w:sz w:val="18"/>
                <w:szCs w:val="18"/>
              </w:rPr>
            </w:pPr>
            <w:r w:rsidRPr="002959C5">
              <w:rPr>
                <w:rFonts w:ascii="Arial" w:hAnsi="Arial" w:cs="Arial"/>
                <w:b/>
                <w:bCs/>
                <w:color w:val="000000"/>
                <w:sz w:val="18"/>
                <w:szCs w:val="18"/>
              </w:rPr>
              <w:t>Arts/Languages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b/>
                <w:bCs/>
                <w:color w:val="000000"/>
                <w:sz w:val="18"/>
                <w:szCs w:val="18"/>
              </w:rPr>
            </w:pPr>
            <w:r w:rsidRPr="002959C5">
              <w:rPr>
                <w:rFonts w:ascii="Arial" w:hAnsi="Arial" w:cs="Arial"/>
                <w:color w:val="000000"/>
                <w:sz w:val="18"/>
                <w:szCs w:val="18"/>
              </w:rPr>
              <w:t> </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Arts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05</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Foreign Languages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06</w:t>
            </w:r>
          </w:p>
        </w:tc>
      </w:tr>
      <w:tr w:rsidR="00173267" w:rsidTr="00893DB4">
        <w:trPr>
          <w:trHeight w:val="31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rPr>
                <w:rFonts w:ascii="Arial" w:hAnsi="Arial" w:cs="Arial"/>
                <w:b/>
                <w:bCs/>
                <w:color w:val="000000"/>
                <w:sz w:val="18"/>
                <w:szCs w:val="18"/>
              </w:rPr>
            </w:pPr>
            <w:r w:rsidRPr="002959C5">
              <w:rPr>
                <w:rFonts w:ascii="Arial" w:hAnsi="Arial" w:cs="Arial"/>
                <w:b/>
                <w:bCs/>
                <w:color w:val="000000"/>
                <w:sz w:val="18"/>
                <w:szCs w:val="18"/>
              </w:rPr>
              <w:t>Other</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b/>
                <w:bCs/>
                <w:color w:val="000000"/>
                <w:sz w:val="18"/>
                <w:szCs w:val="18"/>
              </w:rPr>
            </w:pPr>
            <w:r w:rsidRPr="002959C5">
              <w:rPr>
                <w:rFonts w:ascii="Arial" w:hAnsi="Arial" w:cs="Arial"/>
                <w:color w:val="000000"/>
                <w:sz w:val="18"/>
                <w:szCs w:val="18"/>
              </w:rPr>
              <w:t> </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Not Available</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00</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Religion</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07</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Physical, Health and Safety Education</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08</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Military Science</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09</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Computer and Information Sciences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10</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Communications and A/V Technology</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11</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Business and Marketing</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12</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Manufacturing</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13</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Health Care Sciences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14</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Public, Protective and Government Service</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15</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Hospitality and Tourism</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16</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Architecture and Construction</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17</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Agriculture, Food and Natural Resources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18</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Human Services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19</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Transport, Distribution and Logistics</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20</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Engineering and Technology</w:t>
            </w:r>
          </w:p>
        </w:tc>
        <w:tc>
          <w:tcPr>
            <w:tcW w:w="810" w:type="dxa"/>
            <w:tcBorders>
              <w:top w:val="nil"/>
              <w:left w:val="nil"/>
              <w:bottom w:val="single" w:sz="4" w:space="0" w:color="C0C0C0"/>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21</w:t>
            </w:r>
          </w:p>
        </w:tc>
      </w:tr>
      <w:tr w:rsidR="00173267" w:rsidTr="00893DB4">
        <w:trPr>
          <w:trHeight w:val="255"/>
          <w:jc w:val="center"/>
        </w:trPr>
        <w:tc>
          <w:tcPr>
            <w:tcW w:w="5760" w:type="dxa"/>
            <w:tcBorders>
              <w:top w:val="nil"/>
              <w:left w:val="nil"/>
              <w:bottom w:val="nil"/>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sidRPr="002959C5">
              <w:rPr>
                <w:rFonts w:ascii="Arial" w:hAnsi="Arial" w:cs="Arial"/>
                <w:color w:val="000000"/>
                <w:sz w:val="18"/>
                <w:szCs w:val="18"/>
              </w:rPr>
              <w:t>Miscellaneous</w:t>
            </w:r>
          </w:p>
        </w:tc>
        <w:tc>
          <w:tcPr>
            <w:tcW w:w="810" w:type="dxa"/>
            <w:tcBorders>
              <w:top w:val="nil"/>
              <w:left w:val="nil"/>
              <w:bottom w:val="nil"/>
              <w:right w:val="nil"/>
            </w:tcBorders>
            <w:vAlign w:val="bottom"/>
          </w:tcPr>
          <w:p w:rsidR="00173267" w:rsidRPr="002959C5" w:rsidRDefault="00173267" w:rsidP="00893DB4">
            <w:pPr>
              <w:rPr>
                <w:rFonts w:ascii="Arial" w:hAnsi="Arial" w:cs="Arial"/>
                <w:color w:val="000000"/>
                <w:sz w:val="18"/>
                <w:szCs w:val="18"/>
              </w:rPr>
            </w:pPr>
            <w:r w:rsidRPr="002959C5">
              <w:rPr>
                <w:rFonts w:ascii="Arial" w:hAnsi="Arial" w:cs="Arial"/>
                <w:color w:val="000000"/>
                <w:sz w:val="18"/>
                <w:szCs w:val="18"/>
              </w:rPr>
              <w:t>22</w:t>
            </w:r>
          </w:p>
        </w:tc>
      </w:tr>
      <w:tr w:rsidR="00173267" w:rsidTr="00893DB4">
        <w:trPr>
          <w:trHeight w:val="255"/>
          <w:jc w:val="center"/>
        </w:trPr>
        <w:tc>
          <w:tcPr>
            <w:tcW w:w="5760" w:type="dxa"/>
            <w:tcBorders>
              <w:top w:val="nil"/>
              <w:left w:val="nil"/>
              <w:bottom w:val="nil"/>
              <w:right w:val="single" w:sz="4" w:space="0" w:color="C0C0C0"/>
            </w:tcBorders>
            <w:shd w:val="clear" w:color="auto" w:fill="auto"/>
            <w:vAlign w:val="bottom"/>
          </w:tcPr>
          <w:p w:rsidR="00173267" w:rsidRPr="002959C5" w:rsidRDefault="00173267" w:rsidP="00893DB4">
            <w:pPr>
              <w:ind w:left="267"/>
              <w:rPr>
                <w:rFonts w:ascii="Arial" w:hAnsi="Arial" w:cs="Arial"/>
                <w:color w:val="000000"/>
                <w:sz w:val="18"/>
                <w:szCs w:val="18"/>
              </w:rPr>
            </w:pPr>
            <w:r>
              <w:rPr>
                <w:rFonts w:ascii="Arial" w:hAnsi="Arial" w:cs="Arial"/>
                <w:color w:val="000000"/>
                <w:sz w:val="18"/>
                <w:szCs w:val="18"/>
              </w:rPr>
              <w:t>SPED Services</w:t>
            </w:r>
          </w:p>
        </w:tc>
        <w:tc>
          <w:tcPr>
            <w:tcW w:w="810" w:type="dxa"/>
            <w:tcBorders>
              <w:top w:val="nil"/>
              <w:left w:val="nil"/>
              <w:bottom w:val="nil"/>
              <w:right w:val="nil"/>
            </w:tcBorders>
            <w:vAlign w:val="bottom"/>
          </w:tcPr>
          <w:p w:rsidR="00173267" w:rsidRPr="002959C5" w:rsidRDefault="00173267" w:rsidP="00893DB4">
            <w:pPr>
              <w:rPr>
                <w:rFonts w:ascii="Arial" w:hAnsi="Arial" w:cs="Arial"/>
                <w:color w:val="000000"/>
                <w:sz w:val="18"/>
                <w:szCs w:val="18"/>
              </w:rPr>
            </w:pPr>
            <w:r>
              <w:rPr>
                <w:rFonts w:ascii="Arial" w:hAnsi="Arial" w:cs="Arial"/>
                <w:color w:val="000000"/>
                <w:sz w:val="18"/>
                <w:szCs w:val="18"/>
              </w:rPr>
              <w:t>24</w:t>
            </w:r>
          </w:p>
        </w:tc>
      </w:tr>
      <w:tr w:rsidR="00173267" w:rsidTr="00893DB4">
        <w:trPr>
          <w:trHeight w:val="255"/>
          <w:jc w:val="center"/>
        </w:trPr>
        <w:tc>
          <w:tcPr>
            <w:tcW w:w="5760" w:type="dxa"/>
            <w:tcBorders>
              <w:top w:val="nil"/>
              <w:left w:val="nil"/>
              <w:bottom w:val="single" w:sz="4" w:space="0" w:color="C0C0C0"/>
              <w:right w:val="single" w:sz="4" w:space="0" w:color="C0C0C0"/>
            </w:tcBorders>
            <w:shd w:val="clear" w:color="auto" w:fill="auto"/>
            <w:vAlign w:val="bottom"/>
          </w:tcPr>
          <w:p w:rsidR="00173267" w:rsidRDefault="00173267" w:rsidP="00893DB4">
            <w:pPr>
              <w:ind w:left="267"/>
              <w:rPr>
                <w:rFonts w:ascii="Arial" w:hAnsi="Arial" w:cs="Arial"/>
                <w:color w:val="000000"/>
                <w:sz w:val="18"/>
                <w:szCs w:val="18"/>
              </w:rPr>
            </w:pPr>
            <w:r>
              <w:rPr>
                <w:rFonts w:ascii="Arial" w:hAnsi="Arial" w:cs="Arial"/>
                <w:color w:val="000000"/>
                <w:sz w:val="18"/>
                <w:szCs w:val="18"/>
              </w:rPr>
              <w:t>CVTE (Chapter 74) courses</w:t>
            </w:r>
          </w:p>
        </w:tc>
        <w:tc>
          <w:tcPr>
            <w:tcW w:w="810" w:type="dxa"/>
            <w:tcBorders>
              <w:top w:val="nil"/>
              <w:left w:val="nil"/>
              <w:bottom w:val="single" w:sz="4" w:space="0" w:color="C0C0C0"/>
              <w:right w:val="nil"/>
            </w:tcBorders>
            <w:vAlign w:val="bottom"/>
          </w:tcPr>
          <w:p w:rsidR="00173267" w:rsidRDefault="00173267" w:rsidP="00893DB4">
            <w:pPr>
              <w:rPr>
                <w:rFonts w:ascii="Arial" w:hAnsi="Arial" w:cs="Arial"/>
                <w:color w:val="000000"/>
                <w:sz w:val="18"/>
                <w:szCs w:val="18"/>
              </w:rPr>
            </w:pPr>
            <w:r>
              <w:rPr>
                <w:rFonts w:ascii="Arial" w:hAnsi="Arial" w:cs="Arial"/>
                <w:color w:val="000000"/>
                <w:sz w:val="18"/>
                <w:szCs w:val="18"/>
              </w:rPr>
              <w:t>CIP</w:t>
            </w:r>
          </w:p>
        </w:tc>
      </w:tr>
    </w:tbl>
    <w:p w:rsidR="00173267" w:rsidRDefault="00173267" w:rsidP="00173267"/>
    <w:p w:rsidR="00173267" w:rsidRDefault="00173267" w:rsidP="00173267">
      <w:r>
        <w:br w:type="page"/>
      </w:r>
    </w:p>
    <w:p w:rsidR="00173267" w:rsidRDefault="00173267" w:rsidP="00173267">
      <w:pPr>
        <w:pStyle w:val="Heading1"/>
      </w:pPr>
      <w:bookmarkStart w:id="41" w:name="_Toc337808322"/>
      <w:bookmarkStart w:id="42" w:name="_Toc452474991"/>
      <w:r>
        <w:lastRenderedPageBreak/>
        <w:t>Appendix B: Financial Definitions</w:t>
      </w:r>
      <w:bookmarkEnd w:id="41"/>
      <w:bookmarkEnd w:id="42"/>
    </w:p>
    <w:p w:rsidR="00173267" w:rsidRPr="00550C81" w:rsidRDefault="00173267" w:rsidP="00173267">
      <w:r>
        <w:t xml:space="preserve">Definitions and further explanations of financial data are available on the </w:t>
      </w:r>
      <w:hyperlink r:id="rId30" w:history="1">
        <w:r w:rsidR="00842E7B">
          <w:rPr>
            <w:rStyle w:val="Hyperlink"/>
          </w:rPr>
          <w:t>School Finance</w:t>
        </w:r>
      </w:hyperlink>
      <w:r w:rsidR="00842E7B">
        <w:t xml:space="preserve"> </w:t>
      </w:r>
      <w:r>
        <w:t>section of the Department’s website</w:t>
      </w:r>
      <w:r w:rsidR="00842E7B">
        <w:t>.</w:t>
      </w:r>
    </w:p>
    <w:p w:rsidR="00173267" w:rsidRDefault="00173267" w:rsidP="00173267"/>
    <w:tbl>
      <w:tblPr>
        <w:tblW w:w="9320" w:type="dxa"/>
        <w:tblInd w:w="93"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000"/>
      </w:tblPr>
      <w:tblGrid>
        <w:gridCol w:w="2715"/>
        <w:gridCol w:w="6605"/>
      </w:tblGrid>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Chapter 70</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State aid to public school districts based on community wealth and resident students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Community activities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Includes costs of citizen meetings, PTO activities, school councils, public forums and lectures, advisory council meetings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Debt and BANs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Payments for debt service or Bond Anticipation Notes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Federal/state grants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All grants from federal or state agencies (some administered through the Department of Elementary and Secondary Education) </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Fixed assets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Includes purchase of land and buildings, equipment, capital technology, and motor vehicles; payments on loan principal, lease/purchase agreements, local school construction projects, and payments from aid provided by the MA School Building Authority</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FTE pupils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Full-time equivalent pupils; calculated from the SIMS (End of Year)total of students’ days in membership (enrollment) divided by 180 days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Functions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Finance codes for functional categories, e.g. instructional equipment, assistant superintendents, psychological services, food services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In-district pupils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Pupils enrolled in a district and receiving educational services there (includes students who enroll through the choice program, tuition agreements, etc.)</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In-district expenditures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 xml:space="preserve">Costs included in per pupil calculations: </w:t>
            </w:r>
            <w:r w:rsidRPr="002E6386">
              <w:t>administration, instruction</w:t>
            </w:r>
            <w:r>
              <w:t xml:space="preserve"> and student support</w:t>
            </w:r>
            <w:r w:rsidRPr="002E6386">
              <w:t>,</w:t>
            </w:r>
            <w:r>
              <w:t xml:space="preserve"> pupil services,</w:t>
            </w:r>
            <w:r w:rsidRPr="002E6386">
              <w:t xml:space="preserve"> operations, </w:t>
            </w:r>
            <w:r>
              <w:t>benefits and fixed charges</w:t>
            </w:r>
            <w:r>
              <w:rPr>
                <w:rFonts w:ascii="Calibri" w:hAnsi="Calibri" w:cs="Arial"/>
                <w:sz w:val="22"/>
                <w:szCs w:val="22"/>
              </w:rPr>
              <w:t xml:space="preserve"> </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Local appropriations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 Local general funds committed to the annual budget (includes state aid but not state grants)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MA School Building Authority</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State agency that provides aid for construction projects, using criteria to prioritize which communities and projects receive aid</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Median per pupil expenditure</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 Medians (the middle of a group of numbers) instead of averages reduce the impact of high outliers and are sometimes more useful benchmarks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Other district expenditures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Expenditures not included in per pupil calculati</w:t>
            </w:r>
            <w:r w:rsidR="00842E7B">
              <w:rPr>
                <w:rFonts w:ascii="Calibri" w:hAnsi="Calibri" w:cs="Arial"/>
                <w:sz w:val="22"/>
                <w:szCs w:val="22"/>
              </w:rPr>
              <w:t>ons: indirect cost transfers, c</w:t>
            </w:r>
            <w:r>
              <w:rPr>
                <w:rFonts w:ascii="Calibri" w:hAnsi="Calibri" w:cs="Arial"/>
                <w:sz w:val="22"/>
                <w:szCs w:val="22"/>
              </w:rPr>
              <w:t xml:space="preserve">ommunity activities, fixed assets, debt and BANs </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Out-of-district pupils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Resident students for whom a district is financially responsible, but who are enrolled in other districts or programs such as charter schools, school choice, SPED out-placements, tuition agreements with other districts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Out-of-district transportation</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Some out of district pupils are eligible for transportation, such as SPED students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Pupil transportation</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Transportation is reported in Schedule 1 of the EOYR as one number; some of this total is assigned to out-of-district transportation costs based on Schedule 7.</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Regional assessments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 xml:space="preserve">Payments by municipalities to regional districts including vocational-technical districts, and regional secondary or elementary districts (these are not included under municipalities’ expenditures because they are reported as expenditures by the regional district; a separate </w:t>
            </w:r>
            <w:r>
              <w:rPr>
                <w:rFonts w:ascii="Calibri" w:hAnsi="Calibri" w:cs="Arial"/>
                <w:sz w:val="22"/>
                <w:szCs w:val="22"/>
              </w:rPr>
              <w:lastRenderedPageBreak/>
              <w:t>report is needed on the expenditure by municipalities in order to fully understand the cost of education for local taxpayers)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lastRenderedPageBreak/>
              <w:t>Revenues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 xml:space="preserve">Revenues reported in Schedule 1 of the EOYR; does not include local tax levy appropriations. Expenditures are also reported in terms of revenue sources, but there is not always a direct correlation of revenues and expenditures. Local revolving funds do not have to be spent in the year received, for example. Local appropriations are reported as school committee and municipal expenditures without differentiating state aid, tax levies and any other revenues that go directly to general funds. </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Revolving funds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Revolving funds are local accounts for fees and payments received by the district such as lunch or athletic fees; unlike appropriations, revolving fund revenues do not have to be expended in the year they are received.</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SFSF (State Fiscal Stabilization Fund)</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The State Fiscal Stabilization Fund was created with American Recovery and Reinvestment Act (ARRA) funds in FY09; SFSF funds were used by the state in FY09 in lieu of some Chapter 70 payments. Expenditures of these funds were reported as federal grant expenditures instead of as local appropriations, which changed Chapter 70 aid totals and Net School Spending (federal grants do not count toward Net School Spending.) Districts used these funds for expenses that would have been covered by local appropriations if Chapter 70 aid had been paid in full.</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SPED out-placements</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 xml:space="preserve">Some special education needs cannot be met in a district’s own educational program, particularly if the district is small. These students have a right to publicly-supported education, and the district is responsible for their tuition at </w:t>
            </w:r>
            <w:proofErr w:type="gramStart"/>
            <w:r>
              <w:rPr>
                <w:rFonts w:ascii="Calibri" w:hAnsi="Calibri" w:cs="Arial"/>
                <w:sz w:val="22"/>
                <w:szCs w:val="22"/>
              </w:rPr>
              <w:t>another districts</w:t>
            </w:r>
            <w:proofErr w:type="gramEnd"/>
            <w:r>
              <w:rPr>
                <w:rFonts w:ascii="Calibri" w:hAnsi="Calibri" w:cs="Arial"/>
                <w:sz w:val="22"/>
                <w:szCs w:val="22"/>
              </w:rPr>
              <w:t>, a collaborative, a non-public special education school or an out-of-state school. These students take the MCAS and their performance is included in the district’s performance ratings.</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State aid</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State aid such as Chapter 70, charter school reimbursements, and regional transportation is paid by various state budget line items through the “cherry sheet” to local general funds, then appropriated to the school budget by the school committee and municipality</w:t>
            </w:r>
          </w:p>
        </w:tc>
      </w:tr>
      <w:tr w:rsidR="00173267" w:rsidTr="00893DB4">
        <w:trPr>
          <w:trHeight w:val="315"/>
        </w:trPr>
        <w:tc>
          <w:tcPr>
            <w:tcW w:w="271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State-wide average per pupil expenditure</w:t>
            </w:r>
          </w:p>
        </w:tc>
        <w:tc>
          <w:tcPr>
            <w:tcW w:w="6605" w:type="dxa"/>
            <w:shd w:val="clear" w:color="auto" w:fill="auto"/>
          </w:tcPr>
          <w:p w:rsidR="00173267" w:rsidRDefault="00173267" w:rsidP="00893DB4">
            <w:pPr>
              <w:rPr>
                <w:rFonts w:ascii="Calibri" w:hAnsi="Calibri" w:cs="Arial"/>
                <w:sz w:val="22"/>
                <w:szCs w:val="22"/>
              </w:rPr>
            </w:pPr>
            <w:r>
              <w:rPr>
                <w:rFonts w:ascii="Calibri" w:hAnsi="Calibri" w:cs="Arial"/>
                <w:sz w:val="22"/>
                <w:szCs w:val="22"/>
              </w:rPr>
              <w:t>For each category, all costs are totaled and then divided by the total of in-district, out-of-district and all full-time equivalent pupils</w:t>
            </w:r>
          </w:p>
        </w:tc>
      </w:tr>
    </w:tbl>
    <w:p w:rsidR="00173267" w:rsidRDefault="00173267" w:rsidP="00173267"/>
    <w:p w:rsidR="00C16C27" w:rsidRDefault="00C16C27" w:rsidP="00173267">
      <w:pPr>
        <w:pStyle w:val="Heading1"/>
      </w:pPr>
    </w:p>
    <w:sectPr w:rsidR="00C16C27" w:rsidSect="00A32D7E">
      <w:pgSz w:w="12240" w:h="15840"/>
      <w:pgMar w:top="900" w:right="1440" w:bottom="446"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C55" w:rsidRDefault="004D0C55" w:rsidP="00FD2C86">
      <w:r>
        <w:separator/>
      </w:r>
    </w:p>
  </w:endnote>
  <w:endnote w:type="continuationSeparator" w:id="0">
    <w:p w:rsidR="004D0C55" w:rsidRDefault="004D0C55"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55" w:rsidRDefault="00385FE2" w:rsidP="00720440">
    <w:pPr>
      <w:pStyle w:val="Footer"/>
      <w:rPr>
        <w:rStyle w:val="PageNumber"/>
      </w:rPr>
    </w:pPr>
    <w:r>
      <w:rPr>
        <w:rStyle w:val="PageNumber"/>
      </w:rPr>
      <w:fldChar w:fldCharType="begin"/>
    </w:r>
    <w:r w:rsidR="004D0C55">
      <w:rPr>
        <w:rStyle w:val="PageNumber"/>
      </w:rPr>
      <w:instrText xml:space="preserve">PAGE  </w:instrText>
    </w:r>
    <w:r>
      <w:rPr>
        <w:rStyle w:val="PageNumber"/>
      </w:rPr>
      <w:fldChar w:fldCharType="end"/>
    </w:r>
  </w:p>
  <w:p w:rsidR="004D0C55" w:rsidRDefault="004D0C55" w:rsidP="007204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55" w:rsidRDefault="004D0C55" w:rsidP="00720440">
    <w:pPr>
      <w:pStyle w:val="Footer"/>
      <w:rPr>
        <w:rStyle w:val="PageNumber"/>
        <w:i w:val="0"/>
      </w:rPr>
    </w:pPr>
  </w:p>
  <w:p w:rsidR="004D0C55" w:rsidRDefault="004D0C55" w:rsidP="00720440">
    <w:pPr>
      <w:pStyle w:val="Footer"/>
      <w:rPr>
        <w:rStyle w:val="PageNumber"/>
      </w:rPr>
    </w:pPr>
    <w:r w:rsidRPr="00AA4646">
      <w:rPr>
        <w:rStyle w:val="PageNumber"/>
      </w:rPr>
      <w:t>District Analysis and Review Tool (DART)</w:t>
    </w:r>
    <w:r>
      <w:rPr>
        <w:rStyle w:val="PageNumber"/>
      </w:rPr>
      <w:t xml:space="preserve"> Detail: Staffing</w:t>
    </w:r>
    <w:r w:rsidRPr="00AA4646">
      <w:rPr>
        <w:rStyle w:val="PageNumber"/>
      </w:rPr>
      <w:t xml:space="preserve"> </w:t>
    </w:r>
    <w:r>
      <w:rPr>
        <w:rStyle w:val="PageNumber"/>
      </w:rPr>
      <w:t xml:space="preserve">and Finance User Guide                                       </w:t>
    </w:r>
    <w:r w:rsidR="00385FE2">
      <w:rPr>
        <w:rStyle w:val="PageNumber"/>
      </w:rPr>
      <w:fldChar w:fldCharType="begin"/>
    </w:r>
    <w:r>
      <w:rPr>
        <w:rStyle w:val="PageNumber"/>
      </w:rPr>
      <w:instrText xml:space="preserve">PAGE  </w:instrText>
    </w:r>
    <w:r w:rsidR="00385FE2">
      <w:rPr>
        <w:rStyle w:val="PageNumber"/>
      </w:rPr>
      <w:fldChar w:fldCharType="separate"/>
    </w:r>
    <w:r w:rsidR="003E37C4">
      <w:rPr>
        <w:rStyle w:val="PageNumber"/>
        <w:noProof/>
      </w:rPr>
      <w:t>19</w:t>
    </w:r>
    <w:r w:rsidR="00385FE2">
      <w:rPr>
        <w:rStyle w:val="PageNumber"/>
      </w:rPr>
      <w:fldChar w:fldCharType="end"/>
    </w:r>
  </w:p>
  <w:p w:rsidR="004D0C55" w:rsidRDefault="00802FD5" w:rsidP="00720440">
    <w:pPr>
      <w:pStyle w:val="Footer"/>
    </w:pPr>
    <w:r>
      <w:rPr>
        <w:rStyle w:val="PageNumber"/>
      </w:rPr>
      <w:t>June</w:t>
    </w:r>
    <w:r w:rsidR="004D0C55">
      <w:rPr>
        <w:rStyle w:val="PageNumber"/>
      </w:rPr>
      <w:t>, 201</w:t>
    </w:r>
    <w:r>
      <w:rPr>
        <w:rStyle w:val="PageNumber"/>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C55" w:rsidRDefault="004D0C55" w:rsidP="00FD2C86">
      <w:r>
        <w:separator/>
      </w:r>
    </w:p>
  </w:footnote>
  <w:footnote w:type="continuationSeparator" w:id="0">
    <w:p w:rsidR="004D0C55" w:rsidRDefault="004D0C55" w:rsidP="00FD2C86">
      <w:r>
        <w:continuationSeparator/>
      </w:r>
    </w:p>
  </w:footnote>
  <w:footnote w:id="1">
    <w:p w:rsidR="004D0C55" w:rsidRDefault="004D0C55" w:rsidP="008305A3">
      <w:pPr>
        <w:pStyle w:val="FootnoteText"/>
      </w:pPr>
      <w:r>
        <w:rPr>
          <w:rStyle w:val="FootnoteReference"/>
        </w:rPr>
        <w:footnoteRef/>
      </w:r>
      <w:r>
        <w:t xml:space="preserve"> For the specific methodology that creates the list, see the DART for Districts User Guide at</w:t>
      </w:r>
      <w:r w:rsidR="00842E7B">
        <w:t xml:space="preserve"> </w:t>
      </w:r>
      <w:hyperlink r:id="rId1" w:history="1">
        <w:r w:rsidR="00842E7B">
          <w:rPr>
            <w:rStyle w:val="Hyperlink"/>
          </w:rPr>
          <w:t>District Analysis and Review Tools (DART)</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w:numPicBullet>
  <w:abstractNum w:abstractNumId="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AB155E6"/>
    <w:multiLevelType w:val="hybridMultilevel"/>
    <w:tmpl w:val="3740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042B7"/>
    <w:multiLevelType w:val="hybridMultilevel"/>
    <w:tmpl w:val="D026D64E"/>
    <w:lvl w:ilvl="0" w:tplc="E42CF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537F3"/>
    <w:multiLevelType w:val="hybridMultilevel"/>
    <w:tmpl w:val="3F3E7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FE2CB8"/>
    <w:multiLevelType w:val="hybridMultilevel"/>
    <w:tmpl w:val="93387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nsid w:val="3B074D2F"/>
    <w:multiLevelType w:val="hybridMultilevel"/>
    <w:tmpl w:val="A68614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8">
    <w:nsid w:val="4A445B87"/>
    <w:multiLevelType w:val="hybridMultilevel"/>
    <w:tmpl w:val="1EA4C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9B1695"/>
    <w:multiLevelType w:val="multilevel"/>
    <w:tmpl w:val="2C90094C"/>
    <w:numStyleLink w:val="ESEList-Bullets"/>
  </w:abstractNum>
  <w:abstractNum w:abstractNumId="1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3472D4"/>
    <w:multiLevelType w:val="multilevel"/>
    <w:tmpl w:val="2C90094C"/>
    <w:numStyleLink w:val="ESEList-Bullets"/>
  </w:abstractNum>
  <w:abstractNum w:abstractNumId="13">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8436F24"/>
    <w:multiLevelType w:val="hybridMultilevel"/>
    <w:tmpl w:val="EBE0A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980CD4"/>
    <w:multiLevelType w:val="hybridMultilevel"/>
    <w:tmpl w:val="B296B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E0B386D"/>
    <w:multiLevelType w:val="hybridMultilevel"/>
    <w:tmpl w:val="B9CA2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0"/>
  </w:num>
  <w:num w:numId="4">
    <w:abstractNumId w:val="7"/>
  </w:num>
  <w:num w:numId="5">
    <w:abstractNumId w:val="5"/>
  </w:num>
  <w:num w:numId="6">
    <w:abstractNumId w:val="11"/>
  </w:num>
  <w:num w:numId="7">
    <w:abstractNumId w:val="14"/>
  </w:num>
  <w:num w:numId="8">
    <w:abstractNumId w:val="8"/>
  </w:num>
  <w:num w:numId="9">
    <w:abstractNumId w:val="16"/>
  </w:num>
  <w:num w:numId="10">
    <w:abstractNumId w:val="2"/>
  </w:num>
  <w:num w:numId="11">
    <w:abstractNumId w:val="4"/>
  </w:num>
  <w:num w:numId="12">
    <w:abstractNumId w:val="12"/>
  </w:num>
  <w:num w:numId="13">
    <w:abstractNumId w:val="9"/>
  </w:num>
  <w:num w:numId="14">
    <w:abstractNumId w:val="1"/>
  </w:num>
  <w:num w:numId="15">
    <w:abstractNumId w:val="6"/>
  </w:num>
  <w:num w:numId="16">
    <w:abstractNumId w:val="15"/>
  </w:num>
  <w:num w:numId="1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2049">
      <o:colormenu v:ext="edit" fillcolor="none" strokecolor="#c00000"/>
    </o:shapedefaults>
  </w:hdrShapeDefaults>
  <w:footnotePr>
    <w:footnote w:id="-1"/>
    <w:footnote w:id="0"/>
  </w:footnotePr>
  <w:endnotePr>
    <w:endnote w:id="-1"/>
    <w:endnote w:id="0"/>
  </w:endnotePr>
  <w:compat>
    <w:applyBreakingRules/>
  </w:compat>
  <w:rsids>
    <w:rsidRoot w:val="00FD0B7D"/>
    <w:rsid w:val="000014F8"/>
    <w:rsid w:val="00001B95"/>
    <w:rsid w:val="00002DE8"/>
    <w:rsid w:val="00004118"/>
    <w:rsid w:val="00004A05"/>
    <w:rsid w:val="000055D2"/>
    <w:rsid w:val="00005BD1"/>
    <w:rsid w:val="0000605E"/>
    <w:rsid w:val="00006202"/>
    <w:rsid w:val="00007B34"/>
    <w:rsid w:val="00010B44"/>
    <w:rsid w:val="00011C0E"/>
    <w:rsid w:val="00012931"/>
    <w:rsid w:val="00012ECA"/>
    <w:rsid w:val="00014473"/>
    <w:rsid w:val="00015A4C"/>
    <w:rsid w:val="00016171"/>
    <w:rsid w:val="00016D16"/>
    <w:rsid w:val="00016DEE"/>
    <w:rsid w:val="000201C9"/>
    <w:rsid w:val="00020318"/>
    <w:rsid w:val="00023001"/>
    <w:rsid w:val="00023553"/>
    <w:rsid w:val="000244C6"/>
    <w:rsid w:val="0002451D"/>
    <w:rsid w:val="0002541D"/>
    <w:rsid w:val="00025831"/>
    <w:rsid w:val="00026E36"/>
    <w:rsid w:val="0002746C"/>
    <w:rsid w:val="00031C3D"/>
    <w:rsid w:val="00031DF1"/>
    <w:rsid w:val="000325A7"/>
    <w:rsid w:val="00037574"/>
    <w:rsid w:val="00044770"/>
    <w:rsid w:val="000468AA"/>
    <w:rsid w:val="000506EE"/>
    <w:rsid w:val="000512C7"/>
    <w:rsid w:val="000540BD"/>
    <w:rsid w:val="000574D6"/>
    <w:rsid w:val="00057ACB"/>
    <w:rsid w:val="00060BA6"/>
    <w:rsid w:val="00060DEC"/>
    <w:rsid w:val="00062A3F"/>
    <w:rsid w:val="00062E2A"/>
    <w:rsid w:val="00062F57"/>
    <w:rsid w:val="000635E1"/>
    <w:rsid w:val="0007032C"/>
    <w:rsid w:val="000711BA"/>
    <w:rsid w:val="00071365"/>
    <w:rsid w:val="00071CBB"/>
    <w:rsid w:val="00073CB8"/>
    <w:rsid w:val="00073D82"/>
    <w:rsid w:val="0007660C"/>
    <w:rsid w:val="00076BD2"/>
    <w:rsid w:val="000774C3"/>
    <w:rsid w:val="00077826"/>
    <w:rsid w:val="00082C0D"/>
    <w:rsid w:val="00084621"/>
    <w:rsid w:val="00085CA0"/>
    <w:rsid w:val="00087246"/>
    <w:rsid w:val="00087907"/>
    <w:rsid w:val="00090EEB"/>
    <w:rsid w:val="00092A27"/>
    <w:rsid w:val="000946FD"/>
    <w:rsid w:val="000953D1"/>
    <w:rsid w:val="000A06B8"/>
    <w:rsid w:val="000A220A"/>
    <w:rsid w:val="000A671A"/>
    <w:rsid w:val="000A77BF"/>
    <w:rsid w:val="000B1BC2"/>
    <w:rsid w:val="000B325C"/>
    <w:rsid w:val="000B3726"/>
    <w:rsid w:val="000B432D"/>
    <w:rsid w:val="000B712E"/>
    <w:rsid w:val="000B79A9"/>
    <w:rsid w:val="000C06A0"/>
    <w:rsid w:val="000C0DE6"/>
    <w:rsid w:val="000C19CC"/>
    <w:rsid w:val="000C2794"/>
    <w:rsid w:val="000C27E5"/>
    <w:rsid w:val="000C3ABF"/>
    <w:rsid w:val="000C3B85"/>
    <w:rsid w:val="000C47D1"/>
    <w:rsid w:val="000C5AF1"/>
    <w:rsid w:val="000C5B72"/>
    <w:rsid w:val="000C7147"/>
    <w:rsid w:val="000C7C25"/>
    <w:rsid w:val="000D05D0"/>
    <w:rsid w:val="000D0A06"/>
    <w:rsid w:val="000D0E81"/>
    <w:rsid w:val="000D1FA5"/>
    <w:rsid w:val="000D267E"/>
    <w:rsid w:val="000D2A72"/>
    <w:rsid w:val="000E007C"/>
    <w:rsid w:val="000E2DED"/>
    <w:rsid w:val="000E4059"/>
    <w:rsid w:val="000E40FA"/>
    <w:rsid w:val="000E43C0"/>
    <w:rsid w:val="000E4C9A"/>
    <w:rsid w:val="000E6B30"/>
    <w:rsid w:val="000F407B"/>
    <w:rsid w:val="000F4DC5"/>
    <w:rsid w:val="000F664C"/>
    <w:rsid w:val="000F6840"/>
    <w:rsid w:val="000F6EFC"/>
    <w:rsid w:val="000F7111"/>
    <w:rsid w:val="000F7C2A"/>
    <w:rsid w:val="001056A7"/>
    <w:rsid w:val="00106C39"/>
    <w:rsid w:val="00107099"/>
    <w:rsid w:val="001077F9"/>
    <w:rsid w:val="00111003"/>
    <w:rsid w:val="00112AA0"/>
    <w:rsid w:val="0011381D"/>
    <w:rsid w:val="00113DFB"/>
    <w:rsid w:val="00121427"/>
    <w:rsid w:val="00121F85"/>
    <w:rsid w:val="00122E0F"/>
    <w:rsid w:val="00123A5A"/>
    <w:rsid w:val="00123CB5"/>
    <w:rsid w:val="00125E15"/>
    <w:rsid w:val="001271AE"/>
    <w:rsid w:val="00127AD6"/>
    <w:rsid w:val="00127DC4"/>
    <w:rsid w:val="00130A63"/>
    <w:rsid w:val="0013222D"/>
    <w:rsid w:val="00132581"/>
    <w:rsid w:val="00132794"/>
    <w:rsid w:val="001330B1"/>
    <w:rsid w:val="00133809"/>
    <w:rsid w:val="00134D07"/>
    <w:rsid w:val="00137518"/>
    <w:rsid w:val="00140656"/>
    <w:rsid w:val="00140AEA"/>
    <w:rsid w:val="0014370D"/>
    <w:rsid w:val="00144337"/>
    <w:rsid w:val="0014486A"/>
    <w:rsid w:val="00144CB4"/>
    <w:rsid w:val="00147F76"/>
    <w:rsid w:val="00152CC8"/>
    <w:rsid w:val="00155A10"/>
    <w:rsid w:val="0016161C"/>
    <w:rsid w:val="00162826"/>
    <w:rsid w:val="0017022D"/>
    <w:rsid w:val="00173267"/>
    <w:rsid w:val="0017365A"/>
    <w:rsid w:val="001776A9"/>
    <w:rsid w:val="001778B4"/>
    <w:rsid w:val="00177ED5"/>
    <w:rsid w:val="00181C05"/>
    <w:rsid w:val="00182AA0"/>
    <w:rsid w:val="001835A1"/>
    <w:rsid w:val="0018360B"/>
    <w:rsid w:val="001871B4"/>
    <w:rsid w:val="00187820"/>
    <w:rsid w:val="0019549D"/>
    <w:rsid w:val="00196606"/>
    <w:rsid w:val="00196DC3"/>
    <w:rsid w:val="001970E7"/>
    <w:rsid w:val="001976F8"/>
    <w:rsid w:val="00197D08"/>
    <w:rsid w:val="001A028D"/>
    <w:rsid w:val="001A0674"/>
    <w:rsid w:val="001A6314"/>
    <w:rsid w:val="001A659B"/>
    <w:rsid w:val="001A71B2"/>
    <w:rsid w:val="001A7DA0"/>
    <w:rsid w:val="001B005A"/>
    <w:rsid w:val="001B04C4"/>
    <w:rsid w:val="001B05DA"/>
    <w:rsid w:val="001B06B2"/>
    <w:rsid w:val="001B0849"/>
    <w:rsid w:val="001B08E9"/>
    <w:rsid w:val="001B1652"/>
    <w:rsid w:val="001B25AC"/>
    <w:rsid w:val="001B55A6"/>
    <w:rsid w:val="001B55E8"/>
    <w:rsid w:val="001B61E5"/>
    <w:rsid w:val="001B749F"/>
    <w:rsid w:val="001C00A6"/>
    <w:rsid w:val="001C0FFD"/>
    <w:rsid w:val="001C1CF3"/>
    <w:rsid w:val="001C3B8B"/>
    <w:rsid w:val="001C3C27"/>
    <w:rsid w:val="001C55C1"/>
    <w:rsid w:val="001D00AF"/>
    <w:rsid w:val="001D3A00"/>
    <w:rsid w:val="001D3DD5"/>
    <w:rsid w:val="001D3EF4"/>
    <w:rsid w:val="001D3FC6"/>
    <w:rsid w:val="001D7227"/>
    <w:rsid w:val="001E04B9"/>
    <w:rsid w:val="001E2ECB"/>
    <w:rsid w:val="001E5072"/>
    <w:rsid w:val="001E541B"/>
    <w:rsid w:val="001E7CFB"/>
    <w:rsid w:val="001F0EE4"/>
    <w:rsid w:val="001F1044"/>
    <w:rsid w:val="001F128F"/>
    <w:rsid w:val="001F12CD"/>
    <w:rsid w:val="001F1B19"/>
    <w:rsid w:val="001F1DE0"/>
    <w:rsid w:val="001F586B"/>
    <w:rsid w:val="001F7CE6"/>
    <w:rsid w:val="0020014B"/>
    <w:rsid w:val="00200E25"/>
    <w:rsid w:val="00201411"/>
    <w:rsid w:val="002034A0"/>
    <w:rsid w:val="002051BA"/>
    <w:rsid w:val="0020780F"/>
    <w:rsid w:val="00210DE1"/>
    <w:rsid w:val="00220509"/>
    <w:rsid w:val="00222C06"/>
    <w:rsid w:val="002254FA"/>
    <w:rsid w:val="00231286"/>
    <w:rsid w:val="0023244F"/>
    <w:rsid w:val="00232626"/>
    <w:rsid w:val="00232C1A"/>
    <w:rsid w:val="00247989"/>
    <w:rsid w:val="00251EC0"/>
    <w:rsid w:val="0025226F"/>
    <w:rsid w:val="00256CCA"/>
    <w:rsid w:val="002570F6"/>
    <w:rsid w:val="0026037F"/>
    <w:rsid w:val="002609C3"/>
    <w:rsid w:val="002627D5"/>
    <w:rsid w:val="00264272"/>
    <w:rsid w:val="00266AAB"/>
    <w:rsid w:val="002679BE"/>
    <w:rsid w:val="00272E1A"/>
    <w:rsid w:val="0027397D"/>
    <w:rsid w:val="00274356"/>
    <w:rsid w:val="0027514B"/>
    <w:rsid w:val="00287251"/>
    <w:rsid w:val="0029349B"/>
    <w:rsid w:val="00294D2A"/>
    <w:rsid w:val="00295061"/>
    <w:rsid w:val="0029573D"/>
    <w:rsid w:val="002959C5"/>
    <w:rsid w:val="00296DB5"/>
    <w:rsid w:val="00297241"/>
    <w:rsid w:val="002A0931"/>
    <w:rsid w:val="002A104A"/>
    <w:rsid w:val="002A20A0"/>
    <w:rsid w:val="002A25E7"/>
    <w:rsid w:val="002A5201"/>
    <w:rsid w:val="002A524A"/>
    <w:rsid w:val="002A6696"/>
    <w:rsid w:val="002A7091"/>
    <w:rsid w:val="002B0460"/>
    <w:rsid w:val="002B0A22"/>
    <w:rsid w:val="002B3B03"/>
    <w:rsid w:val="002B5032"/>
    <w:rsid w:val="002B54EA"/>
    <w:rsid w:val="002B65DD"/>
    <w:rsid w:val="002B6675"/>
    <w:rsid w:val="002B71A0"/>
    <w:rsid w:val="002B7A8D"/>
    <w:rsid w:val="002C120B"/>
    <w:rsid w:val="002C13B9"/>
    <w:rsid w:val="002C2113"/>
    <w:rsid w:val="002C22F9"/>
    <w:rsid w:val="002C3A73"/>
    <w:rsid w:val="002C4436"/>
    <w:rsid w:val="002C477D"/>
    <w:rsid w:val="002C5DD1"/>
    <w:rsid w:val="002C63DF"/>
    <w:rsid w:val="002C6923"/>
    <w:rsid w:val="002D0F3A"/>
    <w:rsid w:val="002D210E"/>
    <w:rsid w:val="002D39D0"/>
    <w:rsid w:val="002D3D44"/>
    <w:rsid w:val="002E2FD2"/>
    <w:rsid w:val="002E342E"/>
    <w:rsid w:val="002E4B46"/>
    <w:rsid w:val="002E5211"/>
    <w:rsid w:val="002E5CE5"/>
    <w:rsid w:val="002E79A5"/>
    <w:rsid w:val="002F0D16"/>
    <w:rsid w:val="002F1296"/>
    <w:rsid w:val="002F1C55"/>
    <w:rsid w:val="002F34F8"/>
    <w:rsid w:val="003045AA"/>
    <w:rsid w:val="00304632"/>
    <w:rsid w:val="0030492F"/>
    <w:rsid w:val="00305FDE"/>
    <w:rsid w:val="00305FE6"/>
    <w:rsid w:val="003066B6"/>
    <w:rsid w:val="003067E6"/>
    <w:rsid w:val="00306FAF"/>
    <w:rsid w:val="0030732B"/>
    <w:rsid w:val="0031029C"/>
    <w:rsid w:val="00311F2F"/>
    <w:rsid w:val="00312A60"/>
    <w:rsid w:val="00314D99"/>
    <w:rsid w:val="003151E3"/>
    <w:rsid w:val="003232A8"/>
    <w:rsid w:val="00323D4C"/>
    <w:rsid w:val="00324E05"/>
    <w:rsid w:val="00326C06"/>
    <w:rsid w:val="0032704E"/>
    <w:rsid w:val="003356E6"/>
    <w:rsid w:val="003368AA"/>
    <w:rsid w:val="003379D5"/>
    <w:rsid w:val="0034009B"/>
    <w:rsid w:val="00340696"/>
    <w:rsid w:val="00341276"/>
    <w:rsid w:val="00341ABF"/>
    <w:rsid w:val="00341D22"/>
    <w:rsid w:val="00345C1A"/>
    <w:rsid w:val="00345DE2"/>
    <w:rsid w:val="0034735C"/>
    <w:rsid w:val="00351106"/>
    <w:rsid w:val="00351108"/>
    <w:rsid w:val="00351589"/>
    <w:rsid w:val="00351675"/>
    <w:rsid w:val="0035185A"/>
    <w:rsid w:val="00354520"/>
    <w:rsid w:val="003546C2"/>
    <w:rsid w:val="00362C62"/>
    <w:rsid w:val="00362E97"/>
    <w:rsid w:val="0036453E"/>
    <w:rsid w:val="0036457F"/>
    <w:rsid w:val="003649EE"/>
    <w:rsid w:val="0036532F"/>
    <w:rsid w:val="00365BC9"/>
    <w:rsid w:val="00365C14"/>
    <w:rsid w:val="00366A12"/>
    <w:rsid w:val="00366D5A"/>
    <w:rsid w:val="00367FE2"/>
    <w:rsid w:val="003736CA"/>
    <w:rsid w:val="003760CA"/>
    <w:rsid w:val="0037627C"/>
    <w:rsid w:val="00380B9B"/>
    <w:rsid w:val="003821D5"/>
    <w:rsid w:val="00384307"/>
    <w:rsid w:val="00385FE2"/>
    <w:rsid w:val="003938F5"/>
    <w:rsid w:val="00393D7E"/>
    <w:rsid w:val="00396EEA"/>
    <w:rsid w:val="00397D4A"/>
    <w:rsid w:val="003A1B18"/>
    <w:rsid w:val="003A21CF"/>
    <w:rsid w:val="003A4B84"/>
    <w:rsid w:val="003A5A48"/>
    <w:rsid w:val="003B0EBE"/>
    <w:rsid w:val="003B16E3"/>
    <w:rsid w:val="003B1D70"/>
    <w:rsid w:val="003B772B"/>
    <w:rsid w:val="003C2047"/>
    <w:rsid w:val="003C3503"/>
    <w:rsid w:val="003C3D8F"/>
    <w:rsid w:val="003C3F9B"/>
    <w:rsid w:val="003C4382"/>
    <w:rsid w:val="003C74AA"/>
    <w:rsid w:val="003D07E6"/>
    <w:rsid w:val="003D2121"/>
    <w:rsid w:val="003D2BF2"/>
    <w:rsid w:val="003D3651"/>
    <w:rsid w:val="003D3D28"/>
    <w:rsid w:val="003D3E43"/>
    <w:rsid w:val="003D729C"/>
    <w:rsid w:val="003D7D88"/>
    <w:rsid w:val="003E09E1"/>
    <w:rsid w:val="003E0C10"/>
    <w:rsid w:val="003E37C4"/>
    <w:rsid w:val="003E3EB8"/>
    <w:rsid w:val="003E5813"/>
    <w:rsid w:val="003E718E"/>
    <w:rsid w:val="003F00BD"/>
    <w:rsid w:val="003F10F0"/>
    <w:rsid w:val="003F148B"/>
    <w:rsid w:val="003F3636"/>
    <w:rsid w:val="003F774F"/>
    <w:rsid w:val="00401B27"/>
    <w:rsid w:val="004032AB"/>
    <w:rsid w:val="00403FC1"/>
    <w:rsid w:val="00404B99"/>
    <w:rsid w:val="00406189"/>
    <w:rsid w:val="004076C0"/>
    <w:rsid w:val="004151AB"/>
    <w:rsid w:val="004160B7"/>
    <w:rsid w:val="00416D34"/>
    <w:rsid w:val="004176BF"/>
    <w:rsid w:val="00420E2A"/>
    <w:rsid w:val="004214BF"/>
    <w:rsid w:val="00423F10"/>
    <w:rsid w:val="00424272"/>
    <w:rsid w:val="0042639F"/>
    <w:rsid w:val="00427E29"/>
    <w:rsid w:val="004300B1"/>
    <w:rsid w:val="00430476"/>
    <w:rsid w:val="0043129C"/>
    <w:rsid w:val="00432877"/>
    <w:rsid w:val="00432EB5"/>
    <w:rsid w:val="00434442"/>
    <w:rsid w:val="004359B9"/>
    <w:rsid w:val="0043607C"/>
    <w:rsid w:val="00436C23"/>
    <w:rsid w:val="004403EB"/>
    <w:rsid w:val="00440BAB"/>
    <w:rsid w:val="004418A6"/>
    <w:rsid w:val="0044218A"/>
    <w:rsid w:val="00442B25"/>
    <w:rsid w:val="00442DAF"/>
    <w:rsid w:val="00443322"/>
    <w:rsid w:val="00444BAC"/>
    <w:rsid w:val="00444FC8"/>
    <w:rsid w:val="0044758D"/>
    <w:rsid w:val="004501B6"/>
    <w:rsid w:val="00451D76"/>
    <w:rsid w:val="00452D92"/>
    <w:rsid w:val="00452E67"/>
    <w:rsid w:val="00455783"/>
    <w:rsid w:val="004564BF"/>
    <w:rsid w:val="00462B9F"/>
    <w:rsid w:val="00463DFF"/>
    <w:rsid w:val="00464491"/>
    <w:rsid w:val="004645BB"/>
    <w:rsid w:val="004663FA"/>
    <w:rsid w:val="00470265"/>
    <w:rsid w:val="004702F2"/>
    <w:rsid w:val="004778A4"/>
    <w:rsid w:val="00480EB8"/>
    <w:rsid w:val="004828C1"/>
    <w:rsid w:val="00484A33"/>
    <w:rsid w:val="004860F9"/>
    <w:rsid w:val="004861B5"/>
    <w:rsid w:val="0048700B"/>
    <w:rsid w:val="00487823"/>
    <w:rsid w:val="0049012A"/>
    <w:rsid w:val="004906DC"/>
    <w:rsid w:val="00493D12"/>
    <w:rsid w:val="004957F7"/>
    <w:rsid w:val="00495BB4"/>
    <w:rsid w:val="004A333B"/>
    <w:rsid w:val="004A37B4"/>
    <w:rsid w:val="004A4CED"/>
    <w:rsid w:val="004A6748"/>
    <w:rsid w:val="004B133E"/>
    <w:rsid w:val="004B4BE3"/>
    <w:rsid w:val="004B5C4E"/>
    <w:rsid w:val="004B64ED"/>
    <w:rsid w:val="004B6F84"/>
    <w:rsid w:val="004C1DAA"/>
    <w:rsid w:val="004C1F3C"/>
    <w:rsid w:val="004C1FFA"/>
    <w:rsid w:val="004C6069"/>
    <w:rsid w:val="004C7002"/>
    <w:rsid w:val="004C721E"/>
    <w:rsid w:val="004D0036"/>
    <w:rsid w:val="004D09CC"/>
    <w:rsid w:val="004D0AED"/>
    <w:rsid w:val="004D0C55"/>
    <w:rsid w:val="004D1B45"/>
    <w:rsid w:val="004D288A"/>
    <w:rsid w:val="004D2A52"/>
    <w:rsid w:val="004D2D33"/>
    <w:rsid w:val="004D39B9"/>
    <w:rsid w:val="004D45D4"/>
    <w:rsid w:val="004E040F"/>
    <w:rsid w:val="004E054B"/>
    <w:rsid w:val="004E0626"/>
    <w:rsid w:val="004E0CA6"/>
    <w:rsid w:val="004E4672"/>
    <w:rsid w:val="004E5459"/>
    <w:rsid w:val="004F008A"/>
    <w:rsid w:val="004F13A2"/>
    <w:rsid w:val="004F1C4B"/>
    <w:rsid w:val="004F4CEB"/>
    <w:rsid w:val="004F74D4"/>
    <w:rsid w:val="00502FE4"/>
    <w:rsid w:val="00504EDB"/>
    <w:rsid w:val="00505A93"/>
    <w:rsid w:val="00506B46"/>
    <w:rsid w:val="00510917"/>
    <w:rsid w:val="00514896"/>
    <w:rsid w:val="00514D2A"/>
    <w:rsid w:val="005152E7"/>
    <w:rsid w:val="0051573A"/>
    <w:rsid w:val="00515970"/>
    <w:rsid w:val="005166AA"/>
    <w:rsid w:val="00516787"/>
    <w:rsid w:val="00516A05"/>
    <w:rsid w:val="00516E14"/>
    <w:rsid w:val="00517469"/>
    <w:rsid w:val="00520981"/>
    <w:rsid w:val="005215D1"/>
    <w:rsid w:val="00524360"/>
    <w:rsid w:val="00530D1D"/>
    <w:rsid w:val="0053534A"/>
    <w:rsid w:val="0053697A"/>
    <w:rsid w:val="00536C1A"/>
    <w:rsid w:val="0054074E"/>
    <w:rsid w:val="00540AA9"/>
    <w:rsid w:val="00541445"/>
    <w:rsid w:val="00544062"/>
    <w:rsid w:val="00544213"/>
    <w:rsid w:val="0054506D"/>
    <w:rsid w:val="00545414"/>
    <w:rsid w:val="00550C81"/>
    <w:rsid w:val="0055138F"/>
    <w:rsid w:val="00551774"/>
    <w:rsid w:val="005519AB"/>
    <w:rsid w:val="005564F4"/>
    <w:rsid w:val="00556CFF"/>
    <w:rsid w:val="005614B3"/>
    <w:rsid w:val="00562A6F"/>
    <w:rsid w:val="00563206"/>
    <w:rsid w:val="00563236"/>
    <w:rsid w:val="00563615"/>
    <w:rsid w:val="0056366D"/>
    <w:rsid w:val="00563DD8"/>
    <w:rsid w:val="00570BFB"/>
    <w:rsid w:val="005721D6"/>
    <w:rsid w:val="0057336A"/>
    <w:rsid w:val="0057338B"/>
    <w:rsid w:val="00573EBD"/>
    <w:rsid w:val="00580161"/>
    <w:rsid w:val="0058020F"/>
    <w:rsid w:val="00583755"/>
    <w:rsid w:val="005842E1"/>
    <w:rsid w:val="00584AE7"/>
    <w:rsid w:val="005873A0"/>
    <w:rsid w:val="00590265"/>
    <w:rsid w:val="005912A6"/>
    <w:rsid w:val="005917CD"/>
    <w:rsid w:val="0059571E"/>
    <w:rsid w:val="005966E7"/>
    <w:rsid w:val="00596CAD"/>
    <w:rsid w:val="00597762"/>
    <w:rsid w:val="00597824"/>
    <w:rsid w:val="00597C9C"/>
    <w:rsid w:val="005A0CAC"/>
    <w:rsid w:val="005A0E22"/>
    <w:rsid w:val="005A22D8"/>
    <w:rsid w:val="005A367D"/>
    <w:rsid w:val="005A6C18"/>
    <w:rsid w:val="005B07BC"/>
    <w:rsid w:val="005B21B7"/>
    <w:rsid w:val="005C428A"/>
    <w:rsid w:val="005C5D41"/>
    <w:rsid w:val="005C703D"/>
    <w:rsid w:val="005C7710"/>
    <w:rsid w:val="005D02CE"/>
    <w:rsid w:val="005D1D2F"/>
    <w:rsid w:val="005D26F9"/>
    <w:rsid w:val="005D4201"/>
    <w:rsid w:val="005D6373"/>
    <w:rsid w:val="005D78C2"/>
    <w:rsid w:val="005D7C8E"/>
    <w:rsid w:val="005E015C"/>
    <w:rsid w:val="005E0C11"/>
    <w:rsid w:val="005E0DE2"/>
    <w:rsid w:val="005E2FBA"/>
    <w:rsid w:val="005E417C"/>
    <w:rsid w:val="005E41E0"/>
    <w:rsid w:val="005E7525"/>
    <w:rsid w:val="005E7C60"/>
    <w:rsid w:val="005F037D"/>
    <w:rsid w:val="005F152D"/>
    <w:rsid w:val="005F1897"/>
    <w:rsid w:val="005F2093"/>
    <w:rsid w:val="005F23C0"/>
    <w:rsid w:val="005F30E8"/>
    <w:rsid w:val="005F4920"/>
    <w:rsid w:val="005F5275"/>
    <w:rsid w:val="00601258"/>
    <w:rsid w:val="006072BF"/>
    <w:rsid w:val="006076F0"/>
    <w:rsid w:val="006077FB"/>
    <w:rsid w:val="00607844"/>
    <w:rsid w:val="00607C24"/>
    <w:rsid w:val="00607EDE"/>
    <w:rsid w:val="006111B1"/>
    <w:rsid w:val="0061214E"/>
    <w:rsid w:val="00613DFF"/>
    <w:rsid w:val="00613FA1"/>
    <w:rsid w:val="006148C1"/>
    <w:rsid w:val="00614E16"/>
    <w:rsid w:val="00615312"/>
    <w:rsid w:val="00616498"/>
    <w:rsid w:val="00616738"/>
    <w:rsid w:val="0061729C"/>
    <w:rsid w:val="00623EF0"/>
    <w:rsid w:val="00624918"/>
    <w:rsid w:val="00624B47"/>
    <w:rsid w:val="00625D0A"/>
    <w:rsid w:val="006315C0"/>
    <w:rsid w:val="00635308"/>
    <w:rsid w:val="00635E45"/>
    <w:rsid w:val="00636E2F"/>
    <w:rsid w:val="0064289E"/>
    <w:rsid w:val="00644C8F"/>
    <w:rsid w:val="00647A6D"/>
    <w:rsid w:val="00651B6E"/>
    <w:rsid w:val="00651E71"/>
    <w:rsid w:val="00653D0B"/>
    <w:rsid w:val="006547A3"/>
    <w:rsid w:val="0065542E"/>
    <w:rsid w:val="00655A5B"/>
    <w:rsid w:val="00655F66"/>
    <w:rsid w:val="00656847"/>
    <w:rsid w:val="00663F14"/>
    <w:rsid w:val="00664A20"/>
    <w:rsid w:val="00670626"/>
    <w:rsid w:val="00671D08"/>
    <w:rsid w:val="00675B1B"/>
    <w:rsid w:val="00675CD7"/>
    <w:rsid w:val="0067751E"/>
    <w:rsid w:val="0068459A"/>
    <w:rsid w:val="00684BED"/>
    <w:rsid w:val="00685894"/>
    <w:rsid w:val="0068594B"/>
    <w:rsid w:val="00686CAD"/>
    <w:rsid w:val="00687830"/>
    <w:rsid w:val="006917C4"/>
    <w:rsid w:val="006933D2"/>
    <w:rsid w:val="0069487E"/>
    <w:rsid w:val="00694E1E"/>
    <w:rsid w:val="0069558B"/>
    <w:rsid w:val="00696356"/>
    <w:rsid w:val="006964F6"/>
    <w:rsid w:val="00696CFC"/>
    <w:rsid w:val="00696F66"/>
    <w:rsid w:val="006A4B54"/>
    <w:rsid w:val="006A5601"/>
    <w:rsid w:val="006A5CC1"/>
    <w:rsid w:val="006B15BC"/>
    <w:rsid w:val="006B359E"/>
    <w:rsid w:val="006B784A"/>
    <w:rsid w:val="006C079C"/>
    <w:rsid w:val="006C5A03"/>
    <w:rsid w:val="006C5ACA"/>
    <w:rsid w:val="006C6256"/>
    <w:rsid w:val="006C6F88"/>
    <w:rsid w:val="006D12ED"/>
    <w:rsid w:val="006D1B5E"/>
    <w:rsid w:val="006D31D9"/>
    <w:rsid w:val="006D41E9"/>
    <w:rsid w:val="006D5731"/>
    <w:rsid w:val="006D73FC"/>
    <w:rsid w:val="006E1994"/>
    <w:rsid w:val="006E3074"/>
    <w:rsid w:val="006E46D3"/>
    <w:rsid w:val="006E53F8"/>
    <w:rsid w:val="006E601D"/>
    <w:rsid w:val="006E6707"/>
    <w:rsid w:val="006E6CB4"/>
    <w:rsid w:val="006F15FE"/>
    <w:rsid w:val="006F2E85"/>
    <w:rsid w:val="006F47E6"/>
    <w:rsid w:val="006F4CF2"/>
    <w:rsid w:val="006F4F5D"/>
    <w:rsid w:val="006F53AA"/>
    <w:rsid w:val="006F547C"/>
    <w:rsid w:val="006F55A7"/>
    <w:rsid w:val="006F6B21"/>
    <w:rsid w:val="007001C0"/>
    <w:rsid w:val="007018F1"/>
    <w:rsid w:val="0070367B"/>
    <w:rsid w:val="00703C73"/>
    <w:rsid w:val="007068FB"/>
    <w:rsid w:val="007069D9"/>
    <w:rsid w:val="00706F99"/>
    <w:rsid w:val="007078A2"/>
    <w:rsid w:val="0071115E"/>
    <w:rsid w:val="00712BFF"/>
    <w:rsid w:val="00712D2D"/>
    <w:rsid w:val="0071483F"/>
    <w:rsid w:val="0071524C"/>
    <w:rsid w:val="00720440"/>
    <w:rsid w:val="00720822"/>
    <w:rsid w:val="0072296B"/>
    <w:rsid w:val="00723B58"/>
    <w:rsid w:val="00730A43"/>
    <w:rsid w:val="00732839"/>
    <w:rsid w:val="00733394"/>
    <w:rsid w:val="0073387A"/>
    <w:rsid w:val="00734082"/>
    <w:rsid w:val="00736DE2"/>
    <w:rsid w:val="00740C0D"/>
    <w:rsid w:val="00743434"/>
    <w:rsid w:val="00745A5C"/>
    <w:rsid w:val="0075058D"/>
    <w:rsid w:val="0075130B"/>
    <w:rsid w:val="007524C8"/>
    <w:rsid w:val="00753334"/>
    <w:rsid w:val="0075335A"/>
    <w:rsid w:val="00753543"/>
    <w:rsid w:val="0075486C"/>
    <w:rsid w:val="00755977"/>
    <w:rsid w:val="007570B8"/>
    <w:rsid w:val="0076285E"/>
    <w:rsid w:val="00762B00"/>
    <w:rsid w:val="00765318"/>
    <w:rsid w:val="00770A53"/>
    <w:rsid w:val="00770FEC"/>
    <w:rsid w:val="00771746"/>
    <w:rsid w:val="0077336E"/>
    <w:rsid w:val="007746D8"/>
    <w:rsid w:val="007771D5"/>
    <w:rsid w:val="007804C9"/>
    <w:rsid w:val="00781AA9"/>
    <w:rsid w:val="00781FA0"/>
    <w:rsid w:val="007831DF"/>
    <w:rsid w:val="00785AB2"/>
    <w:rsid w:val="007869F2"/>
    <w:rsid w:val="00787413"/>
    <w:rsid w:val="007910FB"/>
    <w:rsid w:val="00792B19"/>
    <w:rsid w:val="007945E6"/>
    <w:rsid w:val="00794736"/>
    <w:rsid w:val="007A0B8B"/>
    <w:rsid w:val="007A3110"/>
    <w:rsid w:val="007A3421"/>
    <w:rsid w:val="007A6177"/>
    <w:rsid w:val="007A626B"/>
    <w:rsid w:val="007A649F"/>
    <w:rsid w:val="007B1E33"/>
    <w:rsid w:val="007B1FF9"/>
    <w:rsid w:val="007B2A39"/>
    <w:rsid w:val="007B2B2F"/>
    <w:rsid w:val="007B332D"/>
    <w:rsid w:val="007C11FC"/>
    <w:rsid w:val="007C35F3"/>
    <w:rsid w:val="007C4A3C"/>
    <w:rsid w:val="007C7333"/>
    <w:rsid w:val="007D039E"/>
    <w:rsid w:val="007D108D"/>
    <w:rsid w:val="007D14F2"/>
    <w:rsid w:val="007D1DF8"/>
    <w:rsid w:val="007E11C7"/>
    <w:rsid w:val="007E499A"/>
    <w:rsid w:val="007E5726"/>
    <w:rsid w:val="007E708D"/>
    <w:rsid w:val="007E7489"/>
    <w:rsid w:val="007E7781"/>
    <w:rsid w:val="007F035B"/>
    <w:rsid w:val="007F163A"/>
    <w:rsid w:val="007F179F"/>
    <w:rsid w:val="007F1F07"/>
    <w:rsid w:val="007F1FBA"/>
    <w:rsid w:val="007F4757"/>
    <w:rsid w:val="007F6CC9"/>
    <w:rsid w:val="007F76D8"/>
    <w:rsid w:val="00800783"/>
    <w:rsid w:val="00800D98"/>
    <w:rsid w:val="00801415"/>
    <w:rsid w:val="00801800"/>
    <w:rsid w:val="00801D9C"/>
    <w:rsid w:val="00802DD1"/>
    <w:rsid w:val="00802FD5"/>
    <w:rsid w:val="008034EA"/>
    <w:rsid w:val="008036A9"/>
    <w:rsid w:val="008044E2"/>
    <w:rsid w:val="008117A7"/>
    <w:rsid w:val="00811F37"/>
    <w:rsid w:val="0081256C"/>
    <w:rsid w:val="00812929"/>
    <w:rsid w:val="00812E52"/>
    <w:rsid w:val="00815A40"/>
    <w:rsid w:val="008172BE"/>
    <w:rsid w:val="008174FB"/>
    <w:rsid w:val="0081792F"/>
    <w:rsid w:val="008179BF"/>
    <w:rsid w:val="008214E0"/>
    <w:rsid w:val="00824494"/>
    <w:rsid w:val="00825FF5"/>
    <w:rsid w:val="0082607A"/>
    <w:rsid w:val="008305A3"/>
    <w:rsid w:val="00832115"/>
    <w:rsid w:val="00835DE4"/>
    <w:rsid w:val="00836F51"/>
    <w:rsid w:val="008404E5"/>
    <w:rsid w:val="00840C41"/>
    <w:rsid w:val="00842E7B"/>
    <w:rsid w:val="00843625"/>
    <w:rsid w:val="00845D79"/>
    <w:rsid w:val="00846D97"/>
    <w:rsid w:val="00851224"/>
    <w:rsid w:val="00853037"/>
    <w:rsid w:val="008536FC"/>
    <w:rsid w:val="00854883"/>
    <w:rsid w:val="00855054"/>
    <w:rsid w:val="00855AD1"/>
    <w:rsid w:val="008566D9"/>
    <w:rsid w:val="00862C01"/>
    <w:rsid w:val="00864030"/>
    <w:rsid w:val="00870C0A"/>
    <w:rsid w:val="00871349"/>
    <w:rsid w:val="008734A6"/>
    <w:rsid w:val="00873B60"/>
    <w:rsid w:val="008747A0"/>
    <w:rsid w:val="008760D2"/>
    <w:rsid w:val="00876195"/>
    <w:rsid w:val="00881B9C"/>
    <w:rsid w:val="0088258A"/>
    <w:rsid w:val="008827EA"/>
    <w:rsid w:val="0088330A"/>
    <w:rsid w:val="00885548"/>
    <w:rsid w:val="0089241D"/>
    <w:rsid w:val="0089303C"/>
    <w:rsid w:val="00893137"/>
    <w:rsid w:val="00893DB4"/>
    <w:rsid w:val="00894350"/>
    <w:rsid w:val="0089623C"/>
    <w:rsid w:val="008A129F"/>
    <w:rsid w:val="008A13DA"/>
    <w:rsid w:val="008A312E"/>
    <w:rsid w:val="008A3C04"/>
    <w:rsid w:val="008A4350"/>
    <w:rsid w:val="008A4720"/>
    <w:rsid w:val="008A5FE0"/>
    <w:rsid w:val="008B3863"/>
    <w:rsid w:val="008B3E41"/>
    <w:rsid w:val="008B4B4D"/>
    <w:rsid w:val="008C2B67"/>
    <w:rsid w:val="008C3B6D"/>
    <w:rsid w:val="008C4538"/>
    <w:rsid w:val="008C544E"/>
    <w:rsid w:val="008C575C"/>
    <w:rsid w:val="008C6816"/>
    <w:rsid w:val="008C7EBF"/>
    <w:rsid w:val="008C7F3D"/>
    <w:rsid w:val="008D007A"/>
    <w:rsid w:val="008D4785"/>
    <w:rsid w:val="008D571E"/>
    <w:rsid w:val="008D673E"/>
    <w:rsid w:val="008E0786"/>
    <w:rsid w:val="008E3CA5"/>
    <w:rsid w:val="008E5FB4"/>
    <w:rsid w:val="008E6353"/>
    <w:rsid w:val="008E7285"/>
    <w:rsid w:val="008F37E3"/>
    <w:rsid w:val="008F3FB6"/>
    <w:rsid w:val="008F4631"/>
    <w:rsid w:val="008F76FB"/>
    <w:rsid w:val="00901891"/>
    <w:rsid w:val="00904266"/>
    <w:rsid w:val="009048B9"/>
    <w:rsid w:val="0090665A"/>
    <w:rsid w:val="00907AF4"/>
    <w:rsid w:val="00907BC7"/>
    <w:rsid w:val="009113F7"/>
    <w:rsid w:val="00913160"/>
    <w:rsid w:val="00913BAA"/>
    <w:rsid w:val="00915DAB"/>
    <w:rsid w:val="009163D9"/>
    <w:rsid w:val="00916B77"/>
    <w:rsid w:val="00917329"/>
    <w:rsid w:val="00921AE6"/>
    <w:rsid w:val="00921E7E"/>
    <w:rsid w:val="009243A7"/>
    <w:rsid w:val="009245AE"/>
    <w:rsid w:val="009277C2"/>
    <w:rsid w:val="00927A2E"/>
    <w:rsid w:val="009305B1"/>
    <w:rsid w:val="009309D9"/>
    <w:rsid w:val="00931DAF"/>
    <w:rsid w:val="00935182"/>
    <w:rsid w:val="00935BF7"/>
    <w:rsid w:val="00935E48"/>
    <w:rsid w:val="00936D84"/>
    <w:rsid w:val="00945E1F"/>
    <w:rsid w:val="00946709"/>
    <w:rsid w:val="00950DA0"/>
    <w:rsid w:val="00950F66"/>
    <w:rsid w:val="00953447"/>
    <w:rsid w:val="009547BA"/>
    <w:rsid w:val="0095578D"/>
    <w:rsid w:val="009577D6"/>
    <w:rsid w:val="009602DE"/>
    <w:rsid w:val="0096352C"/>
    <w:rsid w:val="0096394C"/>
    <w:rsid w:val="009639E3"/>
    <w:rsid w:val="0096470D"/>
    <w:rsid w:val="00966644"/>
    <w:rsid w:val="0096681A"/>
    <w:rsid w:val="009760C6"/>
    <w:rsid w:val="00976281"/>
    <w:rsid w:val="00976865"/>
    <w:rsid w:val="00976882"/>
    <w:rsid w:val="00980442"/>
    <w:rsid w:val="00986EEB"/>
    <w:rsid w:val="00987152"/>
    <w:rsid w:val="009918CE"/>
    <w:rsid w:val="009951FB"/>
    <w:rsid w:val="009A04BC"/>
    <w:rsid w:val="009A0BE3"/>
    <w:rsid w:val="009A16ED"/>
    <w:rsid w:val="009A1AF7"/>
    <w:rsid w:val="009A251E"/>
    <w:rsid w:val="009A3016"/>
    <w:rsid w:val="009A49C4"/>
    <w:rsid w:val="009A68A0"/>
    <w:rsid w:val="009A69EA"/>
    <w:rsid w:val="009B0CDF"/>
    <w:rsid w:val="009B3AFE"/>
    <w:rsid w:val="009B468F"/>
    <w:rsid w:val="009B5C1C"/>
    <w:rsid w:val="009B6FDF"/>
    <w:rsid w:val="009B73AB"/>
    <w:rsid w:val="009C4322"/>
    <w:rsid w:val="009C550C"/>
    <w:rsid w:val="009D011F"/>
    <w:rsid w:val="009D1B4A"/>
    <w:rsid w:val="009D2D5D"/>
    <w:rsid w:val="009D3A92"/>
    <w:rsid w:val="009D60C9"/>
    <w:rsid w:val="009D7BA2"/>
    <w:rsid w:val="009E00B8"/>
    <w:rsid w:val="009E173E"/>
    <w:rsid w:val="009E174C"/>
    <w:rsid w:val="009E21AF"/>
    <w:rsid w:val="009E2553"/>
    <w:rsid w:val="009E45FA"/>
    <w:rsid w:val="009E59E9"/>
    <w:rsid w:val="009F09CC"/>
    <w:rsid w:val="009F17EF"/>
    <w:rsid w:val="009F27D2"/>
    <w:rsid w:val="009F2DC8"/>
    <w:rsid w:val="009F4214"/>
    <w:rsid w:val="009F7672"/>
    <w:rsid w:val="00A002F0"/>
    <w:rsid w:val="00A00A2A"/>
    <w:rsid w:val="00A01263"/>
    <w:rsid w:val="00A0135B"/>
    <w:rsid w:val="00A025EF"/>
    <w:rsid w:val="00A039CD"/>
    <w:rsid w:val="00A056D2"/>
    <w:rsid w:val="00A11174"/>
    <w:rsid w:val="00A11621"/>
    <w:rsid w:val="00A128D8"/>
    <w:rsid w:val="00A13403"/>
    <w:rsid w:val="00A13448"/>
    <w:rsid w:val="00A13D1A"/>
    <w:rsid w:val="00A15E21"/>
    <w:rsid w:val="00A23EB2"/>
    <w:rsid w:val="00A25E3B"/>
    <w:rsid w:val="00A2756D"/>
    <w:rsid w:val="00A27AE1"/>
    <w:rsid w:val="00A32D7E"/>
    <w:rsid w:val="00A32DCD"/>
    <w:rsid w:val="00A34787"/>
    <w:rsid w:val="00A35E4E"/>
    <w:rsid w:val="00A41423"/>
    <w:rsid w:val="00A4327F"/>
    <w:rsid w:val="00A43526"/>
    <w:rsid w:val="00A46484"/>
    <w:rsid w:val="00A47D5F"/>
    <w:rsid w:val="00A5053F"/>
    <w:rsid w:val="00A507B5"/>
    <w:rsid w:val="00A50A6B"/>
    <w:rsid w:val="00A50D7B"/>
    <w:rsid w:val="00A5157F"/>
    <w:rsid w:val="00A52438"/>
    <w:rsid w:val="00A60B29"/>
    <w:rsid w:val="00A64FA3"/>
    <w:rsid w:val="00A66E63"/>
    <w:rsid w:val="00A715BF"/>
    <w:rsid w:val="00A73051"/>
    <w:rsid w:val="00A81CFD"/>
    <w:rsid w:val="00A81E8F"/>
    <w:rsid w:val="00A82545"/>
    <w:rsid w:val="00A8485A"/>
    <w:rsid w:val="00A87515"/>
    <w:rsid w:val="00A8766E"/>
    <w:rsid w:val="00A90487"/>
    <w:rsid w:val="00A91978"/>
    <w:rsid w:val="00A935E3"/>
    <w:rsid w:val="00A95182"/>
    <w:rsid w:val="00A958C7"/>
    <w:rsid w:val="00AA0139"/>
    <w:rsid w:val="00AA2AF8"/>
    <w:rsid w:val="00AA3357"/>
    <w:rsid w:val="00AA4646"/>
    <w:rsid w:val="00AA54E4"/>
    <w:rsid w:val="00AA6B1C"/>
    <w:rsid w:val="00AB0BA3"/>
    <w:rsid w:val="00AB2A8E"/>
    <w:rsid w:val="00AB2F13"/>
    <w:rsid w:val="00AB4134"/>
    <w:rsid w:val="00AB42B4"/>
    <w:rsid w:val="00AB4DB1"/>
    <w:rsid w:val="00AB5C1E"/>
    <w:rsid w:val="00AC22B2"/>
    <w:rsid w:val="00AC247B"/>
    <w:rsid w:val="00AC35A6"/>
    <w:rsid w:val="00AC42CB"/>
    <w:rsid w:val="00AC4BB7"/>
    <w:rsid w:val="00AC5BF9"/>
    <w:rsid w:val="00AC6775"/>
    <w:rsid w:val="00AC7C5B"/>
    <w:rsid w:val="00AC7C9D"/>
    <w:rsid w:val="00AD09B7"/>
    <w:rsid w:val="00AD0A1F"/>
    <w:rsid w:val="00AD119E"/>
    <w:rsid w:val="00AD298F"/>
    <w:rsid w:val="00AD40E7"/>
    <w:rsid w:val="00AD72FC"/>
    <w:rsid w:val="00AE3430"/>
    <w:rsid w:val="00AE47C8"/>
    <w:rsid w:val="00AE53BE"/>
    <w:rsid w:val="00AE6FF2"/>
    <w:rsid w:val="00AF00DE"/>
    <w:rsid w:val="00AF06EC"/>
    <w:rsid w:val="00AF20FA"/>
    <w:rsid w:val="00AF30A4"/>
    <w:rsid w:val="00AF4FE4"/>
    <w:rsid w:val="00B00F0B"/>
    <w:rsid w:val="00B03104"/>
    <w:rsid w:val="00B05144"/>
    <w:rsid w:val="00B05C62"/>
    <w:rsid w:val="00B06725"/>
    <w:rsid w:val="00B071EA"/>
    <w:rsid w:val="00B07D98"/>
    <w:rsid w:val="00B1110B"/>
    <w:rsid w:val="00B11977"/>
    <w:rsid w:val="00B129CE"/>
    <w:rsid w:val="00B12B9E"/>
    <w:rsid w:val="00B1455C"/>
    <w:rsid w:val="00B207B3"/>
    <w:rsid w:val="00B25F21"/>
    <w:rsid w:val="00B27728"/>
    <w:rsid w:val="00B30A83"/>
    <w:rsid w:val="00B316B3"/>
    <w:rsid w:val="00B330FD"/>
    <w:rsid w:val="00B3315D"/>
    <w:rsid w:val="00B37BED"/>
    <w:rsid w:val="00B37DA0"/>
    <w:rsid w:val="00B40A02"/>
    <w:rsid w:val="00B42C6F"/>
    <w:rsid w:val="00B42CA2"/>
    <w:rsid w:val="00B43E55"/>
    <w:rsid w:val="00B44D24"/>
    <w:rsid w:val="00B45746"/>
    <w:rsid w:val="00B46FAA"/>
    <w:rsid w:val="00B504E1"/>
    <w:rsid w:val="00B54846"/>
    <w:rsid w:val="00B54999"/>
    <w:rsid w:val="00B553A3"/>
    <w:rsid w:val="00B55DBB"/>
    <w:rsid w:val="00B601E6"/>
    <w:rsid w:val="00B6045A"/>
    <w:rsid w:val="00B60D34"/>
    <w:rsid w:val="00B616AF"/>
    <w:rsid w:val="00B616FA"/>
    <w:rsid w:val="00B61FE7"/>
    <w:rsid w:val="00B64E62"/>
    <w:rsid w:val="00B64EE4"/>
    <w:rsid w:val="00B65756"/>
    <w:rsid w:val="00B67DF3"/>
    <w:rsid w:val="00B71544"/>
    <w:rsid w:val="00B75181"/>
    <w:rsid w:val="00B752B8"/>
    <w:rsid w:val="00B75BA3"/>
    <w:rsid w:val="00B7600E"/>
    <w:rsid w:val="00B80B5F"/>
    <w:rsid w:val="00B81255"/>
    <w:rsid w:val="00B81677"/>
    <w:rsid w:val="00B81B1C"/>
    <w:rsid w:val="00B82539"/>
    <w:rsid w:val="00B85130"/>
    <w:rsid w:val="00B856F3"/>
    <w:rsid w:val="00B87F39"/>
    <w:rsid w:val="00B9061D"/>
    <w:rsid w:val="00B911A0"/>
    <w:rsid w:val="00B91CA2"/>
    <w:rsid w:val="00B95383"/>
    <w:rsid w:val="00B97C7B"/>
    <w:rsid w:val="00B97EA1"/>
    <w:rsid w:val="00BA311E"/>
    <w:rsid w:val="00BA329E"/>
    <w:rsid w:val="00BA39BF"/>
    <w:rsid w:val="00BA48F0"/>
    <w:rsid w:val="00BB3BDE"/>
    <w:rsid w:val="00BB5C2E"/>
    <w:rsid w:val="00BC0553"/>
    <w:rsid w:val="00BC15A7"/>
    <w:rsid w:val="00BC227D"/>
    <w:rsid w:val="00BC2F1B"/>
    <w:rsid w:val="00BC4928"/>
    <w:rsid w:val="00BC5097"/>
    <w:rsid w:val="00BC6040"/>
    <w:rsid w:val="00BC7C21"/>
    <w:rsid w:val="00BD17A7"/>
    <w:rsid w:val="00BD5067"/>
    <w:rsid w:val="00BD6683"/>
    <w:rsid w:val="00BD670B"/>
    <w:rsid w:val="00BD7418"/>
    <w:rsid w:val="00BE002B"/>
    <w:rsid w:val="00BE1185"/>
    <w:rsid w:val="00BE22BC"/>
    <w:rsid w:val="00BE39EF"/>
    <w:rsid w:val="00BE504F"/>
    <w:rsid w:val="00BE53AF"/>
    <w:rsid w:val="00BE5D45"/>
    <w:rsid w:val="00BE7770"/>
    <w:rsid w:val="00BF26FF"/>
    <w:rsid w:val="00BF2DCE"/>
    <w:rsid w:val="00BF4FAF"/>
    <w:rsid w:val="00C00402"/>
    <w:rsid w:val="00C01E74"/>
    <w:rsid w:val="00C02351"/>
    <w:rsid w:val="00C04983"/>
    <w:rsid w:val="00C052D1"/>
    <w:rsid w:val="00C06459"/>
    <w:rsid w:val="00C073E2"/>
    <w:rsid w:val="00C07629"/>
    <w:rsid w:val="00C07C99"/>
    <w:rsid w:val="00C10BBB"/>
    <w:rsid w:val="00C118B2"/>
    <w:rsid w:val="00C11BB2"/>
    <w:rsid w:val="00C121CB"/>
    <w:rsid w:val="00C12E04"/>
    <w:rsid w:val="00C16C27"/>
    <w:rsid w:val="00C1749B"/>
    <w:rsid w:val="00C262EC"/>
    <w:rsid w:val="00C27E21"/>
    <w:rsid w:val="00C369DA"/>
    <w:rsid w:val="00C375E5"/>
    <w:rsid w:val="00C421ED"/>
    <w:rsid w:val="00C43718"/>
    <w:rsid w:val="00C45DCD"/>
    <w:rsid w:val="00C47835"/>
    <w:rsid w:val="00C5013B"/>
    <w:rsid w:val="00C525EE"/>
    <w:rsid w:val="00C53E93"/>
    <w:rsid w:val="00C55AAE"/>
    <w:rsid w:val="00C56019"/>
    <w:rsid w:val="00C56E0E"/>
    <w:rsid w:val="00C6576C"/>
    <w:rsid w:val="00C65800"/>
    <w:rsid w:val="00C7037F"/>
    <w:rsid w:val="00C7085B"/>
    <w:rsid w:val="00C70DDB"/>
    <w:rsid w:val="00C7192C"/>
    <w:rsid w:val="00C74FF9"/>
    <w:rsid w:val="00C75FCE"/>
    <w:rsid w:val="00C76BF7"/>
    <w:rsid w:val="00C7782F"/>
    <w:rsid w:val="00C806D8"/>
    <w:rsid w:val="00C869B8"/>
    <w:rsid w:val="00C90B8E"/>
    <w:rsid w:val="00C938E4"/>
    <w:rsid w:val="00C943A2"/>
    <w:rsid w:val="00C94DA2"/>
    <w:rsid w:val="00CA2891"/>
    <w:rsid w:val="00CA32CB"/>
    <w:rsid w:val="00CB0634"/>
    <w:rsid w:val="00CB1933"/>
    <w:rsid w:val="00CB67CF"/>
    <w:rsid w:val="00CC173F"/>
    <w:rsid w:val="00CC22F1"/>
    <w:rsid w:val="00CC3348"/>
    <w:rsid w:val="00CC3661"/>
    <w:rsid w:val="00CC59C5"/>
    <w:rsid w:val="00CC73C8"/>
    <w:rsid w:val="00CC7F47"/>
    <w:rsid w:val="00CD06A7"/>
    <w:rsid w:val="00CD1ECA"/>
    <w:rsid w:val="00CD38EC"/>
    <w:rsid w:val="00CE1085"/>
    <w:rsid w:val="00CE10BE"/>
    <w:rsid w:val="00CE123C"/>
    <w:rsid w:val="00CE187B"/>
    <w:rsid w:val="00CE2B77"/>
    <w:rsid w:val="00CE3DAB"/>
    <w:rsid w:val="00CE462B"/>
    <w:rsid w:val="00CE5E22"/>
    <w:rsid w:val="00CE621B"/>
    <w:rsid w:val="00CE6A06"/>
    <w:rsid w:val="00CF0A56"/>
    <w:rsid w:val="00CF244C"/>
    <w:rsid w:val="00CF3DE8"/>
    <w:rsid w:val="00CF6B07"/>
    <w:rsid w:val="00CF7D67"/>
    <w:rsid w:val="00D01234"/>
    <w:rsid w:val="00D023E8"/>
    <w:rsid w:val="00D048B1"/>
    <w:rsid w:val="00D07ED2"/>
    <w:rsid w:val="00D101DB"/>
    <w:rsid w:val="00D1068F"/>
    <w:rsid w:val="00D158E3"/>
    <w:rsid w:val="00D17261"/>
    <w:rsid w:val="00D21063"/>
    <w:rsid w:val="00D210D4"/>
    <w:rsid w:val="00D22E66"/>
    <w:rsid w:val="00D23803"/>
    <w:rsid w:val="00D26E6B"/>
    <w:rsid w:val="00D2783D"/>
    <w:rsid w:val="00D3282E"/>
    <w:rsid w:val="00D344D3"/>
    <w:rsid w:val="00D36614"/>
    <w:rsid w:val="00D37C17"/>
    <w:rsid w:val="00D40A4A"/>
    <w:rsid w:val="00D426C9"/>
    <w:rsid w:val="00D42AA8"/>
    <w:rsid w:val="00D440BC"/>
    <w:rsid w:val="00D45B6F"/>
    <w:rsid w:val="00D47ABD"/>
    <w:rsid w:val="00D50052"/>
    <w:rsid w:val="00D51D6E"/>
    <w:rsid w:val="00D51FAB"/>
    <w:rsid w:val="00D5270A"/>
    <w:rsid w:val="00D536DA"/>
    <w:rsid w:val="00D53B5E"/>
    <w:rsid w:val="00D60FE5"/>
    <w:rsid w:val="00D61B93"/>
    <w:rsid w:val="00D653F1"/>
    <w:rsid w:val="00D65D47"/>
    <w:rsid w:val="00D66FE1"/>
    <w:rsid w:val="00D674EF"/>
    <w:rsid w:val="00D70527"/>
    <w:rsid w:val="00D7054D"/>
    <w:rsid w:val="00D72BD5"/>
    <w:rsid w:val="00D7696E"/>
    <w:rsid w:val="00D81FD3"/>
    <w:rsid w:val="00D82A3D"/>
    <w:rsid w:val="00D82DB5"/>
    <w:rsid w:val="00D82EB9"/>
    <w:rsid w:val="00D87F8F"/>
    <w:rsid w:val="00D918D9"/>
    <w:rsid w:val="00D92D75"/>
    <w:rsid w:val="00D9459C"/>
    <w:rsid w:val="00DA282B"/>
    <w:rsid w:val="00DA2B3D"/>
    <w:rsid w:val="00DA43BB"/>
    <w:rsid w:val="00DA5ADE"/>
    <w:rsid w:val="00DA5C70"/>
    <w:rsid w:val="00DA6355"/>
    <w:rsid w:val="00DB00FA"/>
    <w:rsid w:val="00DB0FD6"/>
    <w:rsid w:val="00DB2F2C"/>
    <w:rsid w:val="00DB5F62"/>
    <w:rsid w:val="00DC0F61"/>
    <w:rsid w:val="00DC1D5D"/>
    <w:rsid w:val="00DC45BE"/>
    <w:rsid w:val="00DC7DD6"/>
    <w:rsid w:val="00DD2C49"/>
    <w:rsid w:val="00DD46C2"/>
    <w:rsid w:val="00DD4A21"/>
    <w:rsid w:val="00DD708E"/>
    <w:rsid w:val="00DE0201"/>
    <w:rsid w:val="00DE0EC8"/>
    <w:rsid w:val="00DE1217"/>
    <w:rsid w:val="00DF00C9"/>
    <w:rsid w:val="00DF1978"/>
    <w:rsid w:val="00DF70CD"/>
    <w:rsid w:val="00DF752E"/>
    <w:rsid w:val="00E01BE1"/>
    <w:rsid w:val="00E0345C"/>
    <w:rsid w:val="00E03BFA"/>
    <w:rsid w:val="00E04152"/>
    <w:rsid w:val="00E04A5F"/>
    <w:rsid w:val="00E04B8E"/>
    <w:rsid w:val="00E068D5"/>
    <w:rsid w:val="00E10ED5"/>
    <w:rsid w:val="00E11A87"/>
    <w:rsid w:val="00E15105"/>
    <w:rsid w:val="00E15ADF"/>
    <w:rsid w:val="00E163FA"/>
    <w:rsid w:val="00E20E78"/>
    <w:rsid w:val="00E20FB5"/>
    <w:rsid w:val="00E211F5"/>
    <w:rsid w:val="00E212A5"/>
    <w:rsid w:val="00E214D4"/>
    <w:rsid w:val="00E24EBC"/>
    <w:rsid w:val="00E27F6C"/>
    <w:rsid w:val="00E30544"/>
    <w:rsid w:val="00E314A0"/>
    <w:rsid w:val="00E315A1"/>
    <w:rsid w:val="00E33EB2"/>
    <w:rsid w:val="00E34296"/>
    <w:rsid w:val="00E34AB7"/>
    <w:rsid w:val="00E41523"/>
    <w:rsid w:val="00E41FB4"/>
    <w:rsid w:val="00E44C75"/>
    <w:rsid w:val="00E46607"/>
    <w:rsid w:val="00E47B7A"/>
    <w:rsid w:val="00E5046D"/>
    <w:rsid w:val="00E50CF7"/>
    <w:rsid w:val="00E5118A"/>
    <w:rsid w:val="00E524A8"/>
    <w:rsid w:val="00E52AA6"/>
    <w:rsid w:val="00E539B3"/>
    <w:rsid w:val="00E55F67"/>
    <w:rsid w:val="00E57EE6"/>
    <w:rsid w:val="00E6015B"/>
    <w:rsid w:val="00E62130"/>
    <w:rsid w:val="00E65C04"/>
    <w:rsid w:val="00E70FF7"/>
    <w:rsid w:val="00E742D5"/>
    <w:rsid w:val="00E74E15"/>
    <w:rsid w:val="00E75553"/>
    <w:rsid w:val="00E75949"/>
    <w:rsid w:val="00E8257B"/>
    <w:rsid w:val="00E84ABC"/>
    <w:rsid w:val="00E858E0"/>
    <w:rsid w:val="00E863D6"/>
    <w:rsid w:val="00E86BEB"/>
    <w:rsid w:val="00E86CD1"/>
    <w:rsid w:val="00E92359"/>
    <w:rsid w:val="00E92592"/>
    <w:rsid w:val="00E9399F"/>
    <w:rsid w:val="00E93AA6"/>
    <w:rsid w:val="00E94A3A"/>
    <w:rsid w:val="00E94A88"/>
    <w:rsid w:val="00E96C7B"/>
    <w:rsid w:val="00E97976"/>
    <w:rsid w:val="00EA38A4"/>
    <w:rsid w:val="00EA3C73"/>
    <w:rsid w:val="00EA4961"/>
    <w:rsid w:val="00EA4DF2"/>
    <w:rsid w:val="00EA5E37"/>
    <w:rsid w:val="00EA6894"/>
    <w:rsid w:val="00EA74CC"/>
    <w:rsid w:val="00EB0BCE"/>
    <w:rsid w:val="00EB0E59"/>
    <w:rsid w:val="00EB14CB"/>
    <w:rsid w:val="00EB1F6F"/>
    <w:rsid w:val="00EB2740"/>
    <w:rsid w:val="00EB2DDD"/>
    <w:rsid w:val="00EB3265"/>
    <w:rsid w:val="00EB3322"/>
    <w:rsid w:val="00EB6357"/>
    <w:rsid w:val="00EB7F04"/>
    <w:rsid w:val="00EC16BD"/>
    <w:rsid w:val="00EC1E9A"/>
    <w:rsid w:val="00EC25DE"/>
    <w:rsid w:val="00EC44CE"/>
    <w:rsid w:val="00EC4900"/>
    <w:rsid w:val="00EC712A"/>
    <w:rsid w:val="00ED14E6"/>
    <w:rsid w:val="00ED1E75"/>
    <w:rsid w:val="00ED37B4"/>
    <w:rsid w:val="00ED720C"/>
    <w:rsid w:val="00EE2E15"/>
    <w:rsid w:val="00EE46A2"/>
    <w:rsid w:val="00EE58C5"/>
    <w:rsid w:val="00EE7673"/>
    <w:rsid w:val="00EF2F9B"/>
    <w:rsid w:val="00EF587C"/>
    <w:rsid w:val="00EF711D"/>
    <w:rsid w:val="00EF7606"/>
    <w:rsid w:val="00F01C65"/>
    <w:rsid w:val="00F0285F"/>
    <w:rsid w:val="00F031FA"/>
    <w:rsid w:val="00F03A5F"/>
    <w:rsid w:val="00F0440D"/>
    <w:rsid w:val="00F048A3"/>
    <w:rsid w:val="00F0675D"/>
    <w:rsid w:val="00F13965"/>
    <w:rsid w:val="00F14966"/>
    <w:rsid w:val="00F20D11"/>
    <w:rsid w:val="00F22164"/>
    <w:rsid w:val="00F23AD4"/>
    <w:rsid w:val="00F24CDD"/>
    <w:rsid w:val="00F26D0F"/>
    <w:rsid w:val="00F26E1B"/>
    <w:rsid w:val="00F2715B"/>
    <w:rsid w:val="00F27377"/>
    <w:rsid w:val="00F27A19"/>
    <w:rsid w:val="00F27AB1"/>
    <w:rsid w:val="00F33DDE"/>
    <w:rsid w:val="00F34362"/>
    <w:rsid w:val="00F36062"/>
    <w:rsid w:val="00F368BA"/>
    <w:rsid w:val="00F368D4"/>
    <w:rsid w:val="00F37E71"/>
    <w:rsid w:val="00F37F9F"/>
    <w:rsid w:val="00F42BB2"/>
    <w:rsid w:val="00F44218"/>
    <w:rsid w:val="00F44460"/>
    <w:rsid w:val="00F447EF"/>
    <w:rsid w:val="00F44C7B"/>
    <w:rsid w:val="00F46D4C"/>
    <w:rsid w:val="00F47C49"/>
    <w:rsid w:val="00F518D0"/>
    <w:rsid w:val="00F5274B"/>
    <w:rsid w:val="00F60E77"/>
    <w:rsid w:val="00F6479D"/>
    <w:rsid w:val="00F66EB7"/>
    <w:rsid w:val="00F67E78"/>
    <w:rsid w:val="00F7149F"/>
    <w:rsid w:val="00F71E8D"/>
    <w:rsid w:val="00F7387F"/>
    <w:rsid w:val="00F73CD0"/>
    <w:rsid w:val="00F74A1E"/>
    <w:rsid w:val="00F74BA2"/>
    <w:rsid w:val="00F7581A"/>
    <w:rsid w:val="00F75A21"/>
    <w:rsid w:val="00F774E5"/>
    <w:rsid w:val="00F7761A"/>
    <w:rsid w:val="00F77746"/>
    <w:rsid w:val="00F77FDD"/>
    <w:rsid w:val="00F80D50"/>
    <w:rsid w:val="00F80E30"/>
    <w:rsid w:val="00F83C61"/>
    <w:rsid w:val="00F84A53"/>
    <w:rsid w:val="00F861C0"/>
    <w:rsid w:val="00F8679C"/>
    <w:rsid w:val="00F867FC"/>
    <w:rsid w:val="00F87DF2"/>
    <w:rsid w:val="00F917D9"/>
    <w:rsid w:val="00F91E8D"/>
    <w:rsid w:val="00F94833"/>
    <w:rsid w:val="00F969F1"/>
    <w:rsid w:val="00F970CF"/>
    <w:rsid w:val="00F97481"/>
    <w:rsid w:val="00FA0025"/>
    <w:rsid w:val="00FA01B1"/>
    <w:rsid w:val="00FA153E"/>
    <w:rsid w:val="00FA27DF"/>
    <w:rsid w:val="00FA3F89"/>
    <w:rsid w:val="00FA4727"/>
    <w:rsid w:val="00FA5BBB"/>
    <w:rsid w:val="00FB0AED"/>
    <w:rsid w:val="00FB1635"/>
    <w:rsid w:val="00FB1930"/>
    <w:rsid w:val="00FB61DE"/>
    <w:rsid w:val="00FC134C"/>
    <w:rsid w:val="00FC2C13"/>
    <w:rsid w:val="00FC2CE3"/>
    <w:rsid w:val="00FC4C87"/>
    <w:rsid w:val="00FC5F71"/>
    <w:rsid w:val="00FC6D25"/>
    <w:rsid w:val="00FC75ED"/>
    <w:rsid w:val="00FD0B7D"/>
    <w:rsid w:val="00FD1860"/>
    <w:rsid w:val="00FD2887"/>
    <w:rsid w:val="00FD2C86"/>
    <w:rsid w:val="00FD3928"/>
    <w:rsid w:val="00FD45CA"/>
    <w:rsid w:val="00FD485C"/>
    <w:rsid w:val="00FD5580"/>
    <w:rsid w:val="00FD69E2"/>
    <w:rsid w:val="00FD72F8"/>
    <w:rsid w:val="00FE0BD6"/>
    <w:rsid w:val="00FE22B6"/>
    <w:rsid w:val="00FE30BA"/>
    <w:rsid w:val="00FE45FA"/>
    <w:rsid w:val="00FE49BC"/>
    <w:rsid w:val="00FE75E1"/>
    <w:rsid w:val="00FF2940"/>
    <w:rsid w:val="00FF2F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colormenu v:ext="edit" fillcolor="none"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C2113"/>
    <w:rPr>
      <w:sz w:val="24"/>
      <w:szCs w:val="24"/>
    </w:rPr>
  </w:style>
  <w:style w:type="paragraph" w:styleId="Heading1">
    <w:name w:val="heading 1"/>
    <w:next w:val="Normal"/>
    <w:link w:val="Heading1Char"/>
    <w:qFormat/>
    <w:rsid w:val="001F0EE4"/>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1F0EE4"/>
    <w:pPr>
      <w:keepNext/>
      <w:spacing w:before="240"/>
      <w:outlineLvl w:val="1"/>
    </w:pPr>
    <w:rPr>
      <w:rFonts w:ascii="Arial" w:hAnsi="Arial" w:cs="Arial"/>
      <w:b/>
      <w:bCs/>
      <w:i/>
      <w:iCs/>
      <w:sz w:val="28"/>
      <w:szCs w:val="28"/>
      <w:u w:val="single"/>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34735C"/>
    <w:pPr>
      <w:keepNext/>
      <w:spacing w:before="240" w:after="60"/>
      <w:outlineLvl w:val="3"/>
    </w:pPr>
    <w:rPr>
      <w:rFonts w:ascii="Arial" w:hAnsi="Arial"/>
      <w:bCs/>
      <w:sz w:val="22"/>
      <w:szCs w:val="28"/>
      <w:u w:val="single"/>
    </w:rPr>
  </w:style>
  <w:style w:type="paragraph" w:styleId="Heading6">
    <w:name w:val="heading 6"/>
    <w:basedOn w:val="Normal"/>
    <w:next w:val="Normal"/>
    <w:qFormat/>
    <w:rsid w:val="001A659B"/>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link w:val="ItalicChar"/>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semiHidden/>
    <w:rsid w:val="00720440"/>
    <w:pPr>
      <w:tabs>
        <w:tab w:val="right" w:pos="9360"/>
      </w:tabs>
      <w:ind w:right="360"/>
    </w:pPr>
    <w:rPr>
      <w:i/>
      <w:sz w:val="20"/>
      <w:szCs w:val="20"/>
    </w:rPr>
  </w:style>
  <w:style w:type="character" w:customStyle="1" w:styleId="FooterChar">
    <w:name w:val="Footer Char"/>
    <w:link w:val="Footer"/>
    <w:uiPriority w:val="99"/>
    <w:rsid w:val="00720440"/>
    <w:rPr>
      <w:i/>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NormalWeb">
    <w:name w:val="Normal (Web)"/>
    <w:basedOn w:val="Normal"/>
    <w:rsid w:val="0070367B"/>
    <w:pPr>
      <w:spacing w:before="100" w:beforeAutospacing="1" w:after="100" w:afterAutospacing="1"/>
    </w:pPr>
  </w:style>
  <w:style w:type="paragraph" w:styleId="FootnoteText">
    <w:name w:val="footnote text"/>
    <w:basedOn w:val="Normal"/>
    <w:semiHidden/>
    <w:rsid w:val="007E11C7"/>
    <w:rPr>
      <w:sz w:val="20"/>
      <w:szCs w:val="20"/>
    </w:rPr>
  </w:style>
  <w:style w:type="character" w:styleId="FootnoteReference">
    <w:name w:val="footnote reference"/>
    <w:semiHidden/>
    <w:rsid w:val="007E11C7"/>
    <w:rPr>
      <w:vertAlign w:val="superscript"/>
    </w:rPr>
  </w:style>
  <w:style w:type="character" w:styleId="CommentReference">
    <w:name w:val="annotation reference"/>
    <w:semiHidden/>
    <w:rsid w:val="0075335A"/>
    <w:rPr>
      <w:sz w:val="16"/>
      <w:szCs w:val="16"/>
    </w:rPr>
  </w:style>
  <w:style w:type="paragraph" w:styleId="CommentText">
    <w:name w:val="annotation text"/>
    <w:basedOn w:val="Normal"/>
    <w:semiHidden/>
    <w:rsid w:val="0075335A"/>
    <w:rPr>
      <w:sz w:val="20"/>
      <w:szCs w:val="20"/>
    </w:rPr>
  </w:style>
  <w:style w:type="paragraph" w:styleId="CommentSubject">
    <w:name w:val="annotation subject"/>
    <w:basedOn w:val="CommentText"/>
    <w:next w:val="CommentText"/>
    <w:semiHidden/>
    <w:rsid w:val="0075335A"/>
    <w:rPr>
      <w:b/>
      <w:bCs/>
    </w:rPr>
  </w:style>
  <w:style w:type="paragraph" w:styleId="BalloonText">
    <w:name w:val="Balloon Text"/>
    <w:basedOn w:val="Normal"/>
    <w:semiHidden/>
    <w:rsid w:val="0075335A"/>
    <w:rPr>
      <w:rFonts w:ascii="Tahoma" w:hAnsi="Tahoma" w:cs="Tahoma"/>
      <w:sz w:val="16"/>
      <w:szCs w:val="16"/>
    </w:rPr>
  </w:style>
  <w:style w:type="character" w:styleId="PageNumber">
    <w:name w:val="page number"/>
    <w:basedOn w:val="DefaultParagraphFont"/>
    <w:rsid w:val="00140656"/>
  </w:style>
  <w:style w:type="paragraph" w:customStyle="1" w:styleId="Default">
    <w:name w:val="Default"/>
    <w:rsid w:val="00E15ADF"/>
    <w:pPr>
      <w:autoSpaceDE w:val="0"/>
      <w:autoSpaceDN w:val="0"/>
      <w:adjustRightInd w:val="0"/>
    </w:pPr>
    <w:rPr>
      <w:rFonts w:ascii="Calibri" w:hAnsi="Calibri" w:cs="Calibri"/>
      <w:color w:val="000000"/>
      <w:sz w:val="24"/>
      <w:szCs w:val="24"/>
    </w:rPr>
  </w:style>
  <w:style w:type="character" w:customStyle="1" w:styleId="embold">
    <w:name w:val="em bold"/>
    <w:basedOn w:val="DefaultParagraphFont"/>
    <w:rsid w:val="00FA01B1"/>
  </w:style>
  <w:style w:type="paragraph" w:styleId="BodyText">
    <w:name w:val="Body Text"/>
    <w:basedOn w:val="Normal"/>
    <w:rsid w:val="000635E1"/>
    <w:rPr>
      <w:rFonts w:ascii="Arial" w:hAnsi="Arial" w:cs="Arial"/>
      <w:sz w:val="22"/>
    </w:rPr>
  </w:style>
  <w:style w:type="character" w:customStyle="1" w:styleId="Heading1Char">
    <w:name w:val="Heading 1 Char"/>
    <w:link w:val="Heading1"/>
    <w:rsid w:val="00541445"/>
    <w:rPr>
      <w:rFonts w:ascii="Arial" w:hAnsi="Arial" w:cs="Arial"/>
      <w:b/>
      <w:bCs/>
      <w:kern w:val="32"/>
      <w:sz w:val="32"/>
      <w:szCs w:val="32"/>
      <w:lang w:val="en-US" w:eastAsia="en-US" w:bidi="ar-SA"/>
    </w:rPr>
  </w:style>
  <w:style w:type="character" w:styleId="FollowedHyperlink">
    <w:name w:val="FollowedHyperlink"/>
    <w:rsid w:val="002A5201"/>
    <w:rPr>
      <w:color w:val="800080"/>
      <w:u w:val="single"/>
    </w:rPr>
  </w:style>
  <w:style w:type="character" w:customStyle="1" w:styleId="Heading3Char">
    <w:name w:val="Heading 3 Char"/>
    <w:link w:val="Heading3"/>
    <w:rsid w:val="004418A6"/>
    <w:rPr>
      <w:rFonts w:ascii="Arial" w:hAnsi="Arial" w:cs="Arial"/>
      <w:b/>
      <w:bCs/>
      <w:sz w:val="24"/>
      <w:szCs w:val="26"/>
      <w:lang w:val="en-US" w:eastAsia="en-US" w:bidi="ar-SA"/>
    </w:rPr>
  </w:style>
  <w:style w:type="table" w:styleId="TableGrid">
    <w:name w:val="Table Grid"/>
    <w:basedOn w:val="TableNormal"/>
    <w:rsid w:val="00E51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Char">
    <w:name w:val="Italic Char"/>
    <w:aliases w:val="Indented .5&quot; Char"/>
    <w:link w:val="Italic"/>
    <w:rsid w:val="00AD09B7"/>
    <w:rPr>
      <w:i/>
      <w:sz w:val="24"/>
      <w:szCs w:val="24"/>
      <w:lang w:val="en-US" w:eastAsia="en-US" w:bidi="ar-SA"/>
    </w:rPr>
  </w:style>
  <w:style w:type="paragraph" w:styleId="ListParagraph">
    <w:name w:val="List Paragraph"/>
    <w:basedOn w:val="Normal"/>
    <w:uiPriority w:val="34"/>
    <w:qFormat/>
    <w:rsid w:val="000C7C25"/>
    <w:pPr>
      <w:ind w:left="720"/>
      <w:contextualSpacing/>
    </w:pPr>
  </w:style>
</w:styles>
</file>

<file path=word/webSettings.xml><?xml version="1.0" encoding="utf-8"?>
<w:webSettings xmlns:r="http://schemas.openxmlformats.org/officeDocument/2006/relationships" xmlns:w="http://schemas.openxmlformats.org/wordprocessingml/2006/main">
  <w:divs>
    <w:div w:id="305934029">
      <w:bodyDiv w:val="1"/>
      <w:marLeft w:val="0"/>
      <w:marRight w:val="0"/>
      <w:marTop w:val="0"/>
      <w:marBottom w:val="0"/>
      <w:divBdr>
        <w:top w:val="none" w:sz="0" w:space="0" w:color="auto"/>
        <w:left w:val="none" w:sz="0" w:space="0" w:color="auto"/>
        <w:bottom w:val="none" w:sz="0" w:space="0" w:color="auto"/>
        <w:right w:val="none" w:sz="0" w:space="0" w:color="auto"/>
      </w:divBdr>
      <w:divsChild>
        <w:div w:id="586770817">
          <w:marLeft w:val="0"/>
          <w:marRight w:val="0"/>
          <w:marTop w:val="0"/>
          <w:marBottom w:val="0"/>
          <w:divBdr>
            <w:top w:val="none" w:sz="0" w:space="0" w:color="auto"/>
            <w:left w:val="none" w:sz="0" w:space="0" w:color="auto"/>
            <w:bottom w:val="none" w:sz="0" w:space="0" w:color="auto"/>
            <w:right w:val="none" w:sz="0" w:space="0" w:color="auto"/>
          </w:divBdr>
          <w:divsChild>
            <w:div w:id="1625234008">
              <w:marLeft w:val="0"/>
              <w:marRight w:val="0"/>
              <w:marTop w:val="0"/>
              <w:marBottom w:val="0"/>
              <w:divBdr>
                <w:top w:val="none" w:sz="0" w:space="0" w:color="auto"/>
                <w:left w:val="none" w:sz="0" w:space="0" w:color="auto"/>
                <w:bottom w:val="none" w:sz="0" w:space="0" w:color="auto"/>
                <w:right w:val="none" w:sz="0" w:space="0" w:color="auto"/>
              </w:divBdr>
            </w:div>
            <w:div w:id="17171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5442">
      <w:bodyDiv w:val="1"/>
      <w:marLeft w:val="0"/>
      <w:marRight w:val="0"/>
      <w:marTop w:val="0"/>
      <w:marBottom w:val="0"/>
      <w:divBdr>
        <w:top w:val="none" w:sz="0" w:space="0" w:color="auto"/>
        <w:left w:val="none" w:sz="0" w:space="0" w:color="auto"/>
        <w:bottom w:val="none" w:sz="0" w:space="0" w:color="auto"/>
        <w:right w:val="none" w:sz="0" w:space="0" w:color="auto"/>
      </w:divBdr>
    </w:div>
    <w:div w:id="394741894">
      <w:bodyDiv w:val="1"/>
      <w:marLeft w:val="0"/>
      <w:marRight w:val="0"/>
      <w:marTop w:val="0"/>
      <w:marBottom w:val="0"/>
      <w:divBdr>
        <w:top w:val="none" w:sz="0" w:space="0" w:color="auto"/>
        <w:left w:val="none" w:sz="0" w:space="0" w:color="auto"/>
        <w:bottom w:val="none" w:sz="0" w:space="0" w:color="auto"/>
        <w:right w:val="none" w:sz="0" w:space="0" w:color="auto"/>
      </w:divBdr>
    </w:div>
    <w:div w:id="662245373">
      <w:bodyDiv w:val="1"/>
      <w:marLeft w:val="0"/>
      <w:marRight w:val="0"/>
      <w:marTop w:val="0"/>
      <w:marBottom w:val="0"/>
      <w:divBdr>
        <w:top w:val="none" w:sz="0" w:space="0" w:color="auto"/>
        <w:left w:val="none" w:sz="0" w:space="0" w:color="auto"/>
        <w:bottom w:val="none" w:sz="0" w:space="0" w:color="auto"/>
        <w:right w:val="none" w:sz="0" w:space="0" w:color="auto"/>
      </w:divBdr>
      <w:divsChild>
        <w:div w:id="1762919409">
          <w:marLeft w:val="0"/>
          <w:marRight w:val="0"/>
          <w:marTop w:val="0"/>
          <w:marBottom w:val="0"/>
          <w:divBdr>
            <w:top w:val="none" w:sz="0" w:space="0" w:color="auto"/>
            <w:left w:val="none" w:sz="0" w:space="0" w:color="auto"/>
            <w:bottom w:val="none" w:sz="0" w:space="0" w:color="auto"/>
            <w:right w:val="none" w:sz="0" w:space="0" w:color="auto"/>
          </w:divBdr>
        </w:div>
        <w:div w:id="1267418853">
          <w:marLeft w:val="0"/>
          <w:marRight w:val="0"/>
          <w:marTop w:val="0"/>
          <w:marBottom w:val="0"/>
          <w:divBdr>
            <w:top w:val="none" w:sz="0" w:space="0" w:color="auto"/>
            <w:left w:val="none" w:sz="0" w:space="0" w:color="auto"/>
            <w:bottom w:val="none" w:sz="0" w:space="0" w:color="auto"/>
            <w:right w:val="none" w:sz="0" w:space="0" w:color="auto"/>
          </w:divBdr>
        </w:div>
        <w:div w:id="1563251063">
          <w:marLeft w:val="0"/>
          <w:marRight w:val="0"/>
          <w:marTop w:val="0"/>
          <w:marBottom w:val="0"/>
          <w:divBdr>
            <w:top w:val="none" w:sz="0" w:space="0" w:color="auto"/>
            <w:left w:val="none" w:sz="0" w:space="0" w:color="auto"/>
            <w:bottom w:val="none" w:sz="0" w:space="0" w:color="auto"/>
            <w:right w:val="none" w:sz="0" w:space="0" w:color="auto"/>
          </w:divBdr>
        </w:div>
        <w:div w:id="1740517122">
          <w:marLeft w:val="0"/>
          <w:marRight w:val="0"/>
          <w:marTop w:val="0"/>
          <w:marBottom w:val="0"/>
          <w:divBdr>
            <w:top w:val="none" w:sz="0" w:space="0" w:color="auto"/>
            <w:left w:val="none" w:sz="0" w:space="0" w:color="auto"/>
            <w:bottom w:val="none" w:sz="0" w:space="0" w:color="auto"/>
            <w:right w:val="none" w:sz="0" w:space="0" w:color="auto"/>
          </w:divBdr>
        </w:div>
        <w:div w:id="2053918397">
          <w:marLeft w:val="0"/>
          <w:marRight w:val="0"/>
          <w:marTop w:val="0"/>
          <w:marBottom w:val="0"/>
          <w:divBdr>
            <w:top w:val="none" w:sz="0" w:space="0" w:color="auto"/>
            <w:left w:val="none" w:sz="0" w:space="0" w:color="auto"/>
            <w:bottom w:val="none" w:sz="0" w:space="0" w:color="auto"/>
            <w:right w:val="none" w:sz="0" w:space="0" w:color="auto"/>
          </w:divBdr>
        </w:div>
        <w:div w:id="1077093292">
          <w:marLeft w:val="0"/>
          <w:marRight w:val="0"/>
          <w:marTop w:val="0"/>
          <w:marBottom w:val="0"/>
          <w:divBdr>
            <w:top w:val="none" w:sz="0" w:space="0" w:color="auto"/>
            <w:left w:val="none" w:sz="0" w:space="0" w:color="auto"/>
            <w:bottom w:val="none" w:sz="0" w:space="0" w:color="auto"/>
            <w:right w:val="none" w:sz="0" w:space="0" w:color="auto"/>
          </w:divBdr>
        </w:div>
        <w:div w:id="192038818">
          <w:marLeft w:val="0"/>
          <w:marRight w:val="0"/>
          <w:marTop w:val="0"/>
          <w:marBottom w:val="0"/>
          <w:divBdr>
            <w:top w:val="none" w:sz="0" w:space="0" w:color="auto"/>
            <w:left w:val="none" w:sz="0" w:space="0" w:color="auto"/>
            <w:bottom w:val="none" w:sz="0" w:space="0" w:color="auto"/>
            <w:right w:val="none" w:sz="0" w:space="0" w:color="auto"/>
          </w:divBdr>
        </w:div>
        <w:div w:id="808521039">
          <w:marLeft w:val="0"/>
          <w:marRight w:val="0"/>
          <w:marTop w:val="0"/>
          <w:marBottom w:val="0"/>
          <w:divBdr>
            <w:top w:val="none" w:sz="0" w:space="0" w:color="auto"/>
            <w:left w:val="none" w:sz="0" w:space="0" w:color="auto"/>
            <w:bottom w:val="none" w:sz="0" w:space="0" w:color="auto"/>
            <w:right w:val="none" w:sz="0" w:space="0" w:color="auto"/>
          </w:divBdr>
        </w:div>
      </w:divsChild>
    </w:div>
    <w:div w:id="671184286">
      <w:bodyDiv w:val="1"/>
      <w:marLeft w:val="0"/>
      <w:marRight w:val="0"/>
      <w:marTop w:val="0"/>
      <w:marBottom w:val="0"/>
      <w:divBdr>
        <w:top w:val="none" w:sz="0" w:space="0" w:color="auto"/>
        <w:left w:val="none" w:sz="0" w:space="0" w:color="auto"/>
        <w:bottom w:val="none" w:sz="0" w:space="0" w:color="auto"/>
        <w:right w:val="none" w:sz="0" w:space="0" w:color="auto"/>
      </w:divBdr>
      <w:divsChild>
        <w:div w:id="606276016">
          <w:marLeft w:val="0"/>
          <w:marRight w:val="0"/>
          <w:marTop w:val="0"/>
          <w:marBottom w:val="0"/>
          <w:divBdr>
            <w:top w:val="none" w:sz="0" w:space="0" w:color="auto"/>
            <w:left w:val="none" w:sz="0" w:space="0" w:color="auto"/>
            <w:bottom w:val="none" w:sz="0" w:space="0" w:color="auto"/>
            <w:right w:val="none" w:sz="0" w:space="0" w:color="auto"/>
          </w:divBdr>
        </w:div>
      </w:divsChild>
    </w:div>
    <w:div w:id="973680470">
      <w:bodyDiv w:val="1"/>
      <w:marLeft w:val="0"/>
      <w:marRight w:val="0"/>
      <w:marTop w:val="0"/>
      <w:marBottom w:val="0"/>
      <w:divBdr>
        <w:top w:val="none" w:sz="0" w:space="0" w:color="auto"/>
        <w:left w:val="none" w:sz="0" w:space="0" w:color="auto"/>
        <w:bottom w:val="none" w:sz="0" w:space="0" w:color="auto"/>
        <w:right w:val="none" w:sz="0" w:space="0" w:color="auto"/>
      </w:divBdr>
    </w:div>
    <w:div w:id="1009526803">
      <w:bodyDiv w:val="1"/>
      <w:marLeft w:val="0"/>
      <w:marRight w:val="0"/>
      <w:marTop w:val="0"/>
      <w:marBottom w:val="0"/>
      <w:divBdr>
        <w:top w:val="none" w:sz="0" w:space="0" w:color="auto"/>
        <w:left w:val="none" w:sz="0" w:space="0" w:color="auto"/>
        <w:bottom w:val="none" w:sz="0" w:space="0" w:color="auto"/>
        <w:right w:val="none" w:sz="0" w:space="0" w:color="auto"/>
      </w:divBdr>
    </w:div>
    <w:div w:id="1063721799">
      <w:bodyDiv w:val="1"/>
      <w:marLeft w:val="0"/>
      <w:marRight w:val="0"/>
      <w:marTop w:val="0"/>
      <w:marBottom w:val="0"/>
      <w:divBdr>
        <w:top w:val="none" w:sz="0" w:space="0" w:color="auto"/>
        <w:left w:val="none" w:sz="0" w:space="0" w:color="auto"/>
        <w:bottom w:val="none" w:sz="0" w:space="0" w:color="auto"/>
        <w:right w:val="none" w:sz="0" w:space="0" w:color="auto"/>
      </w:divBdr>
    </w:div>
    <w:div w:id="1136526184">
      <w:bodyDiv w:val="1"/>
      <w:marLeft w:val="0"/>
      <w:marRight w:val="0"/>
      <w:marTop w:val="0"/>
      <w:marBottom w:val="0"/>
      <w:divBdr>
        <w:top w:val="none" w:sz="0" w:space="0" w:color="auto"/>
        <w:left w:val="none" w:sz="0" w:space="0" w:color="auto"/>
        <w:bottom w:val="none" w:sz="0" w:space="0" w:color="auto"/>
        <w:right w:val="none" w:sz="0" w:space="0" w:color="auto"/>
      </w:divBdr>
      <w:divsChild>
        <w:div w:id="857234417">
          <w:marLeft w:val="0"/>
          <w:marRight w:val="0"/>
          <w:marTop w:val="0"/>
          <w:marBottom w:val="0"/>
          <w:divBdr>
            <w:top w:val="none" w:sz="0" w:space="0" w:color="auto"/>
            <w:left w:val="none" w:sz="0" w:space="0" w:color="auto"/>
            <w:bottom w:val="none" w:sz="0" w:space="0" w:color="auto"/>
            <w:right w:val="none" w:sz="0" w:space="0" w:color="auto"/>
          </w:divBdr>
          <w:divsChild>
            <w:div w:id="752513540">
              <w:marLeft w:val="0"/>
              <w:marRight w:val="0"/>
              <w:marTop w:val="0"/>
              <w:marBottom w:val="0"/>
              <w:divBdr>
                <w:top w:val="none" w:sz="0" w:space="0" w:color="auto"/>
                <w:left w:val="none" w:sz="0" w:space="0" w:color="auto"/>
                <w:bottom w:val="none" w:sz="0" w:space="0" w:color="auto"/>
                <w:right w:val="none" w:sz="0" w:space="0" w:color="auto"/>
              </w:divBdr>
              <w:divsChild>
                <w:div w:id="837958995">
                  <w:marLeft w:val="0"/>
                  <w:marRight w:val="0"/>
                  <w:marTop w:val="0"/>
                  <w:marBottom w:val="0"/>
                  <w:divBdr>
                    <w:top w:val="none" w:sz="0" w:space="0" w:color="auto"/>
                    <w:left w:val="none" w:sz="0" w:space="0" w:color="auto"/>
                    <w:bottom w:val="none" w:sz="0" w:space="0" w:color="auto"/>
                    <w:right w:val="none" w:sz="0" w:space="0" w:color="auto"/>
                  </w:divBdr>
                  <w:divsChild>
                    <w:div w:id="6994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523281814">
      <w:bodyDiv w:val="1"/>
      <w:marLeft w:val="0"/>
      <w:marRight w:val="0"/>
      <w:marTop w:val="0"/>
      <w:marBottom w:val="0"/>
      <w:divBdr>
        <w:top w:val="none" w:sz="0" w:space="0" w:color="auto"/>
        <w:left w:val="none" w:sz="0" w:space="0" w:color="auto"/>
        <w:bottom w:val="none" w:sz="0" w:space="0" w:color="auto"/>
        <w:right w:val="none" w:sz="0" w:space="0" w:color="auto"/>
      </w:divBdr>
      <w:divsChild>
        <w:div w:id="1047024118">
          <w:marLeft w:val="0"/>
          <w:marRight w:val="0"/>
          <w:marTop w:val="0"/>
          <w:marBottom w:val="0"/>
          <w:divBdr>
            <w:top w:val="none" w:sz="0" w:space="0" w:color="auto"/>
            <w:left w:val="none" w:sz="0" w:space="0" w:color="auto"/>
            <w:bottom w:val="none" w:sz="0" w:space="0" w:color="auto"/>
            <w:right w:val="none" w:sz="0" w:space="0" w:color="auto"/>
          </w:divBdr>
          <w:divsChild>
            <w:div w:id="10811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7703">
      <w:bodyDiv w:val="1"/>
      <w:marLeft w:val="0"/>
      <w:marRight w:val="0"/>
      <w:marTop w:val="0"/>
      <w:marBottom w:val="0"/>
      <w:divBdr>
        <w:top w:val="none" w:sz="0" w:space="0" w:color="auto"/>
        <w:left w:val="none" w:sz="0" w:space="0" w:color="auto"/>
        <w:bottom w:val="none" w:sz="0" w:space="0" w:color="auto"/>
        <w:right w:val="none" w:sz="0" w:space="0" w:color="auto"/>
      </w:divBdr>
    </w:div>
    <w:div w:id="1679035994">
      <w:bodyDiv w:val="1"/>
      <w:marLeft w:val="0"/>
      <w:marRight w:val="0"/>
      <w:marTop w:val="0"/>
      <w:marBottom w:val="0"/>
      <w:divBdr>
        <w:top w:val="none" w:sz="0" w:space="0" w:color="auto"/>
        <w:left w:val="none" w:sz="0" w:space="0" w:color="auto"/>
        <w:bottom w:val="none" w:sz="0" w:space="0" w:color="auto"/>
        <w:right w:val="none" w:sz="0" w:space="0" w:color="auto"/>
      </w:divBdr>
    </w:div>
    <w:div w:id="1768692674">
      <w:bodyDiv w:val="1"/>
      <w:marLeft w:val="0"/>
      <w:marRight w:val="0"/>
      <w:marTop w:val="0"/>
      <w:marBottom w:val="0"/>
      <w:divBdr>
        <w:top w:val="none" w:sz="0" w:space="0" w:color="auto"/>
        <w:left w:val="none" w:sz="0" w:space="0" w:color="auto"/>
        <w:bottom w:val="none" w:sz="0" w:space="0" w:color="auto"/>
        <w:right w:val="none" w:sz="0" w:space="0" w:color="auto"/>
      </w:divBdr>
    </w:div>
    <w:div w:id="1774277391">
      <w:bodyDiv w:val="1"/>
      <w:marLeft w:val="0"/>
      <w:marRight w:val="0"/>
      <w:marTop w:val="0"/>
      <w:marBottom w:val="0"/>
      <w:divBdr>
        <w:top w:val="none" w:sz="0" w:space="0" w:color="auto"/>
        <w:left w:val="none" w:sz="0" w:space="0" w:color="auto"/>
        <w:bottom w:val="none" w:sz="0" w:space="0" w:color="auto"/>
        <w:right w:val="none" w:sz="0" w:space="0" w:color="auto"/>
      </w:divBdr>
    </w:div>
    <w:div w:id="19808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yperlink" TargetMode="External" Target="http://www.mass.gov/edu/government/departments-and-boards/ese/programs/accountability/tools-and-resources/district-analysis-review-and-assistance/dart-for-districts-and-dart-for-schools.html"/>
  <Relationship Id="rId19" Type="http://schemas.openxmlformats.org/officeDocument/2006/relationships/hyperlink" TargetMode="External" Target="http://www.mass.gov/edu/government/departments-and-boards/ese/programs/accountability/tools-and-resources/district-analysis-review-and-assistance/dart-for-districts-and-dart-for-schools.html"/>
  <Relationship Id="rId2" Type="http://schemas.openxmlformats.org/officeDocument/2006/relationships/customXml" Target="../customXml/item2.xml"/>
  <Relationship Id="rId20" Type="http://schemas.openxmlformats.org/officeDocument/2006/relationships/hyperlink" TargetMode="External" Target="http://sgiz.mobi/s3/be8c0272b044"/>
  <Relationship Id="rId21" Type="http://schemas.openxmlformats.org/officeDocument/2006/relationships/image" Target="media/image5.png"/>
  <Relationship Id="rId22" Type="http://schemas.openxmlformats.org/officeDocument/2006/relationships/hyperlink" TargetMode="External" Target="http://profiles.doe.mass.edu/"/>
  <Relationship Id="rId23" Type="http://schemas.openxmlformats.org/officeDocument/2006/relationships/image" Target="media/image6.png"/>
  <Relationship Id="rId24" Type="http://schemas.openxmlformats.org/officeDocument/2006/relationships/image" Target="media/image7.png"/>
  <Relationship Id="rId25" Type="http://schemas.openxmlformats.org/officeDocument/2006/relationships/image" Target="media/image8.png"/>
  <Relationship Id="rId26" Type="http://schemas.openxmlformats.org/officeDocument/2006/relationships/image" Target="media/image9.png"/>
  <Relationship Id="rId27" Type="http://schemas.openxmlformats.org/officeDocument/2006/relationships/image" Target="media/image10.png"/>
  <Relationship Id="rId28" Type="http://schemas.openxmlformats.org/officeDocument/2006/relationships/image" Target="media/image11.png"/>
  <Relationship Id="rId29" Type="http://schemas.openxmlformats.org/officeDocument/2006/relationships/hyperlink" TargetMode="External" Target="http://www.doe.mass.edu/infoservices/data/epims/"/>
  <Relationship Id="rId3" Type="http://schemas.openxmlformats.org/officeDocument/2006/relationships/customXml" Target="../customXml/item3.xml"/>
  <Relationship Id="rId30" Type="http://schemas.openxmlformats.org/officeDocument/2006/relationships/hyperlink" TargetMode="External" Target="http://www.doe.mass.edu/finance/"/>
  <Relationship Id="rId31" Type="http://schemas.openxmlformats.org/officeDocument/2006/relationships/fontTable" Target="fontTable.xml"/>
  <Relationship Id="rId32"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du/government/departments-and-boards/ese/programs/accountability/tools-and-resources/district-analysis-review-and-assistance/dart-for-districts-and-dart-for-schools.ht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vti_RoutingExistingProperties xmlns="0a4e05da-b9bc-4326-ad73-01ef31b95567" xsi:nil="true"/>
    <_dlc_DocIdPersistId xmlns="733efe1c-5bbe-4968-87dc-d400e65c879f">true</_dlc_DocIdPersistId>
    <_dlc_DocId xmlns="733efe1c-5bbe-4968-87dc-d400e65c879f">DESE-231-3323</_dlc_DocId>
    <_dlc_DocIdUrl xmlns="733efe1c-5bbe-4968-87dc-d400e65c879f">
      <Url>https://sharepoint.doemass.org/ese/webteam/cps/_layouts/DocIdRedir.aspx?ID=DESE-231-3323</Url>
      <Description>DESE-231-3323</Description>
    </_dlc_DocIdUrl>
  </documentManagement>
</p:properties>
</file>

<file path=customXml/item6.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23FC7904-47C0-4F79-8A12-4EFF6F3ABC0D}"/>
</file>

<file path=customXml/itemProps2.xml><?xml version="1.0" encoding="utf-8"?>
<ds:datastoreItem xmlns:ds="http://schemas.openxmlformats.org/officeDocument/2006/customXml" ds:itemID="{ADA6D210-7F87-4DE8-A608-F676B93AADFC}"/>
</file>

<file path=customXml/itemProps3.xml><?xml version="1.0" encoding="utf-8"?>
<ds:datastoreItem xmlns:ds="http://schemas.openxmlformats.org/officeDocument/2006/customXml" ds:itemID="{086C5E75-E431-490A-AB2A-BDC84E9F3055}"/>
</file>

<file path=customXml/itemProps4.xml><?xml version="1.0" encoding="utf-8"?>
<ds:datastoreItem xmlns:ds="http://schemas.openxmlformats.org/officeDocument/2006/customXml" ds:itemID="{30FA1217-818C-4084-95EB-5F0E8F7B1563}"/>
</file>

<file path=customXml/itemProps5.xml><?xml version="1.0" encoding="utf-8"?>
<ds:datastoreItem xmlns:ds="http://schemas.openxmlformats.org/officeDocument/2006/customXml" ds:itemID="{40844A1C-A9B1-44C5-B972-1F1A8AB39204}"/>
</file>

<file path=customXml/itemProps6.xml><?xml version="1.0" encoding="utf-8"?>
<ds:datastoreItem xmlns:ds="http://schemas.openxmlformats.org/officeDocument/2006/customXml" ds:itemID="{94A52B56-05D4-4FE5-B7AB-32F80C2001F1}"/>
</file>

<file path=docProps/app.xml><?xml version="1.0" encoding="utf-8"?>
<Properties xmlns="http://schemas.openxmlformats.org/officeDocument/2006/extended-properties" xmlns:vt="http://schemas.openxmlformats.org/officeDocument/2006/docPropsVTypes">
  <Template>Normal</Template>
  <TotalTime>1</TotalTime>
  <Pages>22</Pages>
  <Words>5310</Words>
  <Characters>33969</Characters>
  <Application>Microsoft Office Word</Application>
  <DocSecurity>0</DocSecurity>
  <Lines>283</Lines>
  <Paragraphs>78</Paragraphs>
  <ScaleCrop>false</ScaleCrop>
  <HeadingPairs>
    <vt:vector size="2" baseType="variant">
      <vt:variant>
        <vt:lpstr>Title</vt:lpstr>
      </vt:variant>
      <vt:variant>
        <vt:i4>1</vt:i4>
      </vt:variant>
    </vt:vector>
  </HeadingPairs>
  <TitlesOfParts>
    <vt:vector size="1" baseType="lpstr">
      <vt:lpstr>DART Finance user guide</vt:lpstr>
    </vt:vector>
  </TitlesOfParts>
  <Company>Massachusetts Department of Elementary and Secondary Education</Company>
  <LinksUpToDate>false</LinksUpToDate>
  <CharactersWithSpaces>39201</CharactersWithSpaces>
  <SharedDoc>false</SharedDoc>
  <HLinks>
    <vt:vector size="126" baseType="variant">
      <vt:variant>
        <vt:i4>4521990</vt:i4>
      </vt:variant>
      <vt:variant>
        <vt:i4>111</vt:i4>
      </vt:variant>
      <vt:variant>
        <vt:i4>0</vt:i4>
      </vt:variant>
      <vt:variant>
        <vt:i4>5</vt:i4>
      </vt:variant>
      <vt:variant>
        <vt:lpwstr>http://finance1.doe.mass.edu/</vt:lpwstr>
      </vt:variant>
      <vt:variant>
        <vt:lpwstr/>
      </vt:variant>
      <vt:variant>
        <vt:i4>6160449</vt:i4>
      </vt:variant>
      <vt:variant>
        <vt:i4>108</vt:i4>
      </vt:variant>
      <vt:variant>
        <vt:i4>0</vt:i4>
      </vt:variant>
      <vt:variant>
        <vt:i4>5</vt:i4>
      </vt:variant>
      <vt:variant>
        <vt:lpwstr>http://www.doe.mass.edu/infoservices/data/epims/</vt:lpwstr>
      </vt:variant>
      <vt:variant>
        <vt:lpwstr/>
      </vt:variant>
      <vt:variant>
        <vt:i4>1769477</vt:i4>
      </vt:variant>
      <vt:variant>
        <vt:i4>105</vt:i4>
      </vt:variant>
      <vt:variant>
        <vt:i4>0</vt:i4>
      </vt:variant>
      <vt:variant>
        <vt:i4>5</vt:i4>
      </vt:variant>
      <vt:variant>
        <vt:lpwstr>http://www.doe.mass.edu/apa/dart/</vt:lpwstr>
      </vt:variant>
      <vt:variant>
        <vt:lpwstr/>
      </vt:variant>
      <vt:variant>
        <vt:i4>1769477</vt:i4>
      </vt:variant>
      <vt:variant>
        <vt:i4>102</vt:i4>
      </vt:variant>
      <vt:variant>
        <vt:i4>0</vt:i4>
      </vt:variant>
      <vt:variant>
        <vt:i4>5</vt:i4>
      </vt:variant>
      <vt:variant>
        <vt:lpwstr>http://www.doe.mass.edu/apa/dart/</vt:lpwstr>
      </vt:variant>
      <vt:variant>
        <vt:lpwstr/>
      </vt:variant>
      <vt:variant>
        <vt:i4>983063</vt:i4>
      </vt:variant>
      <vt:variant>
        <vt:i4>99</vt:i4>
      </vt:variant>
      <vt:variant>
        <vt:i4>0</vt:i4>
      </vt:variant>
      <vt:variant>
        <vt:i4>5</vt:i4>
      </vt:variant>
      <vt:variant>
        <vt:lpwstr>http://www.doe.mass.edu/sda/dart/</vt:lpwstr>
      </vt:variant>
      <vt:variant>
        <vt:lpwstr/>
      </vt:variant>
      <vt:variant>
        <vt:i4>1441847</vt:i4>
      </vt:variant>
      <vt:variant>
        <vt:i4>92</vt:i4>
      </vt:variant>
      <vt:variant>
        <vt:i4>0</vt:i4>
      </vt:variant>
      <vt:variant>
        <vt:i4>5</vt:i4>
      </vt:variant>
      <vt:variant>
        <vt:lpwstr/>
      </vt:variant>
      <vt:variant>
        <vt:lpwstr>_Toc337808322</vt:lpwstr>
      </vt:variant>
      <vt:variant>
        <vt:i4>1441847</vt:i4>
      </vt:variant>
      <vt:variant>
        <vt:i4>86</vt:i4>
      </vt:variant>
      <vt:variant>
        <vt:i4>0</vt:i4>
      </vt:variant>
      <vt:variant>
        <vt:i4>5</vt:i4>
      </vt:variant>
      <vt:variant>
        <vt:lpwstr/>
      </vt:variant>
      <vt:variant>
        <vt:lpwstr>_Toc337808321</vt:lpwstr>
      </vt:variant>
      <vt:variant>
        <vt:i4>1441847</vt:i4>
      </vt:variant>
      <vt:variant>
        <vt:i4>80</vt:i4>
      </vt:variant>
      <vt:variant>
        <vt:i4>0</vt:i4>
      </vt:variant>
      <vt:variant>
        <vt:i4>5</vt:i4>
      </vt:variant>
      <vt:variant>
        <vt:lpwstr/>
      </vt:variant>
      <vt:variant>
        <vt:lpwstr>_Toc337808320</vt:lpwstr>
      </vt:variant>
      <vt:variant>
        <vt:i4>1376311</vt:i4>
      </vt:variant>
      <vt:variant>
        <vt:i4>74</vt:i4>
      </vt:variant>
      <vt:variant>
        <vt:i4>0</vt:i4>
      </vt:variant>
      <vt:variant>
        <vt:i4>5</vt:i4>
      </vt:variant>
      <vt:variant>
        <vt:lpwstr/>
      </vt:variant>
      <vt:variant>
        <vt:lpwstr>_Toc337808319</vt:lpwstr>
      </vt:variant>
      <vt:variant>
        <vt:i4>1376311</vt:i4>
      </vt:variant>
      <vt:variant>
        <vt:i4>68</vt:i4>
      </vt:variant>
      <vt:variant>
        <vt:i4>0</vt:i4>
      </vt:variant>
      <vt:variant>
        <vt:i4>5</vt:i4>
      </vt:variant>
      <vt:variant>
        <vt:lpwstr/>
      </vt:variant>
      <vt:variant>
        <vt:lpwstr>_Toc337808318</vt:lpwstr>
      </vt:variant>
      <vt:variant>
        <vt:i4>1376311</vt:i4>
      </vt:variant>
      <vt:variant>
        <vt:i4>62</vt:i4>
      </vt:variant>
      <vt:variant>
        <vt:i4>0</vt:i4>
      </vt:variant>
      <vt:variant>
        <vt:i4>5</vt:i4>
      </vt:variant>
      <vt:variant>
        <vt:lpwstr/>
      </vt:variant>
      <vt:variant>
        <vt:lpwstr>_Toc337808317</vt:lpwstr>
      </vt:variant>
      <vt:variant>
        <vt:i4>1376311</vt:i4>
      </vt:variant>
      <vt:variant>
        <vt:i4>56</vt:i4>
      </vt:variant>
      <vt:variant>
        <vt:i4>0</vt:i4>
      </vt:variant>
      <vt:variant>
        <vt:i4>5</vt:i4>
      </vt:variant>
      <vt:variant>
        <vt:lpwstr/>
      </vt:variant>
      <vt:variant>
        <vt:lpwstr>_Toc337808316</vt:lpwstr>
      </vt:variant>
      <vt:variant>
        <vt:i4>1376311</vt:i4>
      </vt:variant>
      <vt:variant>
        <vt:i4>50</vt:i4>
      </vt:variant>
      <vt:variant>
        <vt:i4>0</vt:i4>
      </vt:variant>
      <vt:variant>
        <vt:i4>5</vt:i4>
      </vt:variant>
      <vt:variant>
        <vt:lpwstr/>
      </vt:variant>
      <vt:variant>
        <vt:lpwstr>_Toc337808315</vt:lpwstr>
      </vt:variant>
      <vt:variant>
        <vt:i4>1376311</vt:i4>
      </vt:variant>
      <vt:variant>
        <vt:i4>44</vt:i4>
      </vt:variant>
      <vt:variant>
        <vt:i4>0</vt:i4>
      </vt:variant>
      <vt:variant>
        <vt:i4>5</vt:i4>
      </vt:variant>
      <vt:variant>
        <vt:lpwstr/>
      </vt:variant>
      <vt:variant>
        <vt:lpwstr>_Toc337808314</vt:lpwstr>
      </vt:variant>
      <vt:variant>
        <vt:i4>1376311</vt:i4>
      </vt:variant>
      <vt:variant>
        <vt:i4>38</vt:i4>
      </vt:variant>
      <vt:variant>
        <vt:i4>0</vt:i4>
      </vt:variant>
      <vt:variant>
        <vt:i4>5</vt:i4>
      </vt:variant>
      <vt:variant>
        <vt:lpwstr/>
      </vt:variant>
      <vt:variant>
        <vt:lpwstr>_Toc337808313</vt:lpwstr>
      </vt:variant>
      <vt:variant>
        <vt:i4>1376311</vt:i4>
      </vt:variant>
      <vt:variant>
        <vt:i4>32</vt:i4>
      </vt:variant>
      <vt:variant>
        <vt:i4>0</vt:i4>
      </vt:variant>
      <vt:variant>
        <vt:i4>5</vt:i4>
      </vt:variant>
      <vt:variant>
        <vt:lpwstr/>
      </vt:variant>
      <vt:variant>
        <vt:lpwstr>_Toc337808312</vt:lpwstr>
      </vt:variant>
      <vt:variant>
        <vt:i4>1376311</vt:i4>
      </vt:variant>
      <vt:variant>
        <vt:i4>26</vt:i4>
      </vt:variant>
      <vt:variant>
        <vt:i4>0</vt:i4>
      </vt:variant>
      <vt:variant>
        <vt:i4>5</vt:i4>
      </vt:variant>
      <vt:variant>
        <vt:lpwstr/>
      </vt:variant>
      <vt:variant>
        <vt:lpwstr>_Toc337808311</vt:lpwstr>
      </vt:variant>
      <vt:variant>
        <vt:i4>1376311</vt:i4>
      </vt:variant>
      <vt:variant>
        <vt:i4>20</vt:i4>
      </vt:variant>
      <vt:variant>
        <vt:i4>0</vt:i4>
      </vt:variant>
      <vt:variant>
        <vt:i4>5</vt:i4>
      </vt:variant>
      <vt:variant>
        <vt:lpwstr/>
      </vt:variant>
      <vt:variant>
        <vt:lpwstr>_Toc337808310</vt:lpwstr>
      </vt:variant>
      <vt:variant>
        <vt:i4>1310775</vt:i4>
      </vt:variant>
      <vt:variant>
        <vt:i4>14</vt:i4>
      </vt:variant>
      <vt:variant>
        <vt:i4>0</vt:i4>
      </vt:variant>
      <vt:variant>
        <vt:i4>5</vt:i4>
      </vt:variant>
      <vt:variant>
        <vt:lpwstr/>
      </vt:variant>
      <vt:variant>
        <vt:lpwstr>_Toc337808309</vt:lpwstr>
      </vt:variant>
      <vt:variant>
        <vt:i4>1310775</vt:i4>
      </vt:variant>
      <vt:variant>
        <vt:i4>8</vt:i4>
      </vt:variant>
      <vt:variant>
        <vt:i4>0</vt:i4>
      </vt:variant>
      <vt:variant>
        <vt:i4>5</vt:i4>
      </vt:variant>
      <vt:variant>
        <vt:lpwstr/>
      </vt:variant>
      <vt:variant>
        <vt:lpwstr>_Toc337808308</vt:lpwstr>
      </vt:variant>
      <vt:variant>
        <vt:i4>1310775</vt:i4>
      </vt:variant>
      <vt:variant>
        <vt:i4>2</vt:i4>
      </vt:variant>
      <vt:variant>
        <vt:i4>0</vt:i4>
      </vt:variant>
      <vt:variant>
        <vt:i4>5</vt:i4>
      </vt:variant>
      <vt:variant>
        <vt:lpwstr/>
      </vt:variant>
      <vt:variant>
        <vt:lpwstr>_Toc337808307</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2016-06-03T13:23:00Z</dcterms:created>
  <dc:creator>ESE</dc:creator>
  <lastModifiedBy>Lien Hoang</lastModifiedBy>
  <lastPrinted>2016-05-23T16:14:00Z</lastPrinted>
  <dcterms:modified xsi:type="dcterms:W3CDTF">2016-06-03T13:23:00Z</dcterms:modified>
  <revision>2</revision>
  <dc:title>DART Finance user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9 2013</vt:lpwstr>
  </property>
  <property fmtid="{D5CDD505-2E9C-101B-9397-08002B2CF9AE}" pid="3" name="ContentTypeId">
    <vt:lpwstr>0x010100524261BFE874874F899C38CF9C771BFF</vt:lpwstr>
  </property>
  <property fmtid="{D5CDD505-2E9C-101B-9397-08002B2CF9AE}" pid="4" name="_dlc_DocIdItemGuid">
    <vt:lpwstr>d160b2ba-f834-4c79-8403-4157298b7429</vt:lpwstr>
  </property>
</Properties>
</file>