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DA0B" w14:textId="2C0E3C34" w:rsidR="00F23F28" w:rsidRPr="00580A0C" w:rsidRDefault="00F23F28" w:rsidP="00F23F28">
      <w:pPr>
        <w:spacing w:line="240" w:lineRule="auto"/>
        <w:contextualSpacing/>
        <w:rPr>
          <w:rFonts w:ascii="Arial" w:hAnsi="Arial" w:cs="Arial"/>
        </w:rPr>
      </w:pPr>
      <w:r w:rsidRPr="00580A0C">
        <w:rPr>
          <w:rFonts w:ascii="Arial" w:hAnsi="Arial" w:cs="Arial"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7358E2" wp14:editId="1D415730">
            <wp:simplePos x="0" y="0"/>
            <wp:positionH relativeFrom="column">
              <wp:posOffset>19050</wp:posOffset>
            </wp:positionH>
            <wp:positionV relativeFrom="paragraph">
              <wp:posOffset>-323850</wp:posOffset>
            </wp:positionV>
            <wp:extent cx="1047750" cy="522197"/>
            <wp:effectExtent l="0" t="0" r="0" b="0"/>
            <wp:wrapNone/>
            <wp:docPr id="205300226" name="Picture 1" descr="MassHealth Redetermination - NEW Health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Health Redetermination - NEW Health Cen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591" cy="52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9462D" w14:textId="25543F54" w:rsidR="00F23F28" w:rsidRPr="00580A0C" w:rsidRDefault="00F23F28" w:rsidP="00F23F28">
      <w:pPr>
        <w:spacing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  <w:r w:rsidRPr="00580A0C">
        <w:rPr>
          <w:rFonts w:ascii="Arial" w:hAnsi="Arial" w:cs="Arial"/>
          <w:i/>
          <w:iCs/>
          <w:sz w:val="20"/>
          <w:szCs w:val="20"/>
        </w:rPr>
        <w:t>Commonwealth of Massachusetts</w:t>
      </w:r>
    </w:p>
    <w:p w14:paraId="75173117" w14:textId="4B3BD467" w:rsidR="00F23F28" w:rsidRPr="00580A0C" w:rsidRDefault="00F23F28" w:rsidP="00F23F28">
      <w:pPr>
        <w:spacing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  <w:r w:rsidRPr="00580A0C">
        <w:rPr>
          <w:rFonts w:ascii="Arial" w:hAnsi="Arial" w:cs="Arial"/>
          <w:i/>
          <w:iCs/>
          <w:sz w:val="20"/>
          <w:szCs w:val="20"/>
        </w:rPr>
        <w:t>Executive Office of Health and Human Services</w:t>
      </w:r>
    </w:p>
    <w:p w14:paraId="0F889BF9" w14:textId="339233B3" w:rsidR="00F23F28" w:rsidRPr="00580A0C" w:rsidRDefault="00F23F28" w:rsidP="00F23F28">
      <w:pPr>
        <w:spacing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  <w:hyperlink r:id="rId11" w:history="1">
        <w:r w:rsidRPr="00580A0C">
          <w:rPr>
            <w:rStyle w:val="Hyperlink"/>
            <w:rFonts w:ascii="Arial" w:hAnsi="Arial" w:cs="Arial"/>
            <w:i/>
            <w:iCs/>
            <w:sz w:val="20"/>
            <w:szCs w:val="20"/>
          </w:rPr>
          <w:t>www.mass.gov/masshealth</w:t>
        </w:r>
      </w:hyperlink>
    </w:p>
    <w:p w14:paraId="5D855E1B" w14:textId="77777777" w:rsidR="00F23F28" w:rsidRPr="00580A0C" w:rsidRDefault="00F23F28" w:rsidP="007333E6">
      <w:pPr>
        <w:spacing w:after="12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6B83D44C" w14:textId="77777777" w:rsidR="00F23F28" w:rsidRPr="00580A0C" w:rsidRDefault="00F23F28" w:rsidP="007333E6">
      <w:pPr>
        <w:spacing w:after="12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77C2F624" w14:textId="10B918AD" w:rsidR="00F23F28" w:rsidRPr="00580A0C" w:rsidRDefault="00F23F28" w:rsidP="007333E6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580A0C">
        <w:rPr>
          <w:rFonts w:ascii="Arial" w:hAnsi="Arial" w:cs="Arial"/>
          <w:b/>
          <w:bCs/>
          <w:sz w:val="22"/>
          <w:szCs w:val="22"/>
        </w:rPr>
        <w:t>Standard Documentation to Include with a Prior Authorization Request for Personal Care Attendant (PCA) Services</w:t>
      </w:r>
    </w:p>
    <w:p w14:paraId="62D3867F" w14:textId="77777777" w:rsidR="00F23F28" w:rsidRPr="00580A0C" w:rsidRDefault="00F23F28" w:rsidP="007333E6">
      <w:pPr>
        <w:spacing w:after="120" w:line="240" w:lineRule="auto"/>
        <w:contextualSpacing/>
        <w:rPr>
          <w:rFonts w:ascii="Arial" w:hAnsi="Arial" w:cs="Arial"/>
        </w:rPr>
      </w:pPr>
    </w:p>
    <w:p w14:paraId="7A75022B" w14:textId="2116A793" w:rsidR="00F23F28" w:rsidRPr="00580A0C" w:rsidRDefault="00F23F28" w:rsidP="00F906AB">
      <w:pPr>
        <w:spacing w:after="0" w:line="300" w:lineRule="auto"/>
        <w:contextualSpacing/>
        <w:rPr>
          <w:rFonts w:ascii="Arial" w:hAnsi="Arial" w:cs="Arial"/>
          <w:sz w:val="22"/>
          <w:szCs w:val="22"/>
        </w:rPr>
      </w:pPr>
      <w:r w:rsidRPr="00F23F28">
        <w:rPr>
          <w:rFonts w:ascii="Arial" w:hAnsi="Arial" w:cs="Arial"/>
          <w:sz w:val="22"/>
          <w:szCs w:val="22"/>
        </w:rPr>
        <w:t>The following is a list of documentation that Personal Care Management (PCM) agencies must submit, as appropriate, when requesting prior authorization (PA)</w:t>
      </w:r>
      <w:r w:rsidRPr="00580A0C">
        <w:rPr>
          <w:rFonts w:ascii="Arial" w:hAnsi="Arial" w:cs="Arial"/>
          <w:sz w:val="22"/>
          <w:szCs w:val="22"/>
        </w:rPr>
        <w:t xml:space="preserve"> </w:t>
      </w:r>
      <w:r w:rsidRPr="00F23F28">
        <w:rPr>
          <w:rFonts w:ascii="Arial" w:hAnsi="Arial" w:cs="Arial"/>
          <w:sz w:val="22"/>
          <w:szCs w:val="22"/>
        </w:rPr>
        <w:t>for PCA services. This documentation must be submitted along with the completed</w:t>
      </w:r>
      <w:r w:rsidRPr="00580A0C">
        <w:rPr>
          <w:rFonts w:ascii="Arial" w:hAnsi="Arial" w:cs="Arial"/>
          <w:sz w:val="22"/>
          <w:szCs w:val="22"/>
        </w:rPr>
        <w:t xml:space="preserve"> </w:t>
      </w:r>
      <w:r w:rsidRPr="00F23F28">
        <w:rPr>
          <w:rFonts w:ascii="Arial" w:hAnsi="Arial" w:cs="Arial"/>
          <w:sz w:val="22"/>
          <w:szCs w:val="22"/>
        </w:rPr>
        <w:t>MassHealth Application for PCA Services (PCA</w:t>
      </w:r>
      <w:r w:rsidRPr="00F23F28">
        <w:rPr>
          <w:rFonts w:ascii="Cambria Math" w:hAnsi="Cambria Math" w:cs="Cambria Math"/>
          <w:sz w:val="22"/>
          <w:szCs w:val="22"/>
        </w:rPr>
        <w:t>‐</w:t>
      </w:r>
      <w:r w:rsidRPr="00F23F28">
        <w:rPr>
          <w:rFonts w:ascii="Arial" w:hAnsi="Arial" w:cs="Arial"/>
          <w:sz w:val="22"/>
          <w:szCs w:val="22"/>
        </w:rPr>
        <w:t>1) form, and the completed</w:t>
      </w:r>
      <w:r w:rsidRPr="00580A0C">
        <w:rPr>
          <w:rFonts w:ascii="Arial" w:hAnsi="Arial" w:cs="Arial"/>
          <w:sz w:val="22"/>
          <w:szCs w:val="22"/>
        </w:rPr>
        <w:t xml:space="preserve"> </w:t>
      </w:r>
      <w:r w:rsidRPr="00F23F28">
        <w:rPr>
          <w:rFonts w:ascii="Arial" w:hAnsi="Arial" w:cs="Arial"/>
          <w:sz w:val="22"/>
          <w:szCs w:val="22"/>
        </w:rPr>
        <w:t>and signed MassHealth Evaluation for PCA</w:t>
      </w:r>
      <w:r w:rsidRPr="00580A0C">
        <w:rPr>
          <w:rFonts w:ascii="Arial" w:hAnsi="Arial" w:cs="Arial"/>
          <w:sz w:val="22"/>
          <w:szCs w:val="22"/>
        </w:rPr>
        <w:t xml:space="preserve"> </w:t>
      </w:r>
      <w:r w:rsidRPr="00F23F28">
        <w:rPr>
          <w:rFonts w:ascii="Arial" w:hAnsi="Arial" w:cs="Arial"/>
          <w:sz w:val="22"/>
          <w:szCs w:val="22"/>
        </w:rPr>
        <w:t>Services (PCA</w:t>
      </w:r>
      <w:r w:rsidRPr="00F23F28">
        <w:rPr>
          <w:rFonts w:ascii="Cambria Math" w:hAnsi="Cambria Math" w:cs="Cambria Math"/>
          <w:sz w:val="22"/>
          <w:szCs w:val="22"/>
        </w:rPr>
        <w:t>‐</w:t>
      </w:r>
      <w:r w:rsidRPr="00F23F28">
        <w:rPr>
          <w:rFonts w:ascii="Arial" w:hAnsi="Arial" w:cs="Arial"/>
          <w:sz w:val="22"/>
          <w:szCs w:val="22"/>
        </w:rPr>
        <w:t>2) form. This documentation will assist MassHealth in determining medical necessity for PCA services</w:t>
      </w:r>
      <w:r w:rsidRPr="00580A0C">
        <w:rPr>
          <w:rFonts w:ascii="Arial" w:hAnsi="Arial" w:cs="Arial"/>
          <w:sz w:val="22"/>
          <w:szCs w:val="22"/>
        </w:rPr>
        <w:t xml:space="preserve"> </w:t>
      </w:r>
      <w:r w:rsidRPr="00F23F28">
        <w:rPr>
          <w:rFonts w:ascii="Arial" w:hAnsi="Arial" w:cs="Arial"/>
          <w:sz w:val="22"/>
          <w:szCs w:val="22"/>
        </w:rPr>
        <w:t>and will</w:t>
      </w:r>
      <w:r w:rsidRPr="00580A0C">
        <w:rPr>
          <w:rFonts w:ascii="Arial" w:hAnsi="Arial" w:cs="Arial"/>
          <w:sz w:val="22"/>
          <w:szCs w:val="22"/>
        </w:rPr>
        <w:t xml:space="preserve"> </w:t>
      </w:r>
      <w:r w:rsidRPr="00F23F28">
        <w:rPr>
          <w:rFonts w:ascii="Arial" w:hAnsi="Arial" w:cs="Arial"/>
          <w:sz w:val="22"/>
          <w:szCs w:val="22"/>
        </w:rPr>
        <w:t>facilitate the timely processing of PA requests. A PCM agency may also submit with the PA request any additional</w:t>
      </w:r>
      <w:r w:rsidRPr="00580A0C">
        <w:rPr>
          <w:rFonts w:ascii="Arial" w:hAnsi="Arial" w:cs="Arial"/>
          <w:sz w:val="22"/>
          <w:szCs w:val="22"/>
        </w:rPr>
        <w:t xml:space="preserve"> </w:t>
      </w:r>
      <w:r w:rsidRPr="00F23F28">
        <w:rPr>
          <w:rFonts w:ascii="Arial" w:hAnsi="Arial" w:cs="Arial"/>
          <w:sz w:val="22"/>
          <w:szCs w:val="22"/>
        </w:rPr>
        <w:t>documentation that supports the</w:t>
      </w:r>
      <w:r w:rsidRPr="00580A0C">
        <w:rPr>
          <w:rFonts w:ascii="Arial" w:hAnsi="Arial" w:cs="Arial"/>
          <w:sz w:val="22"/>
          <w:szCs w:val="22"/>
        </w:rPr>
        <w:t xml:space="preserve"> </w:t>
      </w:r>
      <w:r w:rsidR="008F0685" w:rsidRPr="00580A0C">
        <w:rPr>
          <w:rFonts w:ascii="Arial" w:hAnsi="Arial" w:cs="Arial"/>
          <w:sz w:val="22"/>
          <w:szCs w:val="22"/>
        </w:rPr>
        <w:t>consumer’s medical necessity for PCA services.</w:t>
      </w:r>
    </w:p>
    <w:tbl>
      <w:tblPr>
        <w:tblStyle w:val="TableGrid"/>
        <w:tblpPr w:leftFromText="180" w:rightFromText="180" w:vertAnchor="text" w:horzAnchor="margin" w:tblpY="560"/>
        <w:tblW w:w="12960" w:type="dxa"/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CF6B81" w:rsidRPr="008F0685" w14:paraId="7A3CE280" w14:textId="77777777" w:rsidTr="00CF6B81">
        <w:trPr>
          <w:trHeight w:val="440"/>
        </w:trPr>
        <w:tc>
          <w:tcPr>
            <w:tcW w:w="4320" w:type="dxa"/>
            <w:shd w:val="clear" w:color="auto" w:fill="E8E8E8" w:themeFill="background2"/>
            <w:vAlign w:val="center"/>
          </w:tcPr>
          <w:p w14:paraId="788CE1F6" w14:textId="214AFAC4" w:rsidR="00F23F28" w:rsidRPr="00DA3C14" w:rsidRDefault="00E54A0D" w:rsidP="00CF6B8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</w:t>
            </w:r>
            <w:r w:rsidR="00F23F28" w:rsidRPr="00DA3C14">
              <w:rPr>
                <w:rFonts w:ascii="Arial" w:hAnsi="Arial" w:cs="Arial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4320" w:type="dxa"/>
            <w:shd w:val="clear" w:color="auto" w:fill="E8E8E8" w:themeFill="background2"/>
            <w:vAlign w:val="center"/>
          </w:tcPr>
          <w:p w14:paraId="4FC59B2B" w14:textId="443EB568" w:rsidR="00F23F28" w:rsidRPr="00DA3C14" w:rsidRDefault="00F23F28" w:rsidP="00CF6B8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C14">
              <w:rPr>
                <w:rFonts w:ascii="Arial" w:hAnsi="Arial" w:cs="Arial"/>
                <w:b/>
                <w:bCs/>
                <w:sz w:val="20"/>
                <w:szCs w:val="20"/>
              </w:rPr>
              <w:t>Required in the following scenarios</w:t>
            </w:r>
          </w:p>
        </w:tc>
        <w:tc>
          <w:tcPr>
            <w:tcW w:w="4320" w:type="dxa"/>
            <w:shd w:val="clear" w:color="auto" w:fill="E8E8E8" w:themeFill="background2"/>
            <w:vAlign w:val="center"/>
          </w:tcPr>
          <w:p w14:paraId="6ADEA3C0" w14:textId="502E2AF9" w:rsidR="00F23F28" w:rsidRPr="00DA3C14" w:rsidRDefault="00E54A0D" w:rsidP="00CF6B8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Rationale/Justification</w:t>
            </w:r>
          </w:p>
        </w:tc>
      </w:tr>
      <w:tr w:rsidR="00CF6B81" w:rsidRPr="008F0685" w14:paraId="686E4E7D" w14:textId="77777777" w:rsidTr="00CF6B81">
        <w:trPr>
          <w:trHeight w:val="1429"/>
        </w:trPr>
        <w:tc>
          <w:tcPr>
            <w:tcW w:w="4320" w:type="dxa"/>
            <w:vAlign w:val="center"/>
          </w:tcPr>
          <w:p w14:paraId="118E5C14" w14:textId="34F1A22C" w:rsidR="002B4953" w:rsidRPr="002735D2" w:rsidRDefault="00B558F9" w:rsidP="00CF6B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35D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PCA Consumer Assessment</w:t>
            </w:r>
          </w:p>
        </w:tc>
        <w:tc>
          <w:tcPr>
            <w:tcW w:w="4320" w:type="dxa"/>
            <w:vAlign w:val="center"/>
          </w:tcPr>
          <w:p w14:paraId="1D6F1E72" w14:textId="645C7ADA" w:rsidR="002B4953" w:rsidRPr="002735D2" w:rsidRDefault="00CE14BD" w:rsidP="00CF6B81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new Consumer Assessment is required for </w:t>
            </w:r>
            <w:r w:rsidR="00355BE6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every P</w:t>
            </w:r>
            <w:r w:rsidR="00E2295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="00355BE6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</w:t>
            </w:r>
            <w:r w:rsidR="00D97B1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D66C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After the initial Consumer Assessment and PA request, a new Consumer Assessment must be conducted annually prior to the submission of the </w:t>
            </w:r>
            <w:r w:rsidR="000A3A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new </w:t>
            </w:r>
            <w:r w:rsidR="00420180">
              <w:rPr>
                <w:rFonts w:ascii="Arial" w:hAnsi="Arial" w:cs="Arial"/>
                <w:color w:val="000000" w:themeColor="text1"/>
                <w:sz w:val="18"/>
                <w:szCs w:val="18"/>
              </w:rPr>
              <w:t>PA request</w:t>
            </w:r>
            <w:r w:rsidR="00355BE6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320" w:type="dxa"/>
            <w:vAlign w:val="center"/>
          </w:tcPr>
          <w:p w14:paraId="4AEFB136" w14:textId="3870DD2A" w:rsidR="002B4953" w:rsidRPr="002735D2" w:rsidRDefault="004D31C7" w:rsidP="00CF6B81">
            <w:pPr>
              <w:widowControl w:val="0"/>
              <w:tabs>
                <w:tab w:val="left" w:pos="936"/>
                <w:tab w:val="left" w:pos="1656"/>
                <w:tab w:val="left" w:pos="2016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130 CMR 422.416</w:t>
            </w:r>
            <w:r w:rsidR="007968AA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(A)(4) </w:t>
            </w:r>
            <w:r w:rsidR="00020246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Requests for prior authorization for PCA services must include</w:t>
            </w:r>
            <w:r w:rsidR="00471AD1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the completed and signed assessment of the member’s ability to manage the PCA program independently.</w:t>
            </w:r>
          </w:p>
        </w:tc>
      </w:tr>
      <w:tr w:rsidR="00CF6B81" w:rsidRPr="008F0685" w14:paraId="2989955F" w14:textId="77777777" w:rsidTr="00CF6B81">
        <w:trPr>
          <w:trHeight w:val="1438"/>
        </w:trPr>
        <w:tc>
          <w:tcPr>
            <w:tcW w:w="4320" w:type="dxa"/>
            <w:vAlign w:val="center"/>
          </w:tcPr>
          <w:p w14:paraId="0BB79B40" w14:textId="7A45567F" w:rsidR="009D327E" w:rsidRPr="002735D2" w:rsidRDefault="009D327E" w:rsidP="00CF6B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35D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PCP Summary Form</w:t>
            </w:r>
          </w:p>
        </w:tc>
        <w:tc>
          <w:tcPr>
            <w:tcW w:w="4320" w:type="dxa"/>
            <w:vAlign w:val="center"/>
          </w:tcPr>
          <w:p w14:paraId="1DCBA3B2" w14:textId="41A7B4F9" w:rsidR="009D327E" w:rsidRPr="002735D2" w:rsidRDefault="009D327E" w:rsidP="00CF6B81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Required for all initial </w:t>
            </w:r>
            <w:r w:rsidR="00E22959">
              <w:rPr>
                <w:rFonts w:ascii="Arial" w:hAnsi="Arial" w:cs="Arial"/>
                <w:color w:val="000000" w:themeColor="text1"/>
                <w:sz w:val="18"/>
                <w:szCs w:val="18"/>
              </w:rPr>
              <w:t>PA</w:t>
            </w:r>
            <w:r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requests and all P</w:t>
            </w:r>
            <w:r w:rsidR="00E2295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requests that include complex care tasks</w:t>
            </w:r>
            <w:r w:rsidR="27D3EFE2" w:rsidRPr="750DA7B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320" w:type="dxa"/>
            <w:vAlign w:val="center"/>
          </w:tcPr>
          <w:p w14:paraId="4DF8F521" w14:textId="5CE175E3" w:rsidR="009D327E" w:rsidRDefault="00471AD1" w:rsidP="00CF6B81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130 CMR 422.416 (A)(</w:t>
            </w:r>
            <w:r w:rsidR="006F7CB3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1) Requests for prior authorization for PCA services must include</w:t>
            </w:r>
            <w:r w:rsidR="00057929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the completed MassHealth Application for PCA Services, PCP Summary form, and MassHealth Evaluation for PCA Services;</w:t>
            </w:r>
          </w:p>
          <w:p w14:paraId="2853950B" w14:textId="18247953" w:rsidR="005824F7" w:rsidRPr="002735D2" w:rsidRDefault="00A14F3C" w:rsidP="00CF6B81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Pr="00A14F3C">
                <w:rPr>
                  <w:rStyle w:val="Hyperlink"/>
                  <w:rFonts w:ascii="Arial" w:hAnsi="Arial" w:cs="Arial"/>
                  <w:sz w:val="18"/>
                  <w:szCs w:val="18"/>
                </w:rPr>
                <w:t>PCA Bulletin 17</w:t>
              </w:r>
            </w:hyperlink>
          </w:p>
        </w:tc>
      </w:tr>
      <w:tr w:rsidR="00CF6B81" w:rsidRPr="008F0685" w14:paraId="7A4840AB" w14:textId="77777777" w:rsidTr="00CF6B81">
        <w:trPr>
          <w:trHeight w:val="1152"/>
        </w:trPr>
        <w:tc>
          <w:tcPr>
            <w:tcW w:w="4320" w:type="dxa"/>
            <w:vAlign w:val="center"/>
          </w:tcPr>
          <w:p w14:paraId="57D3B261" w14:textId="24F16569" w:rsidR="009D327E" w:rsidRPr="002735D2" w:rsidRDefault="009D327E" w:rsidP="00CF6B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35D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Electronic Medical Record (EMR)</w:t>
            </w:r>
          </w:p>
        </w:tc>
        <w:tc>
          <w:tcPr>
            <w:tcW w:w="4320" w:type="dxa"/>
            <w:vAlign w:val="center"/>
          </w:tcPr>
          <w:p w14:paraId="5EEFA2FE" w14:textId="77777777" w:rsidR="009D327E" w:rsidRDefault="0074340C" w:rsidP="00CF6B81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Required for all </w:t>
            </w:r>
            <w:r w:rsidR="00E22959">
              <w:rPr>
                <w:rFonts w:ascii="Arial" w:hAnsi="Arial" w:cs="Arial"/>
                <w:color w:val="000000" w:themeColor="text1"/>
                <w:sz w:val="18"/>
                <w:szCs w:val="18"/>
              </w:rPr>
              <w:t>PA</w:t>
            </w:r>
            <w:r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requests </w:t>
            </w:r>
            <w:r w:rsidR="00AB221C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a PCP Summary Form is not </w:t>
            </w:r>
            <w:r w:rsidR="007F1573">
              <w:rPr>
                <w:rFonts w:ascii="Arial" w:hAnsi="Arial" w:cs="Arial"/>
                <w:color w:val="000000" w:themeColor="text1"/>
                <w:sz w:val="18"/>
                <w:szCs w:val="18"/>
              </w:rPr>
              <w:t>submitted</w:t>
            </w:r>
            <w:r w:rsidR="002F00CA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5723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F1F5F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="002F00C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i.e. </w:t>
            </w:r>
            <w:r w:rsidR="00CF1F5F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re-evaluations that do not include complex care tasks)</w:t>
            </w:r>
          </w:p>
          <w:p w14:paraId="5E5FBA74" w14:textId="77777777" w:rsidR="00E26FF6" w:rsidRDefault="00E26FF6" w:rsidP="00CF6B81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3CEFE5" w14:textId="77777777" w:rsidR="00E26FF6" w:rsidRDefault="00E26FF6" w:rsidP="00CF6B81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EMR must include the following information:</w:t>
            </w:r>
          </w:p>
          <w:p w14:paraId="50882B03" w14:textId="77777777" w:rsidR="00E26FF6" w:rsidRPr="00E26FF6" w:rsidRDefault="00E26FF6" w:rsidP="00597DD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6FF6">
              <w:rPr>
                <w:rFonts w:ascii="Arial" w:hAnsi="Arial" w:cs="Arial"/>
                <w:color w:val="000000" w:themeColor="text1"/>
                <w:sz w:val="18"/>
                <w:szCs w:val="18"/>
              </w:rPr>
              <w:t>Chronic disabling condition(s) that require them to need PCA Services and ICD-10 codes </w:t>
            </w:r>
          </w:p>
          <w:p w14:paraId="12E6EF87" w14:textId="77777777" w:rsidR="00E26FF6" w:rsidRPr="00E26FF6" w:rsidRDefault="00E26FF6" w:rsidP="00597DD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6FF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Date of onset for chronic disabling condition(s) that require them to need PCA Services </w:t>
            </w:r>
          </w:p>
          <w:p w14:paraId="407FD4ED" w14:textId="77777777" w:rsidR="00E26FF6" w:rsidRPr="00E26FF6" w:rsidRDefault="00E26FF6" w:rsidP="00597DD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6FF6">
              <w:rPr>
                <w:rFonts w:ascii="Arial" w:hAnsi="Arial" w:cs="Arial"/>
                <w:color w:val="000000" w:themeColor="text1"/>
                <w:sz w:val="18"/>
                <w:szCs w:val="18"/>
              </w:rPr>
              <w:t>Medications for chronic disabling condition(s) that require them to need PCA Services </w:t>
            </w:r>
          </w:p>
          <w:p w14:paraId="03185B7F" w14:textId="77777777" w:rsidR="00E26FF6" w:rsidRPr="00E26FF6" w:rsidRDefault="00E26FF6" w:rsidP="00597DD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6FF6">
              <w:rPr>
                <w:rFonts w:ascii="Arial" w:hAnsi="Arial" w:cs="Arial"/>
                <w:color w:val="000000" w:themeColor="text1"/>
                <w:sz w:val="18"/>
                <w:szCs w:val="18"/>
              </w:rPr>
              <w:t>At least 2 consumer identifiers (ex. Name, date of birth, MassHealth ID, etc.) </w:t>
            </w:r>
          </w:p>
          <w:p w14:paraId="6F6F1757" w14:textId="7F3DCB5A" w:rsidR="00E26FF6" w:rsidRPr="00E26FF6" w:rsidRDefault="00E26FF6" w:rsidP="00597DD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6FF6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of most recent visit with PCP or specialist related to the chronic disabling condition (must be within the last 2 years)</w:t>
            </w:r>
          </w:p>
        </w:tc>
        <w:tc>
          <w:tcPr>
            <w:tcW w:w="4320" w:type="dxa"/>
            <w:vAlign w:val="center"/>
          </w:tcPr>
          <w:p w14:paraId="13DF5839" w14:textId="699BC7E4" w:rsidR="009D327E" w:rsidRPr="002735D2" w:rsidRDefault="007538F7" w:rsidP="00CF6B81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PCM Contract </w:t>
            </w:r>
            <w:r w:rsidR="005432EC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 2.2.</w:t>
            </w:r>
            <w:r w:rsidR="004D37D5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C.</w:t>
            </w:r>
            <w:r w:rsidR="00C441F7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  <w:r w:rsidR="00A34642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>a.2.b</w:t>
            </w:r>
            <w:r w:rsidR="002735D2" w:rsidRPr="002735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 Re-evaluations, a copy of the Consumer’s Electronic Medical Record (EMR) can be substituted for the PCP Summary Form if the Re-evaluation does not include Complex Care tasks.</w:t>
            </w:r>
          </w:p>
        </w:tc>
      </w:tr>
      <w:tr w:rsidR="00CF6B81" w:rsidRPr="008F0685" w14:paraId="3F7B0EF1" w14:textId="77777777" w:rsidTr="00CF6B81">
        <w:trPr>
          <w:trHeight w:val="1070"/>
        </w:trPr>
        <w:tc>
          <w:tcPr>
            <w:tcW w:w="4320" w:type="dxa"/>
            <w:vAlign w:val="center"/>
          </w:tcPr>
          <w:p w14:paraId="0CCA3C1E" w14:textId="7ADC1829" w:rsidR="00F23F28" w:rsidRPr="00DA3C14" w:rsidRDefault="00E42E2F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E2F">
              <w:rPr>
                <w:rFonts w:ascii="Arial" w:hAnsi="Arial" w:cs="Arial"/>
                <w:b/>
                <w:bCs/>
                <w:sz w:val="18"/>
                <w:szCs w:val="18"/>
              </w:rPr>
              <w:t>CMS form 485 Home Health</w:t>
            </w:r>
            <w:r w:rsidR="00EC3424"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42E2F">
              <w:rPr>
                <w:rFonts w:ascii="Arial" w:hAnsi="Arial" w:cs="Arial"/>
                <w:b/>
                <w:bCs/>
                <w:sz w:val="18"/>
                <w:szCs w:val="18"/>
              </w:rPr>
              <w:t>Certification</w:t>
            </w:r>
            <w:r w:rsidR="008F0685"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42E2F">
              <w:rPr>
                <w:rFonts w:ascii="Arial" w:hAnsi="Arial" w:cs="Arial"/>
                <w:b/>
                <w:bCs/>
                <w:sz w:val="18"/>
                <w:szCs w:val="18"/>
              </w:rPr>
              <w:t>and the</w:t>
            </w:r>
            <w:r w:rsidR="00EC3424"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42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Individualized Plan of Care </w:t>
            </w:r>
            <w:r w:rsidRPr="00E42E2F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E42E2F">
              <w:rPr>
                <w:rFonts w:ascii="Arial" w:hAnsi="Arial" w:cs="Arial"/>
                <w:b/>
                <w:bCs/>
                <w:sz w:val="18"/>
                <w:szCs w:val="18"/>
              </w:rPr>
              <w:t>CMS form 487 Home</w:t>
            </w:r>
            <w:r w:rsidR="00EC3424"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Health Addendum </w:t>
            </w:r>
            <w:r w:rsidRPr="00DA3C14">
              <w:rPr>
                <w:rFonts w:ascii="Arial" w:hAnsi="Arial" w:cs="Arial"/>
                <w:sz w:val="18"/>
                <w:szCs w:val="18"/>
              </w:rPr>
              <w:t>— as appropriate</w:t>
            </w:r>
          </w:p>
        </w:tc>
        <w:tc>
          <w:tcPr>
            <w:tcW w:w="4320" w:type="dxa"/>
            <w:vAlign w:val="center"/>
          </w:tcPr>
          <w:p w14:paraId="457108DD" w14:textId="5BA2B983" w:rsidR="00F23F28" w:rsidRPr="00DA3C14" w:rsidRDefault="625639C6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if t</w:t>
            </w:r>
            <w:r w:rsidR="0073142C" w:rsidRPr="0073142C">
              <w:rPr>
                <w:rFonts w:ascii="Arial" w:hAnsi="Arial" w:cs="Arial"/>
                <w:sz w:val="18"/>
                <w:szCs w:val="18"/>
              </w:rPr>
              <w:t>he PCA consumer is receiving home health</w:t>
            </w:r>
            <w:r w:rsidR="59319306" w:rsidRPr="750DA7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42C" w:rsidRPr="0073142C">
              <w:rPr>
                <w:rFonts w:ascii="Arial" w:hAnsi="Arial" w:cs="Arial"/>
                <w:sz w:val="18"/>
                <w:szCs w:val="18"/>
              </w:rPr>
              <w:t>services or the consumer’s home health</w:t>
            </w:r>
            <w:r w:rsidR="00EC3424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42C" w:rsidRPr="0073142C">
              <w:rPr>
                <w:rFonts w:ascii="Arial" w:hAnsi="Arial" w:cs="Arial"/>
                <w:sz w:val="18"/>
                <w:szCs w:val="18"/>
              </w:rPr>
              <w:t>services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42C" w:rsidRPr="0073142C">
              <w:rPr>
                <w:rFonts w:ascii="Arial" w:hAnsi="Arial" w:cs="Arial"/>
                <w:sz w:val="18"/>
                <w:szCs w:val="18"/>
              </w:rPr>
              <w:t>are being discontinued. See Section IV(a) of the PCA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42C" w:rsidRPr="00DA3C14">
              <w:rPr>
                <w:rFonts w:ascii="Arial" w:hAnsi="Arial" w:cs="Arial"/>
                <w:sz w:val="18"/>
                <w:szCs w:val="18"/>
              </w:rPr>
              <w:t>application.</w:t>
            </w:r>
          </w:p>
        </w:tc>
        <w:tc>
          <w:tcPr>
            <w:tcW w:w="4320" w:type="dxa"/>
            <w:vAlign w:val="center"/>
          </w:tcPr>
          <w:p w14:paraId="1C6DE872" w14:textId="05EEBB27" w:rsidR="00F23F28" w:rsidRPr="00DA3C14" w:rsidRDefault="0073142C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3142C">
              <w:rPr>
                <w:rFonts w:ascii="Arial" w:hAnsi="Arial" w:cs="Arial"/>
                <w:sz w:val="18"/>
                <w:szCs w:val="18"/>
              </w:rPr>
              <w:t>Used to determine what home health services the</w:t>
            </w:r>
            <w:r w:rsidR="00EC3424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consumer is currently receiving, or was receiving,</w:t>
            </w:r>
            <w:r w:rsidR="00EC3424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and to provide further information on any functional</w:t>
            </w:r>
            <w:r w:rsidR="00EC3424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sz w:val="18"/>
                <w:szCs w:val="18"/>
              </w:rPr>
              <w:t>abilities or limitations of the consumer.</w:t>
            </w:r>
          </w:p>
        </w:tc>
      </w:tr>
      <w:tr w:rsidR="00CF6B81" w:rsidRPr="008F0685" w14:paraId="270B2603" w14:textId="77777777" w:rsidTr="00CF6B81">
        <w:trPr>
          <w:trHeight w:val="1070"/>
        </w:trPr>
        <w:tc>
          <w:tcPr>
            <w:tcW w:w="4320" w:type="dxa"/>
            <w:vAlign w:val="center"/>
          </w:tcPr>
          <w:p w14:paraId="7C7CD227" w14:textId="75E5C32D" w:rsidR="00D647C5" w:rsidRPr="0073142C" w:rsidRDefault="00D647C5" w:rsidP="00CF6B8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Frail Elder Waiver-Comprehensive Service Plan</w:t>
            </w:r>
          </w:p>
        </w:tc>
        <w:tc>
          <w:tcPr>
            <w:tcW w:w="4320" w:type="dxa"/>
            <w:vAlign w:val="center"/>
          </w:tcPr>
          <w:p w14:paraId="5B970B4A" w14:textId="0B8DFA53" w:rsidR="00D647C5" w:rsidRPr="0073142C" w:rsidRDefault="6FDE8EB3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if t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he PCA consumer </w:t>
            </w:r>
            <w:r w:rsidR="007C017A">
              <w:rPr>
                <w:rFonts w:ascii="Arial" w:hAnsi="Arial" w:cs="Arial"/>
                <w:sz w:val="18"/>
                <w:szCs w:val="18"/>
              </w:rPr>
              <w:t>receives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 services through the Frail Elder Waiver</w:t>
            </w:r>
            <w:r w:rsidR="12862FD1" w:rsidRPr="750DA7B3">
              <w:rPr>
                <w:rFonts w:ascii="Arial" w:hAnsi="Arial" w:cs="Arial"/>
                <w:sz w:val="18"/>
                <w:szCs w:val="18"/>
              </w:rPr>
              <w:t xml:space="preserve">. Submit the 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document from the ASAP with the authorization </w:t>
            </w:r>
            <w:r w:rsidR="11A1AB08" w:rsidRPr="750DA7B3">
              <w:rPr>
                <w:rFonts w:ascii="Arial" w:hAnsi="Arial" w:cs="Arial"/>
                <w:sz w:val="18"/>
                <w:szCs w:val="18"/>
              </w:rPr>
              <w:t>(</w:t>
            </w:r>
            <w:r w:rsidR="00D647C5">
              <w:rPr>
                <w:rFonts w:ascii="Arial" w:hAnsi="Arial" w:cs="Arial"/>
                <w:sz w:val="18"/>
                <w:szCs w:val="18"/>
              </w:rPr>
              <w:t>screenshot</w:t>
            </w:r>
            <w:r w:rsidR="00D647C5" w:rsidRPr="750DA7B3">
              <w:rPr>
                <w:rFonts w:ascii="Arial" w:hAnsi="Arial" w:cs="Arial"/>
                <w:sz w:val="18"/>
                <w:szCs w:val="18"/>
              </w:rPr>
              <w:t>)</w:t>
            </w:r>
            <w:r w:rsidR="64DF578F" w:rsidRPr="750DA7B3">
              <w:rPr>
                <w:rFonts w:ascii="Arial" w:hAnsi="Arial" w:cs="Arial"/>
                <w:sz w:val="18"/>
                <w:szCs w:val="18"/>
              </w:rPr>
              <w:t>,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 not the contract from the vendor</w:t>
            </w:r>
          </w:p>
        </w:tc>
        <w:tc>
          <w:tcPr>
            <w:tcW w:w="4320" w:type="dxa"/>
            <w:vAlign w:val="center"/>
          </w:tcPr>
          <w:p w14:paraId="4C991017" w14:textId="3F98E4A3" w:rsidR="00D647C5" w:rsidRPr="0073142C" w:rsidRDefault="00D647C5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Consumer is engaged in potentially duplicative services.</w:t>
            </w:r>
          </w:p>
        </w:tc>
      </w:tr>
      <w:tr w:rsidR="00CF6B81" w:rsidRPr="008F0685" w14:paraId="79EEEE11" w14:textId="77777777" w:rsidTr="00CF6B81">
        <w:trPr>
          <w:trHeight w:val="1070"/>
        </w:trPr>
        <w:tc>
          <w:tcPr>
            <w:tcW w:w="4320" w:type="dxa"/>
            <w:vAlign w:val="center"/>
          </w:tcPr>
          <w:p w14:paraId="18841EFF" w14:textId="32EB1EC5" w:rsidR="00D647C5" w:rsidRDefault="00D647C5" w:rsidP="00CF6B8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Traumatic Brain Injury Waiver - Plan of Care</w:t>
            </w:r>
          </w:p>
        </w:tc>
        <w:tc>
          <w:tcPr>
            <w:tcW w:w="4320" w:type="dxa"/>
            <w:vAlign w:val="center"/>
          </w:tcPr>
          <w:p w14:paraId="1FA5D8BB" w14:textId="3E03C27C" w:rsidR="00D647C5" w:rsidRDefault="75E9C6B8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if t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he PCA consumer </w:t>
            </w:r>
            <w:r w:rsidR="007C017A">
              <w:rPr>
                <w:rFonts w:ascii="Arial" w:hAnsi="Arial" w:cs="Arial"/>
                <w:sz w:val="18"/>
                <w:szCs w:val="18"/>
              </w:rPr>
              <w:t>receives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 services through the TBI Waiver. </w:t>
            </w:r>
            <w:r w:rsidR="70972EE8" w:rsidRPr="750DA7B3">
              <w:rPr>
                <w:rFonts w:ascii="Arial" w:hAnsi="Arial" w:cs="Arial"/>
                <w:sz w:val="18"/>
                <w:szCs w:val="18"/>
              </w:rPr>
              <w:t>Submit the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 Plan of Care from MassAbility that captures the service authorization.</w:t>
            </w:r>
          </w:p>
        </w:tc>
        <w:tc>
          <w:tcPr>
            <w:tcW w:w="4320" w:type="dxa"/>
            <w:vAlign w:val="center"/>
          </w:tcPr>
          <w:p w14:paraId="21FDA8C9" w14:textId="77777777" w:rsidR="007C017A" w:rsidRDefault="00D647C5" w:rsidP="00CF6B81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Consumer is engaged in potentially duplicative services.</w:t>
            </w:r>
            <w:r w:rsidR="007C01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017A">
              <w:t xml:space="preserve"> </w:t>
            </w:r>
          </w:p>
          <w:p w14:paraId="676BECD5" w14:textId="77777777" w:rsidR="007C017A" w:rsidRDefault="007C017A" w:rsidP="00CF6B81">
            <w:pPr>
              <w:contextualSpacing/>
            </w:pPr>
          </w:p>
          <w:p w14:paraId="38784B56" w14:textId="28DDB184" w:rsidR="00D647C5" w:rsidRDefault="007C017A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17A">
              <w:rPr>
                <w:rFonts w:ascii="Arial" w:hAnsi="Arial" w:cs="Arial"/>
                <w:sz w:val="18"/>
                <w:szCs w:val="18"/>
              </w:rPr>
              <w:t>Shared Living - 24 Hour Supports</w:t>
            </w:r>
            <w:r>
              <w:rPr>
                <w:rFonts w:ascii="Arial" w:hAnsi="Arial" w:cs="Arial"/>
                <w:sz w:val="18"/>
                <w:szCs w:val="18"/>
              </w:rPr>
              <w:t xml:space="preserve"> service or Residential Habilitation service in the Plan of Care indicates that the individual</w:t>
            </w:r>
            <w:r w:rsidRPr="0073142C">
              <w:rPr>
                <w:rFonts w:ascii="Arial" w:hAnsi="Arial" w:cs="Arial"/>
                <w:sz w:val="18"/>
                <w:szCs w:val="18"/>
              </w:rPr>
              <w:t xml:space="preserve"> receive</w:t>
            </w:r>
            <w:r>
              <w:rPr>
                <w:rFonts w:ascii="Arial" w:hAnsi="Arial" w:cs="Arial"/>
                <w:sz w:val="18"/>
                <w:szCs w:val="18"/>
              </w:rPr>
              <w:t>s 24/7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 xml:space="preserve">residential supports </w:t>
            </w:r>
            <w:r>
              <w:rPr>
                <w:rFonts w:ascii="Arial" w:hAnsi="Arial" w:cs="Arial"/>
                <w:sz w:val="18"/>
                <w:szCs w:val="18"/>
              </w:rPr>
              <w:t>and therefore PCA</w:t>
            </w:r>
            <w:r w:rsidRPr="007314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r w:rsidRPr="0073142C">
              <w:rPr>
                <w:rFonts w:ascii="Arial" w:hAnsi="Arial" w:cs="Arial"/>
                <w:sz w:val="18"/>
                <w:szCs w:val="18"/>
              </w:rPr>
              <w:t>would duplicate services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provided through the residential supports contract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F6B81" w:rsidRPr="008F0685" w14:paraId="258A6E60" w14:textId="77777777" w:rsidTr="00CF6B81">
        <w:trPr>
          <w:trHeight w:val="1070"/>
        </w:trPr>
        <w:tc>
          <w:tcPr>
            <w:tcW w:w="4320" w:type="dxa"/>
            <w:vAlign w:val="center"/>
          </w:tcPr>
          <w:p w14:paraId="67464240" w14:textId="6438353D" w:rsidR="00D647C5" w:rsidRDefault="00D647C5" w:rsidP="00CF6B8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5D1">
              <w:rPr>
                <w:rFonts w:ascii="Arial" w:hAnsi="Arial" w:cs="Arial"/>
                <w:b/>
                <w:bCs/>
                <w:sz w:val="18"/>
                <w:szCs w:val="18"/>
              </w:rPr>
              <w:t>Acquired Brain Injury Non-Residential Habilitation (ABI-N) Waiver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</w:t>
            </w:r>
            <w:r w:rsidRPr="00E475D1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oving </w:t>
            </w:r>
            <w:r w:rsidRPr="00E475D1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orward </w:t>
            </w:r>
            <w:r w:rsidRPr="00E475D1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</w:t>
            </w:r>
            <w:r w:rsidRPr="00E475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Community Living (MFP-CL)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Waiver – Plan of Care</w:t>
            </w:r>
          </w:p>
        </w:tc>
        <w:tc>
          <w:tcPr>
            <w:tcW w:w="4320" w:type="dxa"/>
            <w:vAlign w:val="center"/>
          </w:tcPr>
          <w:p w14:paraId="0D686F97" w14:textId="43981913" w:rsidR="00D647C5" w:rsidRDefault="7C14C735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if t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he PCA consumer </w:t>
            </w:r>
            <w:r w:rsidR="007C017A">
              <w:rPr>
                <w:rFonts w:ascii="Arial" w:hAnsi="Arial" w:cs="Arial"/>
                <w:sz w:val="18"/>
                <w:szCs w:val="18"/>
              </w:rPr>
              <w:t>receives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 services through the ABI-N or MFP-CL Waiver. </w:t>
            </w:r>
            <w:r w:rsidR="69F23A10" w:rsidRPr="750DA7B3">
              <w:rPr>
                <w:rFonts w:ascii="Arial" w:hAnsi="Arial" w:cs="Arial"/>
                <w:sz w:val="18"/>
                <w:szCs w:val="18"/>
              </w:rPr>
              <w:t xml:space="preserve">Submit the </w:t>
            </w:r>
            <w:r w:rsidR="00D647C5">
              <w:rPr>
                <w:rFonts w:ascii="Arial" w:hAnsi="Arial" w:cs="Arial"/>
                <w:sz w:val="18"/>
                <w:szCs w:val="18"/>
              </w:rPr>
              <w:t>Plan of Care from MassAbility that captures the service authorization.</w:t>
            </w:r>
          </w:p>
        </w:tc>
        <w:tc>
          <w:tcPr>
            <w:tcW w:w="4320" w:type="dxa"/>
            <w:vAlign w:val="center"/>
          </w:tcPr>
          <w:p w14:paraId="7A8D9B44" w14:textId="0502C065" w:rsidR="00D647C5" w:rsidRDefault="00D647C5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Consumer is engaged in potentially duplicative services.</w:t>
            </w:r>
          </w:p>
        </w:tc>
      </w:tr>
      <w:tr w:rsidR="00CF6B81" w:rsidRPr="008F0685" w14:paraId="42A7B497" w14:textId="77777777" w:rsidTr="00CF6B81">
        <w:trPr>
          <w:trHeight w:val="1070"/>
        </w:trPr>
        <w:tc>
          <w:tcPr>
            <w:tcW w:w="4320" w:type="dxa"/>
            <w:vAlign w:val="center"/>
          </w:tcPr>
          <w:p w14:paraId="124B573C" w14:textId="3F2FF5FB" w:rsidR="00D647C5" w:rsidRDefault="00D647C5" w:rsidP="00CF6B8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5D1">
              <w:rPr>
                <w:rFonts w:ascii="Arial" w:hAnsi="Arial" w:cs="Arial"/>
                <w:b/>
                <w:bCs/>
                <w:sz w:val="18"/>
                <w:szCs w:val="18"/>
              </w:rPr>
              <w:t>Acquired Brain Injury with Residential Habilitation (ABI-RH) Waiver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</w:t>
            </w:r>
            <w:r w:rsidRPr="00E475D1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oving </w:t>
            </w:r>
            <w:r w:rsidRPr="00E475D1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orward </w:t>
            </w:r>
            <w:r w:rsidRPr="00E475D1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</w:t>
            </w:r>
            <w:r w:rsidRPr="00E475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Residential Supports (MFP-RS)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Plan of Care</w:t>
            </w:r>
          </w:p>
        </w:tc>
        <w:tc>
          <w:tcPr>
            <w:tcW w:w="4320" w:type="dxa"/>
            <w:vAlign w:val="center"/>
          </w:tcPr>
          <w:p w14:paraId="01397222" w14:textId="3DA4230F" w:rsidR="00D647C5" w:rsidRDefault="7BBC2E0D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if t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he PCA consumer is receiving services through the ABI-RH or MFP-RS Waiver. </w:t>
            </w:r>
            <w:r w:rsidR="40572807" w:rsidRPr="750DA7B3">
              <w:rPr>
                <w:rFonts w:ascii="Arial" w:hAnsi="Arial" w:cs="Arial"/>
                <w:sz w:val="18"/>
                <w:szCs w:val="18"/>
              </w:rPr>
              <w:t xml:space="preserve">Submit the </w:t>
            </w:r>
            <w:r w:rsidR="00D647C5">
              <w:rPr>
                <w:rFonts w:ascii="Arial" w:hAnsi="Arial" w:cs="Arial"/>
                <w:sz w:val="18"/>
                <w:szCs w:val="18"/>
              </w:rPr>
              <w:t>Plan of Care from DDS that captures the service authorization.</w:t>
            </w:r>
          </w:p>
          <w:p w14:paraId="6F5E5B98" w14:textId="72CD87CC" w:rsidR="00D647C5" w:rsidRDefault="00D647C5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14:paraId="11ECC0A8" w14:textId="40CC8677" w:rsidR="00D647C5" w:rsidRDefault="007C017A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hese individuals </w:t>
            </w:r>
            <w:r w:rsidR="00D647C5" w:rsidRPr="0073142C">
              <w:rPr>
                <w:rFonts w:ascii="Arial" w:hAnsi="Arial" w:cs="Arial"/>
                <w:sz w:val="18"/>
                <w:szCs w:val="18"/>
              </w:rPr>
              <w:t>receive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 24/7</w:t>
            </w:r>
            <w:r w:rsidR="00D647C5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47C5" w:rsidRPr="0073142C">
              <w:rPr>
                <w:rFonts w:ascii="Arial" w:hAnsi="Arial" w:cs="Arial"/>
                <w:sz w:val="18"/>
                <w:szCs w:val="18"/>
              </w:rPr>
              <w:t xml:space="preserve">residential supports </w:t>
            </w:r>
            <w:r w:rsidR="00D647C5">
              <w:rPr>
                <w:rFonts w:ascii="Arial" w:hAnsi="Arial" w:cs="Arial"/>
                <w:sz w:val="18"/>
                <w:szCs w:val="18"/>
              </w:rPr>
              <w:t>and therefore</w:t>
            </w:r>
            <w:r>
              <w:rPr>
                <w:rFonts w:ascii="Arial" w:hAnsi="Arial" w:cs="Arial"/>
                <w:sz w:val="18"/>
                <w:szCs w:val="18"/>
              </w:rPr>
              <w:t xml:space="preserve"> PCA</w:t>
            </w:r>
            <w:r w:rsidR="00D647C5" w:rsidRPr="007314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r w:rsidR="00D647C5" w:rsidRPr="0073142C">
              <w:rPr>
                <w:rFonts w:ascii="Arial" w:hAnsi="Arial" w:cs="Arial"/>
                <w:sz w:val="18"/>
                <w:szCs w:val="18"/>
              </w:rPr>
              <w:t>would duplicate services</w:t>
            </w:r>
            <w:r w:rsidR="00D647C5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47C5" w:rsidRPr="0073142C">
              <w:rPr>
                <w:rFonts w:ascii="Arial" w:hAnsi="Arial" w:cs="Arial"/>
                <w:sz w:val="18"/>
                <w:szCs w:val="18"/>
              </w:rPr>
              <w:t>provided through the residential supports contract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F6B81" w:rsidRPr="008F0685" w14:paraId="7BA5A231" w14:textId="77777777" w:rsidTr="00CF6B81">
        <w:trPr>
          <w:trHeight w:val="2016"/>
        </w:trPr>
        <w:tc>
          <w:tcPr>
            <w:tcW w:w="4320" w:type="dxa"/>
            <w:vAlign w:val="center"/>
          </w:tcPr>
          <w:p w14:paraId="518D19CD" w14:textId="7904FBDF" w:rsidR="00D647C5" w:rsidRDefault="00D647C5" w:rsidP="00CF6B8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DDS Adult Supports Waiver, Community Living Waiver, or Intensive Supports Waiver – Plan of Care</w:t>
            </w:r>
          </w:p>
        </w:tc>
        <w:tc>
          <w:tcPr>
            <w:tcW w:w="4320" w:type="dxa"/>
            <w:vAlign w:val="center"/>
          </w:tcPr>
          <w:p w14:paraId="2D23B819" w14:textId="735F28F9" w:rsidR="00D647C5" w:rsidRPr="007C017A" w:rsidRDefault="6D5A616B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if t</w:t>
            </w:r>
            <w:r w:rsidR="00D647C5">
              <w:rPr>
                <w:rFonts w:ascii="Arial" w:hAnsi="Arial" w:cs="Arial"/>
                <w:sz w:val="18"/>
                <w:szCs w:val="18"/>
              </w:rPr>
              <w:t xml:space="preserve">he PCA consumer is receiving services through a DDS Waiver. </w:t>
            </w:r>
            <w:r w:rsidR="2F5E0DA1" w:rsidRPr="750DA7B3">
              <w:rPr>
                <w:rFonts w:ascii="Arial" w:hAnsi="Arial" w:cs="Arial"/>
                <w:sz w:val="18"/>
                <w:szCs w:val="18"/>
              </w:rPr>
              <w:t xml:space="preserve">Submit the </w:t>
            </w:r>
            <w:r w:rsidR="00D647C5">
              <w:rPr>
                <w:rFonts w:ascii="Arial" w:hAnsi="Arial" w:cs="Arial"/>
                <w:sz w:val="18"/>
                <w:szCs w:val="18"/>
              </w:rPr>
              <w:t>Plan of Care from DDS that captures the service authorization.</w:t>
            </w:r>
          </w:p>
        </w:tc>
        <w:tc>
          <w:tcPr>
            <w:tcW w:w="4320" w:type="dxa"/>
            <w:vAlign w:val="center"/>
          </w:tcPr>
          <w:p w14:paraId="5A21202C" w14:textId="77777777" w:rsidR="007C017A" w:rsidRDefault="007C017A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Consumer is engaged in potentially duplicative services.  </w:t>
            </w:r>
          </w:p>
          <w:p w14:paraId="6CD37E2F" w14:textId="77777777" w:rsidR="007C017A" w:rsidRDefault="007C017A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E5A5CC4" w14:textId="452E93EE" w:rsidR="00D647C5" w:rsidRDefault="007C017A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Habilitation service in the Plan of Care indicates that the individual</w:t>
            </w:r>
            <w:r w:rsidRPr="0073142C">
              <w:rPr>
                <w:rFonts w:ascii="Arial" w:hAnsi="Arial" w:cs="Arial"/>
                <w:sz w:val="18"/>
                <w:szCs w:val="18"/>
              </w:rPr>
              <w:t xml:space="preserve"> receive</w:t>
            </w:r>
            <w:r>
              <w:rPr>
                <w:rFonts w:ascii="Arial" w:hAnsi="Arial" w:cs="Arial"/>
                <w:sz w:val="18"/>
                <w:szCs w:val="18"/>
              </w:rPr>
              <w:t>s 24/7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 xml:space="preserve">residential supports </w:t>
            </w:r>
            <w:r>
              <w:rPr>
                <w:rFonts w:ascii="Arial" w:hAnsi="Arial" w:cs="Arial"/>
                <w:sz w:val="18"/>
                <w:szCs w:val="18"/>
              </w:rPr>
              <w:t>and therefore PCA</w:t>
            </w:r>
            <w:r w:rsidRPr="007314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r w:rsidRPr="0073142C">
              <w:rPr>
                <w:rFonts w:ascii="Arial" w:hAnsi="Arial" w:cs="Arial"/>
                <w:sz w:val="18"/>
                <w:szCs w:val="18"/>
              </w:rPr>
              <w:t>would duplicate services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provided through the residential supports contract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F6B81" w:rsidRPr="008F0685" w14:paraId="39C5D51E" w14:textId="77777777" w:rsidTr="00CF6B81">
        <w:trPr>
          <w:trHeight w:val="3168"/>
        </w:trPr>
        <w:tc>
          <w:tcPr>
            <w:tcW w:w="4320" w:type="dxa"/>
            <w:vAlign w:val="center"/>
          </w:tcPr>
          <w:p w14:paraId="6EF90FDC" w14:textId="27ED5FBD" w:rsidR="00F23F28" w:rsidRPr="00DA3C14" w:rsidRDefault="0073142C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31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Department of Developmental Services (DDS) forms </w:t>
            </w:r>
            <w:r w:rsidRPr="0073142C">
              <w:rPr>
                <w:rFonts w:ascii="Arial" w:hAnsi="Arial" w:cs="Arial"/>
                <w:sz w:val="18"/>
                <w:szCs w:val="18"/>
              </w:rPr>
              <w:t>—</w:t>
            </w:r>
            <w:r w:rsidR="00EC3424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copy of DDS Contract Summary Form and DDS PCA</w:t>
            </w:r>
            <w:r w:rsidR="00156363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Referral Form, completed and signed by DDS and the</w:t>
            </w:r>
            <w:r w:rsidR="00156363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PCM agency, where appropriate. If the consumer</w:t>
            </w:r>
            <w:r w:rsidR="00156363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receives no DDS</w:t>
            </w:r>
            <w:r w:rsidRPr="0073142C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73142C">
              <w:rPr>
                <w:rFonts w:ascii="Arial" w:hAnsi="Arial" w:cs="Arial"/>
                <w:sz w:val="18"/>
                <w:szCs w:val="18"/>
              </w:rPr>
              <w:t>funded residential supports,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6363" w:rsidRPr="00DA3C14">
              <w:rPr>
                <w:rFonts w:ascii="Arial" w:hAnsi="Arial" w:cs="Arial"/>
                <w:sz w:val="18"/>
                <w:szCs w:val="18"/>
              </w:rPr>
              <w:t>b</w:t>
            </w:r>
            <w:r w:rsidRPr="0073142C">
              <w:rPr>
                <w:rFonts w:ascii="Arial" w:hAnsi="Arial" w:cs="Arial"/>
                <w:sz w:val="18"/>
                <w:szCs w:val="18"/>
              </w:rPr>
              <w:t>ut is</w:t>
            </w:r>
            <w:r w:rsidR="00156363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DDS</w:t>
            </w:r>
            <w:r w:rsidRPr="0073142C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73142C">
              <w:rPr>
                <w:rFonts w:ascii="Arial" w:hAnsi="Arial" w:cs="Arial"/>
                <w:sz w:val="18"/>
                <w:szCs w:val="18"/>
              </w:rPr>
              <w:t>eligible and does not live with his/her parents,</w:t>
            </w:r>
            <w:r w:rsidR="00156363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then submit a copy of the </w:t>
            </w:r>
            <w:r w:rsidR="00156363" w:rsidRPr="00DA3C14">
              <w:rPr>
                <w:rFonts w:ascii="Arial" w:hAnsi="Arial" w:cs="Arial"/>
                <w:sz w:val="18"/>
                <w:szCs w:val="18"/>
              </w:rPr>
              <w:t>P</w:t>
            </w:r>
            <w:r w:rsidRPr="00DA3C14">
              <w:rPr>
                <w:rFonts w:ascii="Arial" w:hAnsi="Arial" w:cs="Arial"/>
                <w:sz w:val="18"/>
                <w:szCs w:val="18"/>
              </w:rPr>
              <w:t>CA Referral Form only.</w:t>
            </w:r>
          </w:p>
        </w:tc>
        <w:tc>
          <w:tcPr>
            <w:tcW w:w="4320" w:type="dxa"/>
            <w:vAlign w:val="center"/>
          </w:tcPr>
          <w:p w14:paraId="3645A636" w14:textId="77FEFD6A" w:rsidR="00C17688" w:rsidRDefault="42070765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if t</w:t>
            </w:r>
            <w:r w:rsidR="0073142C" w:rsidRPr="0073142C">
              <w:rPr>
                <w:rFonts w:ascii="Arial" w:hAnsi="Arial" w:cs="Arial"/>
                <w:sz w:val="18"/>
                <w:szCs w:val="18"/>
              </w:rPr>
              <w:t>he PCA consumer is DDS</w:t>
            </w:r>
            <w:r w:rsidR="0073142C" w:rsidRPr="0073142C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73142C" w:rsidRPr="0073142C">
              <w:rPr>
                <w:rFonts w:ascii="Arial" w:hAnsi="Arial" w:cs="Arial"/>
                <w:sz w:val="18"/>
                <w:szCs w:val="18"/>
              </w:rPr>
              <w:t xml:space="preserve">eligible, </w:t>
            </w:r>
            <w:r w:rsidR="001406CA">
              <w:rPr>
                <w:rFonts w:ascii="Arial" w:hAnsi="Arial" w:cs="Arial"/>
                <w:sz w:val="18"/>
                <w:szCs w:val="18"/>
              </w:rPr>
              <w:t>equal to or older than 22</w:t>
            </w:r>
            <w:r w:rsidR="0073142C" w:rsidRPr="0073142C">
              <w:rPr>
                <w:rFonts w:ascii="Arial" w:hAnsi="Arial" w:cs="Arial"/>
                <w:sz w:val="18"/>
                <w:szCs w:val="18"/>
              </w:rPr>
              <w:t>, and is receiving DDS</w:t>
            </w:r>
            <w:r w:rsidR="0073142C" w:rsidRPr="0073142C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73142C" w:rsidRPr="0073142C">
              <w:rPr>
                <w:rFonts w:ascii="Arial" w:hAnsi="Arial" w:cs="Arial"/>
                <w:sz w:val="18"/>
                <w:szCs w:val="18"/>
              </w:rPr>
              <w:t>funded residential supports</w:t>
            </w:r>
            <w:r w:rsidR="00156363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42C" w:rsidRPr="0073142C">
              <w:rPr>
                <w:rFonts w:ascii="Arial" w:hAnsi="Arial" w:cs="Arial"/>
                <w:sz w:val="18"/>
                <w:szCs w:val="18"/>
              </w:rPr>
              <w:t>(less than 24/7) and is not living with his/her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42C" w:rsidRPr="0073142C">
              <w:rPr>
                <w:rFonts w:ascii="Arial" w:hAnsi="Arial" w:cs="Arial"/>
                <w:sz w:val="18"/>
                <w:szCs w:val="18"/>
              </w:rPr>
              <w:t>parents</w:t>
            </w:r>
            <w:r w:rsidR="00C9516A">
              <w:rPr>
                <w:rFonts w:ascii="Arial" w:hAnsi="Arial" w:cs="Arial"/>
                <w:sz w:val="18"/>
                <w:szCs w:val="18"/>
              </w:rPr>
              <w:t xml:space="preserve"> or legal guardian.</w:t>
            </w:r>
            <w:r w:rsidR="000E0442">
              <w:rPr>
                <w:rFonts w:ascii="Arial" w:hAnsi="Arial" w:cs="Arial"/>
                <w:sz w:val="18"/>
                <w:szCs w:val="18"/>
              </w:rPr>
              <w:t xml:space="preserve"> For PCA consumers under </w:t>
            </w:r>
            <w:r w:rsidR="00EE4F08">
              <w:rPr>
                <w:rFonts w:ascii="Arial" w:hAnsi="Arial" w:cs="Arial"/>
                <w:sz w:val="18"/>
                <w:szCs w:val="18"/>
              </w:rPr>
              <w:t>22, PCM should provide a short summary of</w:t>
            </w:r>
            <w:r w:rsidR="003F1F17">
              <w:rPr>
                <w:rFonts w:ascii="Arial" w:hAnsi="Arial" w:cs="Arial"/>
                <w:sz w:val="18"/>
                <w:szCs w:val="18"/>
              </w:rPr>
              <w:t xml:space="preserve"> services provided by DDS.</w:t>
            </w:r>
          </w:p>
          <w:p w14:paraId="20FDA52B" w14:textId="77777777" w:rsidR="00AB57D2" w:rsidRPr="00DA3C14" w:rsidRDefault="00AB57D2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A11F0AC" w14:textId="49C8C54B" w:rsidR="0073142C" w:rsidRPr="0073142C" w:rsidRDefault="0073142C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31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Note: </w:t>
            </w:r>
            <w:r w:rsidRPr="0073142C">
              <w:rPr>
                <w:rFonts w:ascii="Arial" w:hAnsi="Arial" w:cs="Arial"/>
                <w:sz w:val="18"/>
                <w:szCs w:val="18"/>
              </w:rPr>
              <w:t>DDS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consumers who receive DDS</w:t>
            </w:r>
            <w:r w:rsidRPr="0073142C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73142C">
              <w:rPr>
                <w:rFonts w:ascii="Arial" w:hAnsi="Arial" w:cs="Arial"/>
                <w:sz w:val="18"/>
                <w:szCs w:val="18"/>
              </w:rPr>
              <w:t>funded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residential supports on a 24/7 basis receive all</w:t>
            </w:r>
          </w:p>
          <w:p w14:paraId="63E262BB" w14:textId="71F25FA8" w:rsidR="00F23F28" w:rsidRPr="00DA3C14" w:rsidRDefault="0073142C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3142C">
              <w:rPr>
                <w:rFonts w:ascii="Arial" w:hAnsi="Arial" w:cs="Arial"/>
                <w:sz w:val="18"/>
                <w:szCs w:val="18"/>
              </w:rPr>
              <w:t xml:space="preserve">personal care assistance through DDS. 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73142C">
              <w:rPr>
                <w:rFonts w:ascii="Arial" w:hAnsi="Arial" w:cs="Arial"/>
                <w:sz w:val="18"/>
                <w:szCs w:val="18"/>
              </w:rPr>
              <w:t>herefore,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personal care services would duplicate services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provided through the residential supports contract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sz w:val="18"/>
                <w:szCs w:val="18"/>
              </w:rPr>
              <w:t>and are not covered for such consumers.</w:t>
            </w:r>
          </w:p>
        </w:tc>
        <w:tc>
          <w:tcPr>
            <w:tcW w:w="4320" w:type="dxa"/>
            <w:vAlign w:val="center"/>
          </w:tcPr>
          <w:p w14:paraId="7EF28ADA" w14:textId="52B92741" w:rsidR="00F23F28" w:rsidRPr="00DA3C14" w:rsidRDefault="0073142C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3142C">
              <w:rPr>
                <w:rFonts w:ascii="Arial" w:hAnsi="Arial" w:cs="Arial"/>
                <w:sz w:val="18"/>
                <w:szCs w:val="18"/>
              </w:rPr>
              <w:t>The DDS forms will be used to identify whether or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not DDS</w:t>
            </w:r>
            <w:r w:rsidRPr="0073142C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73142C">
              <w:rPr>
                <w:rFonts w:ascii="Arial" w:hAnsi="Arial" w:cs="Arial"/>
                <w:sz w:val="18"/>
                <w:szCs w:val="18"/>
              </w:rPr>
              <w:t>funded residential supports are provided to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the consumer and to ensure that the requested PCA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42C">
              <w:rPr>
                <w:rFonts w:ascii="Arial" w:hAnsi="Arial" w:cs="Arial"/>
                <w:sz w:val="18"/>
                <w:szCs w:val="18"/>
              </w:rPr>
              <w:t>services are not duplicative of services provided by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sz w:val="18"/>
                <w:szCs w:val="18"/>
              </w:rPr>
              <w:t>DDS.</w:t>
            </w:r>
          </w:p>
        </w:tc>
      </w:tr>
      <w:tr w:rsidR="00CF6B81" w:rsidRPr="008F0685" w14:paraId="6F9FF167" w14:textId="77777777" w:rsidTr="00CF6B81">
        <w:trPr>
          <w:trHeight w:val="1872"/>
        </w:trPr>
        <w:tc>
          <w:tcPr>
            <w:tcW w:w="4320" w:type="dxa"/>
            <w:vAlign w:val="center"/>
          </w:tcPr>
          <w:p w14:paraId="624D5356" w14:textId="43978B13" w:rsidR="00E42E2F" w:rsidRPr="00DA3C14" w:rsidRDefault="008F0685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0685">
              <w:rPr>
                <w:rFonts w:ascii="Arial" w:hAnsi="Arial" w:cs="Arial"/>
                <w:b/>
                <w:bCs/>
                <w:sz w:val="18"/>
                <w:szCs w:val="18"/>
              </w:rPr>
              <w:t>Copy of the residential supports contract from the</w:t>
            </w:r>
            <w:r w:rsidR="00DD353C"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>residential vendor or the state agency.</w:t>
            </w:r>
          </w:p>
        </w:tc>
        <w:tc>
          <w:tcPr>
            <w:tcW w:w="4320" w:type="dxa"/>
            <w:vAlign w:val="center"/>
          </w:tcPr>
          <w:p w14:paraId="4B82FD68" w14:textId="6FCA2D85" w:rsidR="00E42E2F" w:rsidRPr="00DA3C14" w:rsidRDefault="7FF49270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 xml:space="preserve">Required if </w:t>
            </w:r>
            <w:r w:rsidR="008F0685" w:rsidRPr="008F0685">
              <w:rPr>
                <w:rFonts w:ascii="Arial" w:hAnsi="Arial" w:cs="Arial"/>
                <w:sz w:val="18"/>
                <w:szCs w:val="18"/>
              </w:rPr>
              <w:t>he PCA consumer is not DDS</w:t>
            </w:r>
            <w:r w:rsidR="008F0685" w:rsidRPr="008F0685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8F0685" w:rsidRPr="008F0685">
              <w:rPr>
                <w:rFonts w:ascii="Arial" w:hAnsi="Arial" w:cs="Arial"/>
                <w:sz w:val="18"/>
                <w:szCs w:val="18"/>
              </w:rPr>
              <w:t>eligible but is</w:t>
            </w:r>
            <w:r w:rsidR="11BE7B7F" w:rsidRPr="750DA7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0685" w:rsidRPr="008F0685">
              <w:rPr>
                <w:rFonts w:ascii="Arial" w:hAnsi="Arial" w:cs="Arial"/>
                <w:sz w:val="18"/>
                <w:szCs w:val="18"/>
              </w:rPr>
              <w:t>receiving residential support services (24/7 or less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0685" w:rsidRPr="008F0685">
              <w:rPr>
                <w:rFonts w:ascii="Arial" w:hAnsi="Arial" w:cs="Arial"/>
                <w:sz w:val="18"/>
                <w:szCs w:val="18"/>
              </w:rPr>
              <w:t>than 24/7), funded by a state agency other than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0685" w:rsidRPr="008F0685">
              <w:rPr>
                <w:rFonts w:ascii="Arial" w:hAnsi="Arial" w:cs="Arial"/>
                <w:sz w:val="18"/>
                <w:szCs w:val="18"/>
              </w:rPr>
              <w:t>DDS, such as the Mass</w:t>
            </w:r>
            <w:r w:rsidR="008451EE">
              <w:rPr>
                <w:rFonts w:ascii="Arial" w:hAnsi="Arial" w:cs="Arial"/>
                <w:sz w:val="18"/>
                <w:szCs w:val="18"/>
              </w:rPr>
              <w:t>Ability</w:t>
            </w:r>
            <w:r w:rsidR="008F0685" w:rsidRPr="008F068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>D</w:t>
            </w:r>
            <w:r w:rsidR="008F0685" w:rsidRPr="008F0685">
              <w:rPr>
                <w:rFonts w:ascii="Arial" w:hAnsi="Arial" w:cs="Arial"/>
                <w:sz w:val="18"/>
                <w:szCs w:val="18"/>
              </w:rPr>
              <w:t>epartment of Mental Health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0685" w:rsidRPr="008F0685">
              <w:rPr>
                <w:rFonts w:ascii="Arial" w:hAnsi="Arial" w:cs="Arial"/>
                <w:sz w:val="18"/>
                <w:szCs w:val="18"/>
              </w:rPr>
              <w:t>(DMH), or Department of Children and Families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0685" w:rsidRPr="00DA3C14">
              <w:rPr>
                <w:rFonts w:ascii="Arial" w:hAnsi="Arial" w:cs="Arial"/>
                <w:sz w:val="18"/>
                <w:szCs w:val="18"/>
              </w:rPr>
              <w:t>(DCF), etc.</w:t>
            </w:r>
          </w:p>
        </w:tc>
        <w:tc>
          <w:tcPr>
            <w:tcW w:w="4320" w:type="dxa"/>
            <w:vAlign w:val="center"/>
          </w:tcPr>
          <w:p w14:paraId="2FC274E5" w14:textId="77777777" w:rsidR="008F0685" w:rsidRPr="008F0685" w:rsidRDefault="008F0685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0685">
              <w:rPr>
                <w:rFonts w:ascii="Arial" w:hAnsi="Arial" w:cs="Arial"/>
                <w:sz w:val="18"/>
                <w:szCs w:val="18"/>
              </w:rPr>
              <w:t>The residential support contract is used to</w:t>
            </w:r>
          </w:p>
          <w:p w14:paraId="520B4A76" w14:textId="77777777" w:rsidR="008F0685" w:rsidRPr="008F0685" w:rsidRDefault="008F0685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0685">
              <w:rPr>
                <w:rFonts w:ascii="Arial" w:hAnsi="Arial" w:cs="Arial"/>
                <w:sz w:val="18"/>
                <w:szCs w:val="18"/>
              </w:rPr>
              <w:t>determine whether or not the requested PCA</w:t>
            </w:r>
          </w:p>
          <w:p w14:paraId="7B405F96" w14:textId="69D56ADD" w:rsidR="00E42E2F" w:rsidRPr="00DA3C14" w:rsidRDefault="008F0685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0685"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r w:rsidR="00212EB9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Pr="008F0685">
              <w:rPr>
                <w:rFonts w:ascii="Arial" w:hAnsi="Arial" w:cs="Arial"/>
                <w:sz w:val="18"/>
                <w:szCs w:val="18"/>
              </w:rPr>
              <w:t>duplicate services provided through the</w:t>
            </w:r>
            <w:r w:rsidR="00DD353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sz w:val="18"/>
                <w:szCs w:val="18"/>
              </w:rPr>
              <w:t>residential supports contract.</w:t>
            </w:r>
          </w:p>
        </w:tc>
      </w:tr>
      <w:tr w:rsidR="00CF6B81" w:rsidRPr="008F0685" w14:paraId="69CA26C1" w14:textId="77777777" w:rsidTr="00CF6B81">
        <w:trPr>
          <w:trHeight w:val="2150"/>
        </w:trPr>
        <w:tc>
          <w:tcPr>
            <w:tcW w:w="4320" w:type="dxa"/>
            <w:vAlign w:val="center"/>
          </w:tcPr>
          <w:p w14:paraId="12CDCC99" w14:textId="3D1501C8" w:rsidR="00E42E2F" w:rsidRPr="00DA3C14" w:rsidRDefault="008F0685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0685">
              <w:rPr>
                <w:rFonts w:ascii="Arial" w:hAnsi="Arial" w:cs="Arial"/>
                <w:b/>
                <w:bCs/>
                <w:sz w:val="18"/>
                <w:szCs w:val="18"/>
              </w:rPr>
              <w:t>Documentation on transportation to medical</w:t>
            </w:r>
            <w:r w:rsidR="00DD353C"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F06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appointments </w:t>
            </w:r>
            <w:r w:rsidRPr="008F0685">
              <w:rPr>
                <w:rFonts w:ascii="Arial" w:hAnsi="Arial" w:cs="Arial"/>
                <w:sz w:val="18"/>
                <w:szCs w:val="18"/>
              </w:rPr>
              <w:t>— name of doctor/clinic, specialty, start</w:t>
            </w:r>
            <w:r w:rsidR="001E059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0685">
              <w:rPr>
                <w:rFonts w:ascii="Arial" w:hAnsi="Arial" w:cs="Arial"/>
                <w:sz w:val="18"/>
                <w:szCs w:val="18"/>
              </w:rPr>
              <w:t>location, city/town of medical appointment, frequency</w:t>
            </w:r>
            <w:r w:rsidR="001E059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0685">
              <w:rPr>
                <w:rFonts w:ascii="Arial" w:hAnsi="Arial" w:cs="Arial"/>
                <w:sz w:val="18"/>
                <w:szCs w:val="18"/>
              </w:rPr>
              <w:t>(monthly, quarterly, annual, etc.), and mode of</w:t>
            </w:r>
            <w:r w:rsidR="001E059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0685">
              <w:rPr>
                <w:rFonts w:ascii="Arial" w:hAnsi="Arial" w:cs="Arial"/>
                <w:sz w:val="18"/>
                <w:szCs w:val="18"/>
              </w:rPr>
              <w:t>transportation (bus, car, etc.). Include transfer time in</w:t>
            </w:r>
            <w:r w:rsidR="001E059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0685">
              <w:rPr>
                <w:rFonts w:ascii="Arial" w:hAnsi="Arial" w:cs="Arial"/>
                <w:sz w:val="18"/>
                <w:szCs w:val="18"/>
              </w:rPr>
              <w:t>and out of home and in and out of medical provider’s</w:t>
            </w:r>
            <w:r w:rsidR="001E059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0685">
              <w:rPr>
                <w:rFonts w:ascii="Arial" w:hAnsi="Arial" w:cs="Arial"/>
                <w:sz w:val="18"/>
                <w:szCs w:val="18"/>
              </w:rPr>
              <w:t>office. This information can be included on the PCA</w:t>
            </w:r>
            <w:r w:rsidR="001E059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sz w:val="18"/>
                <w:szCs w:val="18"/>
              </w:rPr>
              <w:t>evaluation form (PCA</w:t>
            </w:r>
            <w:r w:rsidRPr="00DA3C14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DA3C14">
              <w:rPr>
                <w:rFonts w:ascii="Arial" w:hAnsi="Arial" w:cs="Arial"/>
                <w:sz w:val="18"/>
                <w:szCs w:val="18"/>
              </w:rPr>
              <w:t>2) or on a separate sheet.</w:t>
            </w:r>
          </w:p>
        </w:tc>
        <w:tc>
          <w:tcPr>
            <w:tcW w:w="4320" w:type="dxa"/>
            <w:vAlign w:val="center"/>
          </w:tcPr>
          <w:p w14:paraId="7C2ED5B5" w14:textId="6D99B1D3" w:rsidR="00E42E2F" w:rsidRPr="00DA3C14" w:rsidRDefault="18835999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if t</w:t>
            </w:r>
            <w:r w:rsidR="001E059D" w:rsidRPr="750DA7B3">
              <w:rPr>
                <w:rFonts w:ascii="Arial" w:hAnsi="Arial" w:cs="Arial"/>
                <w:sz w:val="18"/>
                <w:szCs w:val="18"/>
              </w:rPr>
              <w:t>he</w:t>
            </w:r>
            <w:r w:rsidR="001E059D" w:rsidRPr="001E059D">
              <w:rPr>
                <w:rFonts w:ascii="Arial" w:hAnsi="Arial" w:cs="Arial"/>
                <w:sz w:val="18"/>
                <w:szCs w:val="18"/>
              </w:rPr>
              <w:t xml:space="preserve"> PCM agency is requesting time for the PCA to</w:t>
            </w:r>
            <w:r w:rsidR="001E059D" w:rsidRPr="00DA3C14">
              <w:rPr>
                <w:rFonts w:ascii="Arial" w:hAnsi="Arial" w:cs="Arial"/>
                <w:sz w:val="18"/>
                <w:szCs w:val="18"/>
              </w:rPr>
              <w:t xml:space="preserve"> accompany the consumer to medical providers.</w:t>
            </w:r>
          </w:p>
        </w:tc>
        <w:tc>
          <w:tcPr>
            <w:tcW w:w="4320" w:type="dxa"/>
            <w:vAlign w:val="center"/>
          </w:tcPr>
          <w:p w14:paraId="2BC96F93" w14:textId="5AD0A71C" w:rsidR="00E42E2F" w:rsidRPr="00DA3C14" w:rsidRDefault="002619A2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9A2">
              <w:rPr>
                <w:rFonts w:ascii="Arial" w:hAnsi="Arial" w:cs="Arial"/>
                <w:sz w:val="18"/>
                <w:szCs w:val="18"/>
              </w:rPr>
              <w:t>Used to support the requested number of minutes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9A2">
              <w:rPr>
                <w:rFonts w:ascii="Arial" w:hAnsi="Arial" w:cs="Arial"/>
                <w:sz w:val="18"/>
                <w:szCs w:val="18"/>
              </w:rPr>
              <w:t>for the PCA to accompany the consumer on medical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appointments.</w:t>
            </w:r>
          </w:p>
        </w:tc>
      </w:tr>
      <w:tr w:rsidR="00CF6B81" w:rsidRPr="008F0685" w14:paraId="33A00256" w14:textId="77777777" w:rsidTr="00CF6B81">
        <w:trPr>
          <w:trHeight w:val="1943"/>
        </w:trPr>
        <w:tc>
          <w:tcPr>
            <w:tcW w:w="4320" w:type="dxa"/>
            <w:vAlign w:val="center"/>
          </w:tcPr>
          <w:p w14:paraId="271678E6" w14:textId="2EBA4046" w:rsidR="00E42E2F" w:rsidRPr="00DA3C14" w:rsidRDefault="00621D27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21D2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The date of discharge or the </w:t>
            </w:r>
            <w:r w:rsidR="009932BB">
              <w:rPr>
                <w:rFonts w:ascii="Arial" w:hAnsi="Arial" w:cs="Arial"/>
                <w:b/>
                <w:bCs/>
                <w:sz w:val="18"/>
                <w:szCs w:val="18"/>
              </w:rPr>
              <w:t>anticipated</w:t>
            </w:r>
            <w:r w:rsidR="009932BB" w:rsidRPr="00621D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21D27">
              <w:rPr>
                <w:rFonts w:ascii="Arial" w:hAnsi="Arial" w:cs="Arial"/>
                <w:b/>
                <w:bCs/>
                <w:sz w:val="18"/>
                <w:szCs w:val="18"/>
              </w:rPr>
              <w:t>date of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discharge from an inpatient facility</w:t>
            </w:r>
          </w:p>
        </w:tc>
        <w:tc>
          <w:tcPr>
            <w:tcW w:w="4320" w:type="dxa"/>
            <w:vAlign w:val="center"/>
          </w:tcPr>
          <w:p w14:paraId="5B1759AA" w14:textId="695B45E4" w:rsidR="0037410F" w:rsidRDefault="211B5ABC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if t</w:t>
            </w:r>
            <w:r w:rsidR="0037410F" w:rsidRPr="750DA7B3">
              <w:rPr>
                <w:rFonts w:ascii="Arial" w:hAnsi="Arial" w:cs="Arial"/>
                <w:sz w:val="18"/>
                <w:szCs w:val="18"/>
              </w:rPr>
              <w:t>he</w:t>
            </w:r>
            <w:r w:rsidR="0037410F" w:rsidRPr="0037410F">
              <w:rPr>
                <w:rFonts w:ascii="Arial" w:hAnsi="Arial" w:cs="Arial"/>
                <w:sz w:val="18"/>
                <w:szCs w:val="18"/>
              </w:rPr>
              <w:t xml:space="preserve"> PCA consumer is being discharged from a</w:t>
            </w:r>
            <w:r w:rsidR="0037410F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410F" w:rsidRPr="0037410F">
              <w:rPr>
                <w:rFonts w:ascii="Arial" w:hAnsi="Arial" w:cs="Arial"/>
                <w:sz w:val="18"/>
                <w:szCs w:val="18"/>
              </w:rPr>
              <w:t>nursing facility or other inpatient facility</w:t>
            </w:r>
            <w:r w:rsidR="00F60C61">
              <w:rPr>
                <w:rFonts w:ascii="Arial" w:hAnsi="Arial" w:cs="Arial"/>
                <w:sz w:val="18"/>
                <w:szCs w:val="18"/>
              </w:rPr>
              <w:t xml:space="preserve"> or has a future anticipated discharge date.</w:t>
            </w:r>
          </w:p>
          <w:p w14:paraId="610FDFB0" w14:textId="77777777" w:rsidR="00BE68B9" w:rsidRPr="0037410F" w:rsidRDefault="00BE68B9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428CF3F" w14:textId="73D6F655" w:rsidR="00E42E2F" w:rsidRPr="00DA3C14" w:rsidRDefault="0037410F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41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Note: </w:t>
            </w:r>
            <w:r w:rsidRPr="0037410F">
              <w:rPr>
                <w:rFonts w:ascii="Arial" w:hAnsi="Arial" w:cs="Arial"/>
                <w:sz w:val="18"/>
                <w:szCs w:val="18"/>
              </w:rPr>
              <w:t>MassHealth cannot pay for PCA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10F">
              <w:rPr>
                <w:rFonts w:ascii="Arial" w:hAnsi="Arial" w:cs="Arial"/>
                <w:sz w:val="18"/>
                <w:szCs w:val="18"/>
              </w:rPr>
              <w:t>services while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a consumer is in an inpatient facility.</w:t>
            </w:r>
          </w:p>
        </w:tc>
        <w:tc>
          <w:tcPr>
            <w:tcW w:w="4320" w:type="dxa"/>
            <w:vAlign w:val="center"/>
          </w:tcPr>
          <w:p w14:paraId="4CA3667F" w14:textId="0D50B8D3" w:rsidR="00E42E2F" w:rsidRPr="00DA3C14" w:rsidRDefault="0037410F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410F">
              <w:rPr>
                <w:rFonts w:ascii="Arial" w:hAnsi="Arial" w:cs="Arial"/>
                <w:sz w:val="18"/>
                <w:szCs w:val="18"/>
              </w:rPr>
              <w:t>Used to determine when a consumer’s PA should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10F">
              <w:rPr>
                <w:rFonts w:ascii="Arial" w:hAnsi="Arial" w:cs="Arial"/>
                <w:sz w:val="18"/>
                <w:szCs w:val="18"/>
              </w:rPr>
              <w:t>take effect. The PCM agency must contact the PA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10F">
              <w:rPr>
                <w:rFonts w:ascii="Arial" w:hAnsi="Arial" w:cs="Arial"/>
                <w:sz w:val="18"/>
                <w:szCs w:val="18"/>
              </w:rPr>
              <w:t xml:space="preserve">Unit when it </w:t>
            </w:r>
            <w:r w:rsidR="008B6EF1" w:rsidRPr="0037410F">
              <w:rPr>
                <w:rFonts w:ascii="Arial" w:hAnsi="Arial" w:cs="Arial"/>
                <w:sz w:val="18"/>
                <w:szCs w:val="18"/>
              </w:rPr>
              <w:t>submits</w:t>
            </w:r>
            <w:r w:rsidRPr="0037410F">
              <w:rPr>
                <w:rFonts w:ascii="Arial" w:hAnsi="Arial" w:cs="Arial"/>
                <w:sz w:val="18"/>
                <w:szCs w:val="18"/>
              </w:rPr>
              <w:t xml:space="preserve"> an </w:t>
            </w:r>
            <w:r w:rsidRPr="003741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initial </w:t>
            </w:r>
            <w:r w:rsidRPr="0037410F">
              <w:rPr>
                <w:rFonts w:ascii="Arial" w:hAnsi="Arial" w:cs="Arial"/>
                <w:sz w:val="18"/>
                <w:szCs w:val="18"/>
              </w:rPr>
              <w:t>PA request for a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10F">
              <w:rPr>
                <w:rFonts w:ascii="Arial" w:hAnsi="Arial" w:cs="Arial"/>
                <w:sz w:val="18"/>
                <w:szCs w:val="18"/>
              </w:rPr>
              <w:t>consumer being discharged from a facility. Contact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10F">
              <w:rPr>
                <w:rFonts w:ascii="Arial" w:hAnsi="Arial" w:cs="Arial"/>
                <w:sz w:val="18"/>
                <w:szCs w:val="18"/>
              </w:rPr>
              <w:t>the PA Unit at</w:t>
            </w:r>
            <w:r w:rsidR="00B71BA7">
              <w:t xml:space="preserve"> </w:t>
            </w:r>
            <w:hyperlink r:id="rId13" w:history="1">
              <w:r w:rsidR="00594256" w:rsidRPr="008D3B91">
                <w:rPr>
                  <w:rStyle w:val="Hyperlink"/>
                  <w:rFonts w:ascii="Arial" w:hAnsi="Arial" w:cs="Arial"/>
                  <w:sz w:val="18"/>
                  <w:szCs w:val="18"/>
                </w:rPr>
                <w:t>support@masshealthltss.com</w:t>
              </w:r>
            </w:hyperlink>
            <w:r w:rsidR="005942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10F">
              <w:rPr>
                <w:rFonts w:ascii="Arial" w:hAnsi="Arial" w:cs="Arial"/>
                <w:sz w:val="18"/>
                <w:szCs w:val="18"/>
              </w:rPr>
              <w:t>with “Expedited Request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10F">
              <w:rPr>
                <w:rFonts w:ascii="Arial" w:hAnsi="Arial" w:cs="Arial"/>
                <w:sz w:val="18"/>
                <w:szCs w:val="18"/>
              </w:rPr>
              <w:t>Facility Discharge – Tracking #XXXXXXX” in the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subject line.</w:t>
            </w:r>
          </w:p>
        </w:tc>
      </w:tr>
      <w:tr w:rsidR="00CF6B81" w:rsidRPr="008F0685" w14:paraId="4E1D8139" w14:textId="77777777" w:rsidTr="00CF6B81">
        <w:trPr>
          <w:trHeight w:val="2304"/>
        </w:trPr>
        <w:tc>
          <w:tcPr>
            <w:tcW w:w="4320" w:type="dxa"/>
            <w:vAlign w:val="center"/>
          </w:tcPr>
          <w:p w14:paraId="63A2ED34" w14:textId="111B6B8C" w:rsidR="00E42E2F" w:rsidRPr="00DA3C14" w:rsidRDefault="00A4654C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4654C">
              <w:rPr>
                <w:rFonts w:ascii="Arial" w:hAnsi="Arial" w:cs="Arial"/>
                <w:b/>
                <w:bCs/>
                <w:sz w:val="18"/>
                <w:szCs w:val="18"/>
              </w:rPr>
              <w:t>The MassHealth adult foster care (AFC) provider’s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654C">
              <w:rPr>
                <w:rFonts w:ascii="Arial" w:hAnsi="Arial" w:cs="Arial"/>
                <w:b/>
                <w:bCs/>
                <w:sz w:val="18"/>
                <w:szCs w:val="18"/>
              </w:rPr>
              <w:t>discharge plan complete with date of discharge from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654C">
              <w:rPr>
                <w:rFonts w:ascii="Arial" w:hAnsi="Arial" w:cs="Arial"/>
                <w:b/>
                <w:bCs/>
                <w:sz w:val="18"/>
                <w:szCs w:val="18"/>
              </w:rPr>
              <w:t>the AFC provider agency or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654C">
              <w:rPr>
                <w:rFonts w:ascii="Arial" w:hAnsi="Arial" w:cs="Arial"/>
                <w:b/>
                <w:bCs/>
                <w:sz w:val="18"/>
                <w:szCs w:val="18"/>
              </w:rPr>
              <w:t>The MassHealth group adult foster care (GAFC)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654C">
              <w:rPr>
                <w:rFonts w:ascii="Arial" w:hAnsi="Arial" w:cs="Arial"/>
                <w:b/>
                <w:bCs/>
                <w:sz w:val="18"/>
                <w:szCs w:val="18"/>
              </w:rPr>
              <w:t>discharge summary report from the GAFC provider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agency</w:t>
            </w:r>
          </w:p>
        </w:tc>
        <w:tc>
          <w:tcPr>
            <w:tcW w:w="4320" w:type="dxa"/>
            <w:vAlign w:val="center"/>
          </w:tcPr>
          <w:p w14:paraId="5F3EAE57" w14:textId="686CD3F8" w:rsidR="00A4654C" w:rsidRDefault="1F286EB7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when a</w:t>
            </w:r>
            <w:r w:rsidR="00A4654C" w:rsidRPr="00A4654C">
              <w:rPr>
                <w:rFonts w:ascii="Arial" w:hAnsi="Arial" w:cs="Arial"/>
                <w:sz w:val="18"/>
                <w:szCs w:val="18"/>
              </w:rPr>
              <w:t xml:space="preserve"> MassHealth member has been receiving</w:t>
            </w:r>
            <w:r w:rsidR="00A4654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654C" w:rsidRPr="00A4654C">
              <w:rPr>
                <w:rFonts w:ascii="Arial" w:hAnsi="Arial" w:cs="Arial"/>
                <w:sz w:val="18"/>
                <w:szCs w:val="18"/>
              </w:rPr>
              <w:t xml:space="preserve">MassHealth AFC or GAFC </w:t>
            </w:r>
            <w:r w:rsidR="00A4654C" w:rsidRPr="750DA7B3">
              <w:rPr>
                <w:rFonts w:ascii="Arial" w:hAnsi="Arial" w:cs="Arial"/>
                <w:sz w:val="18"/>
                <w:szCs w:val="18"/>
              </w:rPr>
              <w:t>service</w:t>
            </w:r>
            <w:r w:rsidR="7E908E85" w:rsidRPr="750DA7B3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A4654C" w:rsidRPr="00A4654C">
              <w:rPr>
                <w:rFonts w:ascii="Arial" w:hAnsi="Arial" w:cs="Arial"/>
                <w:sz w:val="18"/>
                <w:szCs w:val="18"/>
              </w:rPr>
              <w:t xml:space="preserve"> has applied for</w:t>
            </w:r>
            <w:r w:rsidR="00A4654C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654C" w:rsidRPr="00A4654C">
              <w:rPr>
                <w:rFonts w:ascii="Arial" w:hAnsi="Arial" w:cs="Arial"/>
                <w:sz w:val="18"/>
                <w:szCs w:val="18"/>
              </w:rPr>
              <w:t>PCA services.</w:t>
            </w:r>
          </w:p>
          <w:p w14:paraId="53C55815" w14:textId="77777777" w:rsidR="00593D4E" w:rsidRPr="00A4654C" w:rsidRDefault="00593D4E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C72BF86" w14:textId="2F91E3F5" w:rsidR="00E42E2F" w:rsidRPr="00DA3C14" w:rsidRDefault="00A4654C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465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Note: </w:t>
            </w:r>
            <w:r w:rsidRPr="00A4654C">
              <w:rPr>
                <w:rFonts w:ascii="Arial" w:hAnsi="Arial" w:cs="Arial"/>
                <w:sz w:val="18"/>
                <w:szCs w:val="18"/>
              </w:rPr>
              <w:t>A consumer cannot receive both PCA services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and AFC or GAFC services</w:t>
            </w:r>
            <w:r w:rsidR="00040180">
              <w:rPr>
                <w:rFonts w:ascii="Arial" w:hAnsi="Arial" w:cs="Arial"/>
                <w:sz w:val="18"/>
                <w:szCs w:val="18"/>
              </w:rPr>
              <w:t>. T</w:t>
            </w:r>
            <w:r w:rsidR="00F71798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040180">
              <w:rPr>
                <w:rFonts w:ascii="Arial" w:hAnsi="Arial" w:cs="Arial"/>
                <w:sz w:val="18"/>
                <w:szCs w:val="18"/>
              </w:rPr>
              <w:t xml:space="preserve">PCA </w:t>
            </w:r>
            <w:r w:rsidR="00F71798">
              <w:rPr>
                <w:rFonts w:ascii="Arial" w:hAnsi="Arial" w:cs="Arial"/>
                <w:sz w:val="18"/>
                <w:szCs w:val="18"/>
              </w:rPr>
              <w:t>Prior Authorization may be adjudicated with a contingency message</w:t>
            </w:r>
            <w:r w:rsidR="00040180">
              <w:rPr>
                <w:rFonts w:ascii="Arial" w:hAnsi="Arial" w:cs="Arial"/>
                <w:sz w:val="18"/>
                <w:szCs w:val="18"/>
              </w:rPr>
              <w:t xml:space="preserve"> until confirmation of AFC/GAFC services and Prior Authorization being terminated</w:t>
            </w:r>
          </w:p>
        </w:tc>
        <w:tc>
          <w:tcPr>
            <w:tcW w:w="4320" w:type="dxa"/>
            <w:vAlign w:val="center"/>
          </w:tcPr>
          <w:p w14:paraId="6BE0308D" w14:textId="77777777" w:rsidR="00C17688" w:rsidRPr="00C17688" w:rsidRDefault="00C17688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688">
              <w:rPr>
                <w:rFonts w:ascii="Arial" w:hAnsi="Arial" w:cs="Arial"/>
                <w:sz w:val="18"/>
                <w:szCs w:val="18"/>
              </w:rPr>
              <w:t>Used to document that the consumer will be</w:t>
            </w:r>
          </w:p>
          <w:p w14:paraId="592A7D80" w14:textId="40917395" w:rsidR="00E42E2F" w:rsidRPr="00DA3C14" w:rsidRDefault="00C17688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688">
              <w:rPr>
                <w:rFonts w:ascii="Arial" w:hAnsi="Arial" w:cs="Arial"/>
                <w:sz w:val="18"/>
                <w:szCs w:val="18"/>
              </w:rPr>
              <w:t>discharged from AFC</w:t>
            </w:r>
            <w:r w:rsidR="006A51FE">
              <w:rPr>
                <w:rFonts w:ascii="Arial" w:hAnsi="Arial" w:cs="Arial"/>
                <w:sz w:val="18"/>
                <w:szCs w:val="18"/>
              </w:rPr>
              <w:t>/GAFC</w:t>
            </w:r>
            <w:r w:rsidRPr="00C17688">
              <w:rPr>
                <w:rFonts w:ascii="Arial" w:hAnsi="Arial" w:cs="Arial"/>
                <w:sz w:val="18"/>
                <w:szCs w:val="18"/>
              </w:rPr>
              <w:t xml:space="preserve"> before PCA services start.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F6B81" w:rsidRPr="008F0685" w14:paraId="1BCF863E" w14:textId="77777777" w:rsidTr="00CF6B81">
        <w:trPr>
          <w:trHeight w:val="1296"/>
        </w:trPr>
        <w:tc>
          <w:tcPr>
            <w:tcW w:w="4320" w:type="dxa"/>
            <w:vAlign w:val="center"/>
          </w:tcPr>
          <w:p w14:paraId="3A8A31F4" w14:textId="0D51A082" w:rsidR="00E42E2F" w:rsidRPr="008C4711" w:rsidRDefault="00C17688" w:rsidP="00CF6B8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711">
              <w:rPr>
                <w:rFonts w:ascii="Arial" w:hAnsi="Arial" w:cs="Arial"/>
                <w:b/>
                <w:bCs/>
                <w:sz w:val="18"/>
                <w:szCs w:val="18"/>
              </w:rPr>
              <w:t>Hospice plan of care from the consumer’s hospice provider</w:t>
            </w:r>
          </w:p>
        </w:tc>
        <w:tc>
          <w:tcPr>
            <w:tcW w:w="4320" w:type="dxa"/>
            <w:vAlign w:val="center"/>
          </w:tcPr>
          <w:p w14:paraId="62AB2EB6" w14:textId="7EEAF4DA" w:rsidR="00E42E2F" w:rsidRPr="00DA3C14" w:rsidRDefault="7F19B30A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when a</w:t>
            </w:r>
            <w:r w:rsidR="009A3F57" w:rsidRPr="009A3F57">
              <w:rPr>
                <w:rFonts w:ascii="Arial" w:hAnsi="Arial" w:cs="Arial"/>
                <w:sz w:val="18"/>
                <w:szCs w:val="18"/>
              </w:rPr>
              <w:t xml:space="preserve"> PCA consumer has elected hospice and is either</w:t>
            </w:r>
            <w:r w:rsidR="009A3F57" w:rsidRPr="00DA3C14">
              <w:rPr>
                <w:rFonts w:ascii="Arial" w:hAnsi="Arial" w:cs="Arial"/>
                <w:sz w:val="18"/>
                <w:szCs w:val="18"/>
              </w:rPr>
              <w:t xml:space="preserve"> receiving, or has requested to receive, PCA services.</w:t>
            </w:r>
          </w:p>
        </w:tc>
        <w:tc>
          <w:tcPr>
            <w:tcW w:w="4320" w:type="dxa"/>
            <w:vAlign w:val="center"/>
          </w:tcPr>
          <w:p w14:paraId="5C2BEA7C" w14:textId="7D5C2485" w:rsidR="00E42E2F" w:rsidRPr="00DA3C14" w:rsidRDefault="009A3F57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A3F57">
              <w:rPr>
                <w:rFonts w:ascii="Arial" w:hAnsi="Arial" w:cs="Arial"/>
                <w:sz w:val="18"/>
                <w:szCs w:val="18"/>
              </w:rPr>
              <w:t>PCM agencies must obtain the consumer’s hospice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3F57">
              <w:rPr>
                <w:rFonts w:ascii="Arial" w:hAnsi="Arial" w:cs="Arial"/>
                <w:sz w:val="18"/>
                <w:szCs w:val="18"/>
              </w:rPr>
              <w:t>plan of care from the hospice provider and submit it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3F57">
              <w:rPr>
                <w:rFonts w:ascii="Arial" w:hAnsi="Arial" w:cs="Arial"/>
                <w:sz w:val="18"/>
                <w:szCs w:val="18"/>
              </w:rPr>
              <w:t>to MassHealth in accordance with MassHealth PCA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Bulletin 4, dated August 2009.</w:t>
            </w:r>
          </w:p>
        </w:tc>
      </w:tr>
      <w:tr w:rsidR="00CF6B81" w:rsidRPr="008F0685" w14:paraId="02BE171E" w14:textId="77777777" w:rsidTr="00CF6B81">
        <w:trPr>
          <w:trHeight w:val="3168"/>
        </w:trPr>
        <w:tc>
          <w:tcPr>
            <w:tcW w:w="4320" w:type="dxa"/>
            <w:vAlign w:val="center"/>
          </w:tcPr>
          <w:p w14:paraId="020A9131" w14:textId="365B56FF" w:rsidR="00E42E2F" w:rsidRPr="00DA3C14" w:rsidRDefault="009A3F57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A3F57">
              <w:rPr>
                <w:rFonts w:ascii="Arial" w:hAnsi="Arial" w:cs="Arial"/>
                <w:b/>
                <w:bCs/>
                <w:sz w:val="18"/>
                <w:szCs w:val="18"/>
              </w:rPr>
              <w:t>Documentation on instrumental activities of daily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3F57">
              <w:rPr>
                <w:rFonts w:ascii="Arial" w:hAnsi="Arial" w:cs="Arial"/>
                <w:b/>
                <w:bCs/>
                <w:sz w:val="18"/>
                <w:szCs w:val="18"/>
              </w:rPr>
              <w:t>living (IADLs) for a consumer living with family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3F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members </w:t>
            </w:r>
            <w:r w:rsidRPr="009A3F57">
              <w:rPr>
                <w:rFonts w:ascii="Arial" w:hAnsi="Arial" w:cs="Arial"/>
                <w:sz w:val="18"/>
                <w:szCs w:val="18"/>
              </w:rPr>
              <w:t>— Provide written justification for why the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3F57">
              <w:rPr>
                <w:rFonts w:ascii="Arial" w:hAnsi="Arial" w:cs="Arial"/>
                <w:sz w:val="18"/>
                <w:szCs w:val="18"/>
              </w:rPr>
              <w:t>consumer’s family member(s) (as defined in 130 CMR</w:t>
            </w:r>
            <w:r w:rsidR="00593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sz w:val="18"/>
                <w:szCs w:val="18"/>
              </w:rPr>
              <w:t>422.402) cannot provide the routine IADL assistance.</w:t>
            </w:r>
          </w:p>
        </w:tc>
        <w:tc>
          <w:tcPr>
            <w:tcW w:w="4320" w:type="dxa"/>
            <w:vAlign w:val="center"/>
          </w:tcPr>
          <w:p w14:paraId="581678D2" w14:textId="4B617C36" w:rsidR="00E42E2F" w:rsidRDefault="33672508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when t</w:t>
            </w:r>
            <w:r w:rsidR="00142E38" w:rsidRPr="750DA7B3">
              <w:rPr>
                <w:rFonts w:ascii="Arial" w:hAnsi="Arial" w:cs="Arial"/>
                <w:sz w:val="18"/>
                <w:szCs w:val="18"/>
              </w:rPr>
              <w:t>he</w:t>
            </w:r>
            <w:r w:rsidR="00142E38" w:rsidRPr="00142E38">
              <w:rPr>
                <w:rFonts w:ascii="Arial" w:hAnsi="Arial" w:cs="Arial"/>
                <w:sz w:val="18"/>
                <w:szCs w:val="18"/>
              </w:rPr>
              <w:t xml:space="preserve"> PCM agency is requesting time for IADLs, and</w:t>
            </w:r>
            <w:r w:rsidR="00142E38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2E38" w:rsidRPr="00142E38">
              <w:rPr>
                <w:rFonts w:ascii="Arial" w:hAnsi="Arial" w:cs="Arial"/>
                <w:sz w:val="18"/>
                <w:szCs w:val="18"/>
              </w:rPr>
              <w:t>the consumer lives with family member(s) (as</w:t>
            </w:r>
            <w:r w:rsidR="00142E38" w:rsidRPr="00DA3C14">
              <w:rPr>
                <w:rFonts w:ascii="Arial" w:hAnsi="Arial" w:cs="Arial"/>
                <w:sz w:val="18"/>
                <w:szCs w:val="18"/>
              </w:rPr>
              <w:t xml:space="preserve"> defined in 130 CMR 422.402).</w:t>
            </w:r>
          </w:p>
          <w:p w14:paraId="214C1A2F" w14:textId="77777777" w:rsidR="006761CC" w:rsidRDefault="006761CC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A70A77E" w14:textId="3366656F" w:rsidR="006761CC" w:rsidRPr="00DA3C14" w:rsidRDefault="006761CC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C4711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sz w:val="18"/>
                <w:szCs w:val="18"/>
              </w:rPr>
              <w:t xml:space="preserve"> If the consumer is a child, PCM must provide</w:t>
            </w:r>
            <w:r w:rsidR="00450173">
              <w:rPr>
                <w:rFonts w:ascii="Arial" w:hAnsi="Arial" w:cs="Arial"/>
                <w:sz w:val="18"/>
                <w:szCs w:val="18"/>
              </w:rPr>
              <w:t xml:space="preserve"> written justification for why consumer’s parent/legal guardian </w:t>
            </w:r>
            <w:r w:rsidR="007E76E4">
              <w:rPr>
                <w:rFonts w:ascii="Arial" w:hAnsi="Arial" w:cs="Arial"/>
                <w:sz w:val="18"/>
                <w:szCs w:val="18"/>
              </w:rPr>
              <w:t xml:space="preserve">cannot provide routine IADL assistance. </w:t>
            </w:r>
          </w:p>
        </w:tc>
        <w:tc>
          <w:tcPr>
            <w:tcW w:w="4320" w:type="dxa"/>
            <w:vAlign w:val="center"/>
          </w:tcPr>
          <w:p w14:paraId="42BFA818" w14:textId="77777777" w:rsidR="00437367" w:rsidRDefault="00142E38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42E38">
              <w:rPr>
                <w:rFonts w:ascii="Arial" w:hAnsi="Arial" w:cs="Arial"/>
                <w:sz w:val="18"/>
                <w:szCs w:val="18"/>
              </w:rPr>
              <w:t>130 CMR 422.410(C)(1) states: “When a member is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2E38">
              <w:rPr>
                <w:rFonts w:ascii="Arial" w:hAnsi="Arial" w:cs="Arial"/>
                <w:sz w:val="18"/>
                <w:szCs w:val="18"/>
              </w:rPr>
              <w:t>living with family members, the family members will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2E38">
              <w:rPr>
                <w:rFonts w:ascii="Arial" w:hAnsi="Arial" w:cs="Arial"/>
                <w:sz w:val="18"/>
                <w:szCs w:val="18"/>
              </w:rPr>
              <w:t>provide assistance with most IADLs. For example,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2E38">
              <w:rPr>
                <w:rFonts w:ascii="Arial" w:hAnsi="Arial" w:cs="Arial"/>
                <w:sz w:val="18"/>
                <w:szCs w:val="18"/>
              </w:rPr>
              <w:t>routine laundry, housekeeping, shopping, and meal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2E38">
              <w:rPr>
                <w:rFonts w:ascii="Arial" w:hAnsi="Arial" w:cs="Arial"/>
                <w:sz w:val="18"/>
                <w:szCs w:val="18"/>
              </w:rPr>
              <w:t>preparation and clean</w:t>
            </w:r>
            <w:r w:rsidRPr="00142E38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142E38">
              <w:rPr>
                <w:rFonts w:ascii="Arial" w:hAnsi="Arial" w:cs="Arial"/>
                <w:sz w:val="18"/>
                <w:szCs w:val="18"/>
              </w:rPr>
              <w:t>up should include those</w:t>
            </w:r>
            <w:r w:rsidR="00593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2E38">
              <w:rPr>
                <w:rFonts w:ascii="Arial" w:hAnsi="Arial" w:cs="Arial"/>
                <w:sz w:val="18"/>
                <w:szCs w:val="18"/>
              </w:rPr>
              <w:t>needs of the member.”</w:t>
            </w:r>
          </w:p>
          <w:p w14:paraId="49481C9D" w14:textId="77777777" w:rsidR="00437367" w:rsidRDefault="00437367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ED66A6F" w14:textId="338B2FFA" w:rsidR="00E42E2F" w:rsidRPr="00DA3C14" w:rsidRDefault="00142E38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42E38">
              <w:rPr>
                <w:rFonts w:ascii="Arial" w:hAnsi="Arial" w:cs="Arial"/>
                <w:sz w:val="18"/>
                <w:szCs w:val="18"/>
              </w:rPr>
              <w:t>The PCM agency must</w:t>
            </w:r>
            <w:r w:rsidR="00593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2E38">
              <w:rPr>
                <w:rFonts w:ascii="Arial" w:hAnsi="Arial" w:cs="Arial"/>
                <w:sz w:val="18"/>
                <w:szCs w:val="18"/>
              </w:rPr>
              <w:t>submit written justification that describes the</w:t>
            </w:r>
            <w:r w:rsidR="004373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2E38">
              <w:rPr>
                <w:rFonts w:ascii="Arial" w:hAnsi="Arial" w:cs="Arial"/>
                <w:sz w:val="18"/>
                <w:szCs w:val="18"/>
              </w:rPr>
              <w:t>consumer’s individual circumstances that prevent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2E38">
              <w:rPr>
                <w:rFonts w:ascii="Arial" w:hAnsi="Arial" w:cs="Arial"/>
                <w:sz w:val="18"/>
                <w:szCs w:val="18"/>
              </w:rPr>
              <w:t>family members living with the consumer from</w:t>
            </w:r>
            <w:r w:rsidR="000D1D27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sz w:val="18"/>
                <w:szCs w:val="18"/>
              </w:rPr>
              <w:t>providing physical assistance with IADLs.</w:t>
            </w:r>
            <w:r w:rsidR="004373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5F23" w:rsidRPr="008C4711">
              <w:rPr>
                <w:rFonts w:ascii="Arial" w:hAnsi="Arial" w:cs="Arial"/>
                <w:b/>
                <w:bCs/>
                <w:sz w:val="18"/>
                <w:szCs w:val="18"/>
              </w:rPr>
              <w:t>(Note:</w:t>
            </w:r>
            <w:r w:rsidR="006F5F23">
              <w:rPr>
                <w:rFonts w:ascii="Arial" w:hAnsi="Arial" w:cs="Arial"/>
                <w:sz w:val="18"/>
                <w:szCs w:val="18"/>
              </w:rPr>
              <w:t xml:space="preserve"> a parent/legal guardian having to work or sleep does not </w:t>
            </w:r>
            <w:r w:rsidR="00300D24">
              <w:rPr>
                <w:rFonts w:ascii="Arial" w:hAnsi="Arial" w:cs="Arial"/>
                <w:sz w:val="18"/>
                <w:szCs w:val="18"/>
              </w:rPr>
              <w:t>qualify for IADL assistance)</w:t>
            </w:r>
          </w:p>
        </w:tc>
      </w:tr>
      <w:tr w:rsidR="00CF6B81" w:rsidRPr="008F0685" w14:paraId="3D8AD083" w14:textId="77777777" w:rsidTr="00CF6B81">
        <w:trPr>
          <w:trHeight w:val="2123"/>
        </w:trPr>
        <w:tc>
          <w:tcPr>
            <w:tcW w:w="4320" w:type="dxa"/>
            <w:vAlign w:val="center"/>
          </w:tcPr>
          <w:p w14:paraId="1E1B289D" w14:textId="7675AB3A" w:rsidR="001C6209" w:rsidRPr="00DA3C14" w:rsidRDefault="00B70550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7055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Documentation from Department of Children and</w:t>
            </w:r>
            <w:r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0550">
              <w:rPr>
                <w:rFonts w:ascii="Arial" w:hAnsi="Arial" w:cs="Arial"/>
                <w:b/>
                <w:bCs/>
                <w:sz w:val="18"/>
                <w:szCs w:val="18"/>
              </w:rPr>
              <w:t>Families (DCF) that includes the list of tasks approved</w:t>
            </w:r>
            <w:r w:rsidR="004854F5"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0550">
              <w:rPr>
                <w:rFonts w:ascii="Arial" w:hAnsi="Arial" w:cs="Arial"/>
                <w:b/>
                <w:bCs/>
                <w:sz w:val="18"/>
                <w:szCs w:val="18"/>
              </w:rPr>
              <w:t>by DCF’s Parent and Children Together (PACT) program</w:t>
            </w:r>
            <w:r w:rsidR="006F4F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0550">
              <w:rPr>
                <w:rFonts w:ascii="Arial" w:hAnsi="Arial" w:cs="Arial"/>
                <w:b/>
                <w:bCs/>
                <w:sz w:val="18"/>
                <w:szCs w:val="18"/>
              </w:rPr>
              <w:t>and the time allowed for each task</w:t>
            </w:r>
            <w:r w:rsidRPr="00B70550">
              <w:rPr>
                <w:rFonts w:ascii="Arial" w:hAnsi="Arial" w:cs="Arial"/>
                <w:sz w:val="18"/>
                <w:szCs w:val="18"/>
              </w:rPr>
              <w:t xml:space="preserve"> — The list of PACT</w:t>
            </w:r>
            <w:r w:rsidR="004854F5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0550">
              <w:rPr>
                <w:rFonts w:ascii="Arial" w:hAnsi="Arial" w:cs="Arial"/>
                <w:sz w:val="18"/>
                <w:szCs w:val="18"/>
              </w:rPr>
              <w:t>tasks approved by DCF and the time allowed for each</w:t>
            </w:r>
            <w:r w:rsidR="004854F5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0550">
              <w:rPr>
                <w:rFonts w:ascii="Arial" w:hAnsi="Arial" w:cs="Arial"/>
                <w:sz w:val="18"/>
                <w:szCs w:val="18"/>
              </w:rPr>
              <w:t>task is maintained in the consumer’s DCF case record.</w:t>
            </w:r>
            <w:r w:rsidR="004854F5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0550">
              <w:rPr>
                <w:rFonts w:ascii="Arial" w:hAnsi="Arial" w:cs="Arial"/>
                <w:sz w:val="18"/>
                <w:szCs w:val="18"/>
              </w:rPr>
              <w:t>Contact the member’s local DCF office to obtain a copy</w:t>
            </w:r>
            <w:r w:rsidR="006F4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sz w:val="18"/>
                <w:szCs w:val="18"/>
              </w:rPr>
              <w:t>of this list.</w:t>
            </w:r>
          </w:p>
        </w:tc>
        <w:tc>
          <w:tcPr>
            <w:tcW w:w="4320" w:type="dxa"/>
            <w:vAlign w:val="center"/>
          </w:tcPr>
          <w:p w14:paraId="12F1C2AA" w14:textId="01BBD10E" w:rsidR="001C6209" w:rsidRPr="00DA3C14" w:rsidRDefault="6F1EB398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when a</w:t>
            </w:r>
            <w:r w:rsidR="004854F5" w:rsidRPr="004854F5">
              <w:rPr>
                <w:rFonts w:ascii="Arial" w:hAnsi="Arial" w:cs="Arial"/>
                <w:sz w:val="18"/>
                <w:szCs w:val="18"/>
              </w:rPr>
              <w:t xml:space="preserve"> PCA consumer receives foster care provided</w:t>
            </w:r>
            <w:r w:rsidR="004854F5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54F5" w:rsidRPr="004854F5">
              <w:rPr>
                <w:rFonts w:ascii="Arial" w:hAnsi="Arial" w:cs="Arial"/>
                <w:sz w:val="18"/>
                <w:szCs w:val="18"/>
              </w:rPr>
              <w:t>through DCF and the foster parent receives</w:t>
            </w:r>
            <w:r w:rsidR="004854F5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54F5" w:rsidRPr="004854F5">
              <w:rPr>
                <w:rFonts w:ascii="Arial" w:hAnsi="Arial" w:cs="Arial"/>
                <w:sz w:val="18"/>
                <w:szCs w:val="18"/>
              </w:rPr>
              <w:t xml:space="preserve">supplemental payment through DCF’s </w:t>
            </w:r>
            <w:r w:rsidR="004854F5" w:rsidRPr="004854F5">
              <w:rPr>
                <w:rFonts w:ascii="Arial" w:hAnsi="Arial" w:cs="Arial"/>
                <w:b/>
                <w:bCs/>
                <w:sz w:val="18"/>
                <w:szCs w:val="18"/>
              </w:rPr>
              <w:t>PACT</w:t>
            </w:r>
            <w:r w:rsidR="004854F5" w:rsidRPr="00DA3C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854F5" w:rsidRPr="004854F5">
              <w:rPr>
                <w:rFonts w:ascii="Arial" w:hAnsi="Arial" w:cs="Arial"/>
                <w:sz w:val="18"/>
                <w:szCs w:val="18"/>
              </w:rPr>
              <w:t>program to provide care beyond what an average</w:t>
            </w:r>
            <w:r w:rsidR="004854F5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54F5" w:rsidRPr="004854F5">
              <w:rPr>
                <w:rFonts w:ascii="Arial" w:hAnsi="Arial" w:cs="Arial"/>
                <w:sz w:val="18"/>
                <w:szCs w:val="18"/>
              </w:rPr>
              <w:t>child requires. This may include assistance with</w:t>
            </w:r>
            <w:r w:rsidR="009A77F3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54F5" w:rsidRPr="00DA3C14">
              <w:rPr>
                <w:rFonts w:ascii="Arial" w:hAnsi="Arial" w:cs="Arial"/>
                <w:sz w:val="18"/>
                <w:szCs w:val="18"/>
              </w:rPr>
              <w:t>ADLs.</w:t>
            </w:r>
          </w:p>
        </w:tc>
        <w:tc>
          <w:tcPr>
            <w:tcW w:w="4320" w:type="dxa"/>
            <w:vAlign w:val="center"/>
          </w:tcPr>
          <w:p w14:paraId="5FC5AD00" w14:textId="3BE2BA16" w:rsidR="001C6209" w:rsidRPr="00DA3C14" w:rsidRDefault="009A77F3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A77F3">
              <w:rPr>
                <w:rFonts w:ascii="Arial" w:hAnsi="Arial" w:cs="Arial"/>
                <w:sz w:val="18"/>
                <w:szCs w:val="18"/>
              </w:rPr>
              <w:t>To ensure no duplication of services between the list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7F3">
              <w:rPr>
                <w:rFonts w:ascii="Arial" w:hAnsi="Arial" w:cs="Arial"/>
                <w:sz w:val="18"/>
                <w:szCs w:val="18"/>
              </w:rPr>
              <w:t>of PACT tasks and the ADLs or IADLs requested for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PCA.</w:t>
            </w:r>
          </w:p>
        </w:tc>
      </w:tr>
      <w:tr w:rsidR="00CF6B81" w:rsidRPr="008F0685" w14:paraId="1887197C" w14:textId="77777777" w:rsidTr="00CF6B81">
        <w:trPr>
          <w:trHeight w:val="3266"/>
        </w:trPr>
        <w:tc>
          <w:tcPr>
            <w:tcW w:w="4320" w:type="dxa"/>
            <w:vAlign w:val="center"/>
          </w:tcPr>
          <w:p w14:paraId="1AE6782E" w14:textId="1451FCCF" w:rsidR="009A77F3" w:rsidRPr="009A77F3" w:rsidRDefault="009A77F3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F8E19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Documentation from </w:t>
            </w:r>
            <w:r w:rsidR="00A47AE7" w:rsidRPr="0F8E19AF">
              <w:rPr>
                <w:rFonts w:ascii="Arial" w:hAnsi="Arial" w:cs="Arial"/>
                <w:b/>
                <w:bCs/>
                <w:sz w:val="18"/>
                <w:szCs w:val="18"/>
              </w:rPr>
              <w:t>Wellsense</w:t>
            </w:r>
            <w:r w:rsidRPr="0F8E19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F8E19AF">
              <w:rPr>
                <w:rFonts w:ascii="Arial" w:hAnsi="Arial" w:cs="Arial"/>
                <w:sz w:val="18"/>
                <w:szCs w:val="18"/>
              </w:rPr>
              <w:t>that includes the DCF Individual Care Plan, list of all services being utilized (including continuous skilled nursing); who is providing each service; schedule of when the services are being provided to the consumer;</w:t>
            </w:r>
          </w:p>
          <w:p w14:paraId="5D82114B" w14:textId="385ADDA2" w:rsidR="009A77F3" w:rsidRPr="009A77F3" w:rsidRDefault="009A77F3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A77F3">
              <w:rPr>
                <w:rFonts w:ascii="Arial" w:hAnsi="Arial" w:cs="Arial"/>
                <w:sz w:val="18"/>
                <w:szCs w:val="18"/>
              </w:rPr>
              <w:t>and name and contact information for the nurse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7F3">
              <w:rPr>
                <w:rFonts w:ascii="Arial" w:hAnsi="Arial" w:cs="Arial"/>
                <w:sz w:val="18"/>
                <w:szCs w:val="18"/>
              </w:rPr>
              <w:t>practitioner approving the service and providing case</w:t>
            </w:r>
            <w:r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7F3">
              <w:rPr>
                <w:rFonts w:ascii="Arial" w:hAnsi="Arial" w:cs="Arial"/>
                <w:sz w:val="18"/>
                <w:szCs w:val="18"/>
              </w:rPr>
              <w:t>management for the consumer if needed.</w:t>
            </w:r>
          </w:p>
          <w:p w14:paraId="02557BEF" w14:textId="77777777" w:rsidR="006F4FB9" w:rsidRDefault="006F4FB9" w:rsidP="00CF6B8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2840A7" w14:textId="7DC0F84F" w:rsidR="009A77F3" w:rsidRPr="009A77F3" w:rsidRDefault="009A77F3" w:rsidP="00CF6B8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obtain this documentation, contact </w:t>
            </w:r>
            <w:r w:rsidR="00A47AE7">
              <w:rPr>
                <w:rFonts w:ascii="Arial" w:hAnsi="Arial" w:cs="Arial"/>
                <w:b/>
                <w:bCs/>
                <w:sz w:val="18"/>
                <w:szCs w:val="18"/>
              </w:rPr>
              <w:t>Wellsense</w:t>
            </w:r>
            <w:r w:rsidRPr="009A77F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0D47445" w14:textId="77777777" w:rsidR="000A47DB" w:rsidRDefault="000A47DB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8D3B91">
                <w:rPr>
                  <w:rStyle w:val="Hyperlink"/>
                  <w:rFonts w:ascii="Arial" w:hAnsi="Arial" w:cs="Arial"/>
                  <w:sz w:val="18"/>
                  <w:szCs w:val="18"/>
                </w:rPr>
                <w:t>karen.powell@mass.gov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0D9782" w14:textId="3627682E" w:rsidR="009A77F3" w:rsidRPr="009A77F3" w:rsidRDefault="009A77F3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A77F3">
              <w:rPr>
                <w:rFonts w:ascii="Arial" w:hAnsi="Arial" w:cs="Arial"/>
                <w:sz w:val="18"/>
                <w:szCs w:val="18"/>
              </w:rPr>
              <w:t>You must provide a copy of the consumer’s</w:t>
            </w:r>
          </w:p>
          <w:p w14:paraId="5BB1F759" w14:textId="3E7A3310" w:rsidR="001C6209" w:rsidRPr="00DA3C14" w:rsidRDefault="009A77F3" w:rsidP="00CF6B8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C14">
              <w:rPr>
                <w:rFonts w:ascii="Arial" w:hAnsi="Arial" w:cs="Arial"/>
                <w:sz w:val="18"/>
                <w:szCs w:val="18"/>
              </w:rPr>
              <w:t>authorization to release information.</w:t>
            </w:r>
          </w:p>
        </w:tc>
        <w:tc>
          <w:tcPr>
            <w:tcW w:w="4320" w:type="dxa"/>
            <w:vAlign w:val="center"/>
          </w:tcPr>
          <w:p w14:paraId="556AE912" w14:textId="39F8007A" w:rsidR="001C6209" w:rsidRPr="00DA3C14" w:rsidRDefault="796EBA94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750DA7B3">
              <w:rPr>
                <w:rFonts w:ascii="Arial" w:hAnsi="Arial" w:cs="Arial"/>
                <w:sz w:val="18"/>
                <w:szCs w:val="18"/>
              </w:rPr>
              <w:t>Required when t</w:t>
            </w:r>
            <w:r w:rsidR="00843FCD" w:rsidRPr="750DA7B3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 xml:space="preserve">PCA consumer is enrolled in </w:t>
            </w:r>
            <w:r w:rsidR="00843FCD" w:rsidRPr="00843FCD">
              <w:rPr>
                <w:rFonts w:ascii="Arial" w:hAnsi="Arial" w:cs="Arial"/>
                <w:b/>
                <w:bCs/>
                <w:sz w:val="18"/>
                <w:szCs w:val="18"/>
              </w:rPr>
              <w:t>Special</w:t>
            </w:r>
            <w:r w:rsidR="2F4A1E56" w:rsidRPr="750DA7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Kids/Special </w:t>
            </w:r>
            <w:r w:rsidR="00922F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Care </w:t>
            </w:r>
            <w:r w:rsidR="00843FCD" w:rsidRPr="00843FCD">
              <w:rPr>
                <w:rFonts w:ascii="Arial" w:hAnsi="Arial" w:cs="Arial"/>
                <w:b/>
                <w:bCs/>
                <w:sz w:val="18"/>
                <w:szCs w:val="18"/>
              </w:rPr>
              <w:t>program (SKS</w:t>
            </w:r>
            <w:r w:rsidR="00922F1C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843FCD" w:rsidRPr="00843F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),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a program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cosponsored by the DCF and MassHealth. Children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in SKS</w:t>
            </w:r>
            <w:r w:rsidR="00766ED8">
              <w:rPr>
                <w:rFonts w:ascii="Arial" w:hAnsi="Arial" w:cs="Arial"/>
                <w:sz w:val="18"/>
                <w:szCs w:val="18"/>
              </w:rPr>
              <w:t>C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 xml:space="preserve"> are in the custody of DCF, are living in foster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homes, and have special health</w:t>
            </w:r>
            <w:r w:rsidR="00843FCD" w:rsidRPr="00843FCD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care needs.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6ED8">
              <w:rPr>
                <w:rFonts w:ascii="Arial" w:hAnsi="Arial" w:cs="Arial"/>
                <w:sz w:val="18"/>
                <w:szCs w:val="18"/>
              </w:rPr>
              <w:t xml:space="preserve">Wellsense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is under a contract with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MassHealth to provide for a full range of medical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services to be delivered in the child’s foster home or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other appropriate settings when medically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necessary. This may include assistance with ADLs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and IADLs.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PCM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agencies can e</w:t>
            </w:r>
            <w:r w:rsidR="00843FCD" w:rsidRPr="00843FCD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 xml:space="preserve">mail </w:t>
            </w:r>
            <w:r w:rsidR="00766ED8" w:rsidRPr="002D3055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">
              <w:r w:rsidR="00BC692B" w:rsidRPr="750DA7B3">
                <w:rPr>
                  <w:rStyle w:val="Hyperlink"/>
                  <w:rFonts w:ascii="Arial" w:hAnsi="Arial" w:cs="Arial"/>
                  <w:sz w:val="18"/>
                  <w:szCs w:val="18"/>
                </w:rPr>
                <w:t>karen.powell@mass.gov</w:t>
              </w:r>
            </w:hyperlink>
            <w:r w:rsidR="00BC69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FCD" w:rsidRPr="00843FCD">
              <w:rPr>
                <w:rFonts w:ascii="Arial" w:hAnsi="Arial" w:cs="Arial"/>
                <w:sz w:val="18"/>
                <w:szCs w:val="18"/>
              </w:rPr>
              <w:t>to find out if a child is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 xml:space="preserve"> enrolled in SKS</w:t>
            </w:r>
            <w:r w:rsidR="00766ED8">
              <w:rPr>
                <w:rFonts w:ascii="Arial" w:hAnsi="Arial" w:cs="Arial"/>
                <w:sz w:val="18"/>
                <w:szCs w:val="18"/>
              </w:rPr>
              <w:t>C</w:t>
            </w:r>
            <w:r w:rsidR="00843FCD" w:rsidRPr="00DA3C1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20" w:type="dxa"/>
            <w:vAlign w:val="center"/>
          </w:tcPr>
          <w:p w14:paraId="017C4C48" w14:textId="6F3AF16A" w:rsidR="001C6209" w:rsidRPr="00DA3C14" w:rsidRDefault="00DA3C14" w:rsidP="00CF6B8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A3C14">
              <w:rPr>
                <w:rFonts w:ascii="Arial" w:hAnsi="Arial" w:cs="Arial"/>
                <w:sz w:val="18"/>
                <w:szCs w:val="18"/>
              </w:rPr>
              <w:t xml:space="preserve">To ensure no duplication of services between the services provided under the Special Kids/Special </w:t>
            </w:r>
            <w:r w:rsidR="00766ED8">
              <w:rPr>
                <w:rFonts w:ascii="Arial" w:hAnsi="Arial" w:cs="Arial"/>
                <w:sz w:val="18"/>
                <w:szCs w:val="18"/>
              </w:rPr>
              <w:t>Care</w:t>
            </w:r>
            <w:r w:rsidR="00766ED8" w:rsidRPr="00DA3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C14">
              <w:rPr>
                <w:rFonts w:ascii="Arial" w:hAnsi="Arial" w:cs="Arial"/>
                <w:sz w:val="18"/>
                <w:szCs w:val="18"/>
              </w:rPr>
              <w:t>Program (SKS</w:t>
            </w:r>
            <w:r w:rsidR="00766ED8">
              <w:rPr>
                <w:rFonts w:ascii="Arial" w:hAnsi="Arial" w:cs="Arial"/>
                <w:sz w:val="18"/>
                <w:szCs w:val="18"/>
              </w:rPr>
              <w:t>C</w:t>
            </w:r>
            <w:r w:rsidRPr="00DA3C14">
              <w:rPr>
                <w:rFonts w:ascii="Arial" w:hAnsi="Arial" w:cs="Arial"/>
                <w:sz w:val="18"/>
                <w:szCs w:val="18"/>
              </w:rPr>
              <w:t>) and PCA services.</w:t>
            </w:r>
          </w:p>
        </w:tc>
      </w:tr>
    </w:tbl>
    <w:p w14:paraId="70261959" w14:textId="4C2BC955" w:rsidR="00F23F28" w:rsidRPr="00F23F28" w:rsidRDefault="00F23F28" w:rsidP="008F0685">
      <w:pPr>
        <w:spacing w:line="240" w:lineRule="auto"/>
        <w:contextualSpacing/>
      </w:pPr>
    </w:p>
    <w:sectPr w:rsidR="00F23F28" w:rsidRPr="00F23F28" w:rsidSect="00F23F28"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7D9D" w14:textId="77777777" w:rsidR="00FC3915" w:rsidRDefault="00FC3915" w:rsidP="009F1538">
      <w:pPr>
        <w:spacing w:after="0" w:line="240" w:lineRule="auto"/>
      </w:pPr>
      <w:r>
        <w:separator/>
      </w:r>
    </w:p>
  </w:endnote>
  <w:endnote w:type="continuationSeparator" w:id="0">
    <w:p w14:paraId="637579BF" w14:textId="77777777" w:rsidR="00FC3915" w:rsidRDefault="00FC3915" w:rsidP="009F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7D85" w14:textId="71373679" w:rsidR="009F1538" w:rsidRDefault="009F1538">
    <w:pPr>
      <w:pStyle w:val="Footer"/>
    </w:pPr>
    <w:r>
      <w:t>PCA Prior Authorization Standard Documentation J</w:t>
    </w:r>
    <w:r w:rsidR="00357231">
      <w:t>anuary</w:t>
    </w:r>
    <w:r>
      <w:t xml:space="preserve"> 202</w:t>
    </w:r>
    <w:r w:rsidR="00357231">
      <w:t>6</w:t>
    </w:r>
  </w:p>
  <w:p w14:paraId="08F6D8FE" w14:textId="77777777" w:rsidR="009F1538" w:rsidRDefault="009F1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0966" w14:textId="77777777" w:rsidR="00FC3915" w:rsidRDefault="00FC3915" w:rsidP="009F1538">
      <w:pPr>
        <w:spacing w:after="0" w:line="240" w:lineRule="auto"/>
      </w:pPr>
      <w:r>
        <w:separator/>
      </w:r>
    </w:p>
  </w:footnote>
  <w:footnote w:type="continuationSeparator" w:id="0">
    <w:p w14:paraId="16837F45" w14:textId="77777777" w:rsidR="00FC3915" w:rsidRDefault="00FC3915" w:rsidP="009F1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E0E3A"/>
    <w:multiLevelType w:val="hybridMultilevel"/>
    <w:tmpl w:val="D520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03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28"/>
    <w:rsid w:val="00020246"/>
    <w:rsid w:val="00020B2A"/>
    <w:rsid w:val="00022387"/>
    <w:rsid w:val="00040180"/>
    <w:rsid w:val="000434B5"/>
    <w:rsid w:val="00057929"/>
    <w:rsid w:val="000A1D06"/>
    <w:rsid w:val="000A3ADB"/>
    <w:rsid w:val="000A47DB"/>
    <w:rsid w:val="000D1D27"/>
    <w:rsid w:val="000E0442"/>
    <w:rsid w:val="001039A7"/>
    <w:rsid w:val="00121310"/>
    <w:rsid w:val="001406CA"/>
    <w:rsid w:val="00142E38"/>
    <w:rsid w:val="00156363"/>
    <w:rsid w:val="001628A8"/>
    <w:rsid w:val="00166B97"/>
    <w:rsid w:val="00172396"/>
    <w:rsid w:val="00172DF8"/>
    <w:rsid w:val="001B48CC"/>
    <w:rsid w:val="001C6209"/>
    <w:rsid w:val="001E059D"/>
    <w:rsid w:val="001E0F71"/>
    <w:rsid w:val="00211E69"/>
    <w:rsid w:val="00212EB9"/>
    <w:rsid w:val="00215B80"/>
    <w:rsid w:val="00216995"/>
    <w:rsid w:val="0022143B"/>
    <w:rsid w:val="00233693"/>
    <w:rsid w:val="00245805"/>
    <w:rsid w:val="002619A2"/>
    <w:rsid w:val="00261A07"/>
    <w:rsid w:val="0026561E"/>
    <w:rsid w:val="002735D2"/>
    <w:rsid w:val="002875BE"/>
    <w:rsid w:val="00293A53"/>
    <w:rsid w:val="00294CB1"/>
    <w:rsid w:val="00297814"/>
    <w:rsid w:val="002B4953"/>
    <w:rsid w:val="002D3055"/>
    <w:rsid w:val="002F00CA"/>
    <w:rsid w:val="002F0E33"/>
    <w:rsid w:val="00300D24"/>
    <w:rsid w:val="00322129"/>
    <w:rsid w:val="003249F3"/>
    <w:rsid w:val="00355BE6"/>
    <w:rsid w:val="00357231"/>
    <w:rsid w:val="00363980"/>
    <w:rsid w:val="003642D2"/>
    <w:rsid w:val="0037410F"/>
    <w:rsid w:val="0037532B"/>
    <w:rsid w:val="00380113"/>
    <w:rsid w:val="003C3B93"/>
    <w:rsid w:val="003F1F17"/>
    <w:rsid w:val="003F1F86"/>
    <w:rsid w:val="00420180"/>
    <w:rsid w:val="0042558D"/>
    <w:rsid w:val="0042677C"/>
    <w:rsid w:val="00437367"/>
    <w:rsid w:val="0044543A"/>
    <w:rsid w:val="00450173"/>
    <w:rsid w:val="00460E4E"/>
    <w:rsid w:val="00471AD1"/>
    <w:rsid w:val="004854F5"/>
    <w:rsid w:val="004D31C7"/>
    <w:rsid w:val="004D37D5"/>
    <w:rsid w:val="004D3B20"/>
    <w:rsid w:val="004D4CE4"/>
    <w:rsid w:val="004F1141"/>
    <w:rsid w:val="005432EC"/>
    <w:rsid w:val="005571DD"/>
    <w:rsid w:val="0055757C"/>
    <w:rsid w:val="00562B55"/>
    <w:rsid w:val="00564BA8"/>
    <w:rsid w:val="00580A0C"/>
    <w:rsid w:val="005824F7"/>
    <w:rsid w:val="00593D4E"/>
    <w:rsid w:val="00594256"/>
    <w:rsid w:val="00597DD0"/>
    <w:rsid w:val="005B3A7B"/>
    <w:rsid w:val="006208B7"/>
    <w:rsid w:val="00621D27"/>
    <w:rsid w:val="00625C3B"/>
    <w:rsid w:val="00643DC5"/>
    <w:rsid w:val="006761CC"/>
    <w:rsid w:val="00695872"/>
    <w:rsid w:val="006A51FE"/>
    <w:rsid w:val="006D67EF"/>
    <w:rsid w:val="006F1181"/>
    <w:rsid w:val="006F123A"/>
    <w:rsid w:val="006F4FB9"/>
    <w:rsid w:val="006F5F23"/>
    <w:rsid w:val="006F7CB3"/>
    <w:rsid w:val="0073142C"/>
    <w:rsid w:val="007333E6"/>
    <w:rsid w:val="0074340C"/>
    <w:rsid w:val="00747528"/>
    <w:rsid w:val="00751052"/>
    <w:rsid w:val="007538F7"/>
    <w:rsid w:val="00754B2A"/>
    <w:rsid w:val="007557B9"/>
    <w:rsid w:val="00766E9F"/>
    <w:rsid w:val="00766ED8"/>
    <w:rsid w:val="007968AA"/>
    <w:rsid w:val="007C017A"/>
    <w:rsid w:val="007D4AD8"/>
    <w:rsid w:val="007D6637"/>
    <w:rsid w:val="007E46C0"/>
    <w:rsid w:val="007E6029"/>
    <w:rsid w:val="007E76E4"/>
    <w:rsid w:val="007F1573"/>
    <w:rsid w:val="00821943"/>
    <w:rsid w:val="0082567D"/>
    <w:rsid w:val="00843FCD"/>
    <w:rsid w:val="008451EE"/>
    <w:rsid w:val="00872ED8"/>
    <w:rsid w:val="00880F67"/>
    <w:rsid w:val="00890F17"/>
    <w:rsid w:val="008A48B1"/>
    <w:rsid w:val="008B6EF1"/>
    <w:rsid w:val="008C4711"/>
    <w:rsid w:val="008F0685"/>
    <w:rsid w:val="00910DC3"/>
    <w:rsid w:val="00912D6E"/>
    <w:rsid w:val="00922F1C"/>
    <w:rsid w:val="00947332"/>
    <w:rsid w:val="0095485A"/>
    <w:rsid w:val="009626A7"/>
    <w:rsid w:val="009932BB"/>
    <w:rsid w:val="009A3CFA"/>
    <w:rsid w:val="009A3F57"/>
    <w:rsid w:val="009A77F3"/>
    <w:rsid w:val="009D327E"/>
    <w:rsid w:val="009F1538"/>
    <w:rsid w:val="009F4C19"/>
    <w:rsid w:val="00A07618"/>
    <w:rsid w:val="00A07787"/>
    <w:rsid w:val="00A10FF6"/>
    <w:rsid w:val="00A14F3C"/>
    <w:rsid w:val="00A15BEC"/>
    <w:rsid w:val="00A34642"/>
    <w:rsid w:val="00A4654C"/>
    <w:rsid w:val="00A47977"/>
    <w:rsid w:val="00A47AE7"/>
    <w:rsid w:val="00A547FB"/>
    <w:rsid w:val="00A6336D"/>
    <w:rsid w:val="00AB221C"/>
    <w:rsid w:val="00AB2739"/>
    <w:rsid w:val="00AB57D2"/>
    <w:rsid w:val="00AE4B6D"/>
    <w:rsid w:val="00B558F9"/>
    <w:rsid w:val="00B70550"/>
    <w:rsid w:val="00B71BA7"/>
    <w:rsid w:val="00B84CCA"/>
    <w:rsid w:val="00BB5658"/>
    <w:rsid w:val="00BC692B"/>
    <w:rsid w:val="00BE41E0"/>
    <w:rsid w:val="00BE68B9"/>
    <w:rsid w:val="00C002B9"/>
    <w:rsid w:val="00C17688"/>
    <w:rsid w:val="00C36C5E"/>
    <w:rsid w:val="00C441F7"/>
    <w:rsid w:val="00C44602"/>
    <w:rsid w:val="00C57EB3"/>
    <w:rsid w:val="00C941BE"/>
    <w:rsid w:val="00C9516A"/>
    <w:rsid w:val="00CB3F29"/>
    <w:rsid w:val="00CE0126"/>
    <w:rsid w:val="00CE14BD"/>
    <w:rsid w:val="00CE23EB"/>
    <w:rsid w:val="00CF1F5F"/>
    <w:rsid w:val="00CF6B81"/>
    <w:rsid w:val="00D24BB7"/>
    <w:rsid w:val="00D45CB1"/>
    <w:rsid w:val="00D526F4"/>
    <w:rsid w:val="00D647C5"/>
    <w:rsid w:val="00D66C87"/>
    <w:rsid w:val="00D924DD"/>
    <w:rsid w:val="00D97B1E"/>
    <w:rsid w:val="00DA3C14"/>
    <w:rsid w:val="00DD3122"/>
    <w:rsid w:val="00DD3195"/>
    <w:rsid w:val="00DD353C"/>
    <w:rsid w:val="00DD643C"/>
    <w:rsid w:val="00DF045C"/>
    <w:rsid w:val="00E22959"/>
    <w:rsid w:val="00E26FF6"/>
    <w:rsid w:val="00E330D5"/>
    <w:rsid w:val="00E375FF"/>
    <w:rsid w:val="00E37AFD"/>
    <w:rsid w:val="00E42E2F"/>
    <w:rsid w:val="00E43311"/>
    <w:rsid w:val="00E475D1"/>
    <w:rsid w:val="00E54A0D"/>
    <w:rsid w:val="00E96470"/>
    <w:rsid w:val="00EA3EDF"/>
    <w:rsid w:val="00EC3424"/>
    <w:rsid w:val="00EE4F08"/>
    <w:rsid w:val="00F003D3"/>
    <w:rsid w:val="00F23F28"/>
    <w:rsid w:val="00F31FA6"/>
    <w:rsid w:val="00F3478F"/>
    <w:rsid w:val="00F60C61"/>
    <w:rsid w:val="00F71798"/>
    <w:rsid w:val="00F906AB"/>
    <w:rsid w:val="00FC2CB1"/>
    <w:rsid w:val="00FC3915"/>
    <w:rsid w:val="0454FF4F"/>
    <w:rsid w:val="0F8E19AF"/>
    <w:rsid w:val="100B91F0"/>
    <w:rsid w:val="11A1AB08"/>
    <w:rsid w:val="11BE7B7F"/>
    <w:rsid w:val="12862FD1"/>
    <w:rsid w:val="18835999"/>
    <w:rsid w:val="1F286EB7"/>
    <w:rsid w:val="211B5ABC"/>
    <w:rsid w:val="2222E768"/>
    <w:rsid w:val="22576C7A"/>
    <w:rsid w:val="27D3EFE2"/>
    <w:rsid w:val="27E2DC34"/>
    <w:rsid w:val="2B5493C5"/>
    <w:rsid w:val="2F4A1E56"/>
    <w:rsid w:val="2F5E0DA1"/>
    <w:rsid w:val="33672508"/>
    <w:rsid w:val="3B69C320"/>
    <w:rsid w:val="3D6C67CB"/>
    <w:rsid w:val="3EDC1153"/>
    <w:rsid w:val="40572807"/>
    <w:rsid w:val="40D38D66"/>
    <w:rsid w:val="42070765"/>
    <w:rsid w:val="4322A355"/>
    <w:rsid w:val="517165A7"/>
    <w:rsid w:val="52354B8F"/>
    <w:rsid w:val="53B70E15"/>
    <w:rsid w:val="58C10BA2"/>
    <w:rsid w:val="59319306"/>
    <w:rsid w:val="596AFA35"/>
    <w:rsid w:val="61C8763D"/>
    <w:rsid w:val="625639C6"/>
    <w:rsid w:val="64DF578F"/>
    <w:rsid w:val="69F23A10"/>
    <w:rsid w:val="6B6991FE"/>
    <w:rsid w:val="6D5A616B"/>
    <w:rsid w:val="6EC61FA2"/>
    <w:rsid w:val="6F1EB398"/>
    <w:rsid w:val="6FDE8EB3"/>
    <w:rsid w:val="70972EE8"/>
    <w:rsid w:val="750DA7B3"/>
    <w:rsid w:val="75E9C6B8"/>
    <w:rsid w:val="7856FBEA"/>
    <w:rsid w:val="796EBA94"/>
    <w:rsid w:val="7BBC2E0D"/>
    <w:rsid w:val="7C14C735"/>
    <w:rsid w:val="7D1621FA"/>
    <w:rsid w:val="7E908E85"/>
    <w:rsid w:val="7F19B30A"/>
    <w:rsid w:val="7FF49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A691"/>
  <w15:chartTrackingRefBased/>
  <w15:docId w15:val="{7FFE7E91-2C0C-4378-81D5-EA7F1F79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F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3F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F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06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38"/>
  </w:style>
  <w:style w:type="paragraph" w:styleId="Footer">
    <w:name w:val="footer"/>
    <w:basedOn w:val="Normal"/>
    <w:link w:val="FooterChar"/>
    <w:uiPriority w:val="99"/>
    <w:unhideWhenUsed/>
    <w:rsid w:val="009F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3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F0E33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E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@masshealthlts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hrome-extension://efaidnbmnnnibpcajpcglclefindmkaj/https:/www.mass.gov/doc/personal-care-attendant-bulletin-17-primary-care-provider-summary-form-requirement-for-personal-care-attendant-complex-care-0/download?_ga=2.128292812.1574679587.1763389064-1274438865.1732645309&amp;_gl=1*jfe3y1*_ga*MTI3NDQzODg2NS4xNzMyNjQ1MzA5*_ga_MCLPEGW7WM*czE3NjM1ODMwNzkkbzgwJGcxJHQxNzYzNTg0MTM2JGo2MCRsMCRoMA..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mailto:karen.powell@mass.gov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ren.powell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db8b0-c47e-4c3c-846a-2bf99d413b35" xsi:nil="true"/>
    <lcf76f155ced4ddcb4097134ff3c332f xmlns="6f41c3f9-0ddd-4792-9cc5-2aa494f8de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7" ma:contentTypeDescription="Create a new document." ma:contentTypeScope="" ma:versionID="2cd37cd0277d035689890bb965157bad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78ade1020505035781494c70393c35c9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961663-b285-44cd-86fc-0e6dc0c5b510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24896-A39C-4828-8A1E-53705903C483}">
  <ds:schemaRefs>
    <ds:schemaRef ds:uri="http://schemas.microsoft.com/office/2006/metadata/properties"/>
    <ds:schemaRef ds:uri="http://schemas.microsoft.com/office/infopath/2007/PartnerControls"/>
    <ds:schemaRef ds:uri="3efdb8b0-c47e-4c3c-846a-2bf99d413b35"/>
    <ds:schemaRef ds:uri="6f41c3f9-0ddd-4792-9cc5-2aa494f8de60"/>
  </ds:schemaRefs>
</ds:datastoreItem>
</file>

<file path=customXml/itemProps2.xml><?xml version="1.0" encoding="utf-8"?>
<ds:datastoreItem xmlns:ds="http://schemas.openxmlformats.org/officeDocument/2006/customXml" ds:itemID="{E26DF11F-FEB6-4908-9A1E-130AEF13F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DA7D3-F8DB-45A4-822D-7C482C038A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1930</Words>
  <Characters>11001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12906</CharactersWithSpaces>
  <SharedDoc>false</SharedDoc>
  <HLinks>
    <vt:vector size="30" baseType="variant">
      <vt:variant>
        <vt:i4>3997785</vt:i4>
      </vt:variant>
      <vt:variant>
        <vt:i4>12</vt:i4>
      </vt:variant>
      <vt:variant>
        <vt:i4>0</vt:i4>
      </vt:variant>
      <vt:variant>
        <vt:i4>5</vt:i4>
      </vt:variant>
      <vt:variant>
        <vt:lpwstr>mailto:karen.powell@mass.gov</vt:lpwstr>
      </vt:variant>
      <vt:variant>
        <vt:lpwstr/>
      </vt:variant>
      <vt:variant>
        <vt:i4>3997785</vt:i4>
      </vt:variant>
      <vt:variant>
        <vt:i4>9</vt:i4>
      </vt:variant>
      <vt:variant>
        <vt:i4>0</vt:i4>
      </vt:variant>
      <vt:variant>
        <vt:i4>5</vt:i4>
      </vt:variant>
      <vt:variant>
        <vt:lpwstr>mailto:karen.powell@mass.gov</vt:lpwstr>
      </vt:variant>
      <vt:variant>
        <vt:lpwstr/>
      </vt:variant>
      <vt:variant>
        <vt:i4>4653162</vt:i4>
      </vt:variant>
      <vt:variant>
        <vt:i4>6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4522035</vt:i4>
      </vt:variant>
      <vt:variant>
        <vt:i4>3</vt:i4>
      </vt:variant>
      <vt:variant>
        <vt:i4>0</vt:i4>
      </vt:variant>
      <vt:variant>
        <vt:i4>5</vt:i4>
      </vt:variant>
      <vt:variant>
        <vt:lpwstr>chrome-extension://efaidnbmnnnibpcajpcglclefindmkaj/https:/www.mass.gov/doc/personal-care-attendant-bulletin-17-primary-care-provider-summary-form-requirement-for-personal-care-attendant-complex-care-0/download?_ga=2.128292812.1574679587.1763389064-1274438865.1732645309&amp;_gl=1*jfe3y1*_ga*MTI3NDQzODg2NS4xNzMyNjQ1MzA5*_ga_MCLPEGW7WM*czE3NjM1ODMwNzkkbzgwJGcxJHQxNzYzNTg0MTM2JGo2MCRsMCRoMA..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Langlois, Allison M (EHS)</dc:creator>
  <cp:keywords/>
  <dc:description/>
  <cp:lastModifiedBy>Lam, Vivian (EHS)</cp:lastModifiedBy>
  <cp:revision>2</cp:revision>
  <dcterms:created xsi:type="dcterms:W3CDTF">2026-01-13T19:03:00Z</dcterms:created>
  <dcterms:modified xsi:type="dcterms:W3CDTF">2026-01-13T19:03:00Z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