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87" w:rsidRDefault="00753AC6" w:rsidP="00673F87">
      <w:pPr>
        <w:pStyle w:val="NormalWeb"/>
        <w:spacing w:before="2" w:after="2"/>
        <w:rPr>
          <w:rFonts w:ascii="TimesNewRomanPS" w:hAnsi="TimesNewRomanPS"/>
          <w:b/>
          <w:bCs/>
          <w:sz w:val="32"/>
          <w:szCs w:val="32"/>
        </w:rPr>
      </w:pPr>
      <w:r>
        <w:rPr>
          <w:rFonts w:ascii="TimesNewRomanPS" w:hAnsi="TimesNewRomanPS"/>
          <w:b/>
          <w:bCs/>
          <w:noProof/>
          <w:sz w:val="32"/>
          <w:szCs w:val="32"/>
        </w:rPr>
        <w:pict>
          <v:line id="_x0000_s1026" style="position:absolute;z-index:251658240;mso-wrap-edited:f" from="0,0" to="468pt,0" wrapcoords="-69 -2147483648 -69 -2147483648 21738 -2147483648 21773 -2147483648 21669 -2147483648 -69 -2147483648" strokecolor="black [3213]" strokeweight="1pt">
            <v:fill o:detectmouseclick="t"/>
            <v:shadow on="t" opacity="22938f" offset="0"/>
            <w10:wrap type="tight"/>
          </v:line>
        </w:pict>
      </w:r>
      <w:r w:rsidR="00673F87">
        <w:rPr>
          <w:rFonts w:ascii="TimesNewRomanPS" w:hAnsi="TimesNewRomanPS"/>
          <w:b/>
          <w:bCs/>
          <w:sz w:val="32"/>
          <w:szCs w:val="32"/>
        </w:rPr>
        <w:t xml:space="preserve">Standards for Mathematical Practice </w:t>
      </w:r>
    </w:p>
    <w:p w:rsidR="00673F87" w:rsidRDefault="00753AC6" w:rsidP="00673F87">
      <w:pPr>
        <w:pStyle w:val="NormalWeb"/>
        <w:spacing w:before="2" w:after="2"/>
        <w:rPr>
          <w:rFonts w:ascii="TimesNewRomanPS" w:hAnsi="TimesNewRomanPS"/>
          <w:b/>
          <w:bCs/>
          <w:sz w:val="32"/>
          <w:szCs w:val="32"/>
        </w:rPr>
      </w:pPr>
      <w:r>
        <w:rPr>
          <w:rFonts w:ascii="TimesNewRomanPS" w:hAnsi="TimesNewRomanPS"/>
          <w:b/>
          <w:bCs/>
          <w:noProof/>
          <w:sz w:val="32"/>
          <w:szCs w:val="32"/>
        </w:rPr>
        <w:pict>
          <v:line id="_x0000_s1027" style="position:absolute;z-index:251659264;mso-wrap-edited:f" from="0,16.2pt" to="468pt,16.2pt" wrapcoords="-69 -2147483648 -69 -2147483648 21738 -2147483648 21773 -2147483648 21669 -2147483648 -69 -2147483648" strokecolor="black [3213]" strokeweight="1pt">
            <v:fill o:detectmouseclick="t"/>
            <v:shadow on="t" opacity="22938f" offset="0"/>
            <w10:wrap type="tight"/>
          </v:line>
        </w:pic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Adding It Up: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1 </w:t>
      </w:r>
      <w:r w:rsidR="007C1B87">
        <w:rPr>
          <w:rFonts w:ascii="TimesNewRomanPS" w:hAnsi="TimesNewRomanPS"/>
          <w:b/>
          <w:bCs/>
          <w:sz w:val="24"/>
          <w:szCs w:val="24"/>
        </w:rPr>
        <w:t xml:space="preserve">   </w:t>
      </w:r>
      <w:r>
        <w:rPr>
          <w:rFonts w:ascii="TimesNewRomanPS" w:hAnsi="TimesNewRomanPS"/>
          <w:b/>
          <w:bCs/>
          <w:sz w:val="24"/>
          <w:szCs w:val="24"/>
        </w:rPr>
        <w:t xml:space="preserve">Make sense of problems and persevere in solving them. </w: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2 </w:t>
      </w:r>
      <w:r w:rsidR="007C1B87">
        <w:rPr>
          <w:rFonts w:ascii="TimesNewRomanPS" w:hAnsi="TimesNewRomanPS"/>
          <w:b/>
          <w:bCs/>
          <w:sz w:val="24"/>
          <w:szCs w:val="24"/>
        </w:rPr>
        <w:t xml:space="preserve">   </w:t>
      </w:r>
      <w:r>
        <w:rPr>
          <w:rFonts w:ascii="TimesNewRomanPS" w:hAnsi="TimesNewRomanPS"/>
          <w:b/>
          <w:bCs/>
          <w:sz w:val="24"/>
          <w:szCs w:val="24"/>
        </w:rPr>
        <w:t xml:space="preserve">Reason abstractly and quantitatively. </w: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3 </w:t>
      </w:r>
      <w:r w:rsidR="007C1B87">
        <w:rPr>
          <w:rFonts w:ascii="TimesNewRomanPS" w:hAnsi="TimesNewRomanPS"/>
          <w:b/>
          <w:bCs/>
          <w:sz w:val="24"/>
          <w:szCs w:val="24"/>
        </w:rPr>
        <w:t xml:space="preserve">   </w:t>
      </w:r>
      <w:r>
        <w:rPr>
          <w:rFonts w:ascii="TimesNewRomanPS" w:hAnsi="TimesNewRomanPS"/>
          <w:b/>
          <w:bCs/>
          <w:sz w:val="24"/>
          <w:szCs w:val="24"/>
        </w:rPr>
        <w:t xml:space="preserve">Construct viable arguments and critique the reasoning of others. </w:t>
      </w:r>
    </w:p>
    <w:p w:rsidR="00673F87" w:rsidRDefault="00673F87" w:rsidP="00673F87">
      <w:pPr>
        <w:pStyle w:val="NormalWeb"/>
        <w:spacing w:before="2" w:after="2"/>
      </w:pPr>
      <w:r>
        <w:rPr>
          <w:rFonts w:ascii="Times New Roman" w:hAnsi="Times New Roman"/>
          <w:sz w:val="22"/>
          <w:szCs w:val="22"/>
        </w:rP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w:t>
      </w:r>
    </w:p>
    <w:p w:rsidR="007C1B87" w:rsidRDefault="007C1B87" w:rsidP="00673F87">
      <w:pPr>
        <w:pStyle w:val="NormalWeb"/>
        <w:spacing w:before="2" w:after="2"/>
        <w:rPr>
          <w:rFonts w:ascii="Times New Roman" w:hAnsi="Times New Roman"/>
          <w:sz w:val="18"/>
          <w:szCs w:val="18"/>
        </w:rPr>
      </w:pP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lastRenderedPageBreak/>
        <w:t xml:space="preserve">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4 </w:t>
      </w:r>
      <w:r w:rsidR="007C1B87">
        <w:rPr>
          <w:rFonts w:ascii="TimesNewRomanPS" w:hAnsi="TimesNewRomanPS"/>
          <w:b/>
          <w:bCs/>
          <w:sz w:val="24"/>
          <w:szCs w:val="24"/>
        </w:rPr>
        <w:t xml:space="preserve">   </w:t>
      </w:r>
      <w:r>
        <w:rPr>
          <w:rFonts w:ascii="TimesNewRomanPS" w:hAnsi="TimesNewRomanPS"/>
          <w:b/>
          <w:bCs/>
          <w:sz w:val="24"/>
          <w:szCs w:val="24"/>
        </w:rPr>
        <w:t xml:space="preserve">Model with mathematics. </w: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5 </w:t>
      </w:r>
      <w:r w:rsidR="007C1B87">
        <w:rPr>
          <w:rFonts w:ascii="TimesNewRomanPS" w:hAnsi="TimesNewRomanPS"/>
          <w:b/>
          <w:bCs/>
          <w:sz w:val="24"/>
          <w:szCs w:val="24"/>
        </w:rPr>
        <w:t xml:space="preserve">   </w:t>
      </w:r>
      <w:r>
        <w:rPr>
          <w:rFonts w:ascii="TimesNewRomanPS" w:hAnsi="TimesNewRomanPS"/>
          <w:b/>
          <w:bCs/>
          <w:sz w:val="24"/>
          <w:szCs w:val="24"/>
        </w:rPr>
        <w:t xml:space="preserve">Use appropriate tools strategically. </w: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6 </w:t>
      </w:r>
      <w:r w:rsidR="007C1B87">
        <w:rPr>
          <w:rFonts w:ascii="TimesNewRomanPS" w:hAnsi="TimesNewRomanPS"/>
          <w:b/>
          <w:bCs/>
          <w:sz w:val="24"/>
          <w:szCs w:val="24"/>
        </w:rPr>
        <w:t xml:space="preserve">   </w:t>
      </w:r>
      <w:r>
        <w:rPr>
          <w:rFonts w:ascii="TimesNewRomanPS" w:hAnsi="TimesNewRomanPS"/>
          <w:b/>
          <w:bCs/>
          <w:sz w:val="24"/>
          <w:szCs w:val="24"/>
        </w:rPr>
        <w:t xml:space="preserve">Attend to precision. </w:t>
      </w:r>
    </w:p>
    <w:p w:rsidR="007C1B87"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7C1B87" w:rsidRDefault="007C1B87" w:rsidP="00673F87">
      <w:pPr>
        <w:pStyle w:val="NormalWeb"/>
        <w:spacing w:before="2" w:after="2"/>
        <w:rPr>
          <w:rFonts w:ascii="TimesNewRomanPS" w:hAnsi="TimesNewRomanPS"/>
          <w:b/>
          <w:bCs/>
          <w:sz w:val="24"/>
          <w:szCs w:val="24"/>
        </w:rPr>
      </w:pPr>
    </w:p>
    <w:p w:rsidR="00962CDC" w:rsidRDefault="00962CDC" w:rsidP="007C1B87">
      <w:pPr>
        <w:pStyle w:val="NormalWeb"/>
        <w:spacing w:before="2" w:after="2"/>
        <w:rPr>
          <w:rFonts w:ascii="TimesNewRomanPS" w:hAnsi="TimesNewRomanPS"/>
          <w:b/>
          <w:bCs/>
          <w:sz w:val="24"/>
          <w:szCs w:val="24"/>
        </w:rPr>
      </w:pPr>
    </w:p>
    <w:p w:rsidR="00962CDC" w:rsidRDefault="00962CDC" w:rsidP="007C1B87">
      <w:pPr>
        <w:pStyle w:val="NormalWeb"/>
        <w:spacing w:before="2" w:after="2"/>
        <w:rPr>
          <w:rFonts w:ascii="TimesNewRomanPS" w:hAnsi="TimesNewRomanPS"/>
          <w:b/>
          <w:bCs/>
          <w:sz w:val="24"/>
          <w:szCs w:val="24"/>
        </w:rPr>
      </w:pPr>
    </w:p>
    <w:p w:rsidR="00673F87" w:rsidRDefault="00673F87" w:rsidP="007C1B87">
      <w:pPr>
        <w:pStyle w:val="NormalWeb"/>
        <w:spacing w:before="2" w:after="2"/>
      </w:pPr>
      <w:r>
        <w:rPr>
          <w:rFonts w:ascii="TimesNewRomanPS" w:hAnsi="TimesNewRomanPS"/>
          <w:b/>
          <w:bCs/>
          <w:sz w:val="24"/>
          <w:szCs w:val="24"/>
        </w:rPr>
        <w:lastRenderedPageBreak/>
        <w:t xml:space="preserve">7 </w:t>
      </w:r>
      <w:r w:rsidR="007C1B87">
        <w:rPr>
          <w:rFonts w:ascii="TimesNewRomanPS" w:hAnsi="TimesNewRomanPS"/>
          <w:b/>
          <w:bCs/>
          <w:sz w:val="24"/>
          <w:szCs w:val="24"/>
        </w:rPr>
        <w:t xml:space="preserve">   </w:t>
      </w:r>
      <w:r>
        <w:rPr>
          <w:rFonts w:ascii="TimesNewRomanPS" w:hAnsi="TimesNewRomanPS"/>
          <w:b/>
          <w:bCs/>
          <w:sz w:val="24"/>
          <w:szCs w:val="24"/>
        </w:rPr>
        <w:t xml:space="preserve">Look for and make use of structure. </w: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r w:rsidR="00983545">
        <w:rPr>
          <w:rFonts w:ascii="Times New Roman" w:hAnsi="Times New Roman"/>
          <w:sz w:val="22"/>
          <w:szCs w:val="22"/>
        </w:rPr>
        <w:t>well-remembered</w:t>
      </w:r>
      <w:r>
        <w:rPr>
          <w:rFonts w:ascii="Times New Roman" w:hAnsi="Times New Roman"/>
          <w:sz w:val="22"/>
          <w:szCs w:val="22"/>
        </w:rPr>
        <w:t xml:space="preserve"> 7 × 5 + 7 × 3, in preparation for learning about the distributive property. In the expression x2 + 9x + 14,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y)2 as 5 minus a positive number times a square and use that to realize that its value cannot be more than 5 for any real numbers x and y. </w:t>
      </w:r>
    </w:p>
    <w:p w:rsidR="00673F87" w:rsidRDefault="00673F87" w:rsidP="00673F87">
      <w:pPr>
        <w:pStyle w:val="NormalWeb"/>
        <w:spacing w:before="2" w:after="2"/>
      </w:pPr>
    </w:p>
    <w:p w:rsidR="00673F87" w:rsidRDefault="00673F87" w:rsidP="00673F87">
      <w:pPr>
        <w:pStyle w:val="NormalWeb"/>
        <w:spacing w:before="2" w:after="2"/>
      </w:pPr>
      <w:r>
        <w:rPr>
          <w:rFonts w:ascii="TimesNewRomanPS" w:hAnsi="TimesNewRomanPS"/>
          <w:b/>
          <w:bCs/>
          <w:sz w:val="24"/>
          <w:szCs w:val="24"/>
        </w:rPr>
        <w:t xml:space="preserve">8 </w:t>
      </w:r>
      <w:r w:rsidR="007C1B87">
        <w:rPr>
          <w:rFonts w:ascii="TimesNewRomanPS" w:hAnsi="TimesNewRomanPS"/>
          <w:b/>
          <w:bCs/>
          <w:sz w:val="24"/>
          <w:szCs w:val="24"/>
        </w:rPr>
        <w:t xml:space="preserve">   </w:t>
      </w:r>
      <w:r>
        <w:rPr>
          <w:rFonts w:ascii="TimesNewRomanPS" w:hAnsi="TimesNewRomanPS"/>
          <w:b/>
          <w:bCs/>
          <w:sz w:val="24"/>
          <w:szCs w:val="24"/>
        </w:rPr>
        <w:t xml:space="preserve">Look for and express regularity in repeated reasoning. </w:t>
      </w:r>
    </w:p>
    <w:p w:rsidR="00673F87" w:rsidRDefault="00673F87" w:rsidP="00673F87">
      <w:pPr>
        <w:pStyle w:val="NormalWeb"/>
        <w:spacing w:before="2" w:after="2"/>
      </w:pPr>
      <w:r>
        <w:rPr>
          <w:rFonts w:ascii="Times New Roman" w:hAnsi="Times New Roman"/>
          <w:sz w:val="22"/>
          <w:szCs w:val="22"/>
        </w:rPr>
        <w:t>Mathematically proficient students notice if calculations are repeate</w:t>
      </w:r>
      <w:bookmarkStart w:id="0" w:name="_GoBack"/>
      <w:bookmarkEnd w:id="0"/>
      <w:r>
        <w:rPr>
          <w:rFonts w:ascii="Times New Roman" w:hAnsi="Times New Roman"/>
          <w:sz w:val="22"/>
          <w:szCs w:val="22"/>
        </w:rPr>
        <w:t xml:space="preserv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p>
    <w:p w:rsid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(y – 2)/(x – 1) = 3. Noticing the regularity in the way terms cancel when expanding (x – 1</w:t>
      </w:r>
      <w:proofErr w:type="gramStart"/>
      <w:r>
        <w:rPr>
          <w:rFonts w:ascii="Times New Roman" w:hAnsi="Times New Roman"/>
          <w:sz w:val="22"/>
          <w:szCs w:val="22"/>
        </w:rPr>
        <w:t>)(</w:t>
      </w:r>
      <w:proofErr w:type="gramEnd"/>
      <w:r>
        <w:rPr>
          <w:rFonts w:ascii="Times New Roman" w:hAnsi="Times New Roman"/>
          <w:sz w:val="22"/>
          <w:szCs w:val="22"/>
        </w:rPr>
        <w:t>x + 1),(x–1)(x2+x+1),and(x–1)(x3 +x2+x+1)</w:t>
      </w:r>
      <w:r w:rsidR="007C1B87">
        <w:rPr>
          <w:rFonts w:ascii="Times New Roman" w:hAnsi="Times New Roman"/>
          <w:sz w:val="22"/>
          <w:szCs w:val="22"/>
        </w:rPr>
        <w:t xml:space="preserve"> </w:t>
      </w:r>
      <w:r>
        <w:rPr>
          <w:rFonts w:ascii="Times New Roman" w:hAnsi="Times New Roman"/>
          <w:sz w:val="22"/>
          <w:szCs w:val="22"/>
        </w:rPr>
        <w:t>might</w:t>
      </w:r>
      <w:r w:rsidR="007C1B87">
        <w:rPr>
          <w:rFonts w:ascii="Times New Roman" w:hAnsi="Times New Roman"/>
          <w:sz w:val="22"/>
          <w:szCs w:val="22"/>
        </w:rPr>
        <w:t xml:space="preserve"> </w:t>
      </w:r>
      <w:r>
        <w:rPr>
          <w:rFonts w:ascii="Times New Roman" w:hAnsi="Times New Roman"/>
          <w:sz w:val="22"/>
          <w:szCs w:val="22"/>
        </w:rPr>
        <w:t>lead</w:t>
      </w:r>
      <w:r w:rsidR="007C1B87">
        <w:rPr>
          <w:rFonts w:ascii="Times New Roman" w:hAnsi="Times New Roman"/>
          <w:sz w:val="22"/>
          <w:szCs w:val="22"/>
        </w:rPr>
        <w:t xml:space="preserve"> </w:t>
      </w:r>
      <w:r>
        <w:rPr>
          <w:rFonts w:ascii="Times New Roman" w:hAnsi="Times New Roman"/>
          <w:sz w:val="22"/>
          <w:szCs w:val="22"/>
        </w:rPr>
        <w:t>them</w:t>
      </w:r>
      <w:r w:rsidR="007C1B87">
        <w:rPr>
          <w:rFonts w:ascii="Times New Roman" w:hAnsi="Times New Roman"/>
          <w:sz w:val="22"/>
          <w:szCs w:val="22"/>
        </w:rPr>
        <w:t xml:space="preserve"> </w:t>
      </w:r>
      <w:r>
        <w:rPr>
          <w:rFonts w:ascii="Times New Roman" w:hAnsi="Times New Roman"/>
          <w:sz w:val="22"/>
          <w:szCs w:val="22"/>
        </w:rPr>
        <w:t>to</w:t>
      </w:r>
      <w:r w:rsidR="007C1B87">
        <w:rPr>
          <w:rFonts w:ascii="Times New Roman" w:hAnsi="Times New Roman"/>
          <w:sz w:val="22"/>
          <w:szCs w:val="22"/>
        </w:rPr>
        <w:t xml:space="preserve"> </w:t>
      </w:r>
      <w:r>
        <w:rPr>
          <w:rFonts w:ascii="Times New Roman" w:hAnsi="Times New Roman"/>
          <w:sz w:val="22"/>
          <w:szCs w:val="22"/>
        </w:rPr>
        <w:t>the</w:t>
      </w:r>
      <w:r w:rsidR="007C1B87">
        <w:rPr>
          <w:rFonts w:ascii="Times New Roman" w:hAnsi="Times New Roman"/>
          <w:sz w:val="22"/>
          <w:szCs w:val="22"/>
        </w:rPr>
        <w:t xml:space="preserve"> </w:t>
      </w:r>
      <w:r>
        <w:rPr>
          <w:rFonts w:ascii="Times New Roman" w:hAnsi="Times New Roman"/>
          <w:sz w:val="22"/>
          <w:szCs w:val="22"/>
        </w:rPr>
        <w:t>general</w:t>
      </w:r>
      <w:r w:rsidR="007C1B87">
        <w:rPr>
          <w:rFonts w:ascii="Times New Roman" w:hAnsi="Times New Roman"/>
          <w:sz w:val="22"/>
          <w:szCs w:val="22"/>
        </w:rPr>
        <w:t xml:space="preserve"> </w:t>
      </w:r>
      <w:r>
        <w:rPr>
          <w:rFonts w:ascii="Times New Roman" w:hAnsi="Times New Roman"/>
          <w:sz w:val="22"/>
          <w:szCs w:val="22"/>
        </w:rPr>
        <w:t>formula</w:t>
      </w:r>
      <w:r w:rsidR="007C1B87">
        <w:rPr>
          <w:rFonts w:ascii="Times New Roman" w:hAnsi="Times New Roman"/>
          <w:sz w:val="22"/>
          <w:szCs w:val="22"/>
        </w:rPr>
        <w:t xml:space="preserve"> </w:t>
      </w:r>
      <w:r>
        <w:rPr>
          <w:rFonts w:ascii="Times New Roman" w:hAnsi="Times New Roman"/>
          <w:sz w:val="22"/>
          <w:szCs w:val="22"/>
        </w:rPr>
        <w:t>for</w:t>
      </w:r>
      <w:r w:rsidR="007C1B87">
        <w:rPr>
          <w:rFonts w:ascii="Times New Roman" w:hAnsi="Times New Roman"/>
          <w:sz w:val="22"/>
          <w:szCs w:val="22"/>
        </w:rPr>
        <w:t xml:space="preserve"> </w:t>
      </w:r>
      <w:r>
        <w:rPr>
          <w:rFonts w:ascii="Times New Roman" w:hAnsi="Times New Roman"/>
          <w:sz w:val="22"/>
          <w:szCs w:val="22"/>
        </w:rPr>
        <w:t xml:space="preserve">the sum of a geometric series. As they work to solve a problem, mathematically proficient students maintain oversight of the process, while attending to the details. They continually evaluate the reasonableness of their intermediate results. </w:t>
      </w:r>
    </w:p>
    <w:p w:rsidR="00673F87" w:rsidRDefault="00673F87" w:rsidP="00673F87">
      <w:pPr>
        <w:pStyle w:val="NormalWeb"/>
        <w:spacing w:before="2" w:after="2"/>
      </w:pPr>
    </w:p>
    <w:p w:rsidR="00673F87" w:rsidRDefault="00673F87" w:rsidP="00962CDC">
      <w:pPr>
        <w:pStyle w:val="NormalWeb"/>
        <w:spacing w:before="2" w:after="2"/>
      </w:pPr>
      <w:r>
        <w:rPr>
          <w:rFonts w:ascii="TimesNewRomanPS" w:hAnsi="TimesNewRomanPS"/>
          <w:b/>
          <w:bCs/>
          <w:sz w:val="24"/>
          <w:szCs w:val="24"/>
        </w:rPr>
        <w:t>Connecting the Standards for Mathematical Practice to the Standards for</w:t>
      </w:r>
      <w:r w:rsidR="00962CDC">
        <w:rPr>
          <w:rFonts w:ascii="TimesNewRomanPS" w:hAnsi="TimesNewRomanPS"/>
          <w:b/>
          <w:bCs/>
          <w:sz w:val="24"/>
          <w:szCs w:val="24"/>
        </w:rPr>
        <w:t xml:space="preserve"> </w:t>
      </w:r>
      <w:r>
        <w:rPr>
          <w:rFonts w:ascii="TimesNewRomanPS" w:hAnsi="TimesNewRomanPS"/>
          <w:b/>
          <w:bCs/>
          <w:sz w:val="24"/>
          <w:szCs w:val="24"/>
        </w:rPr>
        <w:t xml:space="preserve">Mathematical Content </w:t>
      </w:r>
    </w:p>
    <w:p w:rsidR="00673F87" w:rsidRDefault="00673F87" w:rsidP="00673F87">
      <w:pPr>
        <w:pStyle w:val="NormalWeb"/>
        <w:spacing w:before="2" w:after="2"/>
      </w:pPr>
      <w:r>
        <w:rPr>
          <w:rFonts w:ascii="Times New Roman" w:hAnsi="Times New Roman"/>
          <w:sz w:val="22"/>
          <w:szCs w:val="22"/>
        </w:rPr>
        <w:t xml:space="preserve">The Standards for Mathematical Practice describe ways in which developing student practitioners of the discipline of mathematics increasingly ought to engage with the subject matter as they grow in mathematical maturity and expertise throughout the elementary, middle and high school years. Designers of curricula, assessments, and professional development should all attend to the need to connect the mathematical practices to mathematical content in mathematics instruction. </w:t>
      </w:r>
    </w:p>
    <w:p w:rsidR="00673F87" w:rsidRDefault="00673F87" w:rsidP="00673F87">
      <w:pPr>
        <w:pStyle w:val="NormalWeb"/>
        <w:spacing w:before="2" w:after="2"/>
      </w:pPr>
      <w:r>
        <w:rPr>
          <w:rFonts w:ascii="Times New Roman" w:hAnsi="Times New Roman"/>
          <w:sz w:val="22"/>
          <w:szCs w:val="22"/>
        </w:rPr>
        <w:t xml:space="preserve">The Standards for Mathematical Content are a balanced combination of procedure and understanding. Expectations that begin with the word “understand” are often especially good opportunities to connect the practices to the content. Students who lack understanding of a topic may rely on procedures too heavily. Without a flexible base from which to work, they may be less likely to consider analogous problems, represent problems coherently, justify conclusions, apply the mathematics to practical situations, use technology mindfully to work with the mathematics, explain the mathematics accurately to other students, step back for an overview, or deviate from a known procedure to find a shortcut. In short, a lack of understanding effectively prevents a student from engaging in the mathematical practices. </w:t>
      </w:r>
    </w:p>
    <w:p w:rsidR="00673F87" w:rsidRPr="00962CDC" w:rsidRDefault="00673F87" w:rsidP="00673F87">
      <w:pPr>
        <w:pStyle w:val="NormalWeb"/>
        <w:spacing w:before="2" w:after="2"/>
        <w:rPr>
          <w:rFonts w:ascii="Times New Roman" w:hAnsi="Times New Roman"/>
          <w:sz w:val="22"/>
          <w:szCs w:val="22"/>
        </w:rPr>
      </w:pPr>
      <w:r>
        <w:rPr>
          <w:rFonts w:ascii="Times New Roman" w:hAnsi="Times New Roman"/>
          <w:sz w:val="22"/>
          <w:szCs w:val="22"/>
        </w:rPr>
        <w:t>In this respect, those content standards which set an expectation of understanding are potential “points of intersection” between the Standards for Mathematical Content and the Standards for Mathematical Practice. These points of intersection are intended to be weighted toward central and generative concepts in the school mathematics curriculum that most merit the time, resources, innovative energies, and focus necessary to qualitatively improve the curriculum, instruction, assessment, professional development, and student achievement in mathematics.</w:t>
      </w:r>
    </w:p>
    <w:sectPr w:rsidR="00673F87" w:rsidRPr="00962CDC" w:rsidSect="00673F8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6C" w:rsidRDefault="00DF046C">
      <w:pPr>
        <w:spacing w:after="0"/>
      </w:pPr>
      <w:r>
        <w:separator/>
      </w:r>
    </w:p>
  </w:endnote>
  <w:endnote w:type="continuationSeparator" w:id="0">
    <w:p w:rsidR="00DF046C" w:rsidRDefault="00DF04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DC" w:rsidRDefault="00962CDC" w:rsidP="00962CDC">
    <w:pPr>
      <w:pStyle w:val="Footer"/>
      <w:tabs>
        <w:tab w:val="clear" w:pos="8640"/>
        <w:tab w:val="right" w:pos="9360"/>
      </w:tabs>
    </w:pPr>
    <w:r>
      <w:rPr>
        <w:rFonts w:ascii="Times New Roman" w:hAnsi="Times New Roman"/>
        <w:sz w:val="18"/>
        <w:szCs w:val="18"/>
      </w:rPr>
      <w:t>2011 Massachusetts Curriculum Framework for Mathematics Pages 16-18</w:t>
    </w:r>
    <w:r>
      <w:rPr>
        <w:rFonts w:ascii="Times New Roman" w:hAnsi="Times New Roman"/>
        <w:sz w:val="18"/>
        <w:szCs w:val="18"/>
      </w:rPr>
      <w:tab/>
      <w:t xml:space="preserve">p. </w:t>
    </w:r>
    <w:r w:rsidR="00753AC6" w:rsidRPr="00962CDC">
      <w:rPr>
        <w:rStyle w:val="PageNumber"/>
        <w:sz w:val="20"/>
      </w:rPr>
      <w:fldChar w:fldCharType="begin"/>
    </w:r>
    <w:r w:rsidRPr="00962CDC">
      <w:rPr>
        <w:rStyle w:val="PageNumber"/>
        <w:sz w:val="20"/>
      </w:rPr>
      <w:instrText xml:space="preserve"> PAGE </w:instrText>
    </w:r>
    <w:r w:rsidR="00753AC6" w:rsidRPr="00962CDC">
      <w:rPr>
        <w:rStyle w:val="PageNumber"/>
        <w:sz w:val="20"/>
      </w:rPr>
      <w:fldChar w:fldCharType="separate"/>
    </w:r>
    <w:r w:rsidR="00B25311">
      <w:rPr>
        <w:rStyle w:val="PageNumber"/>
        <w:noProof/>
        <w:sz w:val="20"/>
      </w:rPr>
      <w:t>1</w:t>
    </w:r>
    <w:r w:rsidR="00753AC6" w:rsidRPr="00962CDC">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6C" w:rsidRDefault="00DF046C">
      <w:pPr>
        <w:spacing w:after="0"/>
      </w:pPr>
      <w:r>
        <w:separator/>
      </w:r>
    </w:p>
  </w:footnote>
  <w:footnote w:type="continuationSeparator" w:id="0">
    <w:p w:rsidR="00DF046C" w:rsidRDefault="00DF04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D" w:rsidRPr="006672D8" w:rsidRDefault="0012157D" w:rsidP="0012157D">
    <w:pPr>
      <w:pStyle w:val="Header"/>
      <w:tabs>
        <w:tab w:val="clear" w:pos="4320"/>
        <w:tab w:val="clear" w:pos="8640"/>
        <w:tab w:val="right" w:pos="9360"/>
      </w:tabs>
      <w:rPr>
        <w:rFonts w:ascii="Times New Roman" w:hAnsi="Times New Roman" w:cs="Times New Roman"/>
      </w:rPr>
    </w:pPr>
    <w:r>
      <w:rPr>
        <w:rFonts w:asciiTheme="majorHAnsi" w:hAnsiTheme="majorHAnsi"/>
      </w:rPr>
      <w:tab/>
    </w:r>
    <w:r w:rsidR="006672D8" w:rsidRPr="006672D8">
      <w:rPr>
        <w:rFonts w:ascii="Times New Roman" w:hAnsi="Times New Roman" w:cs="Times New Roman"/>
        <w:sz w:val="28"/>
      </w:rPr>
      <w:t>Handout 3.1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73F87"/>
    <w:rsid w:val="0012157D"/>
    <w:rsid w:val="00233E25"/>
    <w:rsid w:val="00265C0F"/>
    <w:rsid w:val="003000F4"/>
    <w:rsid w:val="006672D8"/>
    <w:rsid w:val="00673F87"/>
    <w:rsid w:val="006A55B6"/>
    <w:rsid w:val="00753AC6"/>
    <w:rsid w:val="007C1B87"/>
    <w:rsid w:val="00962CDC"/>
    <w:rsid w:val="00983545"/>
    <w:rsid w:val="00A2347C"/>
    <w:rsid w:val="00B20EB7"/>
    <w:rsid w:val="00B25311"/>
    <w:rsid w:val="00DA60E0"/>
    <w:rsid w:val="00DA6D2B"/>
    <w:rsid w:val="00DF046C"/>
  </w:rsids>
  <m:mathPr>
    <m:mathFont m:val="Cambria Math"/>
    <m:brkBin m:val="before"/>
    <m:brkBinSub m:val="--"/>
    <m:smallFrac m:val="off"/>
    <m:dispDef m:val="of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3F87"/>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962CDC"/>
    <w:pPr>
      <w:tabs>
        <w:tab w:val="center" w:pos="4320"/>
        <w:tab w:val="right" w:pos="8640"/>
      </w:tabs>
      <w:spacing w:after="0"/>
    </w:pPr>
  </w:style>
  <w:style w:type="character" w:customStyle="1" w:styleId="HeaderChar">
    <w:name w:val="Header Char"/>
    <w:basedOn w:val="DefaultParagraphFont"/>
    <w:link w:val="Header"/>
    <w:uiPriority w:val="99"/>
    <w:semiHidden/>
    <w:rsid w:val="00962CDC"/>
  </w:style>
  <w:style w:type="paragraph" w:styleId="Footer">
    <w:name w:val="footer"/>
    <w:basedOn w:val="Normal"/>
    <w:link w:val="FooterChar"/>
    <w:uiPriority w:val="99"/>
    <w:semiHidden/>
    <w:unhideWhenUsed/>
    <w:rsid w:val="00962CDC"/>
    <w:pPr>
      <w:tabs>
        <w:tab w:val="center" w:pos="4320"/>
        <w:tab w:val="right" w:pos="8640"/>
      </w:tabs>
      <w:spacing w:after="0"/>
    </w:pPr>
  </w:style>
  <w:style w:type="character" w:customStyle="1" w:styleId="FooterChar">
    <w:name w:val="Footer Char"/>
    <w:basedOn w:val="DefaultParagraphFont"/>
    <w:link w:val="Footer"/>
    <w:uiPriority w:val="99"/>
    <w:semiHidden/>
    <w:rsid w:val="00962CDC"/>
  </w:style>
  <w:style w:type="character" w:styleId="PageNumber">
    <w:name w:val="page number"/>
    <w:basedOn w:val="DefaultParagraphFont"/>
    <w:uiPriority w:val="99"/>
    <w:semiHidden/>
    <w:unhideWhenUsed/>
    <w:rsid w:val="00962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725068">
      <w:bodyDiv w:val="1"/>
      <w:marLeft w:val="0"/>
      <w:marRight w:val="0"/>
      <w:marTop w:val="0"/>
      <w:marBottom w:val="0"/>
      <w:divBdr>
        <w:top w:val="none" w:sz="0" w:space="0" w:color="auto"/>
        <w:left w:val="none" w:sz="0" w:space="0" w:color="auto"/>
        <w:bottom w:val="none" w:sz="0" w:space="0" w:color="auto"/>
        <w:right w:val="none" w:sz="0" w:space="0" w:color="auto"/>
      </w:divBdr>
      <w:divsChild>
        <w:div w:id="256907071">
          <w:marLeft w:val="0"/>
          <w:marRight w:val="0"/>
          <w:marTop w:val="0"/>
          <w:marBottom w:val="0"/>
          <w:divBdr>
            <w:top w:val="none" w:sz="0" w:space="0" w:color="auto"/>
            <w:left w:val="none" w:sz="0" w:space="0" w:color="auto"/>
            <w:bottom w:val="none" w:sz="0" w:space="0" w:color="auto"/>
            <w:right w:val="none" w:sz="0" w:space="0" w:color="auto"/>
          </w:divBdr>
          <w:divsChild>
            <w:div w:id="376244238">
              <w:marLeft w:val="0"/>
              <w:marRight w:val="0"/>
              <w:marTop w:val="0"/>
              <w:marBottom w:val="0"/>
              <w:divBdr>
                <w:top w:val="none" w:sz="0" w:space="0" w:color="auto"/>
                <w:left w:val="none" w:sz="0" w:space="0" w:color="auto"/>
                <w:bottom w:val="none" w:sz="0" w:space="0" w:color="auto"/>
                <w:right w:val="none" w:sz="0" w:space="0" w:color="auto"/>
              </w:divBdr>
              <w:divsChild>
                <w:div w:id="585723178">
                  <w:marLeft w:val="0"/>
                  <w:marRight w:val="0"/>
                  <w:marTop w:val="0"/>
                  <w:marBottom w:val="0"/>
                  <w:divBdr>
                    <w:top w:val="none" w:sz="0" w:space="0" w:color="auto"/>
                    <w:left w:val="none" w:sz="0" w:space="0" w:color="auto"/>
                    <w:bottom w:val="none" w:sz="0" w:space="0" w:color="auto"/>
                    <w:right w:val="none" w:sz="0" w:space="0" w:color="auto"/>
                  </w:divBdr>
                  <w:divsChild>
                    <w:div w:id="1189371234">
                      <w:marLeft w:val="0"/>
                      <w:marRight w:val="0"/>
                      <w:marTop w:val="0"/>
                      <w:marBottom w:val="0"/>
                      <w:divBdr>
                        <w:top w:val="none" w:sz="0" w:space="0" w:color="auto"/>
                        <w:left w:val="none" w:sz="0" w:space="0" w:color="auto"/>
                        <w:bottom w:val="none" w:sz="0" w:space="0" w:color="auto"/>
                        <w:right w:val="none" w:sz="0" w:space="0" w:color="auto"/>
                      </w:divBdr>
                    </w:div>
                  </w:divsChild>
                </w:div>
                <w:div w:id="1761754023">
                  <w:marLeft w:val="0"/>
                  <w:marRight w:val="0"/>
                  <w:marTop w:val="0"/>
                  <w:marBottom w:val="0"/>
                  <w:divBdr>
                    <w:top w:val="none" w:sz="0" w:space="0" w:color="auto"/>
                    <w:left w:val="none" w:sz="0" w:space="0" w:color="auto"/>
                    <w:bottom w:val="none" w:sz="0" w:space="0" w:color="auto"/>
                    <w:right w:val="none" w:sz="0" w:space="0" w:color="auto"/>
                  </w:divBdr>
                  <w:divsChild>
                    <w:div w:id="3225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6764">
          <w:marLeft w:val="0"/>
          <w:marRight w:val="0"/>
          <w:marTop w:val="0"/>
          <w:marBottom w:val="0"/>
          <w:divBdr>
            <w:top w:val="none" w:sz="0" w:space="0" w:color="auto"/>
            <w:left w:val="none" w:sz="0" w:space="0" w:color="auto"/>
            <w:bottom w:val="none" w:sz="0" w:space="0" w:color="auto"/>
            <w:right w:val="none" w:sz="0" w:space="0" w:color="auto"/>
          </w:divBdr>
          <w:divsChild>
            <w:div w:id="686519375">
              <w:marLeft w:val="0"/>
              <w:marRight w:val="0"/>
              <w:marTop w:val="0"/>
              <w:marBottom w:val="0"/>
              <w:divBdr>
                <w:top w:val="none" w:sz="0" w:space="0" w:color="auto"/>
                <w:left w:val="none" w:sz="0" w:space="0" w:color="auto"/>
                <w:bottom w:val="none" w:sz="0" w:space="0" w:color="auto"/>
                <w:right w:val="none" w:sz="0" w:space="0" w:color="auto"/>
              </w:divBdr>
              <w:divsChild>
                <w:div w:id="869031711">
                  <w:marLeft w:val="0"/>
                  <w:marRight w:val="0"/>
                  <w:marTop w:val="0"/>
                  <w:marBottom w:val="0"/>
                  <w:divBdr>
                    <w:top w:val="none" w:sz="0" w:space="0" w:color="auto"/>
                    <w:left w:val="none" w:sz="0" w:space="0" w:color="auto"/>
                    <w:bottom w:val="none" w:sz="0" w:space="0" w:color="auto"/>
                    <w:right w:val="none" w:sz="0" w:space="0" w:color="auto"/>
                  </w:divBdr>
                  <w:divsChild>
                    <w:div w:id="1813595072">
                      <w:marLeft w:val="0"/>
                      <w:marRight w:val="0"/>
                      <w:marTop w:val="0"/>
                      <w:marBottom w:val="0"/>
                      <w:divBdr>
                        <w:top w:val="none" w:sz="0" w:space="0" w:color="auto"/>
                        <w:left w:val="none" w:sz="0" w:space="0" w:color="auto"/>
                        <w:bottom w:val="none" w:sz="0" w:space="0" w:color="auto"/>
                        <w:right w:val="none" w:sz="0" w:space="0" w:color="auto"/>
                      </w:divBdr>
                    </w:div>
                  </w:divsChild>
                </w:div>
                <w:div w:id="1615094635">
                  <w:marLeft w:val="0"/>
                  <w:marRight w:val="0"/>
                  <w:marTop w:val="0"/>
                  <w:marBottom w:val="0"/>
                  <w:divBdr>
                    <w:top w:val="none" w:sz="0" w:space="0" w:color="auto"/>
                    <w:left w:val="none" w:sz="0" w:space="0" w:color="auto"/>
                    <w:bottom w:val="none" w:sz="0" w:space="0" w:color="auto"/>
                    <w:right w:val="none" w:sz="0" w:space="0" w:color="auto"/>
                  </w:divBdr>
                  <w:divsChild>
                    <w:div w:id="10168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922">
          <w:marLeft w:val="0"/>
          <w:marRight w:val="0"/>
          <w:marTop w:val="0"/>
          <w:marBottom w:val="0"/>
          <w:divBdr>
            <w:top w:val="none" w:sz="0" w:space="0" w:color="auto"/>
            <w:left w:val="none" w:sz="0" w:space="0" w:color="auto"/>
            <w:bottom w:val="none" w:sz="0" w:space="0" w:color="auto"/>
            <w:right w:val="none" w:sz="0" w:space="0" w:color="auto"/>
          </w:divBdr>
          <w:divsChild>
            <w:div w:id="331302209">
              <w:marLeft w:val="0"/>
              <w:marRight w:val="0"/>
              <w:marTop w:val="0"/>
              <w:marBottom w:val="0"/>
              <w:divBdr>
                <w:top w:val="none" w:sz="0" w:space="0" w:color="auto"/>
                <w:left w:val="none" w:sz="0" w:space="0" w:color="auto"/>
                <w:bottom w:val="none" w:sz="0" w:space="0" w:color="auto"/>
                <w:right w:val="none" w:sz="0" w:space="0" w:color="auto"/>
              </w:divBdr>
              <w:divsChild>
                <w:div w:id="576482891">
                  <w:marLeft w:val="0"/>
                  <w:marRight w:val="0"/>
                  <w:marTop w:val="0"/>
                  <w:marBottom w:val="0"/>
                  <w:divBdr>
                    <w:top w:val="none" w:sz="0" w:space="0" w:color="auto"/>
                    <w:left w:val="none" w:sz="0" w:space="0" w:color="auto"/>
                    <w:bottom w:val="none" w:sz="0" w:space="0" w:color="auto"/>
                    <w:right w:val="none" w:sz="0" w:space="0" w:color="auto"/>
                  </w:divBdr>
                  <w:divsChild>
                    <w:div w:id="425730358">
                      <w:marLeft w:val="0"/>
                      <w:marRight w:val="0"/>
                      <w:marTop w:val="0"/>
                      <w:marBottom w:val="0"/>
                      <w:divBdr>
                        <w:top w:val="none" w:sz="0" w:space="0" w:color="auto"/>
                        <w:left w:val="none" w:sz="0" w:space="0" w:color="auto"/>
                        <w:bottom w:val="none" w:sz="0" w:space="0" w:color="auto"/>
                        <w:right w:val="none" w:sz="0" w:space="0" w:color="auto"/>
                      </w:divBdr>
                    </w:div>
                  </w:divsChild>
                </w:div>
                <w:div w:id="1745106878">
                  <w:marLeft w:val="0"/>
                  <w:marRight w:val="0"/>
                  <w:marTop w:val="0"/>
                  <w:marBottom w:val="0"/>
                  <w:divBdr>
                    <w:top w:val="none" w:sz="0" w:space="0" w:color="auto"/>
                    <w:left w:val="none" w:sz="0" w:space="0" w:color="auto"/>
                    <w:bottom w:val="none" w:sz="0" w:space="0" w:color="auto"/>
                    <w:right w:val="none" w:sz="0" w:space="0" w:color="auto"/>
                  </w:divBdr>
                  <w:divsChild>
                    <w:div w:id="16690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4"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1761</Words>
  <Characters>10093</Characters>
  <Application>Microsoft Office Word</Application>
  <DocSecurity>0</DocSecurity>
  <Lines>142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2012-10-31T02:38:00Z</dcterms:created>
  <lastModifiedBy>ese</lastModifiedBy>
  <dcterms:modified xsi:type="dcterms:W3CDTF">2013-11-15T19:24:00Z</dcterms:modified>
  <revision>8</revision>
  <dc:title>Standards for Mathematical Practice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15 2013</vt:lpwstr>
  </property>
</Properties>
</file>