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2514E" w14:textId="53A48499" w:rsidR="009F208C" w:rsidRDefault="008C4069" w:rsidP="00E100DB">
      <w:pPr>
        <w:pStyle w:val="BodyText"/>
        <w:rPr>
          <w:rFonts w:ascii="Book Antiqua" w:hAnsi="Book Antiqua" w:cs="Book Antiqua"/>
          <w:sz w:val="20"/>
          <w:szCs w:val="20"/>
          <w:u w:val="none"/>
        </w:rPr>
      </w:pPr>
      <w:r w:rsidRPr="008A11F0">
        <w:rPr>
          <w:rFonts w:ascii="Book Antiqua" w:hAnsi="Book Antiqua" w:cs="Book Antiqua"/>
          <w:sz w:val="20"/>
          <w:szCs w:val="20"/>
          <w:u w:val="none"/>
        </w:rPr>
        <w:t>This version of the</w:t>
      </w:r>
      <w:r w:rsidR="00E100DB" w:rsidRPr="008A11F0">
        <w:rPr>
          <w:rFonts w:ascii="Book Antiqua" w:hAnsi="Book Antiqua" w:cs="Book Antiqua"/>
          <w:sz w:val="20"/>
          <w:szCs w:val="20"/>
          <w:u w:val="none"/>
        </w:rPr>
        <w:t xml:space="preserve"> Guidelines for Medical Necessity Det</w:t>
      </w:r>
      <w:r w:rsidRPr="008A11F0">
        <w:rPr>
          <w:rFonts w:ascii="Book Antiqua" w:hAnsi="Book Antiqua" w:cs="Book Antiqua"/>
          <w:sz w:val="20"/>
          <w:szCs w:val="20"/>
          <w:u w:val="none"/>
        </w:rPr>
        <w:t>ermination (Guidelines) identifies</w:t>
      </w:r>
      <w:r w:rsidR="00E100DB" w:rsidRPr="008A11F0">
        <w:rPr>
          <w:rFonts w:ascii="Book Antiqua" w:hAnsi="Book Antiqua" w:cs="Book Antiqua"/>
          <w:sz w:val="20"/>
          <w:szCs w:val="20"/>
          <w:u w:val="none"/>
        </w:rPr>
        <w:t xml:space="preserve"> the clinical information </w:t>
      </w:r>
      <w:r w:rsidR="00EA78A1" w:rsidRPr="008A11F0">
        <w:rPr>
          <w:rFonts w:ascii="Book Antiqua" w:hAnsi="Book Antiqua" w:cs="Book Antiqua"/>
          <w:sz w:val="20"/>
          <w:szCs w:val="20"/>
          <w:u w:val="none"/>
        </w:rPr>
        <w:t xml:space="preserve">that </w:t>
      </w:r>
      <w:r w:rsidR="00E100DB" w:rsidRPr="008A11F0">
        <w:rPr>
          <w:rFonts w:ascii="Book Antiqua" w:hAnsi="Book Antiqua" w:cs="Book Antiqua"/>
          <w:sz w:val="20"/>
          <w:szCs w:val="20"/>
          <w:u w:val="none"/>
        </w:rPr>
        <w:t xml:space="preserve">MassHealth needs to determine medical necessity for </w:t>
      </w:r>
      <w:r w:rsidR="00EA78A1" w:rsidRPr="008A11F0">
        <w:rPr>
          <w:rFonts w:ascii="Book Antiqua" w:hAnsi="Book Antiqua" w:cs="Book Antiqua"/>
          <w:sz w:val="20"/>
          <w:szCs w:val="20"/>
          <w:u w:val="none"/>
        </w:rPr>
        <w:t>s</w:t>
      </w:r>
      <w:r w:rsidR="00E100DB" w:rsidRPr="008A11F0">
        <w:rPr>
          <w:rFonts w:ascii="Book Antiqua" w:hAnsi="Book Antiqua" w:cs="Book Antiqua"/>
          <w:sz w:val="20"/>
          <w:szCs w:val="20"/>
          <w:u w:val="none"/>
        </w:rPr>
        <w:t>tanders</w:t>
      </w:r>
      <w:r w:rsidR="00E42161">
        <w:rPr>
          <w:rFonts w:ascii="Book Antiqua" w:hAnsi="Book Antiqua" w:cs="Book Antiqua"/>
          <w:sz w:val="20"/>
          <w:szCs w:val="20"/>
          <w:u w:val="none"/>
        </w:rPr>
        <w:t xml:space="preserve"> </w:t>
      </w:r>
      <w:r w:rsidR="00BD4ADB" w:rsidRPr="008A11F0">
        <w:rPr>
          <w:rFonts w:ascii="Book Antiqua" w:hAnsi="Book Antiqua" w:cs="Book Antiqua"/>
          <w:sz w:val="20"/>
          <w:szCs w:val="20"/>
          <w:u w:val="none"/>
        </w:rPr>
        <w:t xml:space="preserve">and </w:t>
      </w:r>
      <w:r w:rsidR="007561B2" w:rsidRPr="008A11F0">
        <w:rPr>
          <w:rFonts w:ascii="Book Antiqua" w:hAnsi="Book Antiqua" w:cs="Book Antiqua"/>
          <w:sz w:val="20"/>
          <w:szCs w:val="20"/>
          <w:u w:val="none"/>
        </w:rPr>
        <w:t>p</w:t>
      </w:r>
      <w:r w:rsidR="00BD4ADB" w:rsidRPr="008A11F0">
        <w:rPr>
          <w:rFonts w:ascii="Book Antiqua" w:hAnsi="Book Antiqua" w:cs="Book Antiqua"/>
          <w:sz w:val="20"/>
          <w:szCs w:val="20"/>
          <w:u w:val="none"/>
        </w:rPr>
        <w:t>ower</w:t>
      </w:r>
      <w:r w:rsidR="000F46C1">
        <w:rPr>
          <w:rFonts w:ascii="Book Antiqua" w:hAnsi="Book Antiqua" w:cs="Book Antiqua"/>
          <w:sz w:val="20"/>
          <w:szCs w:val="20"/>
          <w:u w:val="none"/>
        </w:rPr>
        <w:t>-</w:t>
      </w:r>
      <w:r w:rsidR="007561B2" w:rsidRPr="008A11F0">
        <w:rPr>
          <w:rFonts w:ascii="Book Antiqua" w:hAnsi="Book Antiqua" w:cs="Book Antiqua"/>
          <w:sz w:val="20"/>
          <w:szCs w:val="20"/>
          <w:u w:val="none"/>
        </w:rPr>
        <w:t>a</w:t>
      </w:r>
      <w:r w:rsidR="00BD4ADB" w:rsidRPr="008A11F0">
        <w:rPr>
          <w:rFonts w:ascii="Book Antiqua" w:hAnsi="Book Antiqua" w:cs="Book Antiqua"/>
          <w:sz w:val="20"/>
          <w:szCs w:val="20"/>
          <w:u w:val="none"/>
        </w:rPr>
        <w:t xml:space="preserve">ssisted </w:t>
      </w:r>
      <w:r w:rsidR="00367AFD" w:rsidRPr="00BC1373">
        <w:rPr>
          <w:rFonts w:ascii="Book Antiqua" w:hAnsi="Book Antiqua" w:cs="Book Antiqua"/>
          <w:sz w:val="20"/>
          <w:szCs w:val="20"/>
          <w:u w:val="none"/>
        </w:rPr>
        <w:t>(</w:t>
      </w:r>
      <w:r w:rsidR="007561B2" w:rsidRPr="00BC1373">
        <w:rPr>
          <w:rFonts w:ascii="Book Antiqua" w:hAnsi="Book Antiqua" w:cs="Book Antiqua"/>
          <w:sz w:val="20"/>
          <w:szCs w:val="20"/>
          <w:u w:val="none"/>
        </w:rPr>
        <w:t>d</w:t>
      </w:r>
      <w:r w:rsidR="00367AFD" w:rsidRPr="00BC1373">
        <w:rPr>
          <w:rFonts w:ascii="Book Antiqua" w:hAnsi="Book Antiqua" w:cs="Book Antiqua"/>
          <w:sz w:val="20"/>
          <w:szCs w:val="20"/>
          <w:u w:val="none"/>
        </w:rPr>
        <w:t xml:space="preserve">ynamic) </w:t>
      </w:r>
      <w:r w:rsidR="007561B2" w:rsidRPr="00BC1373">
        <w:rPr>
          <w:rFonts w:ascii="Book Antiqua" w:hAnsi="Book Antiqua" w:cs="Book Antiqua"/>
          <w:sz w:val="20"/>
          <w:szCs w:val="20"/>
          <w:u w:val="none"/>
        </w:rPr>
        <w:t>s</w:t>
      </w:r>
      <w:r w:rsidR="00BD4ADB" w:rsidRPr="00F959E7">
        <w:rPr>
          <w:rFonts w:ascii="Book Antiqua" w:hAnsi="Book Antiqua" w:cs="Book Antiqua"/>
          <w:sz w:val="20"/>
          <w:szCs w:val="20"/>
          <w:u w:val="none"/>
        </w:rPr>
        <w:t xml:space="preserve">tanding </w:t>
      </w:r>
      <w:r w:rsidR="007561B2" w:rsidRPr="00F959E7">
        <w:rPr>
          <w:rFonts w:ascii="Book Antiqua" w:hAnsi="Book Antiqua" w:cs="Book Antiqua"/>
          <w:sz w:val="20"/>
          <w:szCs w:val="20"/>
          <w:u w:val="none"/>
        </w:rPr>
        <w:t>c</w:t>
      </w:r>
      <w:r w:rsidR="00BD4ADB" w:rsidRPr="00F959E7">
        <w:rPr>
          <w:rFonts w:ascii="Book Antiqua" w:hAnsi="Book Antiqua" w:cs="Book Antiqua"/>
          <w:sz w:val="20"/>
          <w:szCs w:val="20"/>
          <w:u w:val="none"/>
        </w:rPr>
        <w:t>omponents</w:t>
      </w:r>
      <w:r w:rsidR="00402B2D" w:rsidRPr="00F959E7">
        <w:rPr>
          <w:rFonts w:ascii="Book Antiqua" w:hAnsi="Book Antiqua" w:cs="Book Antiqua"/>
          <w:sz w:val="20"/>
          <w:szCs w:val="20"/>
          <w:u w:val="none"/>
        </w:rPr>
        <w:t xml:space="preserve"> for </w:t>
      </w:r>
      <w:r w:rsidR="007561B2" w:rsidRPr="00F959E7">
        <w:rPr>
          <w:rFonts w:ascii="Book Antiqua" w:hAnsi="Book Antiqua" w:cs="Book Antiqua"/>
          <w:sz w:val="20"/>
          <w:szCs w:val="20"/>
          <w:u w:val="none"/>
        </w:rPr>
        <w:t>w</w:t>
      </w:r>
      <w:r w:rsidR="00BD4ADB" w:rsidRPr="00F959E7">
        <w:rPr>
          <w:rFonts w:ascii="Book Antiqua" w:hAnsi="Book Antiqua" w:cs="Book Antiqua"/>
          <w:sz w:val="20"/>
          <w:szCs w:val="20"/>
          <w:u w:val="none"/>
        </w:rPr>
        <w:t>heelchairs</w:t>
      </w:r>
      <w:r w:rsidR="00E100DB" w:rsidRPr="00F959E7">
        <w:rPr>
          <w:rFonts w:ascii="Book Antiqua" w:hAnsi="Book Antiqua" w:cs="Book Antiqua"/>
          <w:sz w:val="20"/>
          <w:szCs w:val="20"/>
          <w:u w:val="none"/>
        </w:rPr>
        <w:t>.</w:t>
      </w:r>
      <w:r w:rsidR="00CF7CDD" w:rsidRPr="00F959E7">
        <w:rPr>
          <w:rFonts w:ascii="Book Antiqua" w:hAnsi="Book Antiqua" w:cs="Book Antiqua"/>
          <w:sz w:val="20"/>
          <w:szCs w:val="20"/>
          <w:u w:val="none"/>
        </w:rPr>
        <w:t xml:space="preserve"> A stander is a mechanical device that assists a person in attaining and maintaining an upright position</w:t>
      </w:r>
      <w:r w:rsidR="00557CF3" w:rsidRPr="00F959E7">
        <w:t xml:space="preserve"> </w:t>
      </w:r>
      <w:r w:rsidR="00557CF3" w:rsidRPr="00F959E7">
        <w:rPr>
          <w:rFonts w:ascii="Book Antiqua" w:hAnsi="Book Antiqua" w:cs="Book Antiqua"/>
          <w:sz w:val="20"/>
          <w:szCs w:val="20"/>
          <w:u w:val="none"/>
        </w:rPr>
        <w:t>for the purposes of therapeutic standing</w:t>
      </w:r>
      <w:r w:rsidR="00CF7CDD" w:rsidRPr="00F959E7">
        <w:rPr>
          <w:rFonts w:ascii="Book Antiqua" w:hAnsi="Book Antiqua" w:cs="Book Antiqua"/>
          <w:sz w:val="20"/>
          <w:szCs w:val="20"/>
          <w:u w:val="none"/>
        </w:rPr>
        <w:t>.</w:t>
      </w:r>
      <w:r w:rsidR="00E100DB" w:rsidRPr="00F959E7">
        <w:rPr>
          <w:rFonts w:ascii="Book Antiqua" w:hAnsi="Book Antiqua" w:cs="Book Antiqua"/>
          <w:sz w:val="20"/>
          <w:szCs w:val="20"/>
          <w:u w:val="none"/>
        </w:rPr>
        <w:t xml:space="preserve"> These Guidelines are based on generally accepted standards of practice, review of the medical literature, and federal and state policies and laws app</w:t>
      </w:r>
      <w:r w:rsidR="009F208C" w:rsidRPr="00F959E7">
        <w:rPr>
          <w:rFonts w:ascii="Book Antiqua" w:hAnsi="Book Antiqua" w:cs="Book Antiqua"/>
          <w:sz w:val="20"/>
          <w:szCs w:val="20"/>
          <w:u w:val="none"/>
        </w:rPr>
        <w:t>licable to Medicaid programs.</w:t>
      </w:r>
    </w:p>
    <w:p w14:paraId="3E9B7884" w14:textId="77777777" w:rsidR="00937398" w:rsidRPr="00F959E7" w:rsidRDefault="00937398" w:rsidP="00E100DB">
      <w:pPr>
        <w:pStyle w:val="BodyText"/>
        <w:rPr>
          <w:rFonts w:ascii="Book Antiqua" w:hAnsi="Book Antiqua" w:cs="Book Antiqua"/>
          <w:sz w:val="20"/>
          <w:szCs w:val="20"/>
          <w:u w:val="none"/>
        </w:rPr>
      </w:pPr>
    </w:p>
    <w:p w14:paraId="71A5F9DF" w14:textId="77777777" w:rsidR="00CB50E8" w:rsidRPr="00BC1373" w:rsidRDefault="00E100DB" w:rsidP="00601F39">
      <w:pPr>
        <w:autoSpaceDE w:val="0"/>
        <w:autoSpaceDN w:val="0"/>
        <w:adjustRightInd w:val="0"/>
        <w:rPr>
          <w:rFonts w:ascii="MinionPro-It" w:hAnsi="MinionPro-It" w:cs="MinionPro-It"/>
          <w:i/>
          <w:iCs/>
          <w:sz w:val="21"/>
          <w:szCs w:val="21"/>
        </w:rPr>
      </w:pPr>
      <w:r w:rsidRPr="00F959E7">
        <w:rPr>
          <w:rFonts w:ascii="Book Antiqua" w:hAnsi="Book Antiqua" w:cs="Book Antiqua"/>
          <w:sz w:val="20"/>
          <w:szCs w:val="20"/>
        </w:rPr>
        <w:t xml:space="preserve">Providers should consult MassHealth regulations </w:t>
      </w:r>
      <w:r w:rsidR="00CB50E8" w:rsidRPr="008A11F0">
        <w:rPr>
          <w:rFonts w:ascii="MinionPro-Regular" w:hAnsi="MinionPro-Regular" w:cs="MinionPro-Regular"/>
          <w:sz w:val="21"/>
          <w:szCs w:val="21"/>
        </w:rPr>
        <w:t xml:space="preserve">130 CMR 409.000: </w:t>
      </w:r>
      <w:r w:rsidR="00CB50E8" w:rsidRPr="008A11F0">
        <w:rPr>
          <w:rFonts w:ascii="MinionPro-It" w:hAnsi="MinionPro-It" w:cs="MinionPro-It"/>
          <w:i/>
          <w:iCs/>
          <w:sz w:val="21"/>
          <w:szCs w:val="21"/>
        </w:rPr>
        <w:t>Durable Medical Equipment</w:t>
      </w:r>
      <w:r w:rsidR="000F46C1">
        <w:rPr>
          <w:rFonts w:ascii="MinionPro-It" w:hAnsi="MinionPro-It" w:cs="MinionPro-It"/>
          <w:i/>
          <w:iCs/>
          <w:sz w:val="21"/>
          <w:szCs w:val="21"/>
        </w:rPr>
        <w:t xml:space="preserve"> </w:t>
      </w:r>
      <w:r w:rsidR="00CB50E8" w:rsidRPr="008A11F0">
        <w:rPr>
          <w:rFonts w:ascii="MinionPro-It" w:hAnsi="MinionPro-It" w:cs="MinionPro-It"/>
          <w:i/>
          <w:iCs/>
          <w:sz w:val="21"/>
          <w:szCs w:val="21"/>
        </w:rPr>
        <w:t>Services</w:t>
      </w:r>
      <w:r w:rsidR="00CB50E8" w:rsidRPr="008A11F0">
        <w:rPr>
          <w:rFonts w:ascii="MinionPro-Regular" w:hAnsi="MinionPro-Regular" w:cs="MinionPro-Regular"/>
          <w:sz w:val="21"/>
          <w:szCs w:val="21"/>
        </w:rPr>
        <w:t xml:space="preserve"> and 130 CMR 450.000: </w:t>
      </w:r>
      <w:r w:rsidR="00CB50E8" w:rsidRPr="008A11F0">
        <w:rPr>
          <w:rFonts w:ascii="MinionPro-It" w:hAnsi="MinionPro-It" w:cs="MinionPro-It"/>
          <w:i/>
          <w:iCs/>
          <w:sz w:val="21"/>
          <w:szCs w:val="21"/>
        </w:rPr>
        <w:t>Administrative and Billing Regulations</w:t>
      </w:r>
      <w:r w:rsidR="00CB50E8" w:rsidRPr="008A11F0">
        <w:rPr>
          <w:rFonts w:ascii="MinionPro-Regular" w:hAnsi="MinionPro-Regular" w:cs="MinionPro-Regular"/>
          <w:sz w:val="21"/>
          <w:szCs w:val="21"/>
        </w:rPr>
        <w:t xml:space="preserve">, and the </w:t>
      </w:r>
      <w:r w:rsidR="00CB50E8" w:rsidRPr="008A11F0">
        <w:rPr>
          <w:rFonts w:ascii="MinionPro-It" w:hAnsi="MinionPro-It" w:cs="MinionPro-It"/>
          <w:i/>
          <w:iCs/>
          <w:sz w:val="21"/>
          <w:szCs w:val="21"/>
        </w:rPr>
        <w:t>MassHealth DME and Oxygen Payment and Coverage Gui</w:t>
      </w:r>
      <w:r w:rsidR="00601F39" w:rsidRPr="008A11F0">
        <w:rPr>
          <w:rFonts w:ascii="MinionPro-It" w:hAnsi="MinionPro-It" w:cs="MinionPro-It"/>
          <w:i/>
          <w:iCs/>
          <w:sz w:val="21"/>
          <w:szCs w:val="21"/>
        </w:rPr>
        <w:t xml:space="preserve">deline </w:t>
      </w:r>
      <w:r w:rsidR="00CB50E8" w:rsidRPr="00BC1373">
        <w:rPr>
          <w:rFonts w:ascii="MinionPro-It" w:hAnsi="MinionPro-It" w:cs="MinionPro-It"/>
          <w:i/>
          <w:iCs/>
          <w:sz w:val="21"/>
          <w:szCs w:val="21"/>
        </w:rPr>
        <w:t xml:space="preserve">Tool </w:t>
      </w:r>
      <w:r w:rsidR="00CB50E8" w:rsidRPr="00BC1373">
        <w:rPr>
          <w:rFonts w:ascii="MinionPro-Regular" w:hAnsi="MinionPro-Regular" w:cs="MinionPro-Regular"/>
          <w:sz w:val="21"/>
          <w:szCs w:val="21"/>
        </w:rPr>
        <w:t>for information about coverage, limitations, service conditions, and other prior</w:t>
      </w:r>
      <w:r w:rsidR="000F46C1">
        <w:rPr>
          <w:rFonts w:ascii="MinionPro-Regular" w:hAnsi="MinionPro-Regular" w:cs="MinionPro-Regular"/>
          <w:sz w:val="21"/>
          <w:szCs w:val="21"/>
        </w:rPr>
        <w:t xml:space="preserve"> </w:t>
      </w:r>
      <w:r w:rsidR="00CB50E8" w:rsidRPr="008A11F0">
        <w:rPr>
          <w:rFonts w:ascii="MinionPro-Regular" w:hAnsi="MinionPro-Regular" w:cs="MinionPro-Regular"/>
          <w:sz w:val="21"/>
          <w:szCs w:val="21"/>
        </w:rPr>
        <w:t>authorization (PA)</w:t>
      </w:r>
      <w:r w:rsidR="00601F39" w:rsidRPr="008A11F0">
        <w:rPr>
          <w:rFonts w:ascii="MinionPro-It" w:hAnsi="MinionPro-It" w:cs="MinionPro-It"/>
          <w:i/>
          <w:iCs/>
          <w:sz w:val="21"/>
          <w:szCs w:val="21"/>
        </w:rPr>
        <w:t xml:space="preserve"> </w:t>
      </w:r>
      <w:r w:rsidR="00CB50E8" w:rsidRPr="008A11F0">
        <w:rPr>
          <w:rFonts w:ascii="MinionPro-Regular" w:hAnsi="MinionPro-Regular" w:cs="MinionPro-Regular"/>
          <w:sz w:val="21"/>
          <w:szCs w:val="21"/>
        </w:rPr>
        <w:t>requirements</w:t>
      </w:r>
      <w:r w:rsidR="00601F39" w:rsidRPr="008A11F0">
        <w:rPr>
          <w:rFonts w:ascii="MinionPro-Regular" w:hAnsi="MinionPro-Regular" w:cs="MinionPro-Regular"/>
          <w:sz w:val="21"/>
          <w:szCs w:val="21"/>
        </w:rPr>
        <w:t xml:space="preserve">. The links to the regulations </w:t>
      </w:r>
      <w:r w:rsidR="00CB50E8" w:rsidRPr="008A11F0">
        <w:rPr>
          <w:rFonts w:ascii="MinionPro-Regular" w:hAnsi="MinionPro-Regular" w:cs="MinionPro-Regular"/>
          <w:sz w:val="21"/>
          <w:szCs w:val="21"/>
        </w:rPr>
        <w:t xml:space="preserve">and the tool can be found in </w:t>
      </w:r>
      <w:r w:rsidR="0011667C">
        <w:rPr>
          <w:rFonts w:ascii="MinionPro-Regular" w:hAnsi="MinionPro-Regular" w:cs="MinionPro-Regular"/>
          <w:sz w:val="21"/>
          <w:szCs w:val="21"/>
        </w:rPr>
        <w:t>Appendix A.</w:t>
      </w:r>
    </w:p>
    <w:p w14:paraId="076FC65E" w14:textId="77777777" w:rsidR="00CB50E8" w:rsidRPr="00F959E7" w:rsidRDefault="00CB50E8" w:rsidP="00CB50E8">
      <w:pPr>
        <w:rPr>
          <w:rFonts w:ascii="Book Antiqua" w:hAnsi="Book Antiqua" w:cs="Book Antiqua"/>
        </w:rPr>
      </w:pPr>
    </w:p>
    <w:p w14:paraId="6619BC6B" w14:textId="77777777" w:rsidR="000B1ADA" w:rsidRPr="001B5F63" w:rsidRDefault="00CB50E8" w:rsidP="00CB50E8">
      <w:pPr>
        <w:rPr>
          <w:rFonts w:ascii="Book Antiqua" w:hAnsi="Book Antiqua" w:cs="Book Antiqua"/>
          <w:sz w:val="20"/>
          <w:szCs w:val="20"/>
        </w:rPr>
      </w:pPr>
      <w:r w:rsidRPr="00F959E7">
        <w:rPr>
          <w:rFonts w:ascii="Book Antiqua" w:hAnsi="Book Antiqua" w:cs="Book Antiqua"/>
          <w:sz w:val="20"/>
          <w:szCs w:val="20"/>
        </w:rPr>
        <w:t xml:space="preserve">Providers serving members enrolled in a MassHealth-contracted accountable care partnership plan (ACPP), managed care organization (MCO), integrated care organization (ICO), senior care organization (SCO), or program of all-inclusive care for the elderly (PACE), should refer to the ACPP’s, MCO’s, ICO’s, SCO’s, or PACE’s medical policies for covered services. </w:t>
      </w:r>
      <w:r w:rsidR="00E100DB" w:rsidRPr="00F959E7">
        <w:rPr>
          <w:rFonts w:ascii="Book Antiqua" w:hAnsi="Book Antiqua" w:cs="Book Antiqua"/>
          <w:sz w:val="20"/>
          <w:szCs w:val="20"/>
        </w:rPr>
        <w:t>Th</w:t>
      </w:r>
      <w:r w:rsidR="00EA78A1" w:rsidRPr="00F959E7">
        <w:rPr>
          <w:rFonts w:ascii="Book Antiqua" w:hAnsi="Book Antiqua" w:cs="Book Antiqua"/>
          <w:sz w:val="20"/>
          <w:szCs w:val="20"/>
        </w:rPr>
        <w:t>ese</w:t>
      </w:r>
      <w:r w:rsidR="00E100DB" w:rsidRPr="00F959E7">
        <w:rPr>
          <w:rFonts w:ascii="Book Antiqua" w:hAnsi="Book Antiqua" w:cs="Book Antiqua"/>
          <w:sz w:val="20"/>
          <w:szCs w:val="20"/>
        </w:rPr>
        <w:t xml:space="preserve"> Guideline</w:t>
      </w:r>
      <w:r w:rsidR="00EA78A1" w:rsidRPr="00F959E7">
        <w:rPr>
          <w:rFonts w:ascii="Book Antiqua" w:hAnsi="Book Antiqua" w:cs="Book Antiqua"/>
          <w:sz w:val="20"/>
          <w:szCs w:val="20"/>
        </w:rPr>
        <w:t>s</w:t>
      </w:r>
      <w:r w:rsidR="00E100DB" w:rsidRPr="00F959E7">
        <w:rPr>
          <w:rFonts w:ascii="Book Antiqua" w:hAnsi="Book Antiqua" w:cs="Book Antiqua"/>
          <w:sz w:val="20"/>
          <w:szCs w:val="20"/>
        </w:rPr>
        <w:t xml:space="preserve"> describe documentation requirements for purchase of a stander that has been successfully used </w:t>
      </w:r>
      <w:r w:rsidRPr="00F959E7">
        <w:rPr>
          <w:rFonts w:ascii="Book Antiqua" w:hAnsi="Book Antiqua" w:cs="Book Antiqua"/>
          <w:sz w:val="20"/>
          <w:szCs w:val="20"/>
        </w:rPr>
        <w:t xml:space="preserve">on a trial basis </w:t>
      </w:r>
      <w:r w:rsidR="00E100DB" w:rsidRPr="00F959E7">
        <w:rPr>
          <w:rFonts w:ascii="Book Antiqua" w:hAnsi="Book Antiqua" w:cs="Book Antiqua"/>
          <w:sz w:val="20"/>
          <w:szCs w:val="20"/>
        </w:rPr>
        <w:t xml:space="preserve">by </w:t>
      </w:r>
      <w:r w:rsidR="00144E7F" w:rsidRPr="00F959E7">
        <w:rPr>
          <w:rFonts w:ascii="Book Antiqua" w:hAnsi="Book Antiqua" w:cs="Book Antiqua"/>
          <w:sz w:val="20"/>
          <w:szCs w:val="20"/>
        </w:rPr>
        <w:t>a</w:t>
      </w:r>
      <w:r w:rsidR="00E100DB" w:rsidRPr="00F959E7">
        <w:rPr>
          <w:rFonts w:ascii="Book Antiqua" w:hAnsi="Book Antiqua" w:cs="Book Antiqua"/>
          <w:sz w:val="20"/>
          <w:szCs w:val="20"/>
        </w:rPr>
        <w:t xml:space="preserve"> member in an inpatient, outpatient, or school setting</w:t>
      </w:r>
      <w:r w:rsidR="00771939" w:rsidRPr="001B5F63">
        <w:rPr>
          <w:rFonts w:ascii="Book Antiqua" w:hAnsi="Book Antiqua" w:cs="Book Antiqua"/>
          <w:sz w:val="20"/>
          <w:szCs w:val="20"/>
        </w:rPr>
        <w:t xml:space="preserve">. </w:t>
      </w:r>
    </w:p>
    <w:p w14:paraId="045E3E86" w14:textId="77777777" w:rsidR="00CB50E8" w:rsidRPr="00553D5F" w:rsidRDefault="00CB50E8" w:rsidP="009C4C14">
      <w:pPr>
        <w:rPr>
          <w:rFonts w:ascii="Book Antiqua" w:hAnsi="Book Antiqua" w:cs="Book Antiqua"/>
          <w:sz w:val="20"/>
          <w:szCs w:val="20"/>
        </w:rPr>
      </w:pPr>
    </w:p>
    <w:p w14:paraId="2E915281" w14:textId="77777777" w:rsidR="00E100DB" w:rsidRPr="00553D5F" w:rsidRDefault="00E100DB" w:rsidP="009C4C14">
      <w:pPr>
        <w:rPr>
          <w:rFonts w:ascii="Book Antiqua" w:hAnsi="Book Antiqua" w:cs="Book Antiqua"/>
          <w:sz w:val="20"/>
          <w:szCs w:val="20"/>
        </w:rPr>
      </w:pPr>
      <w:r w:rsidRPr="00553D5F">
        <w:rPr>
          <w:rFonts w:ascii="Book Antiqua" w:hAnsi="Book Antiqua" w:cs="Book Antiqua"/>
          <w:sz w:val="20"/>
          <w:szCs w:val="20"/>
        </w:rPr>
        <w:t xml:space="preserve">MassHealth reviews requests for </w:t>
      </w:r>
      <w:r w:rsidR="008C4069" w:rsidRPr="00553D5F">
        <w:rPr>
          <w:rFonts w:ascii="Book Antiqua" w:hAnsi="Book Antiqua" w:cs="Book Antiqua"/>
          <w:sz w:val="20"/>
          <w:szCs w:val="20"/>
        </w:rPr>
        <w:t>PA</w:t>
      </w:r>
      <w:r w:rsidRPr="00553D5F">
        <w:rPr>
          <w:rFonts w:ascii="Book Antiqua" w:hAnsi="Book Antiqua" w:cs="Book Antiqua"/>
          <w:sz w:val="20"/>
          <w:szCs w:val="20"/>
        </w:rPr>
        <w:t xml:space="preserve"> on the basis of medical necessity. If MassHealth approves the request, payment is still subject to all general conditions of MassHealth, including member eligibility, other insurance, and program restrictions.</w:t>
      </w:r>
      <w:r w:rsidR="00A0433F" w:rsidRPr="00553D5F">
        <w:rPr>
          <w:rFonts w:ascii="Book Antiqua" w:hAnsi="Book Antiqua" w:cs="Book Antiqua"/>
          <w:sz w:val="20"/>
          <w:szCs w:val="20"/>
        </w:rPr>
        <w:t xml:space="preserve"> </w:t>
      </w:r>
    </w:p>
    <w:p w14:paraId="1816DEB4" w14:textId="77777777" w:rsidR="009C4C14" w:rsidRPr="00553D5F" w:rsidRDefault="009C4C14" w:rsidP="009C4C14">
      <w:pPr>
        <w:rPr>
          <w:rFonts w:ascii="Book Antiqua" w:hAnsi="Book Antiqua" w:cs="Book Antiqua"/>
          <w:sz w:val="20"/>
          <w:szCs w:val="20"/>
        </w:rPr>
      </w:pPr>
    </w:p>
    <w:p w14:paraId="406A6FF0" w14:textId="3126328E" w:rsidR="00E100DB" w:rsidRPr="00553D5F" w:rsidRDefault="00E100DB" w:rsidP="009C4C14">
      <w:pPr>
        <w:pStyle w:val="Heading7"/>
        <w:rPr>
          <w:rFonts w:ascii="Tahoma" w:hAnsi="Tahoma" w:cs="Tahoma"/>
        </w:rPr>
      </w:pPr>
      <w:r w:rsidRPr="00553D5F">
        <w:rPr>
          <w:rFonts w:ascii="Tahoma" w:hAnsi="Tahoma" w:cs="Tahoma"/>
        </w:rPr>
        <w:t>Section I. General Information</w:t>
      </w:r>
    </w:p>
    <w:p w14:paraId="4E552E24" w14:textId="77777777" w:rsidR="009C4C14" w:rsidRPr="00553D5F" w:rsidRDefault="009C4C14" w:rsidP="009C4C14"/>
    <w:p w14:paraId="34D800C2" w14:textId="77777777" w:rsidR="003A1B80" w:rsidRPr="00BC1373" w:rsidRDefault="00637589" w:rsidP="009C4C14">
      <w:pPr>
        <w:autoSpaceDE w:val="0"/>
        <w:autoSpaceDN w:val="0"/>
        <w:adjustRightInd w:val="0"/>
        <w:rPr>
          <w:rFonts w:ascii="Book Antiqua" w:hAnsi="Book Antiqua" w:cs="Book Antiqua"/>
          <w:sz w:val="20"/>
          <w:szCs w:val="20"/>
        </w:rPr>
      </w:pPr>
      <w:r w:rsidRPr="00236E94">
        <w:rPr>
          <w:rFonts w:ascii="Book Antiqua" w:hAnsi="Book Antiqua"/>
          <w:sz w:val="20"/>
          <w:szCs w:val="20"/>
        </w:rPr>
        <w:t>“</w:t>
      </w:r>
      <w:r w:rsidRPr="00236E94">
        <w:rPr>
          <w:rFonts w:ascii="Book Antiqua" w:hAnsi="Book Antiqua" w:cs="Book Antiqua"/>
          <w:sz w:val="20"/>
          <w:szCs w:val="20"/>
        </w:rPr>
        <w:t>Standers are durable medical equipment (DME) designed to assist a child or adult in attaining and maintaining an upright (or standing) position for the purposes of therapeutic standing.”</w:t>
      </w:r>
      <w:r w:rsidR="00E100DB" w:rsidRPr="00236E94">
        <w:rPr>
          <w:rFonts w:ascii="Book Antiqua" w:hAnsi="Book Antiqua" w:cs="Book Antiqua"/>
          <w:sz w:val="20"/>
          <w:szCs w:val="20"/>
        </w:rPr>
        <w:t xml:space="preserve"> Standers may provide medical and functional benefits to otherwise bed- or chair-bound patients. MassHealth de</w:t>
      </w:r>
      <w:r w:rsidR="00E100DB" w:rsidRPr="008A11F0">
        <w:rPr>
          <w:rFonts w:ascii="Book Antiqua" w:hAnsi="Book Antiqua" w:cs="Book Antiqua"/>
          <w:sz w:val="20"/>
          <w:szCs w:val="20"/>
        </w:rPr>
        <w:t xml:space="preserve">termines medical necessity on a case-by-case basis in accordance with 130 CMR 450.204. </w:t>
      </w:r>
      <w:r w:rsidR="009678AB" w:rsidRPr="00BC1373">
        <w:rPr>
          <w:rFonts w:ascii="Book Antiqua" w:hAnsi="Book Antiqua" w:cs="Book Antiqua"/>
          <w:sz w:val="20"/>
          <w:szCs w:val="20"/>
        </w:rPr>
        <w:t xml:space="preserve">Documentation is essential to establishing medical necessity. In support of a PA request, </w:t>
      </w:r>
      <w:r w:rsidR="00E100DB" w:rsidRPr="00BC1373">
        <w:rPr>
          <w:rFonts w:ascii="Book Antiqua" w:hAnsi="Book Antiqua" w:cs="Book Antiqua"/>
          <w:sz w:val="20"/>
          <w:szCs w:val="20"/>
        </w:rPr>
        <w:t>DME providers must provide documentation</w:t>
      </w:r>
      <w:r w:rsidR="008250CD">
        <w:rPr>
          <w:rFonts w:ascii="Book Antiqua" w:hAnsi="Book Antiqua" w:cs="Book Antiqua"/>
          <w:sz w:val="20"/>
          <w:szCs w:val="20"/>
        </w:rPr>
        <w:t xml:space="preserve"> </w:t>
      </w:r>
      <w:r w:rsidR="0080079B" w:rsidRPr="008A11F0">
        <w:rPr>
          <w:rFonts w:ascii="Book Antiqua" w:hAnsi="Book Antiqua" w:cs="Book Antiqua"/>
          <w:sz w:val="20"/>
          <w:szCs w:val="20"/>
        </w:rPr>
        <w:t>t</w:t>
      </w:r>
      <w:r w:rsidR="00E100DB" w:rsidRPr="008A11F0">
        <w:rPr>
          <w:rFonts w:ascii="Book Antiqua" w:hAnsi="Book Antiqua" w:cs="Book Antiqua"/>
          <w:sz w:val="20"/>
          <w:szCs w:val="20"/>
        </w:rPr>
        <w:t xml:space="preserve">hat demonstrates that the member has tried </w:t>
      </w:r>
      <w:r w:rsidR="009678AB" w:rsidRPr="00BC1373">
        <w:rPr>
          <w:rFonts w:ascii="Book Antiqua" w:hAnsi="Book Antiqua" w:cs="Book Antiqua"/>
          <w:sz w:val="20"/>
          <w:szCs w:val="20"/>
        </w:rPr>
        <w:t>less costly</w:t>
      </w:r>
      <w:r w:rsidR="00E100DB" w:rsidRPr="00BC1373">
        <w:rPr>
          <w:rFonts w:ascii="Book Antiqua" w:hAnsi="Book Antiqua" w:cs="Book Antiqua"/>
          <w:sz w:val="20"/>
          <w:szCs w:val="20"/>
        </w:rPr>
        <w:t xml:space="preserve"> alternatives and still requires </w:t>
      </w:r>
      <w:r w:rsidR="00CB50E8" w:rsidRPr="00BC1373">
        <w:rPr>
          <w:rFonts w:ascii="Book Antiqua" w:hAnsi="Book Antiqua" w:cs="Book Antiqua"/>
          <w:sz w:val="20"/>
          <w:szCs w:val="20"/>
        </w:rPr>
        <w:t xml:space="preserve">the requested </w:t>
      </w:r>
      <w:r w:rsidR="00E100DB" w:rsidRPr="00BC1373">
        <w:rPr>
          <w:rFonts w:ascii="Book Antiqua" w:hAnsi="Book Antiqua" w:cs="Book Antiqua"/>
          <w:sz w:val="20"/>
          <w:szCs w:val="20"/>
        </w:rPr>
        <w:t xml:space="preserve">stander. </w:t>
      </w:r>
    </w:p>
    <w:p w14:paraId="5DA1D89C" w14:textId="78D904DC" w:rsidR="009C4C14" w:rsidRPr="00F959E7" w:rsidRDefault="00637589" w:rsidP="009C4C14">
      <w:pPr>
        <w:autoSpaceDE w:val="0"/>
        <w:autoSpaceDN w:val="0"/>
        <w:adjustRightInd w:val="0"/>
        <w:rPr>
          <w:rFonts w:ascii="Book Antiqua" w:hAnsi="Book Antiqua" w:cs="Book Antiqua"/>
          <w:sz w:val="20"/>
          <w:szCs w:val="20"/>
        </w:rPr>
      </w:pPr>
      <w:r w:rsidRPr="00637589">
        <w:rPr>
          <w:rFonts w:ascii="Book Antiqua" w:hAnsi="Book Antiqua" w:cs="Book Antiqua"/>
          <w:sz w:val="20"/>
          <w:szCs w:val="20"/>
        </w:rPr>
        <w:t>“Therapeutic standing can be achieved utilizing standing devices such as static standers, tilt tables, or the power-assisted standing component in certain wheelchairs.”</w:t>
      </w:r>
      <w:r w:rsidR="006E7666" w:rsidRPr="008A11F0">
        <w:rPr>
          <w:rFonts w:ascii="Book Antiqua" w:hAnsi="Book Antiqua" w:cs="Book Antiqua"/>
          <w:sz w:val="20"/>
          <w:szCs w:val="20"/>
        </w:rPr>
        <w:t xml:space="preserve"> Evidence</w:t>
      </w:r>
      <w:r w:rsidR="000F46C1">
        <w:rPr>
          <w:rFonts w:ascii="Book Antiqua" w:hAnsi="Book Antiqua" w:cs="Book Antiqua"/>
          <w:sz w:val="20"/>
          <w:szCs w:val="20"/>
        </w:rPr>
        <w:t>-</w:t>
      </w:r>
      <w:r w:rsidR="006E7666" w:rsidRPr="008A11F0">
        <w:rPr>
          <w:rFonts w:ascii="Book Antiqua" w:hAnsi="Book Antiqua" w:cs="Book Antiqua"/>
          <w:sz w:val="20"/>
          <w:szCs w:val="20"/>
        </w:rPr>
        <w:t xml:space="preserve">based literature supports the impact </w:t>
      </w:r>
      <w:r w:rsidR="00CB50E8" w:rsidRPr="008A11F0">
        <w:rPr>
          <w:rFonts w:ascii="Book Antiqua" w:hAnsi="Book Antiqua" w:cs="Book Antiqua"/>
          <w:sz w:val="20"/>
          <w:szCs w:val="20"/>
        </w:rPr>
        <w:t>of</w:t>
      </w:r>
      <w:r w:rsidR="006E7666" w:rsidRPr="008A11F0">
        <w:rPr>
          <w:rFonts w:ascii="Book Antiqua" w:hAnsi="Book Antiqua" w:cs="Book Antiqua"/>
          <w:sz w:val="20"/>
          <w:szCs w:val="20"/>
        </w:rPr>
        <w:t xml:space="preserve"> home-based </w:t>
      </w:r>
      <w:r w:rsidR="00C54304" w:rsidRPr="008A11F0">
        <w:rPr>
          <w:rFonts w:ascii="Book Antiqua" w:hAnsi="Book Antiqua" w:cs="Book Antiqua"/>
          <w:sz w:val="20"/>
          <w:szCs w:val="20"/>
        </w:rPr>
        <w:t xml:space="preserve">supported standing programs. Literature </w:t>
      </w:r>
      <w:r w:rsidR="000F46C1">
        <w:rPr>
          <w:rFonts w:ascii="Book Antiqua" w:hAnsi="Book Antiqua" w:cs="Book Antiqua"/>
          <w:sz w:val="20"/>
          <w:szCs w:val="20"/>
        </w:rPr>
        <w:t xml:space="preserve">also </w:t>
      </w:r>
      <w:r w:rsidR="00C54304" w:rsidRPr="008A11F0">
        <w:rPr>
          <w:rFonts w:ascii="Book Antiqua" w:hAnsi="Book Antiqua" w:cs="Book Antiqua"/>
          <w:sz w:val="20"/>
          <w:szCs w:val="20"/>
        </w:rPr>
        <w:t xml:space="preserve">demonstrates </w:t>
      </w:r>
      <w:r w:rsidR="009503AF" w:rsidRPr="008A11F0">
        <w:rPr>
          <w:rFonts w:ascii="Book Antiqua" w:hAnsi="Book Antiqua" w:cs="Book Antiqua"/>
          <w:sz w:val="20"/>
          <w:szCs w:val="20"/>
        </w:rPr>
        <w:t xml:space="preserve">the amount of time required in </w:t>
      </w:r>
      <w:r w:rsidR="005D5159" w:rsidRPr="008A11F0">
        <w:rPr>
          <w:rFonts w:ascii="Book Antiqua" w:hAnsi="Book Antiqua" w:cs="Book Antiqua"/>
          <w:sz w:val="20"/>
          <w:szCs w:val="20"/>
        </w:rPr>
        <w:t xml:space="preserve">therapeutic </w:t>
      </w:r>
      <w:r w:rsidR="003830D5" w:rsidRPr="008A11F0">
        <w:rPr>
          <w:rFonts w:ascii="Book Antiqua" w:hAnsi="Book Antiqua" w:cs="Book Antiqua"/>
          <w:sz w:val="20"/>
          <w:szCs w:val="20"/>
        </w:rPr>
        <w:t>standing in</w:t>
      </w:r>
      <w:r w:rsidR="009503AF" w:rsidRPr="00BC1373">
        <w:rPr>
          <w:rFonts w:ascii="Book Antiqua" w:hAnsi="Book Antiqua" w:cs="Book Antiqua"/>
          <w:sz w:val="20"/>
          <w:szCs w:val="20"/>
        </w:rPr>
        <w:t xml:space="preserve"> order </w:t>
      </w:r>
      <w:r w:rsidR="008250CD">
        <w:rPr>
          <w:rFonts w:ascii="Book Antiqua" w:hAnsi="Book Antiqua" w:cs="Book Antiqua"/>
          <w:sz w:val="20"/>
          <w:szCs w:val="20"/>
        </w:rPr>
        <w:t xml:space="preserve">for the user </w:t>
      </w:r>
      <w:r w:rsidR="009503AF" w:rsidRPr="008A11F0">
        <w:rPr>
          <w:rFonts w:ascii="Book Antiqua" w:hAnsi="Book Antiqua" w:cs="Book Antiqua"/>
          <w:sz w:val="20"/>
          <w:szCs w:val="20"/>
        </w:rPr>
        <w:t xml:space="preserve">to achieve a medical benefit. For improvement in </w:t>
      </w:r>
      <w:r w:rsidR="008A59D9" w:rsidRPr="008A11F0">
        <w:rPr>
          <w:rFonts w:ascii="Book Antiqua" w:hAnsi="Book Antiqua" w:cs="Book Antiqua"/>
          <w:sz w:val="20"/>
          <w:szCs w:val="20"/>
        </w:rPr>
        <w:t xml:space="preserve">high </w:t>
      </w:r>
      <w:r w:rsidR="009503AF" w:rsidRPr="008A11F0">
        <w:rPr>
          <w:rFonts w:ascii="Book Antiqua" w:hAnsi="Book Antiqua" w:cs="Book Antiqua"/>
          <w:sz w:val="20"/>
          <w:szCs w:val="20"/>
        </w:rPr>
        <w:t xml:space="preserve">muscle </w:t>
      </w:r>
      <w:r w:rsidR="005D5159" w:rsidRPr="008A11F0">
        <w:rPr>
          <w:rFonts w:ascii="Book Antiqua" w:hAnsi="Book Antiqua" w:cs="Book Antiqua"/>
          <w:sz w:val="20"/>
          <w:szCs w:val="20"/>
        </w:rPr>
        <w:t>tone, a</w:t>
      </w:r>
      <w:r w:rsidR="00C54304" w:rsidRPr="008A11F0">
        <w:rPr>
          <w:rFonts w:ascii="Book Antiqua" w:hAnsi="Book Antiqua" w:cs="Book Antiqua"/>
          <w:sz w:val="20"/>
          <w:szCs w:val="20"/>
        </w:rPr>
        <w:t xml:space="preserve"> user</w:t>
      </w:r>
      <w:r w:rsidR="00D82A36" w:rsidRPr="00BC1373">
        <w:rPr>
          <w:rFonts w:ascii="Book Antiqua" w:hAnsi="Book Antiqua" w:cs="Book Antiqua"/>
          <w:sz w:val="20"/>
          <w:szCs w:val="20"/>
        </w:rPr>
        <w:t xml:space="preserve"> </w:t>
      </w:r>
      <w:r w:rsidR="009503AF" w:rsidRPr="00BC1373">
        <w:rPr>
          <w:rFonts w:ascii="Book Antiqua" w:hAnsi="Book Antiqua" w:cs="Book Antiqua"/>
          <w:sz w:val="20"/>
          <w:szCs w:val="20"/>
        </w:rPr>
        <w:t>must</w:t>
      </w:r>
      <w:r w:rsidR="006E7666" w:rsidRPr="00BC1373">
        <w:rPr>
          <w:rFonts w:ascii="Book Antiqua" w:hAnsi="Book Antiqua" w:cs="Book Antiqua"/>
          <w:sz w:val="20"/>
          <w:szCs w:val="20"/>
        </w:rPr>
        <w:t xml:space="preserve"> be able to tolerate standing for a minimum of 30 minutes</w:t>
      </w:r>
      <w:r w:rsidR="00C62665" w:rsidRPr="00BC1373">
        <w:rPr>
          <w:rFonts w:ascii="Book Antiqua" w:hAnsi="Book Antiqua" w:cs="Book Antiqua"/>
          <w:sz w:val="20"/>
          <w:szCs w:val="20"/>
        </w:rPr>
        <w:t xml:space="preserve"> </w:t>
      </w:r>
      <w:r w:rsidR="00AA0A3D" w:rsidRPr="00BC1373">
        <w:rPr>
          <w:rFonts w:ascii="Book Antiqua" w:hAnsi="Book Antiqua" w:cs="Book Antiqua"/>
          <w:sz w:val="20"/>
          <w:szCs w:val="20"/>
        </w:rPr>
        <w:t>at a time once a day. Optimal benefit for improvement in or maintenance of bone mineralizatio</w:t>
      </w:r>
      <w:r w:rsidR="00AA0A3D" w:rsidRPr="00F959E7">
        <w:rPr>
          <w:rFonts w:ascii="Book Antiqua" w:hAnsi="Book Antiqua" w:cs="Book Antiqua"/>
          <w:sz w:val="20"/>
          <w:szCs w:val="20"/>
        </w:rPr>
        <w:t>n and density requires a</w:t>
      </w:r>
      <w:r w:rsidR="006E7666" w:rsidRPr="00F959E7">
        <w:rPr>
          <w:rFonts w:ascii="Book Antiqua" w:hAnsi="Book Antiqua" w:cs="Book Antiqua"/>
          <w:sz w:val="20"/>
          <w:szCs w:val="20"/>
        </w:rPr>
        <w:t xml:space="preserve"> </w:t>
      </w:r>
      <w:r w:rsidR="003A1B80" w:rsidRPr="00F959E7">
        <w:rPr>
          <w:rFonts w:ascii="Book Antiqua" w:hAnsi="Book Antiqua" w:cs="Book Antiqua"/>
          <w:sz w:val="20"/>
          <w:szCs w:val="20"/>
        </w:rPr>
        <w:t xml:space="preserve">standing </w:t>
      </w:r>
      <w:r w:rsidR="006E7666" w:rsidRPr="00F959E7">
        <w:rPr>
          <w:rFonts w:ascii="Book Antiqua" w:hAnsi="Book Antiqua" w:cs="Book Antiqua"/>
          <w:sz w:val="20"/>
          <w:szCs w:val="20"/>
        </w:rPr>
        <w:t xml:space="preserve">time of 60 minutes </w:t>
      </w:r>
      <w:r w:rsidR="0080079B" w:rsidRPr="00F959E7">
        <w:rPr>
          <w:rFonts w:ascii="Book Antiqua" w:hAnsi="Book Antiqua" w:cs="Book Antiqua"/>
          <w:sz w:val="20"/>
          <w:szCs w:val="20"/>
        </w:rPr>
        <w:t>per day</w:t>
      </w:r>
      <w:r w:rsidR="00F15170" w:rsidRPr="00F959E7">
        <w:rPr>
          <w:rFonts w:ascii="Book Antiqua" w:hAnsi="Book Antiqua" w:cs="Book Antiqua"/>
          <w:sz w:val="20"/>
          <w:szCs w:val="20"/>
        </w:rPr>
        <w:t xml:space="preserve">. In order </w:t>
      </w:r>
      <w:r w:rsidR="008250CD">
        <w:rPr>
          <w:rFonts w:ascii="Book Antiqua" w:hAnsi="Book Antiqua" w:cs="Book Antiqua"/>
          <w:sz w:val="20"/>
          <w:szCs w:val="20"/>
        </w:rPr>
        <w:t xml:space="preserve">for the user </w:t>
      </w:r>
      <w:r w:rsidR="00F15170" w:rsidRPr="008A11F0">
        <w:rPr>
          <w:rFonts w:ascii="Book Antiqua" w:hAnsi="Book Antiqua" w:cs="Book Antiqua"/>
          <w:sz w:val="20"/>
          <w:szCs w:val="20"/>
        </w:rPr>
        <w:t xml:space="preserve">to </w:t>
      </w:r>
      <w:r w:rsidR="0080079B" w:rsidRPr="008A11F0">
        <w:rPr>
          <w:rFonts w:ascii="Book Antiqua" w:hAnsi="Book Antiqua" w:cs="Book Antiqua"/>
          <w:sz w:val="20"/>
          <w:szCs w:val="20"/>
        </w:rPr>
        <w:t>achieve</w:t>
      </w:r>
      <w:r w:rsidR="00F15170" w:rsidRPr="008A11F0">
        <w:rPr>
          <w:rFonts w:ascii="Book Antiqua" w:hAnsi="Book Antiqua" w:cs="Book Antiqua"/>
          <w:sz w:val="20"/>
          <w:szCs w:val="20"/>
        </w:rPr>
        <w:t xml:space="preserve"> these benefits, standing must be performed </w:t>
      </w:r>
      <w:r w:rsidR="00D82A36" w:rsidRPr="008A11F0">
        <w:rPr>
          <w:rFonts w:ascii="Book Antiqua" w:hAnsi="Book Antiqua" w:cs="Book Antiqua"/>
          <w:sz w:val="20"/>
          <w:szCs w:val="20"/>
        </w:rPr>
        <w:t xml:space="preserve">a minimum of </w:t>
      </w:r>
      <w:r w:rsidR="000F46C1">
        <w:rPr>
          <w:rFonts w:ascii="Book Antiqua" w:hAnsi="Book Antiqua" w:cs="Book Antiqua"/>
          <w:sz w:val="20"/>
          <w:szCs w:val="20"/>
        </w:rPr>
        <w:t>five</w:t>
      </w:r>
      <w:r w:rsidR="000F46C1" w:rsidRPr="008A11F0">
        <w:rPr>
          <w:rFonts w:ascii="Book Antiqua" w:hAnsi="Book Antiqua" w:cs="Book Antiqua"/>
          <w:sz w:val="20"/>
          <w:szCs w:val="20"/>
        </w:rPr>
        <w:t xml:space="preserve"> </w:t>
      </w:r>
      <w:r w:rsidR="0080079B" w:rsidRPr="008A11F0">
        <w:rPr>
          <w:rFonts w:ascii="Book Antiqua" w:hAnsi="Book Antiqua" w:cs="Book Antiqua"/>
          <w:sz w:val="20"/>
          <w:szCs w:val="20"/>
        </w:rPr>
        <w:t>days</w:t>
      </w:r>
      <w:r w:rsidR="00D82A36" w:rsidRPr="008A11F0">
        <w:rPr>
          <w:rFonts w:ascii="Book Antiqua" w:hAnsi="Book Antiqua" w:cs="Book Antiqua"/>
          <w:sz w:val="20"/>
          <w:szCs w:val="20"/>
        </w:rPr>
        <w:t xml:space="preserve"> per week</w:t>
      </w:r>
      <w:r w:rsidR="006E7666" w:rsidRPr="008A11F0">
        <w:rPr>
          <w:rFonts w:ascii="Book Antiqua" w:hAnsi="Book Antiqua" w:cs="Book Antiqua"/>
          <w:sz w:val="20"/>
          <w:szCs w:val="20"/>
        </w:rPr>
        <w:t>. Evidence</w:t>
      </w:r>
      <w:r w:rsidR="000F46C1">
        <w:rPr>
          <w:rFonts w:ascii="Book Antiqua" w:hAnsi="Book Antiqua" w:cs="Book Antiqua"/>
          <w:sz w:val="20"/>
          <w:szCs w:val="20"/>
        </w:rPr>
        <w:t>-</w:t>
      </w:r>
      <w:r w:rsidR="006E7666" w:rsidRPr="008A11F0">
        <w:rPr>
          <w:rFonts w:ascii="Book Antiqua" w:hAnsi="Book Antiqua" w:cs="Book Antiqua"/>
          <w:sz w:val="20"/>
          <w:szCs w:val="20"/>
        </w:rPr>
        <w:t>based literature demonstrate</w:t>
      </w:r>
      <w:r w:rsidR="007B2800" w:rsidRPr="008A11F0">
        <w:rPr>
          <w:rFonts w:ascii="Book Antiqua" w:hAnsi="Book Antiqua" w:cs="Book Antiqua"/>
          <w:sz w:val="20"/>
          <w:szCs w:val="20"/>
        </w:rPr>
        <w:t>s</w:t>
      </w:r>
      <w:r w:rsidR="006E7666" w:rsidRPr="008A11F0">
        <w:rPr>
          <w:rFonts w:ascii="Book Antiqua" w:hAnsi="Book Antiqua" w:cs="Book Antiqua"/>
          <w:sz w:val="20"/>
          <w:szCs w:val="20"/>
        </w:rPr>
        <w:t xml:space="preserve"> that </w:t>
      </w:r>
      <w:r w:rsidR="009503AF" w:rsidRPr="008A11F0">
        <w:rPr>
          <w:rFonts w:ascii="Book Antiqua" w:hAnsi="Book Antiqua" w:cs="Book Antiqua"/>
          <w:sz w:val="20"/>
          <w:szCs w:val="20"/>
        </w:rPr>
        <w:t xml:space="preserve">standing for </w:t>
      </w:r>
      <w:r w:rsidR="003B2978" w:rsidRPr="008A11F0">
        <w:rPr>
          <w:rFonts w:ascii="Book Antiqua" w:hAnsi="Book Antiqua" w:cs="Book Antiqua"/>
          <w:sz w:val="20"/>
          <w:szCs w:val="20"/>
        </w:rPr>
        <w:t xml:space="preserve">periods of </w:t>
      </w:r>
      <w:r w:rsidR="000F46C1">
        <w:rPr>
          <w:rFonts w:ascii="Book Antiqua" w:hAnsi="Book Antiqua" w:cs="Book Antiqua"/>
          <w:sz w:val="20"/>
          <w:szCs w:val="20"/>
        </w:rPr>
        <w:t>fewer</w:t>
      </w:r>
      <w:r w:rsidR="000F46C1" w:rsidRPr="008A11F0">
        <w:rPr>
          <w:rFonts w:ascii="Book Antiqua" w:hAnsi="Book Antiqua" w:cs="Book Antiqua"/>
          <w:sz w:val="20"/>
          <w:szCs w:val="20"/>
        </w:rPr>
        <w:t xml:space="preserve"> </w:t>
      </w:r>
      <w:r w:rsidR="003B2978" w:rsidRPr="008A11F0">
        <w:rPr>
          <w:rFonts w:ascii="Book Antiqua" w:hAnsi="Book Antiqua" w:cs="Book Antiqua"/>
          <w:sz w:val="20"/>
          <w:szCs w:val="20"/>
        </w:rPr>
        <w:t>than 30 minutes</w:t>
      </w:r>
      <w:r w:rsidR="00294113" w:rsidRPr="008A11F0">
        <w:rPr>
          <w:rFonts w:ascii="Book Antiqua" w:hAnsi="Book Antiqua" w:cs="Book Antiqua"/>
          <w:sz w:val="20"/>
          <w:szCs w:val="20"/>
        </w:rPr>
        <w:t>,</w:t>
      </w:r>
      <w:r w:rsidR="003B2978" w:rsidRPr="008A11F0">
        <w:rPr>
          <w:rFonts w:ascii="Book Antiqua" w:hAnsi="Book Antiqua" w:cs="Book Antiqua"/>
          <w:sz w:val="20"/>
          <w:szCs w:val="20"/>
        </w:rPr>
        <w:t xml:space="preserve"> </w:t>
      </w:r>
      <w:r w:rsidR="006E7666" w:rsidRPr="008A11F0">
        <w:rPr>
          <w:rFonts w:ascii="Book Antiqua" w:hAnsi="Book Antiqua" w:cs="Book Antiqua"/>
          <w:sz w:val="20"/>
          <w:szCs w:val="20"/>
        </w:rPr>
        <w:t>multiple t</w:t>
      </w:r>
      <w:r w:rsidR="006E7666" w:rsidRPr="00BC1373">
        <w:rPr>
          <w:rFonts w:ascii="Book Antiqua" w:hAnsi="Book Antiqua" w:cs="Book Antiqua"/>
          <w:sz w:val="20"/>
          <w:szCs w:val="20"/>
        </w:rPr>
        <w:t xml:space="preserve">imes per day </w:t>
      </w:r>
      <w:r w:rsidR="007B2800" w:rsidRPr="00BC1373">
        <w:rPr>
          <w:rFonts w:ascii="Book Antiqua" w:hAnsi="Book Antiqua" w:cs="Book Antiqua"/>
          <w:sz w:val="20"/>
          <w:szCs w:val="20"/>
        </w:rPr>
        <w:t xml:space="preserve">does not produce </w:t>
      </w:r>
      <w:r w:rsidR="00B9512B" w:rsidRPr="00BC1373">
        <w:rPr>
          <w:rFonts w:ascii="Book Antiqua" w:hAnsi="Book Antiqua" w:cs="Book Antiqua"/>
          <w:sz w:val="20"/>
          <w:szCs w:val="20"/>
        </w:rPr>
        <w:t>a similar</w:t>
      </w:r>
      <w:r w:rsidR="00C54304" w:rsidRPr="00BC1373">
        <w:rPr>
          <w:rFonts w:ascii="Book Antiqua" w:hAnsi="Book Antiqua" w:cs="Book Antiqua"/>
          <w:sz w:val="20"/>
          <w:szCs w:val="20"/>
        </w:rPr>
        <w:t xml:space="preserve"> </w:t>
      </w:r>
      <w:r w:rsidR="009503AF" w:rsidRPr="00BC1373">
        <w:rPr>
          <w:rFonts w:ascii="Book Antiqua" w:hAnsi="Book Antiqua" w:cs="Book Antiqua"/>
          <w:sz w:val="20"/>
          <w:szCs w:val="20"/>
        </w:rPr>
        <w:t xml:space="preserve">therapeutic </w:t>
      </w:r>
      <w:r w:rsidR="007B2800" w:rsidRPr="00F959E7">
        <w:rPr>
          <w:rFonts w:ascii="Book Antiqua" w:hAnsi="Book Antiqua" w:cs="Book Antiqua"/>
          <w:sz w:val="20"/>
          <w:szCs w:val="20"/>
        </w:rPr>
        <w:t>benefit</w:t>
      </w:r>
      <w:r w:rsidR="00AA0A3D" w:rsidRPr="00F959E7">
        <w:rPr>
          <w:rFonts w:ascii="Book Antiqua" w:hAnsi="Book Antiqua" w:cs="Book Antiqua"/>
          <w:sz w:val="20"/>
          <w:szCs w:val="20"/>
        </w:rPr>
        <w:t xml:space="preserve"> for muscle and bone health</w:t>
      </w:r>
      <w:r w:rsidR="00937398">
        <w:rPr>
          <w:rFonts w:ascii="Book Antiqua" w:hAnsi="Book Antiqua" w:cs="Book Antiqua"/>
          <w:sz w:val="20"/>
          <w:szCs w:val="20"/>
        </w:rPr>
        <w:t>.</w:t>
      </w:r>
    </w:p>
    <w:p w14:paraId="00871C3B" w14:textId="77777777" w:rsidR="00B46C44" w:rsidRDefault="00B46C44">
      <w:pPr>
        <w:spacing w:after="200" w:line="276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</w:rPr>
        <w:br w:type="page"/>
      </w:r>
    </w:p>
    <w:p w14:paraId="5A52BBDA" w14:textId="77777777" w:rsidR="00E100DB" w:rsidRPr="00F959E7" w:rsidRDefault="00E100DB" w:rsidP="009C4C14">
      <w:pPr>
        <w:pStyle w:val="Heading7"/>
        <w:rPr>
          <w:rFonts w:ascii="Tahoma" w:hAnsi="Tahoma" w:cs="Tahoma"/>
        </w:rPr>
      </w:pPr>
      <w:r w:rsidRPr="00F959E7">
        <w:rPr>
          <w:rFonts w:ascii="Tahoma" w:hAnsi="Tahoma" w:cs="Tahoma"/>
        </w:rPr>
        <w:lastRenderedPageBreak/>
        <w:t>Section II. Clinical Guidelines</w:t>
      </w:r>
    </w:p>
    <w:p w14:paraId="32FD91C8" w14:textId="77777777" w:rsidR="00E100DB" w:rsidRPr="00F959E7" w:rsidRDefault="00E100DB" w:rsidP="009C4C14">
      <w:pPr>
        <w:pStyle w:val="Heading1"/>
        <w:rPr>
          <w:rFonts w:ascii="Arial" w:hAnsi="Arial" w:cs="Arial"/>
          <w:sz w:val="22"/>
          <w:szCs w:val="22"/>
        </w:rPr>
      </w:pPr>
    </w:p>
    <w:p w14:paraId="44CE8710" w14:textId="77777777" w:rsidR="00E100DB" w:rsidRPr="008A11F0" w:rsidRDefault="00E100DB" w:rsidP="009C4C14">
      <w:pPr>
        <w:pStyle w:val="Heading1"/>
        <w:rPr>
          <w:rFonts w:ascii="Tahoma" w:hAnsi="Tahoma" w:cs="Tahoma"/>
        </w:rPr>
      </w:pPr>
      <w:r w:rsidRPr="00F959E7">
        <w:rPr>
          <w:rFonts w:ascii="Tahoma" w:hAnsi="Tahoma" w:cs="Tahoma"/>
        </w:rPr>
        <w:t>A</w:t>
      </w:r>
      <w:r w:rsidRPr="008A11F0">
        <w:rPr>
          <w:rFonts w:ascii="Tahoma" w:hAnsi="Tahoma" w:cs="Tahoma"/>
        </w:rPr>
        <w:t>.  Clinical Coverage</w:t>
      </w:r>
      <w:r w:rsidR="00AB6789" w:rsidRPr="008A11F0">
        <w:rPr>
          <w:rFonts w:ascii="Tahoma" w:hAnsi="Tahoma" w:cs="Tahoma"/>
        </w:rPr>
        <w:t xml:space="preserve"> for Static Standers and Tilt Tables</w:t>
      </w:r>
    </w:p>
    <w:p w14:paraId="42204FBF" w14:textId="77777777" w:rsidR="00E100DB" w:rsidRPr="00BC1373" w:rsidRDefault="00E100DB" w:rsidP="00E100DB">
      <w:pPr>
        <w:rPr>
          <w:sz w:val="16"/>
          <w:szCs w:val="16"/>
        </w:rPr>
      </w:pPr>
    </w:p>
    <w:p w14:paraId="6CA0318B" w14:textId="77777777" w:rsidR="00E100DB" w:rsidRPr="008A11F0" w:rsidRDefault="00E100DB" w:rsidP="00E100DB">
      <w:pPr>
        <w:rPr>
          <w:rFonts w:ascii="Book Antiqua" w:hAnsi="Book Antiqua" w:cs="Book Antiqua"/>
          <w:sz w:val="20"/>
          <w:szCs w:val="20"/>
        </w:rPr>
      </w:pPr>
      <w:r w:rsidRPr="00BC1373">
        <w:rPr>
          <w:rFonts w:ascii="Book Antiqua" w:hAnsi="Book Antiqua" w:cs="Book Antiqua"/>
          <w:sz w:val="20"/>
          <w:szCs w:val="20"/>
        </w:rPr>
        <w:t xml:space="preserve">MassHealth bases its determination of medical necessity for </w:t>
      </w:r>
      <w:r w:rsidR="003C5096" w:rsidRPr="00BC1373">
        <w:rPr>
          <w:rFonts w:ascii="Book Antiqua" w:hAnsi="Book Antiqua" w:cs="Book Antiqua"/>
          <w:sz w:val="20"/>
          <w:szCs w:val="20"/>
        </w:rPr>
        <w:t xml:space="preserve">static </w:t>
      </w:r>
      <w:r w:rsidRPr="00BC1373">
        <w:rPr>
          <w:rFonts w:ascii="Book Antiqua" w:hAnsi="Book Antiqua" w:cs="Book Antiqua"/>
          <w:sz w:val="20"/>
          <w:szCs w:val="20"/>
        </w:rPr>
        <w:t xml:space="preserve">standers </w:t>
      </w:r>
      <w:r w:rsidR="003C5096" w:rsidRPr="00F959E7">
        <w:rPr>
          <w:rFonts w:ascii="Book Antiqua" w:hAnsi="Book Antiqua" w:cs="Book Antiqua"/>
          <w:sz w:val="20"/>
          <w:szCs w:val="20"/>
        </w:rPr>
        <w:t xml:space="preserve">and tilt tables </w:t>
      </w:r>
      <w:r w:rsidRPr="00F959E7">
        <w:rPr>
          <w:rFonts w:ascii="Book Antiqua" w:hAnsi="Book Antiqua" w:cs="Book Antiqua"/>
          <w:sz w:val="20"/>
          <w:szCs w:val="20"/>
        </w:rPr>
        <w:t>on clinical data</w:t>
      </w:r>
      <w:r w:rsidR="002F7E8D">
        <w:rPr>
          <w:rFonts w:ascii="Book Antiqua" w:hAnsi="Book Antiqua" w:cs="Book Antiqua"/>
          <w:sz w:val="20"/>
          <w:szCs w:val="20"/>
        </w:rPr>
        <w:t>,</w:t>
      </w:r>
      <w:r w:rsidRPr="00F959E7">
        <w:rPr>
          <w:rFonts w:ascii="Book Antiqua" w:hAnsi="Book Antiqua" w:cs="Book Antiqua"/>
          <w:sz w:val="20"/>
          <w:szCs w:val="20"/>
        </w:rPr>
        <w:t xml:space="preserve"> </w:t>
      </w:r>
      <w:r w:rsidRPr="008A11F0">
        <w:rPr>
          <w:rFonts w:ascii="Book Antiqua" w:hAnsi="Book Antiqua" w:cs="Book Antiqua"/>
          <w:sz w:val="20"/>
          <w:szCs w:val="20"/>
        </w:rPr>
        <w:t xml:space="preserve">as well as </w:t>
      </w:r>
      <w:r w:rsidR="002F7E8D">
        <w:rPr>
          <w:rFonts w:ascii="Book Antiqua" w:hAnsi="Book Antiqua" w:cs="Book Antiqua"/>
          <w:sz w:val="20"/>
          <w:szCs w:val="20"/>
        </w:rPr>
        <w:t xml:space="preserve">on </w:t>
      </w:r>
      <w:r w:rsidRPr="008A11F0">
        <w:rPr>
          <w:rFonts w:ascii="Book Antiqua" w:hAnsi="Book Antiqua" w:cs="Book Antiqua"/>
          <w:sz w:val="20"/>
          <w:szCs w:val="20"/>
        </w:rPr>
        <w:t>indicators of the relative risks and benefits of their use. These criteria include, but are not limited to, the following</w:t>
      </w:r>
      <w:r w:rsidR="00A50B2B" w:rsidRPr="008A11F0">
        <w:rPr>
          <w:rFonts w:ascii="Book Antiqua" w:hAnsi="Book Antiqua" w:cs="Book Antiqua"/>
          <w:sz w:val="20"/>
          <w:szCs w:val="20"/>
        </w:rPr>
        <w:t>.</w:t>
      </w:r>
    </w:p>
    <w:p w14:paraId="5899958F" w14:textId="77777777" w:rsidR="00E100DB" w:rsidRPr="00F959E7" w:rsidRDefault="00E100DB" w:rsidP="00E100DB">
      <w:pPr>
        <w:numPr>
          <w:ilvl w:val="0"/>
          <w:numId w:val="34"/>
        </w:numPr>
        <w:spacing w:before="120"/>
        <w:rPr>
          <w:rFonts w:ascii="Book Antiqua" w:hAnsi="Book Antiqua" w:cs="Book Antiqua"/>
          <w:sz w:val="20"/>
          <w:szCs w:val="20"/>
        </w:rPr>
      </w:pPr>
      <w:r w:rsidRPr="00BC1373">
        <w:rPr>
          <w:rFonts w:ascii="Book Antiqua" w:hAnsi="Book Antiqua" w:cs="Book Antiqua"/>
          <w:sz w:val="20"/>
          <w:szCs w:val="20"/>
        </w:rPr>
        <w:t xml:space="preserve">The member is unable to stand or ambulate independently due to conditions such as, but not limited to, neuromuscular </w:t>
      </w:r>
      <w:r w:rsidR="007A4ADA" w:rsidRPr="00BC1373">
        <w:rPr>
          <w:rFonts w:ascii="Book Antiqua" w:hAnsi="Book Antiqua" w:cs="Book Antiqua"/>
          <w:sz w:val="20"/>
          <w:szCs w:val="20"/>
        </w:rPr>
        <w:t xml:space="preserve">or </w:t>
      </w:r>
      <w:r w:rsidRPr="00BC1373">
        <w:rPr>
          <w:rFonts w:ascii="Book Antiqua" w:hAnsi="Book Antiqua" w:cs="Book Antiqua"/>
          <w:sz w:val="20"/>
          <w:szCs w:val="20"/>
        </w:rPr>
        <w:t xml:space="preserve">congenital </w:t>
      </w:r>
      <w:r w:rsidR="00771939" w:rsidRPr="00BC1373">
        <w:rPr>
          <w:rFonts w:ascii="Book Antiqua" w:hAnsi="Book Antiqua" w:cs="Book Antiqua"/>
          <w:sz w:val="20"/>
          <w:szCs w:val="20"/>
        </w:rPr>
        <w:t>disorders,</w:t>
      </w:r>
      <w:r w:rsidR="00CF7CDD" w:rsidRPr="00BC1373">
        <w:rPr>
          <w:rFonts w:ascii="Book Antiqua" w:hAnsi="Book Antiqua" w:cs="Book Antiqua"/>
          <w:sz w:val="20"/>
          <w:szCs w:val="20"/>
        </w:rPr>
        <w:t xml:space="preserve"> including </w:t>
      </w:r>
      <w:r w:rsidRPr="00F959E7">
        <w:rPr>
          <w:rFonts w:ascii="Book Antiqua" w:hAnsi="Book Antiqua" w:cs="Book Antiqua"/>
          <w:sz w:val="20"/>
          <w:szCs w:val="20"/>
        </w:rPr>
        <w:t>acquired skeletal abnormalities.</w:t>
      </w:r>
    </w:p>
    <w:p w14:paraId="170B76BA" w14:textId="77777777" w:rsidR="00E100DB" w:rsidRPr="00634CD7" w:rsidRDefault="00E100DB" w:rsidP="00E100DB">
      <w:pPr>
        <w:numPr>
          <w:ilvl w:val="0"/>
          <w:numId w:val="35"/>
        </w:numPr>
        <w:spacing w:before="120"/>
        <w:rPr>
          <w:rFonts w:ascii="Book Antiqua" w:hAnsi="Book Antiqua" w:cs="Book Antiqua"/>
          <w:sz w:val="20"/>
          <w:szCs w:val="20"/>
        </w:rPr>
      </w:pPr>
      <w:r w:rsidRPr="00F959E7">
        <w:rPr>
          <w:rFonts w:ascii="Book Antiqua" w:hAnsi="Book Antiqua" w:cs="Book Antiqua"/>
          <w:sz w:val="20"/>
          <w:szCs w:val="20"/>
        </w:rPr>
        <w:t>The member (a</w:t>
      </w:r>
      <w:r w:rsidR="00FB2BFD" w:rsidRPr="00F959E7">
        <w:rPr>
          <w:rFonts w:ascii="Book Antiqua" w:hAnsi="Book Antiqua" w:cs="Book Antiqua"/>
          <w:sz w:val="20"/>
          <w:szCs w:val="20"/>
        </w:rPr>
        <w:t>.</w:t>
      </w:r>
      <w:r w:rsidRPr="00F959E7">
        <w:rPr>
          <w:rFonts w:ascii="Book Antiqua" w:hAnsi="Book Antiqua" w:cs="Book Antiqua"/>
          <w:sz w:val="20"/>
          <w:szCs w:val="20"/>
        </w:rPr>
        <w:t>) is at high risk for lower</w:t>
      </w:r>
      <w:r w:rsidR="007A4ADA" w:rsidRPr="00F959E7">
        <w:rPr>
          <w:rFonts w:ascii="Book Antiqua" w:hAnsi="Book Antiqua" w:cs="Book Antiqua"/>
          <w:sz w:val="20"/>
          <w:szCs w:val="20"/>
        </w:rPr>
        <w:t>-</w:t>
      </w:r>
      <w:r w:rsidRPr="00F959E7">
        <w:rPr>
          <w:rFonts w:ascii="Book Antiqua" w:hAnsi="Book Antiqua" w:cs="Book Antiqua"/>
          <w:sz w:val="20"/>
          <w:szCs w:val="20"/>
        </w:rPr>
        <w:t>limb or trunk contracture(s), or (</w:t>
      </w:r>
      <w:r w:rsidR="00771939" w:rsidRPr="00F959E7">
        <w:rPr>
          <w:rFonts w:ascii="Book Antiqua" w:hAnsi="Book Antiqua" w:cs="Book Antiqua"/>
          <w:sz w:val="20"/>
          <w:szCs w:val="20"/>
        </w:rPr>
        <w:t>b</w:t>
      </w:r>
      <w:r w:rsidR="00FB2BFD" w:rsidRPr="00F959E7">
        <w:rPr>
          <w:rFonts w:ascii="Book Antiqua" w:hAnsi="Book Antiqua" w:cs="Book Antiqua"/>
          <w:sz w:val="20"/>
          <w:szCs w:val="20"/>
        </w:rPr>
        <w:t>.</w:t>
      </w:r>
      <w:r w:rsidRPr="00F959E7">
        <w:rPr>
          <w:rFonts w:ascii="Book Antiqua" w:hAnsi="Book Antiqua" w:cs="Book Antiqua"/>
          <w:sz w:val="20"/>
          <w:szCs w:val="20"/>
        </w:rPr>
        <w:t xml:space="preserve">) has </w:t>
      </w:r>
      <w:r w:rsidR="00803F2C" w:rsidRPr="00F959E7">
        <w:rPr>
          <w:rFonts w:ascii="Book Antiqua" w:hAnsi="Book Antiqua" w:cs="Book Antiqua"/>
          <w:sz w:val="20"/>
          <w:szCs w:val="20"/>
        </w:rPr>
        <w:t xml:space="preserve">non-fixed </w:t>
      </w:r>
      <w:r w:rsidRPr="00F959E7">
        <w:rPr>
          <w:rFonts w:ascii="Book Antiqua" w:hAnsi="Book Antiqua" w:cs="Book Antiqua"/>
          <w:sz w:val="20"/>
          <w:szCs w:val="20"/>
        </w:rPr>
        <w:t>contracture(s) that have not improved with other interventions</w:t>
      </w:r>
      <w:r w:rsidR="007A4ADA" w:rsidRPr="00F959E7">
        <w:rPr>
          <w:rFonts w:ascii="Book Antiqua" w:hAnsi="Book Antiqua" w:cs="Book Antiqua"/>
          <w:sz w:val="20"/>
          <w:szCs w:val="20"/>
        </w:rPr>
        <w:t xml:space="preserve"> (</w:t>
      </w:r>
      <w:r w:rsidRPr="00F959E7">
        <w:rPr>
          <w:rFonts w:ascii="Book Antiqua" w:hAnsi="Book Antiqua" w:cs="Book Antiqua"/>
          <w:sz w:val="20"/>
          <w:szCs w:val="20"/>
        </w:rPr>
        <w:t>e.g., stretching, splinting, serial casting, medications, or other modalities</w:t>
      </w:r>
      <w:r w:rsidR="007A4ADA" w:rsidRPr="00634CD7">
        <w:rPr>
          <w:rFonts w:ascii="Book Antiqua" w:hAnsi="Book Antiqua" w:cs="Book Antiqua"/>
          <w:sz w:val="20"/>
          <w:szCs w:val="20"/>
        </w:rPr>
        <w:t>)</w:t>
      </w:r>
      <w:r w:rsidRPr="00634CD7">
        <w:rPr>
          <w:rFonts w:ascii="Book Antiqua" w:hAnsi="Book Antiqua" w:cs="Book Antiqua"/>
          <w:sz w:val="20"/>
          <w:szCs w:val="20"/>
        </w:rPr>
        <w:t xml:space="preserve">. </w:t>
      </w:r>
    </w:p>
    <w:p w14:paraId="2DD68700" w14:textId="77777777" w:rsidR="00E100DB" w:rsidRPr="00634CD7" w:rsidRDefault="00E100DB" w:rsidP="00E100DB">
      <w:pPr>
        <w:numPr>
          <w:ilvl w:val="0"/>
          <w:numId w:val="35"/>
        </w:numPr>
        <w:spacing w:before="120"/>
        <w:rPr>
          <w:rFonts w:ascii="Book Antiqua" w:hAnsi="Book Antiqua" w:cs="Book Antiqua"/>
          <w:sz w:val="20"/>
          <w:szCs w:val="20"/>
        </w:rPr>
      </w:pPr>
      <w:r w:rsidRPr="00634CD7">
        <w:rPr>
          <w:rFonts w:ascii="Book Antiqua" w:hAnsi="Book Antiqua" w:cs="Book Antiqua"/>
          <w:sz w:val="20"/>
          <w:szCs w:val="20"/>
        </w:rPr>
        <w:t>The alignment of the member’s lower extremity</w:t>
      </w:r>
      <w:r w:rsidRPr="00634CD7">
        <w:rPr>
          <w:rFonts w:ascii="Book Antiqua" w:hAnsi="Book Antiqua" w:cs="Book Antiqua"/>
          <w:color w:val="FF0000"/>
          <w:sz w:val="20"/>
          <w:szCs w:val="20"/>
        </w:rPr>
        <w:t xml:space="preserve"> </w:t>
      </w:r>
      <w:r w:rsidRPr="00634CD7">
        <w:rPr>
          <w:rFonts w:ascii="Book Antiqua" w:hAnsi="Book Antiqua" w:cs="Book Antiqua"/>
          <w:sz w:val="20"/>
          <w:szCs w:val="20"/>
        </w:rPr>
        <w:t>is such that the foot</w:t>
      </w:r>
      <w:r w:rsidR="005D5159" w:rsidRPr="00634CD7">
        <w:rPr>
          <w:rFonts w:ascii="Book Antiqua" w:hAnsi="Book Antiqua" w:cs="Book Antiqua"/>
          <w:sz w:val="20"/>
          <w:szCs w:val="20"/>
        </w:rPr>
        <w:t xml:space="preserve">, </w:t>
      </w:r>
      <w:r w:rsidRPr="00634CD7">
        <w:rPr>
          <w:rFonts w:ascii="Book Antiqua" w:hAnsi="Book Antiqua" w:cs="Book Antiqua"/>
          <w:sz w:val="20"/>
          <w:szCs w:val="20"/>
        </w:rPr>
        <w:t>ankle</w:t>
      </w:r>
      <w:r w:rsidR="008F0270" w:rsidRPr="00634CD7">
        <w:rPr>
          <w:rFonts w:ascii="Book Antiqua" w:hAnsi="Book Antiqua" w:cs="Book Antiqua"/>
          <w:sz w:val="20"/>
          <w:szCs w:val="20"/>
        </w:rPr>
        <w:t>, knee, and hip</w:t>
      </w:r>
      <w:r w:rsidRPr="00634CD7">
        <w:rPr>
          <w:rFonts w:ascii="Book Antiqua" w:hAnsi="Book Antiqua" w:cs="Book Antiqua"/>
          <w:sz w:val="20"/>
          <w:szCs w:val="20"/>
        </w:rPr>
        <w:t xml:space="preserve"> can tolerate a standing or upright position.</w:t>
      </w:r>
    </w:p>
    <w:p w14:paraId="1A05E524" w14:textId="77777777" w:rsidR="003A1B80" w:rsidRPr="00634CD7" w:rsidRDefault="003A1B80" w:rsidP="00134D0C">
      <w:pPr>
        <w:numPr>
          <w:ilvl w:val="0"/>
          <w:numId w:val="35"/>
        </w:numPr>
        <w:spacing w:before="120"/>
        <w:rPr>
          <w:rFonts w:ascii="Book Antiqua" w:hAnsi="Book Antiqua" w:cs="Book Antiqua"/>
          <w:sz w:val="20"/>
          <w:szCs w:val="20"/>
        </w:rPr>
      </w:pPr>
      <w:r w:rsidRPr="00634CD7">
        <w:rPr>
          <w:rFonts w:ascii="Book Antiqua" w:hAnsi="Book Antiqua" w:cs="Book Antiqua"/>
          <w:sz w:val="20"/>
          <w:szCs w:val="20"/>
        </w:rPr>
        <w:t>The member has demonstrated the ability to tolerate standing for a therapeutic length of time</w:t>
      </w:r>
      <w:r w:rsidR="008A59D9" w:rsidRPr="00634CD7">
        <w:rPr>
          <w:rFonts w:ascii="Book Antiqua" w:hAnsi="Book Antiqua" w:cs="Book Antiqua"/>
          <w:sz w:val="20"/>
          <w:szCs w:val="20"/>
        </w:rPr>
        <w:t>,</w:t>
      </w:r>
      <w:r w:rsidR="009B78E8" w:rsidRPr="00634CD7">
        <w:rPr>
          <w:rFonts w:ascii="Book Antiqua" w:hAnsi="Book Antiqua" w:cs="Book Antiqua"/>
          <w:sz w:val="20"/>
          <w:szCs w:val="20"/>
        </w:rPr>
        <w:t xml:space="preserve"> </w:t>
      </w:r>
      <w:r w:rsidR="008A59D9" w:rsidRPr="00634CD7">
        <w:rPr>
          <w:rFonts w:ascii="Book Antiqua" w:hAnsi="Book Antiqua" w:cs="Book Antiqua"/>
          <w:sz w:val="20"/>
          <w:szCs w:val="20"/>
        </w:rPr>
        <w:t>a minimum of</w:t>
      </w:r>
      <w:r w:rsidR="009B78E8" w:rsidRPr="00634CD7">
        <w:rPr>
          <w:rFonts w:ascii="Book Antiqua" w:hAnsi="Book Antiqua" w:cs="Book Antiqua"/>
          <w:sz w:val="20"/>
          <w:szCs w:val="20"/>
        </w:rPr>
        <w:t xml:space="preserve"> 30 minutes or more</w:t>
      </w:r>
      <w:r w:rsidR="008A59D9" w:rsidRPr="00634CD7">
        <w:rPr>
          <w:rFonts w:ascii="Book Antiqua" w:hAnsi="Book Antiqua" w:cs="Book Antiqua"/>
          <w:sz w:val="20"/>
          <w:szCs w:val="20"/>
        </w:rPr>
        <w:t xml:space="preserve"> at one time</w:t>
      </w:r>
      <w:r w:rsidR="008F0270" w:rsidRPr="00634CD7">
        <w:rPr>
          <w:rFonts w:ascii="Book Antiqua" w:hAnsi="Book Antiqua" w:cs="Book Antiqua"/>
          <w:sz w:val="20"/>
          <w:szCs w:val="20"/>
        </w:rPr>
        <w:t>,</w:t>
      </w:r>
      <w:r w:rsidRPr="00634CD7">
        <w:rPr>
          <w:rFonts w:ascii="Book Antiqua" w:hAnsi="Book Antiqua" w:cs="Book Antiqua"/>
          <w:sz w:val="20"/>
          <w:szCs w:val="20"/>
        </w:rPr>
        <w:t xml:space="preserve"> </w:t>
      </w:r>
      <w:r w:rsidR="003A2BD5" w:rsidRPr="00634CD7">
        <w:rPr>
          <w:rFonts w:ascii="Book Antiqua" w:hAnsi="Book Antiqua" w:cs="Book Antiqua"/>
          <w:sz w:val="20"/>
          <w:szCs w:val="20"/>
        </w:rPr>
        <w:t>during a documented trial period</w:t>
      </w:r>
      <w:r w:rsidRPr="00634CD7">
        <w:rPr>
          <w:rFonts w:ascii="Book Antiqua" w:hAnsi="Book Antiqua" w:cs="Book Antiqua"/>
          <w:sz w:val="20"/>
          <w:szCs w:val="20"/>
        </w:rPr>
        <w:t xml:space="preserve">.  </w:t>
      </w:r>
    </w:p>
    <w:p w14:paraId="6F345D42" w14:textId="77777777" w:rsidR="00E100DB" w:rsidRPr="00634CD7" w:rsidRDefault="00E100DB" w:rsidP="00E100DB">
      <w:pPr>
        <w:numPr>
          <w:ilvl w:val="0"/>
          <w:numId w:val="36"/>
        </w:numPr>
        <w:spacing w:before="120"/>
        <w:rPr>
          <w:rFonts w:ascii="Book Antiqua" w:hAnsi="Book Antiqua" w:cs="Book Antiqua"/>
          <w:sz w:val="20"/>
          <w:szCs w:val="20"/>
        </w:rPr>
      </w:pPr>
      <w:r w:rsidRPr="00634CD7">
        <w:rPr>
          <w:rFonts w:ascii="Book Antiqua" w:hAnsi="Book Antiqua" w:cs="Book Antiqua"/>
          <w:sz w:val="20"/>
          <w:szCs w:val="20"/>
        </w:rPr>
        <w:t>The member has improve</w:t>
      </w:r>
      <w:r w:rsidR="009B78E8" w:rsidRPr="00634CD7">
        <w:rPr>
          <w:rFonts w:ascii="Book Antiqua" w:hAnsi="Book Antiqua" w:cs="Book Antiqua"/>
          <w:sz w:val="20"/>
          <w:szCs w:val="20"/>
        </w:rPr>
        <w:t>d</w:t>
      </w:r>
      <w:r w:rsidRPr="00634CD7">
        <w:rPr>
          <w:rFonts w:ascii="Book Antiqua" w:hAnsi="Book Antiqua" w:cs="Book Antiqua"/>
          <w:sz w:val="20"/>
          <w:szCs w:val="20"/>
        </w:rPr>
        <w:t xml:space="preserve"> </w:t>
      </w:r>
      <w:r w:rsidR="009B78E8" w:rsidRPr="00634CD7">
        <w:rPr>
          <w:rFonts w:ascii="Book Antiqua" w:hAnsi="Book Antiqua" w:cs="Book Antiqua"/>
          <w:sz w:val="20"/>
          <w:szCs w:val="20"/>
        </w:rPr>
        <w:t xml:space="preserve">or maintained status </w:t>
      </w:r>
      <w:r w:rsidRPr="00634CD7">
        <w:rPr>
          <w:rFonts w:ascii="Book Antiqua" w:hAnsi="Book Antiqua" w:cs="Book Antiqua"/>
          <w:sz w:val="20"/>
          <w:szCs w:val="20"/>
        </w:rPr>
        <w:t xml:space="preserve">in mobility, ambulation, or physiologic symptoms with the use of the selected </w:t>
      </w:r>
      <w:r w:rsidR="00731C15" w:rsidRPr="00634CD7">
        <w:rPr>
          <w:rFonts w:ascii="Book Antiqua" w:hAnsi="Book Antiqua" w:cs="Book Antiqua"/>
          <w:sz w:val="20"/>
          <w:szCs w:val="20"/>
        </w:rPr>
        <w:t>device</w:t>
      </w:r>
      <w:r w:rsidRPr="00634CD7">
        <w:rPr>
          <w:rFonts w:ascii="Book Antiqua" w:hAnsi="Book Antiqua" w:cs="Book Antiqua"/>
          <w:sz w:val="20"/>
          <w:szCs w:val="20"/>
        </w:rPr>
        <w:t xml:space="preserve"> and is able to follow a home therapy program incorporating the use of the </w:t>
      </w:r>
      <w:r w:rsidR="00731C15" w:rsidRPr="00634CD7">
        <w:rPr>
          <w:rFonts w:ascii="Book Antiqua" w:hAnsi="Book Antiqua" w:cs="Book Antiqua"/>
          <w:sz w:val="20"/>
          <w:szCs w:val="20"/>
        </w:rPr>
        <w:t>device</w:t>
      </w:r>
      <w:r w:rsidR="00A50B2B" w:rsidRPr="00634CD7">
        <w:rPr>
          <w:rFonts w:ascii="Book Antiqua" w:hAnsi="Book Antiqua" w:cs="Book Antiqua"/>
          <w:sz w:val="20"/>
          <w:szCs w:val="20"/>
        </w:rPr>
        <w:t>.</w:t>
      </w:r>
    </w:p>
    <w:p w14:paraId="46EA9C3F" w14:textId="77777777" w:rsidR="00A26086" w:rsidRPr="00634CD7" w:rsidRDefault="00E100DB" w:rsidP="00A26086">
      <w:pPr>
        <w:numPr>
          <w:ilvl w:val="0"/>
          <w:numId w:val="36"/>
        </w:numPr>
        <w:spacing w:before="120"/>
        <w:rPr>
          <w:rFonts w:ascii="Book Antiqua" w:hAnsi="Book Antiqua" w:cs="Book Antiqua"/>
          <w:sz w:val="20"/>
          <w:szCs w:val="20"/>
        </w:rPr>
      </w:pPr>
      <w:r w:rsidRPr="00634CD7">
        <w:rPr>
          <w:rFonts w:ascii="Book Antiqua" w:hAnsi="Book Antiqua" w:cs="Book Antiqua"/>
          <w:sz w:val="20"/>
          <w:szCs w:val="20"/>
        </w:rPr>
        <w:t xml:space="preserve">There is a </w:t>
      </w:r>
      <w:r w:rsidR="000B1499" w:rsidRPr="00634CD7">
        <w:rPr>
          <w:rFonts w:ascii="Book Antiqua" w:hAnsi="Book Antiqua" w:cs="Book Antiqua"/>
          <w:sz w:val="20"/>
          <w:szCs w:val="20"/>
        </w:rPr>
        <w:t xml:space="preserve">prescribed </w:t>
      </w:r>
      <w:r w:rsidRPr="00634CD7">
        <w:rPr>
          <w:rFonts w:ascii="Book Antiqua" w:hAnsi="Book Antiqua" w:cs="Book Antiqua"/>
          <w:sz w:val="20"/>
          <w:szCs w:val="20"/>
        </w:rPr>
        <w:t xml:space="preserve">home </w:t>
      </w:r>
      <w:r w:rsidR="002C62C4" w:rsidRPr="00634CD7">
        <w:rPr>
          <w:rFonts w:ascii="Book Antiqua" w:hAnsi="Book Antiqua" w:cs="Book Antiqua"/>
          <w:sz w:val="20"/>
          <w:szCs w:val="20"/>
        </w:rPr>
        <w:t xml:space="preserve">standing program </w:t>
      </w:r>
      <w:r w:rsidRPr="00634CD7">
        <w:rPr>
          <w:rFonts w:ascii="Book Antiqua" w:hAnsi="Book Antiqua" w:cs="Book Antiqua"/>
          <w:sz w:val="20"/>
          <w:szCs w:val="20"/>
        </w:rPr>
        <w:t>outlining the use of the requested</w:t>
      </w:r>
      <w:r w:rsidRPr="00634CD7">
        <w:rPr>
          <w:rFonts w:ascii="Book Antiqua" w:hAnsi="Book Antiqua" w:cs="Book Antiqua"/>
          <w:color w:val="FF00FF"/>
          <w:sz w:val="20"/>
          <w:szCs w:val="20"/>
        </w:rPr>
        <w:t xml:space="preserve"> </w:t>
      </w:r>
      <w:r w:rsidR="00731C15" w:rsidRPr="00634CD7">
        <w:rPr>
          <w:rFonts w:ascii="Book Antiqua" w:hAnsi="Book Antiqua" w:cs="Book Antiqua"/>
          <w:sz w:val="20"/>
          <w:szCs w:val="20"/>
        </w:rPr>
        <w:t>device</w:t>
      </w:r>
      <w:r w:rsidR="000B1499" w:rsidRPr="00634CD7">
        <w:rPr>
          <w:rFonts w:ascii="Book Antiqua" w:hAnsi="Book Antiqua" w:cs="Book Antiqua"/>
          <w:sz w:val="20"/>
          <w:szCs w:val="20"/>
        </w:rPr>
        <w:t xml:space="preserve"> that can be carried out by the </w:t>
      </w:r>
      <w:r w:rsidR="002C1DC5" w:rsidRPr="00634CD7">
        <w:rPr>
          <w:rFonts w:ascii="Book Antiqua" w:hAnsi="Book Antiqua" w:cs="Book Antiqua"/>
          <w:sz w:val="20"/>
          <w:szCs w:val="20"/>
        </w:rPr>
        <w:t>m</w:t>
      </w:r>
      <w:r w:rsidR="000B1499" w:rsidRPr="00634CD7">
        <w:rPr>
          <w:rFonts w:ascii="Book Antiqua" w:hAnsi="Book Antiqua" w:cs="Book Antiqua"/>
          <w:sz w:val="20"/>
          <w:szCs w:val="20"/>
        </w:rPr>
        <w:t>ember</w:t>
      </w:r>
      <w:r w:rsidR="003B2978" w:rsidRPr="00634CD7">
        <w:rPr>
          <w:rFonts w:ascii="Book Antiqua" w:hAnsi="Book Antiqua" w:cs="Book Antiqua"/>
          <w:sz w:val="20"/>
          <w:szCs w:val="20"/>
        </w:rPr>
        <w:t xml:space="preserve"> </w:t>
      </w:r>
      <w:r w:rsidR="004826BC" w:rsidRPr="00634CD7">
        <w:rPr>
          <w:rFonts w:ascii="Book Antiqua" w:hAnsi="Book Antiqua" w:cs="Book Antiqua"/>
          <w:sz w:val="20"/>
          <w:szCs w:val="20"/>
        </w:rPr>
        <w:t xml:space="preserve">safely and </w:t>
      </w:r>
      <w:r w:rsidR="003B2978" w:rsidRPr="00634CD7">
        <w:rPr>
          <w:rFonts w:ascii="Book Antiqua" w:hAnsi="Book Antiqua" w:cs="Book Antiqua"/>
          <w:sz w:val="20"/>
          <w:szCs w:val="20"/>
        </w:rPr>
        <w:t>independently or with the assistance of a</w:t>
      </w:r>
      <w:r w:rsidR="000B1499" w:rsidRPr="00634CD7">
        <w:rPr>
          <w:rFonts w:ascii="Book Antiqua" w:hAnsi="Book Antiqua" w:cs="Book Antiqua"/>
          <w:sz w:val="20"/>
          <w:szCs w:val="20"/>
        </w:rPr>
        <w:t xml:space="preserve"> </w:t>
      </w:r>
      <w:r w:rsidR="003B2978" w:rsidRPr="00634CD7">
        <w:rPr>
          <w:rFonts w:ascii="Book Antiqua" w:hAnsi="Book Antiqua" w:cs="Book Antiqua"/>
          <w:sz w:val="20"/>
          <w:szCs w:val="20"/>
        </w:rPr>
        <w:t>c</w:t>
      </w:r>
      <w:r w:rsidR="000B1499" w:rsidRPr="00634CD7">
        <w:rPr>
          <w:rFonts w:ascii="Book Antiqua" w:hAnsi="Book Antiqua" w:cs="Book Antiqua"/>
          <w:sz w:val="20"/>
          <w:szCs w:val="20"/>
        </w:rPr>
        <w:t>aregiver</w:t>
      </w:r>
      <w:r w:rsidRPr="00634CD7">
        <w:rPr>
          <w:rFonts w:ascii="Book Antiqua" w:hAnsi="Book Antiqua" w:cs="Book Antiqua"/>
          <w:sz w:val="20"/>
          <w:szCs w:val="20"/>
        </w:rPr>
        <w:t>.</w:t>
      </w:r>
    </w:p>
    <w:p w14:paraId="3178ECB0" w14:textId="77777777" w:rsidR="00A26086" w:rsidRPr="00634CD7" w:rsidRDefault="00A26086" w:rsidP="00B41503">
      <w:pPr>
        <w:tabs>
          <w:tab w:val="num" w:pos="720"/>
        </w:tabs>
        <w:rPr>
          <w:rFonts w:ascii="Book Antiqua" w:hAnsi="Book Antiqua" w:cs="Book Antiqua"/>
          <w:sz w:val="20"/>
          <w:szCs w:val="20"/>
        </w:rPr>
      </w:pPr>
    </w:p>
    <w:p w14:paraId="071CE093" w14:textId="1900E6E3" w:rsidR="003C5096" w:rsidRPr="008A11F0" w:rsidRDefault="00A26086" w:rsidP="00B41503">
      <w:pPr>
        <w:tabs>
          <w:tab w:val="num" w:pos="720"/>
        </w:tabs>
        <w:rPr>
          <w:rFonts w:ascii="Tahoma" w:hAnsi="Tahoma" w:cs="Tahoma"/>
          <w:b/>
        </w:rPr>
      </w:pPr>
      <w:r w:rsidRPr="00634CD7">
        <w:rPr>
          <w:rFonts w:ascii="Tahoma" w:hAnsi="Tahoma" w:cs="Tahoma"/>
          <w:b/>
        </w:rPr>
        <w:t>B.</w:t>
      </w:r>
      <w:r w:rsidRPr="00634CD7">
        <w:rPr>
          <w:rFonts w:ascii="Tahoma" w:hAnsi="Tahoma" w:cs="Tahoma"/>
        </w:rPr>
        <w:t xml:space="preserve">  </w:t>
      </w:r>
      <w:r w:rsidRPr="00634CD7">
        <w:rPr>
          <w:rFonts w:ascii="Tahoma" w:hAnsi="Tahoma" w:cs="Tahoma"/>
          <w:b/>
        </w:rPr>
        <w:t xml:space="preserve">Clinical Coverage for </w:t>
      </w:r>
      <w:r w:rsidR="002E792C" w:rsidRPr="00634CD7">
        <w:rPr>
          <w:rFonts w:ascii="Tahoma" w:hAnsi="Tahoma" w:cs="Tahoma"/>
          <w:b/>
        </w:rPr>
        <w:t>Power-</w:t>
      </w:r>
      <w:r w:rsidR="00593320" w:rsidRPr="00634CD7">
        <w:rPr>
          <w:rFonts w:ascii="Tahoma" w:hAnsi="Tahoma" w:cs="Tahoma"/>
          <w:b/>
        </w:rPr>
        <w:t>A</w:t>
      </w:r>
      <w:r w:rsidR="002E792C" w:rsidRPr="00634CD7">
        <w:rPr>
          <w:rFonts w:ascii="Tahoma" w:hAnsi="Tahoma" w:cs="Tahoma"/>
          <w:b/>
        </w:rPr>
        <w:t>ssisted</w:t>
      </w:r>
      <w:r w:rsidR="00FE3D0B" w:rsidRPr="00634CD7">
        <w:rPr>
          <w:rFonts w:ascii="Tahoma" w:hAnsi="Tahoma" w:cs="Tahoma"/>
          <w:b/>
        </w:rPr>
        <w:t xml:space="preserve"> </w:t>
      </w:r>
      <w:r w:rsidR="00B46C44">
        <w:rPr>
          <w:rFonts w:ascii="Tahoma" w:hAnsi="Tahoma" w:cs="Tahoma"/>
          <w:b/>
        </w:rPr>
        <w:t>(</w:t>
      </w:r>
      <w:r w:rsidR="00A01569">
        <w:rPr>
          <w:rFonts w:ascii="Tahoma" w:hAnsi="Tahoma" w:cs="Tahoma"/>
          <w:b/>
        </w:rPr>
        <w:t>Dynamic</w:t>
      </w:r>
      <w:r w:rsidR="00B46C44">
        <w:rPr>
          <w:rFonts w:ascii="Tahoma" w:hAnsi="Tahoma" w:cs="Tahoma"/>
          <w:b/>
        </w:rPr>
        <w:t>)</w:t>
      </w:r>
      <w:r w:rsidR="00A01569">
        <w:rPr>
          <w:rFonts w:ascii="Tahoma" w:hAnsi="Tahoma" w:cs="Tahoma"/>
          <w:b/>
        </w:rPr>
        <w:t xml:space="preserve"> </w:t>
      </w:r>
      <w:r w:rsidR="00FE3D0B" w:rsidRPr="008A11F0">
        <w:rPr>
          <w:rFonts w:ascii="Tahoma" w:hAnsi="Tahoma" w:cs="Tahoma"/>
          <w:b/>
        </w:rPr>
        <w:t xml:space="preserve">Standing Components for </w:t>
      </w:r>
      <w:r w:rsidR="00F82D75">
        <w:rPr>
          <w:rFonts w:ascii="Tahoma" w:hAnsi="Tahoma" w:cs="Tahoma"/>
          <w:b/>
        </w:rPr>
        <w:t xml:space="preserve">  </w:t>
      </w:r>
      <w:r w:rsidR="005D5159" w:rsidRPr="008A11F0">
        <w:rPr>
          <w:rFonts w:ascii="Tahoma" w:hAnsi="Tahoma" w:cs="Tahoma"/>
          <w:b/>
        </w:rPr>
        <w:t>Wheelchairs</w:t>
      </w:r>
    </w:p>
    <w:p w14:paraId="79E02990" w14:textId="77777777" w:rsidR="00A37882" w:rsidRPr="00BC1373" w:rsidRDefault="00A37882" w:rsidP="00A37882">
      <w:pPr>
        <w:rPr>
          <w:sz w:val="16"/>
          <w:szCs w:val="16"/>
        </w:rPr>
      </w:pPr>
    </w:p>
    <w:p w14:paraId="27A76210" w14:textId="77777777" w:rsidR="00A26086" w:rsidRPr="008A11F0" w:rsidRDefault="003C5096" w:rsidP="00B41503">
      <w:pPr>
        <w:tabs>
          <w:tab w:val="num" w:pos="720"/>
        </w:tabs>
        <w:rPr>
          <w:rFonts w:ascii="Book Antiqua" w:hAnsi="Book Antiqua" w:cs="Book Antiqua"/>
          <w:sz w:val="20"/>
          <w:szCs w:val="20"/>
        </w:rPr>
      </w:pPr>
      <w:r w:rsidRPr="00BC1373">
        <w:rPr>
          <w:rFonts w:ascii="Book Antiqua" w:hAnsi="Book Antiqua" w:cs="Book Antiqua"/>
          <w:sz w:val="20"/>
          <w:szCs w:val="20"/>
        </w:rPr>
        <w:t>MassHealth bases its determination of medical necessity for power-assisted stand</w:t>
      </w:r>
      <w:r w:rsidR="00D01FC2" w:rsidRPr="00BC1373">
        <w:rPr>
          <w:rFonts w:ascii="Book Antiqua" w:hAnsi="Book Antiqua" w:cs="Book Antiqua"/>
          <w:sz w:val="20"/>
          <w:szCs w:val="20"/>
        </w:rPr>
        <w:t>ing components</w:t>
      </w:r>
      <w:r w:rsidRPr="00BC1373">
        <w:rPr>
          <w:rFonts w:ascii="Book Antiqua" w:hAnsi="Book Antiqua" w:cs="Book Antiqua"/>
          <w:sz w:val="20"/>
          <w:szCs w:val="20"/>
        </w:rPr>
        <w:t xml:space="preserve"> on clinical data</w:t>
      </w:r>
      <w:r w:rsidR="002F7E8D">
        <w:rPr>
          <w:rFonts w:ascii="Book Antiqua" w:hAnsi="Book Antiqua" w:cs="Book Antiqua"/>
          <w:sz w:val="20"/>
          <w:szCs w:val="20"/>
        </w:rPr>
        <w:t>,</w:t>
      </w:r>
      <w:r w:rsidRPr="00BC1373">
        <w:rPr>
          <w:rFonts w:ascii="Book Antiqua" w:hAnsi="Book Antiqua" w:cs="Book Antiqua"/>
          <w:sz w:val="20"/>
          <w:szCs w:val="20"/>
        </w:rPr>
        <w:t xml:space="preserve"> </w:t>
      </w:r>
      <w:r w:rsidRPr="008A11F0">
        <w:rPr>
          <w:rFonts w:ascii="Book Antiqua" w:hAnsi="Book Antiqua" w:cs="Book Antiqua"/>
          <w:sz w:val="20"/>
          <w:szCs w:val="20"/>
        </w:rPr>
        <w:t xml:space="preserve">as well as </w:t>
      </w:r>
      <w:r w:rsidR="002F7E8D">
        <w:rPr>
          <w:rFonts w:ascii="Book Antiqua" w:hAnsi="Book Antiqua" w:cs="Book Antiqua"/>
          <w:sz w:val="20"/>
          <w:szCs w:val="20"/>
        </w:rPr>
        <w:t xml:space="preserve">on </w:t>
      </w:r>
      <w:r w:rsidRPr="008A11F0">
        <w:rPr>
          <w:rFonts w:ascii="Book Antiqua" w:hAnsi="Book Antiqua" w:cs="Book Antiqua"/>
          <w:sz w:val="20"/>
          <w:szCs w:val="20"/>
        </w:rPr>
        <w:t>indicators of the relative risks and benefits of their use. These criteria include, but are not limited to, the following</w:t>
      </w:r>
      <w:r w:rsidR="002F7E8D">
        <w:rPr>
          <w:rFonts w:ascii="Book Antiqua" w:hAnsi="Book Antiqua" w:cs="Book Antiqua"/>
          <w:sz w:val="20"/>
          <w:szCs w:val="20"/>
        </w:rPr>
        <w:t>.</w:t>
      </w:r>
      <w:r w:rsidR="00A26086" w:rsidRPr="008A11F0">
        <w:rPr>
          <w:rFonts w:ascii="Book Antiqua" w:hAnsi="Book Antiqua" w:cs="Book Antiqua"/>
          <w:sz w:val="20"/>
          <w:szCs w:val="20"/>
        </w:rPr>
        <w:t xml:space="preserve"> </w:t>
      </w:r>
    </w:p>
    <w:p w14:paraId="5B69D741" w14:textId="77777777" w:rsidR="00FE3D0B" w:rsidRPr="00BC1373" w:rsidRDefault="00FE3D0B" w:rsidP="00B41503">
      <w:pPr>
        <w:tabs>
          <w:tab w:val="num" w:pos="720"/>
        </w:tabs>
        <w:rPr>
          <w:rFonts w:ascii="Book Antiqua" w:hAnsi="Book Antiqua" w:cs="Book Antiqua"/>
          <w:sz w:val="20"/>
          <w:szCs w:val="20"/>
        </w:rPr>
      </w:pPr>
    </w:p>
    <w:p w14:paraId="0673B17B" w14:textId="77777777" w:rsidR="00E06378" w:rsidRPr="00BC1373" w:rsidRDefault="00E06378">
      <w:pPr>
        <w:numPr>
          <w:ilvl w:val="0"/>
          <w:numId w:val="41"/>
        </w:numPr>
        <w:rPr>
          <w:rFonts w:ascii="Book Antiqua" w:hAnsi="Book Antiqua" w:cs="Book Antiqua"/>
          <w:sz w:val="20"/>
          <w:szCs w:val="20"/>
        </w:rPr>
      </w:pPr>
      <w:r w:rsidRPr="008A11F0">
        <w:rPr>
          <w:rFonts w:ascii="Book Antiqua" w:hAnsi="Book Antiqua" w:cs="Book Antiqua"/>
          <w:sz w:val="20"/>
          <w:szCs w:val="20"/>
        </w:rPr>
        <w:t xml:space="preserve">The member must meet the criteria listed in Section A, above, AND B2 </w:t>
      </w:r>
      <w:r w:rsidR="005F4038" w:rsidRPr="008A11F0">
        <w:rPr>
          <w:rFonts w:ascii="Book Antiqua" w:hAnsi="Book Antiqua" w:cs="Book Antiqua"/>
          <w:sz w:val="20"/>
          <w:szCs w:val="20"/>
        </w:rPr>
        <w:t xml:space="preserve">through B4 </w:t>
      </w:r>
      <w:r w:rsidRPr="00BC1373">
        <w:rPr>
          <w:rFonts w:ascii="Book Antiqua" w:hAnsi="Book Antiqua" w:cs="Book Antiqua"/>
          <w:sz w:val="20"/>
          <w:szCs w:val="20"/>
        </w:rPr>
        <w:t>below</w:t>
      </w:r>
      <w:r w:rsidR="002F7E8D">
        <w:rPr>
          <w:rFonts w:ascii="Book Antiqua" w:hAnsi="Book Antiqua" w:cs="Book Antiqua"/>
          <w:sz w:val="20"/>
          <w:szCs w:val="20"/>
        </w:rPr>
        <w:t>.</w:t>
      </w:r>
    </w:p>
    <w:p w14:paraId="1F6C7F7F" w14:textId="77777777" w:rsidR="005F4038" w:rsidRPr="00634CD7" w:rsidRDefault="00D01FC2">
      <w:pPr>
        <w:numPr>
          <w:ilvl w:val="0"/>
          <w:numId w:val="41"/>
        </w:numPr>
        <w:rPr>
          <w:rFonts w:ascii="Book Antiqua" w:hAnsi="Book Antiqua" w:cs="Book Antiqua"/>
          <w:sz w:val="20"/>
          <w:szCs w:val="20"/>
        </w:rPr>
      </w:pPr>
      <w:r w:rsidRPr="00634CD7">
        <w:rPr>
          <w:rFonts w:ascii="Book Antiqua" w:hAnsi="Book Antiqua" w:cs="Book Antiqua"/>
          <w:sz w:val="20"/>
          <w:szCs w:val="20"/>
        </w:rPr>
        <w:t xml:space="preserve">The member has </w:t>
      </w:r>
      <w:r w:rsidR="008C4BF2" w:rsidRPr="00634CD7">
        <w:rPr>
          <w:rFonts w:ascii="Book Antiqua" w:hAnsi="Book Antiqua" w:cs="Book Antiqua"/>
          <w:sz w:val="20"/>
          <w:szCs w:val="20"/>
        </w:rPr>
        <w:t xml:space="preserve">evidence-based reasons </w:t>
      </w:r>
      <w:r w:rsidR="00B24293" w:rsidRPr="00634CD7">
        <w:rPr>
          <w:rFonts w:ascii="Book Antiqua" w:hAnsi="Book Antiqua" w:cs="Book Antiqua"/>
          <w:sz w:val="20"/>
          <w:szCs w:val="20"/>
        </w:rPr>
        <w:t xml:space="preserve">and documented clinical justification </w:t>
      </w:r>
      <w:r w:rsidR="008C4BF2" w:rsidRPr="00634CD7">
        <w:rPr>
          <w:rFonts w:ascii="Book Antiqua" w:hAnsi="Book Antiqua" w:cs="Book Antiqua"/>
          <w:sz w:val="20"/>
          <w:szCs w:val="20"/>
        </w:rPr>
        <w:t xml:space="preserve">for why </w:t>
      </w:r>
      <w:r w:rsidR="00134D0C" w:rsidRPr="00634CD7">
        <w:rPr>
          <w:rFonts w:ascii="Book Antiqua" w:hAnsi="Book Antiqua" w:cs="Book Antiqua"/>
          <w:sz w:val="20"/>
          <w:szCs w:val="20"/>
        </w:rPr>
        <w:t xml:space="preserve">a power-assisted standing component will meet </w:t>
      </w:r>
      <w:r w:rsidR="008C4BF2" w:rsidRPr="00634CD7">
        <w:rPr>
          <w:rFonts w:ascii="Book Antiqua" w:hAnsi="Book Antiqua" w:cs="Book Antiqua"/>
          <w:sz w:val="20"/>
          <w:szCs w:val="20"/>
        </w:rPr>
        <w:t xml:space="preserve">the member’s medical needs </w:t>
      </w:r>
      <w:r w:rsidR="000D0692" w:rsidRPr="00634CD7">
        <w:rPr>
          <w:rFonts w:ascii="Book Antiqua" w:hAnsi="Book Antiqua" w:cs="Book Antiqua"/>
          <w:sz w:val="20"/>
          <w:szCs w:val="20"/>
        </w:rPr>
        <w:t>and why</w:t>
      </w:r>
      <w:r w:rsidR="00134D0C" w:rsidRPr="00634CD7">
        <w:rPr>
          <w:rFonts w:ascii="Book Antiqua" w:hAnsi="Book Antiqua" w:cs="Book Antiqua"/>
          <w:sz w:val="20"/>
          <w:szCs w:val="20"/>
        </w:rPr>
        <w:t xml:space="preserve"> a static stander or tilt table</w:t>
      </w:r>
      <w:r w:rsidR="003C5096" w:rsidRPr="00634CD7">
        <w:rPr>
          <w:rFonts w:ascii="Book Antiqua" w:hAnsi="Book Antiqua" w:cs="Book Antiqua"/>
          <w:sz w:val="20"/>
          <w:szCs w:val="20"/>
        </w:rPr>
        <w:t xml:space="preserve"> will not</w:t>
      </w:r>
      <w:r w:rsidRPr="00634CD7">
        <w:rPr>
          <w:rFonts w:ascii="Book Antiqua" w:hAnsi="Book Antiqua" w:cs="Book Antiqua"/>
          <w:sz w:val="20"/>
          <w:szCs w:val="20"/>
        </w:rPr>
        <w:t xml:space="preserve"> meet those medical needs</w:t>
      </w:r>
      <w:r w:rsidR="00134D0C" w:rsidRPr="00634CD7">
        <w:rPr>
          <w:rFonts w:ascii="Book Antiqua" w:hAnsi="Book Antiqua" w:cs="Book Antiqua"/>
          <w:sz w:val="20"/>
          <w:szCs w:val="20"/>
        </w:rPr>
        <w:t xml:space="preserve">.  </w:t>
      </w:r>
    </w:p>
    <w:p w14:paraId="2063ED60" w14:textId="77777777" w:rsidR="005F4038" w:rsidRPr="00553D5F" w:rsidRDefault="00D01FC2">
      <w:pPr>
        <w:numPr>
          <w:ilvl w:val="0"/>
          <w:numId w:val="41"/>
        </w:numPr>
        <w:rPr>
          <w:rFonts w:ascii="Book Antiqua" w:hAnsi="Book Antiqua" w:cs="Book Antiqua"/>
          <w:sz w:val="20"/>
          <w:szCs w:val="20"/>
        </w:rPr>
      </w:pPr>
      <w:r w:rsidRPr="00634CD7">
        <w:rPr>
          <w:rFonts w:ascii="Book Antiqua" w:hAnsi="Book Antiqua" w:cs="Book Antiqua"/>
          <w:sz w:val="20"/>
          <w:szCs w:val="20"/>
        </w:rPr>
        <w:t>The member has a</w:t>
      </w:r>
      <w:r w:rsidR="00D369D3" w:rsidRPr="00634CD7">
        <w:rPr>
          <w:rFonts w:ascii="Book Antiqua" w:hAnsi="Book Antiqua" w:cs="Book Antiqua"/>
          <w:sz w:val="20"/>
          <w:szCs w:val="20"/>
        </w:rPr>
        <w:t xml:space="preserve">dditional </w:t>
      </w:r>
      <w:r w:rsidR="005F4038" w:rsidRPr="00634CD7">
        <w:rPr>
          <w:rFonts w:ascii="Book Antiqua" w:hAnsi="Book Antiqua" w:cs="Book Antiqua"/>
          <w:sz w:val="20"/>
          <w:szCs w:val="20"/>
        </w:rPr>
        <w:t xml:space="preserve">symptoms such as pain or increased tone requiring standing throughout the day as a means to alleviate or reduce those symptoms </w:t>
      </w:r>
      <w:r w:rsidR="00A26086" w:rsidRPr="001B5F63">
        <w:rPr>
          <w:rFonts w:ascii="Book Antiqua" w:hAnsi="Book Antiqua" w:cs="Book Antiqua"/>
          <w:sz w:val="20"/>
          <w:szCs w:val="20"/>
        </w:rPr>
        <w:t xml:space="preserve">that would be addressed </w:t>
      </w:r>
      <w:r w:rsidR="005F4038" w:rsidRPr="00553D5F">
        <w:rPr>
          <w:rFonts w:ascii="Book Antiqua" w:hAnsi="Book Antiqua" w:cs="Book Antiqua"/>
          <w:sz w:val="20"/>
          <w:szCs w:val="20"/>
        </w:rPr>
        <w:t>by</w:t>
      </w:r>
      <w:r w:rsidR="00DC7AD3" w:rsidRPr="00553D5F">
        <w:rPr>
          <w:rFonts w:ascii="Book Antiqua" w:hAnsi="Book Antiqua" w:cs="Book Antiqua"/>
          <w:sz w:val="20"/>
          <w:szCs w:val="20"/>
        </w:rPr>
        <w:t xml:space="preserve"> using</w:t>
      </w:r>
      <w:r w:rsidR="00224E70" w:rsidRPr="00553D5F">
        <w:rPr>
          <w:rFonts w:ascii="Book Antiqua" w:hAnsi="Book Antiqua" w:cs="Book Antiqua"/>
          <w:sz w:val="20"/>
          <w:szCs w:val="20"/>
        </w:rPr>
        <w:t xml:space="preserve"> a power-assisted standing component</w:t>
      </w:r>
      <w:r w:rsidRPr="00553D5F">
        <w:t xml:space="preserve"> </w:t>
      </w:r>
      <w:r w:rsidRPr="00553D5F">
        <w:rPr>
          <w:rFonts w:ascii="Book Antiqua" w:hAnsi="Book Antiqua" w:cs="Book Antiqua"/>
          <w:sz w:val="20"/>
          <w:szCs w:val="20"/>
        </w:rPr>
        <w:t xml:space="preserve">and documentation that demonstrates why a static stander or tilt table will not </w:t>
      </w:r>
      <w:r w:rsidR="00C620DF" w:rsidRPr="00553D5F">
        <w:rPr>
          <w:rFonts w:ascii="Book Antiqua" w:hAnsi="Book Antiqua" w:cs="Book Antiqua"/>
          <w:sz w:val="20"/>
          <w:szCs w:val="20"/>
        </w:rPr>
        <w:t>address</w:t>
      </w:r>
      <w:r w:rsidRPr="00553D5F">
        <w:rPr>
          <w:rFonts w:ascii="Book Antiqua" w:hAnsi="Book Antiqua" w:cs="Book Antiqua"/>
          <w:sz w:val="20"/>
          <w:szCs w:val="20"/>
        </w:rPr>
        <w:t xml:space="preserve"> those medical interventions</w:t>
      </w:r>
      <w:r w:rsidR="00185D67" w:rsidRPr="00553D5F">
        <w:rPr>
          <w:rFonts w:ascii="Book Antiqua" w:hAnsi="Book Antiqua" w:cs="Book Antiqua"/>
          <w:sz w:val="20"/>
          <w:szCs w:val="20"/>
        </w:rPr>
        <w:t>.</w:t>
      </w:r>
      <w:r w:rsidR="00224E70" w:rsidRPr="00553D5F">
        <w:rPr>
          <w:rFonts w:ascii="Book Antiqua" w:hAnsi="Book Antiqua" w:cs="Book Antiqua"/>
          <w:sz w:val="20"/>
          <w:szCs w:val="20"/>
        </w:rPr>
        <w:t xml:space="preserve"> </w:t>
      </w:r>
    </w:p>
    <w:p w14:paraId="3496453B" w14:textId="77777777" w:rsidR="00653C83" w:rsidRPr="00553D5F" w:rsidRDefault="00D01FC2">
      <w:pPr>
        <w:numPr>
          <w:ilvl w:val="0"/>
          <w:numId w:val="41"/>
        </w:numPr>
        <w:rPr>
          <w:rFonts w:ascii="Book Antiqua" w:hAnsi="Book Antiqua" w:cs="Book Antiqua"/>
          <w:sz w:val="20"/>
          <w:szCs w:val="20"/>
        </w:rPr>
      </w:pPr>
      <w:r w:rsidRPr="00634CD7">
        <w:rPr>
          <w:rFonts w:ascii="Book Antiqua" w:hAnsi="Book Antiqua" w:cs="Book Antiqua"/>
          <w:sz w:val="20"/>
          <w:szCs w:val="20"/>
        </w:rPr>
        <w:t>The m</w:t>
      </w:r>
      <w:r w:rsidR="00653C83" w:rsidRPr="00634CD7">
        <w:rPr>
          <w:rFonts w:ascii="Book Antiqua" w:hAnsi="Book Antiqua" w:cs="Book Antiqua"/>
          <w:sz w:val="20"/>
          <w:szCs w:val="20"/>
        </w:rPr>
        <w:t xml:space="preserve">ember has demonstrated </w:t>
      </w:r>
      <w:r w:rsidR="00ED789A" w:rsidRPr="00634CD7">
        <w:rPr>
          <w:rFonts w:ascii="Book Antiqua" w:hAnsi="Book Antiqua" w:cs="Book Antiqua"/>
          <w:sz w:val="20"/>
          <w:szCs w:val="20"/>
        </w:rPr>
        <w:t xml:space="preserve">that s/he can </w:t>
      </w:r>
      <w:r w:rsidR="004826BC" w:rsidRPr="00634CD7">
        <w:rPr>
          <w:rFonts w:ascii="Book Antiqua" w:hAnsi="Book Antiqua" w:cs="Book Antiqua"/>
          <w:sz w:val="20"/>
          <w:szCs w:val="20"/>
        </w:rPr>
        <w:t>safe</w:t>
      </w:r>
      <w:r w:rsidR="00ED789A" w:rsidRPr="00634CD7">
        <w:rPr>
          <w:rFonts w:ascii="Book Antiqua" w:hAnsi="Book Antiqua" w:cs="Book Antiqua"/>
          <w:sz w:val="20"/>
          <w:szCs w:val="20"/>
        </w:rPr>
        <w:t>ly</w:t>
      </w:r>
      <w:r w:rsidRPr="00634CD7">
        <w:rPr>
          <w:rFonts w:ascii="Book Antiqua" w:hAnsi="Book Antiqua" w:cs="Book Antiqua"/>
          <w:sz w:val="20"/>
          <w:szCs w:val="20"/>
        </w:rPr>
        <w:t xml:space="preserve"> </w:t>
      </w:r>
      <w:r w:rsidR="001A295C" w:rsidRPr="00634CD7">
        <w:rPr>
          <w:rFonts w:ascii="Book Antiqua" w:hAnsi="Book Antiqua" w:cs="Book Antiqua"/>
          <w:sz w:val="20"/>
          <w:szCs w:val="20"/>
        </w:rPr>
        <w:t>(</w:t>
      </w:r>
      <w:r w:rsidR="000D0692" w:rsidRPr="001B5F63">
        <w:rPr>
          <w:rFonts w:ascii="Book Antiqua" w:hAnsi="Book Antiqua" w:cs="Book Antiqua"/>
          <w:sz w:val="20"/>
          <w:szCs w:val="20"/>
        </w:rPr>
        <w:t xml:space="preserve">member has </w:t>
      </w:r>
      <w:r w:rsidR="001A295C" w:rsidRPr="001B5F63">
        <w:rPr>
          <w:rFonts w:ascii="Book Antiqua" w:hAnsi="Book Antiqua" w:cs="Book Antiqua"/>
          <w:sz w:val="20"/>
          <w:szCs w:val="20"/>
        </w:rPr>
        <w:t>proper safety awareness</w:t>
      </w:r>
      <w:r w:rsidR="008C4BF2" w:rsidRPr="00553D5F">
        <w:rPr>
          <w:rFonts w:ascii="Book Antiqua" w:hAnsi="Book Antiqua" w:cs="Book Antiqua"/>
          <w:sz w:val="20"/>
          <w:szCs w:val="20"/>
        </w:rPr>
        <w:t>)</w:t>
      </w:r>
      <w:r w:rsidR="00A45DB9" w:rsidRPr="00553D5F">
        <w:rPr>
          <w:rFonts w:ascii="Book Antiqua" w:hAnsi="Book Antiqua" w:cs="Book Antiqua"/>
          <w:sz w:val="20"/>
          <w:szCs w:val="20"/>
        </w:rPr>
        <w:t xml:space="preserve"> </w:t>
      </w:r>
      <w:r w:rsidR="00ED789A" w:rsidRPr="00553D5F">
        <w:rPr>
          <w:rFonts w:ascii="Book Antiqua" w:hAnsi="Book Antiqua" w:cs="Book Antiqua"/>
          <w:sz w:val="20"/>
          <w:szCs w:val="20"/>
        </w:rPr>
        <w:t>and</w:t>
      </w:r>
      <w:r w:rsidR="004826BC" w:rsidRPr="00553D5F">
        <w:rPr>
          <w:rFonts w:ascii="Book Antiqua" w:hAnsi="Book Antiqua" w:cs="Book Antiqua"/>
          <w:sz w:val="20"/>
          <w:szCs w:val="20"/>
        </w:rPr>
        <w:t xml:space="preserve"> </w:t>
      </w:r>
      <w:r w:rsidR="00653C83" w:rsidRPr="00553D5F">
        <w:rPr>
          <w:rFonts w:ascii="Book Antiqua" w:hAnsi="Book Antiqua" w:cs="Book Antiqua"/>
          <w:sz w:val="20"/>
          <w:szCs w:val="20"/>
        </w:rPr>
        <w:t>independent</w:t>
      </w:r>
      <w:r w:rsidR="00C620DF" w:rsidRPr="00553D5F">
        <w:rPr>
          <w:rFonts w:ascii="Book Antiqua" w:hAnsi="Book Antiqua" w:cs="Book Antiqua"/>
          <w:sz w:val="20"/>
          <w:szCs w:val="20"/>
        </w:rPr>
        <w:t>ly</w:t>
      </w:r>
      <w:r w:rsidR="00ED789A" w:rsidRPr="00553D5F">
        <w:rPr>
          <w:rFonts w:ascii="Book Antiqua" w:hAnsi="Book Antiqua" w:cs="Book Antiqua"/>
          <w:sz w:val="20"/>
          <w:szCs w:val="20"/>
        </w:rPr>
        <w:t xml:space="preserve"> </w:t>
      </w:r>
      <w:r w:rsidR="00443173" w:rsidRPr="00553D5F">
        <w:rPr>
          <w:rFonts w:ascii="Book Antiqua" w:hAnsi="Book Antiqua" w:cs="Book Antiqua"/>
          <w:sz w:val="20"/>
          <w:szCs w:val="20"/>
        </w:rPr>
        <w:t>(</w:t>
      </w:r>
      <w:r w:rsidR="001A295C" w:rsidRPr="00553D5F">
        <w:rPr>
          <w:rFonts w:ascii="Book Antiqua" w:hAnsi="Book Antiqua" w:cs="Book Antiqua"/>
          <w:sz w:val="20"/>
          <w:szCs w:val="20"/>
        </w:rPr>
        <w:t xml:space="preserve">without physical assistance or cueing) </w:t>
      </w:r>
      <w:r w:rsidR="00653C83" w:rsidRPr="00553D5F">
        <w:rPr>
          <w:rFonts w:ascii="Book Antiqua" w:hAnsi="Book Antiqua" w:cs="Book Antiqua"/>
          <w:sz w:val="20"/>
          <w:szCs w:val="20"/>
        </w:rPr>
        <w:t xml:space="preserve">use the requested device and is able to perform a </w:t>
      </w:r>
      <w:r w:rsidR="000B1499" w:rsidRPr="00553D5F">
        <w:rPr>
          <w:rFonts w:ascii="Book Antiqua" w:hAnsi="Book Antiqua" w:cs="Book Antiqua"/>
          <w:sz w:val="20"/>
          <w:szCs w:val="20"/>
        </w:rPr>
        <w:t xml:space="preserve">prescribed </w:t>
      </w:r>
      <w:r w:rsidR="00653C83" w:rsidRPr="00553D5F">
        <w:rPr>
          <w:rFonts w:ascii="Book Antiqua" w:hAnsi="Book Antiqua" w:cs="Book Antiqua"/>
          <w:sz w:val="20"/>
          <w:szCs w:val="20"/>
        </w:rPr>
        <w:t>home standing program independently</w:t>
      </w:r>
      <w:r w:rsidR="00925C4B" w:rsidRPr="00553D5F">
        <w:rPr>
          <w:rFonts w:ascii="Book Antiqua" w:hAnsi="Book Antiqua" w:cs="Book Antiqua"/>
          <w:sz w:val="20"/>
          <w:szCs w:val="20"/>
        </w:rPr>
        <w:t>.</w:t>
      </w:r>
    </w:p>
    <w:p w14:paraId="03EABB9C" w14:textId="77777777" w:rsidR="00224E70" w:rsidRPr="00553D5F" w:rsidRDefault="00224E70" w:rsidP="00B41503">
      <w:pPr>
        <w:tabs>
          <w:tab w:val="num" w:pos="720"/>
        </w:tabs>
        <w:ind w:left="720"/>
        <w:rPr>
          <w:rFonts w:ascii="Book Antiqua" w:hAnsi="Book Antiqua" w:cs="Book Antiqua"/>
          <w:sz w:val="20"/>
          <w:szCs w:val="20"/>
        </w:rPr>
      </w:pPr>
    </w:p>
    <w:p w14:paraId="5F2BF49C" w14:textId="77777777" w:rsidR="00E100DB" w:rsidRPr="00553D5F" w:rsidRDefault="008D7C3B" w:rsidP="00E100DB">
      <w:pPr>
        <w:pStyle w:val="Heading1"/>
        <w:rPr>
          <w:rFonts w:ascii="Tahoma" w:hAnsi="Tahoma" w:cs="Tahoma"/>
        </w:rPr>
      </w:pPr>
      <w:r w:rsidRPr="00553D5F">
        <w:rPr>
          <w:rFonts w:ascii="Tahoma" w:hAnsi="Tahoma" w:cs="Tahoma"/>
        </w:rPr>
        <w:t>C</w:t>
      </w:r>
      <w:r w:rsidR="00E100DB" w:rsidRPr="00553D5F">
        <w:rPr>
          <w:rFonts w:ascii="Tahoma" w:hAnsi="Tahoma" w:cs="Tahoma"/>
        </w:rPr>
        <w:t xml:space="preserve">.  Noncoverage </w:t>
      </w:r>
    </w:p>
    <w:p w14:paraId="3453F391" w14:textId="77777777" w:rsidR="00E100DB" w:rsidRPr="00553D5F" w:rsidRDefault="00E100DB" w:rsidP="00E100DB">
      <w:pPr>
        <w:rPr>
          <w:b/>
          <w:bCs/>
          <w:sz w:val="16"/>
          <w:szCs w:val="16"/>
        </w:rPr>
      </w:pPr>
    </w:p>
    <w:p w14:paraId="13B3D4ED" w14:textId="0EAEC96C" w:rsidR="000C159C" w:rsidRPr="008A11F0" w:rsidRDefault="000C159C" w:rsidP="000C159C">
      <w:pPr>
        <w:rPr>
          <w:rFonts w:ascii="Book Antiqua" w:hAnsi="Book Antiqua" w:cs="Book Antiqua"/>
          <w:sz w:val="20"/>
          <w:szCs w:val="20"/>
        </w:rPr>
      </w:pPr>
      <w:r w:rsidRPr="00553D5F">
        <w:rPr>
          <w:rFonts w:ascii="Book Antiqua" w:hAnsi="Book Antiqua" w:cs="Book Antiqua"/>
          <w:sz w:val="20"/>
          <w:szCs w:val="20"/>
        </w:rPr>
        <w:t>To be covered under the MassHealth Durable Medical Equipment (DME) program, equipment must, among other requirements, be used primarily and customarily for a medical purpose and not be generally useful in the absence of illness, injury</w:t>
      </w:r>
      <w:r w:rsidR="00492D9E">
        <w:rPr>
          <w:rFonts w:ascii="Book Antiqua" w:hAnsi="Book Antiqua" w:cs="Book Antiqua"/>
          <w:sz w:val="20"/>
          <w:szCs w:val="20"/>
        </w:rPr>
        <w:t>,</w:t>
      </w:r>
      <w:r w:rsidRPr="00553D5F">
        <w:rPr>
          <w:rFonts w:ascii="Book Antiqua" w:hAnsi="Book Antiqua" w:cs="Book Antiqua"/>
          <w:sz w:val="20"/>
          <w:szCs w:val="20"/>
        </w:rPr>
        <w:t xml:space="preserve"> </w:t>
      </w:r>
      <w:r w:rsidRPr="008A11F0">
        <w:rPr>
          <w:rFonts w:ascii="Book Antiqua" w:hAnsi="Book Antiqua" w:cs="Book Antiqua"/>
          <w:sz w:val="20"/>
          <w:szCs w:val="20"/>
        </w:rPr>
        <w:t xml:space="preserve">or disability.  </w:t>
      </w:r>
      <w:r w:rsidRPr="00937398">
        <w:rPr>
          <w:rFonts w:ascii="Book Antiqua" w:hAnsi="Book Antiqua" w:cs="Book Antiqua"/>
          <w:sz w:val="20"/>
          <w:szCs w:val="20"/>
        </w:rPr>
        <w:t>See</w:t>
      </w:r>
      <w:r w:rsidRPr="008A11F0">
        <w:rPr>
          <w:rFonts w:ascii="Book Antiqua" w:hAnsi="Book Antiqua" w:cs="Book Antiqua"/>
          <w:sz w:val="20"/>
          <w:szCs w:val="20"/>
        </w:rPr>
        <w:t xml:space="preserve"> 130 CMR 409.402 (definition of DME). Accordingly, non-medical equipment, such as a glider, is not covered as DME.</w:t>
      </w:r>
    </w:p>
    <w:p w14:paraId="74FC3401" w14:textId="77777777" w:rsidR="000C159C" w:rsidRPr="00BC1373" w:rsidRDefault="000C159C" w:rsidP="00E100DB">
      <w:pPr>
        <w:rPr>
          <w:rFonts w:ascii="Book Antiqua" w:hAnsi="Book Antiqua" w:cs="Book Antiqua"/>
          <w:sz w:val="20"/>
          <w:szCs w:val="20"/>
        </w:rPr>
      </w:pPr>
    </w:p>
    <w:p w14:paraId="0A63F524" w14:textId="77777777" w:rsidR="00E100DB" w:rsidRPr="00BC1373" w:rsidRDefault="000C159C" w:rsidP="00E100DB">
      <w:pPr>
        <w:rPr>
          <w:rFonts w:ascii="Book Antiqua" w:hAnsi="Book Antiqua" w:cs="Book Antiqua"/>
          <w:sz w:val="20"/>
          <w:szCs w:val="20"/>
        </w:rPr>
      </w:pPr>
      <w:r w:rsidRPr="00BC1373">
        <w:rPr>
          <w:rFonts w:ascii="Book Antiqua" w:hAnsi="Book Antiqua" w:cs="Book Antiqua"/>
          <w:sz w:val="20"/>
          <w:szCs w:val="20"/>
        </w:rPr>
        <w:t xml:space="preserve">Additionally, </w:t>
      </w:r>
      <w:r w:rsidR="00E100DB" w:rsidRPr="00BC1373">
        <w:rPr>
          <w:rFonts w:ascii="Book Antiqua" w:hAnsi="Book Antiqua" w:cs="Book Antiqua"/>
          <w:sz w:val="20"/>
          <w:szCs w:val="20"/>
        </w:rPr>
        <w:t xml:space="preserve">MassHealth does not consider standers to be medically necessary under certain circumstances. </w:t>
      </w:r>
    </w:p>
    <w:p w14:paraId="37C01369" w14:textId="77777777" w:rsidR="00E100DB" w:rsidRPr="008A11F0" w:rsidRDefault="00E100DB" w:rsidP="00E100DB">
      <w:pPr>
        <w:rPr>
          <w:rFonts w:ascii="Book Antiqua" w:hAnsi="Book Antiqua" w:cs="Book Antiqua"/>
          <w:sz w:val="20"/>
          <w:szCs w:val="20"/>
        </w:rPr>
      </w:pPr>
      <w:r w:rsidRPr="00F959E7">
        <w:rPr>
          <w:rFonts w:ascii="Book Antiqua" w:hAnsi="Book Antiqua" w:cs="Book Antiqua"/>
          <w:sz w:val="20"/>
          <w:szCs w:val="20"/>
        </w:rPr>
        <w:lastRenderedPageBreak/>
        <w:t xml:space="preserve">Examples of such circumstances include, but are not limited to, the </w:t>
      </w:r>
      <w:r w:rsidRPr="008A11F0">
        <w:rPr>
          <w:rFonts w:ascii="Book Antiqua" w:hAnsi="Book Antiqua" w:cs="Book Antiqua"/>
          <w:sz w:val="20"/>
          <w:szCs w:val="20"/>
        </w:rPr>
        <w:t>following</w:t>
      </w:r>
      <w:r w:rsidR="00A50B2B" w:rsidRPr="008A11F0">
        <w:rPr>
          <w:rFonts w:ascii="Book Antiqua" w:hAnsi="Book Antiqua" w:cs="Book Antiqua"/>
          <w:sz w:val="20"/>
          <w:szCs w:val="20"/>
        </w:rPr>
        <w:t>.</w:t>
      </w:r>
    </w:p>
    <w:p w14:paraId="5EB578DC" w14:textId="77777777" w:rsidR="00332361" w:rsidRPr="008A11F0" w:rsidRDefault="00332361" w:rsidP="00E100DB">
      <w:pPr>
        <w:rPr>
          <w:rFonts w:ascii="Book Antiqua" w:hAnsi="Book Antiqua" w:cs="Book Antiqua"/>
          <w:sz w:val="20"/>
          <w:szCs w:val="20"/>
        </w:rPr>
      </w:pPr>
    </w:p>
    <w:p w14:paraId="72EA8854" w14:textId="77777777" w:rsidR="00E100DB" w:rsidRPr="00F959E7" w:rsidRDefault="00E100DB" w:rsidP="00771939">
      <w:pPr>
        <w:numPr>
          <w:ilvl w:val="0"/>
          <w:numId w:val="39"/>
        </w:numPr>
        <w:rPr>
          <w:rFonts w:ascii="Book Antiqua" w:hAnsi="Book Antiqua" w:cs="Book Antiqua"/>
          <w:sz w:val="20"/>
          <w:szCs w:val="20"/>
        </w:rPr>
      </w:pPr>
      <w:r w:rsidRPr="00BC1373">
        <w:rPr>
          <w:rFonts w:ascii="Book Antiqua" w:hAnsi="Book Antiqua" w:cs="Book Antiqua"/>
          <w:sz w:val="20"/>
          <w:szCs w:val="20"/>
        </w:rPr>
        <w:t>The</w:t>
      </w:r>
      <w:r w:rsidR="001977D7" w:rsidRPr="00BC1373">
        <w:rPr>
          <w:rFonts w:ascii="Book Antiqua" w:hAnsi="Book Antiqua" w:cs="Book Antiqua"/>
          <w:sz w:val="20"/>
          <w:szCs w:val="20"/>
        </w:rPr>
        <w:t xml:space="preserve"> documentation does not support that the member is able to achieve the </w:t>
      </w:r>
      <w:r w:rsidRPr="00BC1373">
        <w:rPr>
          <w:rFonts w:ascii="Book Antiqua" w:hAnsi="Book Antiqua" w:cs="Book Antiqua"/>
          <w:sz w:val="20"/>
          <w:szCs w:val="20"/>
        </w:rPr>
        <w:t>evidence-based medical benefit to using the</w:t>
      </w:r>
      <w:r w:rsidRPr="00F959E7">
        <w:rPr>
          <w:rFonts w:ascii="Book Antiqua" w:hAnsi="Book Antiqua" w:cs="Book Antiqua"/>
          <w:sz w:val="20"/>
          <w:szCs w:val="20"/>
        </w:rPr>
        <w:t xml:space="preserve"> </w:t>
      </w:r>
      <w:r w:rsidR="004425D7" w:rsidRPr="00F959E7">
        <w:rPr>
          <w:rFonts w:ascii="Book Antiqua" w:hAnsi="Book Antiqua" w:cs="Book Antiqua"/>
          <w:sz w:val="20"/>
          <w:szCs w:val="20"/>
        </w:rPr>
        <w:t>stander</w:t>
      </w:r>
      <w:r w:rsidR="001977D7" w:rsidRPr="00F959E7">
        <w:rPr>
          <w:rFonts w:ascii="Book Antiqua" w:hAnsi="Book Antiqua" w:cs="Book Antiqua"/>
          <w:sz w:val="20"/>
          <w:szCs w:val="20"/>
        </w:rPr>
        <w:t xml:space="preserve">, such as </w:t>
      </w:r>
      <w:r w:rsidRPr="00F959E7">
        <w:rPr>
          <w:rFonts w:ascii="Book Antiqua" w:hAnsi="Book Antiqua" w:cs="Book Antiqua"/>
          <w:sz w:val="20"/>
          <w:szCs w:val="20"/>
        </w:rPr>
        <w:t xml:space="preserve">when </w:t>
      </w:r>
      <w:r w:rsidR="00185E34" w:rsidRPr="00F959E7">
        <w:rPr>
          <w:rFonts w:ascii="Book Antiqua" w:hAnsi="Book Antiqua" w:cs="Book Antiqua"/>
          <w:sz w:val="20"/>
          <w:szCs w:val="20"/>
        </w:rPr>
        <w:t xml:space="preserve">the member is unable to tolerate standing for </w:t>
      </w:r>
      <w:r w:rsidR="001977D7" w:rsidRPr="00F959E7">
        <w:rPr>
          <w:rFonts w:ascii="Book Antiqua" w:hAnsi="Book Antiqua" w:cs="Book Antiqua"/>
          <w:sz w:val="20"/>
          <w:szCs w:val="20"/>
        </w:rPr>
        <w:t>the</w:t>
      </w:r>
      <w:r w:rsidR="00185E34" w:rsidRPr="00F959E7">
        <w:rPr>
          <w:rFonts w:ascii="Book Antiqua" w:hAnsi="Book Antiqua" w:cs="Book Antiqua"/>
          <w:sz w:val="20"/>
          <w:szCs w:val="20"/>
        </w:rPr>
        <w:t xml:space="preserve"> therapeutic length of time</w:t>
      </w:r>
      <w:r w:rsidRPr="00F959E7">
        <w:rPr>
          <w:rFonts w:ascii="Book Antiqua" w:hAnsi="Book Antiqua" w:cs="Book Antiqua"/>
          <w:sz w:val="20"/>
          <w:szCs w:val="20"/>
        </w:rPr>
        <w:t>.</w:t>
      </w:r>
    </w:p>
    <w:p w14:paraId="2A7CFAC0" w14:textId="77777777" w:rsidR="00E100DB" w:rsidRPr="00BC1373" w:rsidRDefault="00E100DB" w:rsidP="00715012">
      <w:pPr>
        <w:numPr>
          <w:ilvl w:val="0"/>
          <w:numId w:val="39"/>
        </w:numPr>
        <w:rPr>
          <w:rFonts w:ascii="Book Antiqua" w:hAnsi="Book Antiqua" w:cs="Book Antiqua"/>
          <w:sz w:val="20"/>
          <w:szCs w:val="20"/>
        </w:rPr>
      </w:pPr>
      <w:r w:rsidRPr="00F959E7">
        <w:rPr>
          <w:rFonts w:ascii="Book Antiqua" w:hAnsi="Book Antiqua" w:cs="Book Antiqua"/>
          <w:sz w:val="20"/>
          <w:szCs w:val="20"/>
        </w:rPr>
        <w:t xml:space="preserve">The anticipated </w:t>
      </w:r>
      <w:r w:rsidR="006E7666" w:rsidRPr="00F959E7">
        <w:rPr>
          <w:rFonts w:ascii="Book Antiqua" w:hAnsi="Book Antiqua" w:cs="Book Antiqua"/>
          <w:sz w:val="20"/>
          <w:szCs w:val="20"/>
        </w:rPr>
        <w:t>therapeutic</w:t>
      </w:r>
      <w:r w:rsidRPr="00F959E7">
        <w:rPr>
          <w:rFonts w:ascii="Book Antiqua" w:hAnsi="Book Antiqua" w:cs="Book Antiqua"/>
          <w:sz w:val="20"/>
          <w:szCs w:val="20"/>
        </w:rPr>
        <w:t xml:space="preserve"> benefits of standing can be achieved through less</w:t>
      </w:r>
      <w:r w:rsidR="00492D9E">
        <w:rPr>
          <w:rFonts w:ascii="Book Antiqua" w:hAnsi="Book Antiqua" w:cs="Book Antiqua"/>
          <w:sz w:val="20"/>
          <w:szCs w:val="20"/>
        </w:rPr>
        <w:t xml:space="preserve"> </w:t>
      </w:r>
      <w:r w:rsidRPr="008A11F0">
        <w:rPr>
          <w:rFonts w:ascii="Book Antiqua" w:hAnsi="Book Antiqua" w:cs="Book Antiqua"/>
          <w:sz w:val="20"/>
          <w:szCs w:val="20"/>
        </w:rPr>
        <w:t xml:space="preserve">costly alternatives </w:t>
      </w:r>
      <w:r w:rsidR="00AE2497" w:rsidRPr="008A11F0">
        <w:rPr>
          <w:rFonts w:ascii="Book Antiqua" w:hAnsi="Book Antiqua" w:cs="Book Antiqua"/>
          <w:sz w:val="20"/>
          <w:szCs w:val="20"/>
        </w:rPr>
        <w:t xml:space="preserve">that are comparable in effect, available, and suitable for the member requesting the service, </w:t>
      </w:r>
      <w:r w:rsidR="00492D9E">
        <w:rPr>
          <w:rFonts w:ascii="Book Antiqua" w:hAnsi="Book Antiqua" w:cs="Book Antiqua"/>
          <w:sz w:val="20"/>
          <w:szCs w:val="20"/>
        </w:rPr>
        <w:t xml:space="preserve">and </w:t>
      </w:r>
      <w:r w:rsidR="00AE2497" w:rsidRPr="008A11F0">
        <w:rPr>
          <w:rFonts w:ascii="Book Antiqua" w:hAnsi="Book Antiqua" w:cs="Book Antiqua"/>
          <w:sz w:val="20"/>
          <w:szCs w:val="20"/>
        </w:rPr>
        <w:t xml:space="preserve">that </w:t>
      </w:r>
      <w:r w:rsidR="000C159C" w:rsidRPr="008A11F0">
        <w:rPr>
          <w:rFonts w:ascii="Book Antiqua" w:hAnsi="Book Antiqua" w:cs="Book Antiqua"/>
          <w:sz w:val="20"/>
          <w:szCs w:val="20"/>
        </w:rPr>
        <w:t xml:space="preserve">are </w:t>
      </w:r>
      <w:r w:rsidR="00AE2497" w:rsidRPr="008A11F0">
        <w:rPr>
          <w:rFonts w:ascii="Book Antiqua" w:hAnsi="Book Antiqua" w:cs="Book Antiqua"/>
          <w:sz w:val="20"/>
          <w:szCs w:val="20"/>
        </w:rPr>
        <w:t xml:space="preserve">more conservative </w:t>
      </w:r>
      <w:r w:rsidR="00AB37CF" w:rsidRPr="008A11F0">
        <w:rPr>
          <w:rFonts w:ascii="Book Antiqua" w:hAnsi="Book Antiqua" w:cs="Book Antiqua"/>
          <w:sz w:val="20"/>
          <w:szCs w:val="20"/>
        </w:rPr>
        <w:t>such as</w:t>
      </w:r>
      <w:r w:rsidR="00C54304" w:rsidRPr="008A11F0">
        <w:rPr>
          <w:rFonts w:ascii="Book Antiqua" w:hAnsi="Book Antiqua" w:cs="Book Antiqua"/>
          <w:sz w:val="20"/>
          <w:szCs w:val="20"/>
        </w:rPr>
        <w:t xml:space="preserve"> </w:t>
      </w:r>
      <w:r w:rsidRPr="008A11F0">
        <w:rPr>
          <w:rFonts w:ascii="Book Antiqua" w:hAnsi="Book Antiqua" w:cs="Book Antiqua"/>
          <w:sz w:val="20"/>
          <w:szCs w:val="20"/>
        </w:rPr>
        <w:t xml:space="preserve">therapeutic exercises, positioning, </w:t>
      </w:r>
      <w:r w:rsidR="00185E34" w:rsidRPr="008A11F0">
        <w:rPr>
          <w:rFonts w:ascii="Book Antiqua" w:hAnsi="Book Antiqua" w:cs="Book Antiqua"/>
          <w:sz w:val="20"/>
          <w:szCs w:val="20"/>
        </w:rPr>
        <w:t xml:space="preserve">ambulating, </w:t>
      </w:r>
      <w:r w:rsidRPr="008A11F0">
        <w:rPr>
          <w:rFonts w:ascii="Book Antiqua" w:hAnsi="Book Antiqua" w:cs="Book Antiqua"/>
          <w:sz w:val="20"/>
          <w:szCs w:val="20"/>
        </w:rPr>
        <w:t>orthotics, other adaptive</w:t>
      </w:r>
      <w:r w:rsidR="00771939" w:rsidRPr="008A11F0">
        <w:rPr>
          <w:rFonts w:ascii="Book Antiqua" w:hAnsi="Book Antiqua" w:cs="Book Antiqua"/>
          <w:sz w:val="20"/>
          <w:szCs w:val="20"/>
        </w:rPr>
        <w:t xml:space="preserve"> </w:t>
      </w:r>
      <w:r w:rsidR="00CF7CDD" w:rsidRPr="008A11F0">
        <w:rPr>
          <w:rFonts w:ascii="Book Antiqua" w:hAnsi="Book Antiqua" w:cs="Book Antiqua"/>
          <w:sz w:val="20"/>
          <w:szCs w:val="20"/>
        </w:rPr>
        <w:t>DME</w:t>
      </w:r>
      <w:r w:rsidRPr="008A11F0">
        <w:rPr>
          <w:rFonts w:ascii="Book Antiqua" w:hAnsi="Book Antiqua" w:cs="Book Antiqua"/>
          <w:sz w:val="20"/>
          <w:szCs w:val="20"/>
        </w:rPr>
        <w:t>, medication</w:t>
      </w:r>
      <w:r w:rsidR="00A50B2B" w:rsidRPr="00BC1373">
        <w:rPr>
          <w:rFonts w:ascii="Book Antiqua" w:hAnsi="Book Antiqua" w:cs="Book Antiqua"/>
          <w:sz w:val="20"/>
          <w:szCs w:val="20"/>
        </w:rPr>
        <w:t>,</w:t>
      </w:r>
      <w:r w:rsidRPr="00BC1373">
        <w:rPr>
          <w:rFonts w:ascii="Book Antiqua" w:hAnsi="Book Antiqua" w:cs="Book Antiqua"/>
          <w:sz w:val="20"/>
          <w:szCs w:val="20"/>
        </w:rPr>
        <w:t xml:space="preserve"> and diet.</w:t>
      </w:r>
      <w:r w:rsidRPr="00BC1373">
        <w:rPr>
          <w:rFonts w:ascii="Tahoma" w:hAnsi="Tahoma" w:cs="Tahoma"/>
          <w:sz w:val="20"/>
          <w:szCs w:val="20"/>
        </w:rPr>
        <w:t xml:space="preserve"> </w:t>
      </w:r>
    </w:p>
    <w:p w14:paraId="17AC5186" w14:textId="77777777" w:rsidR="00185E34" w:rsidRPr="008A11F0" w:rsidRDefault="00492D9E" w:rsidP="00AD5227">
      <w:pPr>
        <w:numPr>
          <w:ilvl w:val="0"/>
          <w:numId w:val="39"/>
        </w:numPr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Tahoma"/>
          <w:sz w:val="20"/>
          <w:szCs w:val="20"/>
        </w:rPr>
        <w:t>The m</w:t>
      </w:r>
      <w:r w:rsidR="00C54304" w:rsidRPr="00BC1373">
        <w:rPr>
          <w:rFonts w:ascii="Book Antiqua" w:hAnsi="Book Antiqua" w:cs="Tahoma"/>
          <w:sz w:val="20"/>
          <w:szCs w:val="20"/>
        </w:rPr>
        <w:t>ember</w:t>
      </w:r>
      <w:r w:rsidR="00C54304" w:rsidRPr="008A11F0">
        <w:rPr>
          <w:rFonts w:ascii="Book Antiqua" w:hAnsi="Book Antiqua" w:cs="Tahoma"/>
          <w:sz w:val="20"/>
          <w:szCs w:val="20"/>
        </w:rPr>
        <w:t xml:space="preserve"> has not demonstrated</w:t>
      </w:r>
      <w:r w:rsidR="004826BC" w:rsidRPr="008A11F0">
        <w:rPr>
          <w:rFonts w:ascii="Book Antiqua" w:hAnsi="Book Antiqua" w:cs="Tahoma"/>
          <w:sz w:val="20"/>
          <w:szCs w:val="20"/>
        </w:rPr>
        <w:t xml:space="preserve"> the ability </w:t>
      </w:r>
      <w:r w:rsidR="001A295C" w:rsidRPr="008A11F0">
        <w:rPr>
          <w:rFonts w:ascii="Book Antiqua" w:hAnsi="Book Antiqua" w:cs="Tahoma"/>
          <w:sz w:val="20"/>
          <w:szCs w:val="20"/>
        </w:rPr>
        <w:t xml:space="preserve">to </w:t>
      </w:r>
      <w:r w:rsidR="004826BC" w:rsidRPr="008A11F0">
        <w:rPr>
          <w:rFonts w:ascii="Book Antiqua" w:hAnsi="Book Antiqua" w:cs="Tahoma"/>
          <w:sz w:val="20"/>
          <w:szCs w:val="20"/>
        </w:rPr>
        <w:t>safe</w:t>
      </w:r>
      <w:r w:rsidR="001A295C" w:rsidRPr="008A11F0">
        <w:rPr>
          <w:rFonts w:ascii="Book Antiqua" w:hAnsi="Book Antiqua" w:cs="Tahoma"/>
          <w:sz w:val="20"/>
          <w:szCs w:val="20"/>
        </w:rPr>
        <w:t>ly</w:t>
      </w:r>
      <w:r w:rsidR="004826BC" w:rsidRPr="008A11F0">
        <w:rPr>
          <w:rFonts w:ascii="Book Antiqua" w:hAnsi="Book Antiqua" w:cs="Tahoma"/>
          <w:sz w:val="20"/>
          <w:szCs w:val="20"/>
        </w:rPr>
        <w:t xml:space="preserve"> and</w:t>
      </w:r>
      <w:r w:rsidR="00C54304" w:rsidRPr="008A11F0">
        <w:rPr>
          <w:rFonts w:ascii="Book Antiqua" w:hAnsi="Book Antiqua" w:cs="Tahoma"/>
          <w:sz w:val="20"/>
          <w:szCs w:val="20"/>
        </w:rPr>
        <w:t xml:space="preserve"> independent</w:t>
      </w:r>
      <w:r w:rsidR="001A295C" w:rsidRPr="00BC1373">
        <w:rPr>
          <w:rFonts w:ascii="Book Antiqua" w:hAnsi="Book Antiqua" w:cs="Tahoma"/>
          <w:sz w:val="20"/>
          <w:szCs w:val="20"/>
        </w:rPr>
        <w:t>ly</w:t>
      </w:r>
      <w:r w:rsidR="008C4BF2" w:rsidRPr="00BC1373">
        <w:rPr>
          <w:rFonts w:ascii="Book Antiqua" w:hAnsi="Book Antiqua" w:cs="Book Antiqua"/>
          <w:sz w:val="20"/>
          <w:szCs w:val="20"/>
        </w:rPr>
        <w:t xml:space="preserve"> </w:t>
      </w:r>
      <w:r w:rsidR="00C54304" w:rsidRPr="00BC1373">
        <w:rPr>
          <w:rFonts w:ascii="Book Antiqua" w:hAnsi="Book Antiqua" w:cs="Tahoma"/>
          <w:sz w:val="20"/>
          <w:szCs w:val="20"/>
        </w:rPr>
        <w:t xml:space="preserve">use </w:t>
      </w:r>
      <w:r w:rsidR="00D1703D" w:rsidRPr="00BC1373">
        <w:rPr>
          <w:rFonts w:ascii="Book Antiqua" w:hAnsi="Book Antiqua" w:cs="Tahoma"/>
          <w:sz w:val="20"/>
          <w:szCs w:val="20"/>
        </w:rPr>
        <w:t xml:space="preserve">a </w:t>
      </w:r>
      <w:r w:rsidR="008F0270" w:rsidRPr="00F959E7">
        <w:rPr>
          <w:rFonts w:ascii="Book Antiqua" w:hAnsi="Book Antiqua" w:cs="Tahoma"/>
          <w:sz w:val="20"/>
          <w:szCs w:val="20"/>
        </w:rPr>
        <w:t>power</w:t>
      </w:r>
      <w:r>
        <w:rPr>
          <w:rFonts w:ascii="Book Antiqua" w:hAnsi="Book Antiqua" w:cs="Tahoma"/>
          <w:sz w:val="20"/>
          <w:szCs w:val="20"/>
        </w:rPr>
        <w:t>-</w:t>
      </w:r>
      <w:r w:rsidR="00D1703D" w:rsidRPr="008A11F0">
        <w:rPr>
          <w:rFonts w:ascii="Book Antiqua" w:hAnsi="Book Antiqua" w:cs="Tahoma"/>
          <w:sz w:val="20"/>
          <w:szCs w:val="20"/>
        </w:rPr>
        <w:t>assisted</w:t>
      </w:r>
      <w:r w:rsidR="008F0270" w:rsidRPr="008A11F0">
        <w:rPr>
          <w:rFonts w:ascii="Book Antiqua" w:hAnsi="Book Antiqua" w:cs="Tahoma"/>
          <w:sz w:val="20"/>
          <w:szCs w:val="20"/>
        </w:rPr>
        <w:t xml:space="preserve"> standing </w:t>
      </w:r>
      <w:r w:rsidR="00D1703D" w:rsidRPr="008A11F0">
        <w:rPr>
          <w:rFonts w:ascii="Book Antiqua" w:hAnsi="Book Antiqua" w:cs="Tahoma"/>
          <w:sz w:val="20"/>
          <w:szCs w:val="20"/>
        </w:rPr>
        <w:t>component</w:t>
      </w:r>
      <w:r w:rsidR="008F0270" w:rsidRPr="008A11F0">
        <w:rPr>
          <w:rFonts w:ascii="Book Antiqua" w:hAnsi="Book Antiqua" w:cs="Tahoma"/>
          <w:sz w:val="20"/>
          <w:szCs w:val="20"/>
        </w:rPr>
        <w:t xml:space="preserve">. </w:t>
      </w:r>
      <w:r w:rsidR="00CD7C0C" w:rsidRPr="008A11F0">
        <w:rPr>
          <w:rFonts w:ascii="Book Antiqua" w:hAnsi="Book Antiqua" w:cs="Tahoma"/>
          <w:sz w:val="20"/>
          <w:szCs w:val="20"/>
        </w:rPr>
        <w:t>For example</w:t>
      </w:r>
      <w:r>
        <w:rPr>
          <w:rFonts w:ascii="Book Antiqua" w:hAnsi="Book Antiqua" w:cs="Tahoma"/>
          <w:sz w:val="20"/>
          <w:szCs w:val="20"/>
        </w:rPr>
        <w:t>,</w:t>
      </w:r>
      <w:r w:rsidR="00CD7C0C" w:rsidRPr="008A11F0">
        <w:rPr>
          <w:rFonts w:ascii="Book Antiqua" w:hAnsi="Book Antiqua" w:cs="Tahoma"/>
          <w:sz w:val="20"/>
          <w:szCs w:val="20"/>
        </w:rPr>
        <w:t xml:space="preserve"> the </w:t>
      </w:r>
      <w:r w:rsidR="00CD7C0C" w:rsidRPr="00BC1373">
        <w:rPr>
          <w:rFonts w:ascii="Book Antiqua" w:hAnsi="Book Antiqua" w:cs="Book Antiqua"/>
          <w:sz w:val="20"/>
          <w:szCs w:val="20"/>
        </w:rPr>
        <w:t>member does not demonstrate proper safety awareness or the member requires physical assistance or cueing in order to use the power</w:t>
      </w:r>
      <w:r>
        <w:rPr>
          <w:rFonts w:ascii="Book Antiqua" w:hAnsi="Book Antiqua" w:cs="Book Antiqua"/>
          <w:sz w:val="20"/>
          <w:szCs w:val="20"/>
        </w:rPr>
        <w:t>-</w:t>
      </w:r>
      <w:r w:rsidR="00CD7C0C" w:rsidRPr="008A11F0">
        <w:rPr>
          <w:rFonts w:ascii="Book Antiqua" w:hAnsi="Book Antiqua" w:cs="Book Antiqua"/>
          <w:sz w:val="20"/>
          <w:szCs w:val="20"/>
        </w:rPr>
        <w:t xml:space="preserve">assisted component. </w:t>
      </w:r>
    </w:p>
    <w:p w14:paraId="48C036E1" w14:textId="7A542419" w:rsidR="004E77BD" w:rsidRPr="008A11F0" w:rsidRDefault="00D1703D" w:rsidP="00AB37CF">
      <w:pPr>
        <w:numPr>
          <w:ilvl w:val="0"/>
          <w:numId w:val="39"/>
        </w:numPr>
        <w:rPr>
          <w:rFonts w:ascii="Book Antiqua" w:hAnsi="Book Antiqua" w:cs="Book Antiqua"/>
          <w:sz w:val="20"/>
          <w:szCs w:val="20"/>
        </w:rPr>
      </w:pPr>
      <w:r w:rsidRPr="008A11F0">
        <w:rPr>
          <w:rFonts w:ascii="Book Antiqua" w:hAnsi="Book Antiqua" w:cs="Tahoma"/>
          <w:sz w:val="20"/>
          <w:szCs w:val="20"/>
        </w:rPr>
        <w:t>A power</w:t>
      </w:r>
      <w:r w:rsidR="00492D9E">
        <w:rPr>
          <w:rFonts w:ascii="Book Antiqua" w:hAnsi="Book Antiqua" w:cs="Tahoma"/>
          <w:sz w:val="20"/>
          <w:szCs w:val="20"/>
        </w:rPr>
        <w:t>-</w:t>
      </w:r>
      <w:r w:rsidRPr="008A11F0">
        <w:rPr>
          <w:rFonts w:ascii="Book Antiqua" w:hAnsi="Book Antiqua" w:cs="Tahoma"/>
          <w:sz w:val="20"/>
          <w:szCs w:val="20"/>
        </w:rPr>
        <w:t xml:space="preserve">assisted standing component </w:t>
      </w:r>
      <w:r w:rsidR="00185E34" w:rsidRPr="008A11F0">
        <w:rPr>
          <w:rFonts w:ascii="Book Antiqua" w:hAnsi="Book Antiqua" w:cs="Tahoma"/>
          <w:sz w:val="20"/>
          <w:szCs w:val="20"/>
        </w:rPr>
        <w:t xml:space="preserve">is </w:t>
      </w:r>
      <w:r w:rsidR="00AE2497" w:rsidRPr="008A11F0">
        <w:rPr>
          <w:rFonts w:ascii="Book Antiqua" w:hAnsi="Book Antiqua" w:cs="Tahoma"/>
          <w:sz w:val="20"/>
          <w:szCs w:val="20"/>
        </w:rPr>
        <w:t xml:space="preserve">solely </w:t>
      </w:r>
      <w:r w:rsidR="00185E34" w:rsidRPr="008A11F0">
        <w:rPr>
          <w:rFonts w:ascii="Book Antiqua" w:hAnsi="Book Antiqua" w:cs="Tahoma"/>
          <w:sz w:val="20"/>
          <w:szCs w:val="20"/>
        </w:rPr>
        <w:t>for the convenience of the caregiver.</w:t>
      </w:r>
    </w:p>
    <w:p w14:paraId="11062E3B" w14:textId="77777777" w:rsidR="00C54304" w:rsidRPr="00BC1373" w:rsidRDefault="00C54304" w:rsidP="00771939">
      <w:pPr>
        <w:ind w:firstLine="720"/>
        <w:rPr>
          <w:rFonts w:ascii="Tahoma" w:hAnsi="Tahoma" w:cs="Tahoma"/>
          <w:sz w:val="20"/>
          <w:szCs w:val="20"/>
        </w:rPr>
      </w:pPr>
    </w:p>
    <w:p w14:paraId="352854C4" w14:textId="77777777" w:rsidR="00771939" w:rsidRPr="00BC1373" w:rsidRDefault="00771939" w:rsidP="00771939">
      <w:pPr>
        <w:rPr>
          <w:rFonts w:ascii="Tahoma" w:hAnsi="Tahoma" w:cs="Tahoma"/>
          <w:sz w:val="20"/>
          <w:szCs w:val="20"/>
        </w:rPr>
      </w:pPr>
    </w:p>
    <w:p w14:paraId="6748BA0B" w14:textId="77777777" w:rsidR="00E100DB" w:rsidRPr="008A11F0" w:rsidRDefault="00CF7CDD" w:rsidP="00E100DB">
      <w:pPr>
        <w:pStyle w:val="Heading1"/>
        <w:rPr>
          <w:rFonts w:ascii="Tahoma" w:hAnsi="Tahoma" w:cs="Tahoma"/>
          <w:b w:val="0"/>
          <w:bCs w:val="0"/>
          <w:sz w:val="32"/>
          <w:szCs w:val="32"/>
        </w:rPr>
      </w:pPr>
      <w:r w:rsidRPr="00BC1373">
        <w:rPr>
          <w:rFonts w:ascii="Tahoma" w:hAnsi="Tahoma" w:cs="Tahoma"/>
          <w:b w:val="0"/>
          <w:bCs w:val="0"/>
          <w:sz w:val="32"/>
          <w:szCs w:val="32"/>
        </w:rPr>
        <w:t>Section III. Submitting Clinical Documentation</w:t>
      </w:r>
    </w:p>
    <w:p w14:paraId="6C1625D7" w14:textId="77777777" w:rsidR="00CF7CDD" w:rsidRPr="008A11F0" w:rsidRDefault="00CF7CDD" w:rsidP="00CF7CDD"/>
    <w:p w14:paraId="28B68DE3" w14:textId="23A3BD8A" w:rsidR="00E100DB" w:rsidRPr="008A11F0" w:rsidRDefault="00E100DB" w:rsidP="00E100DB">
      <w:pPr>
        <w:rPr>
          <w:rFonts w:ascii="Book Antiqua" w:hAnsi="Book Antiqua" w:cs="Book Antiqua"/>
          <w:sz w:val="20"/>
          <w:szCs w:val="20"/>
        </w:rPr>
      </w:pPr>
      <w:r w:rsidRPr="00BC1373">
        <w:rPr>
          <w:rFonts w:ascii="Book Antiqua" w:hAnsi="Book Antiqua" w:cs="Book Antiqua"/>
          <w:sz w:val="20"/>
          <w:szCs w:val="20"/>
        </w:rPr>
        <w:t xml:space="preserve">Requests for </w:t>
      </w:r>
      <w:r w:rsidR="008C4069" w:rsidRPr="00BC1373">
        <w:rPr>
          <w:rFonts w:ascii="Book Antiqua" w:hAnsi="Book Antiqua" w:cs="Book Antiqua"/>
          <w:sz w:val="20"/>
          <w:szCs w:val="20"/>
        </w:rPr>
        <w:t>PA</w:t>
      </w:r>
      <w:r w:rsidRPr="00BC1373">
        <w:rPr>
          <w:rFonts w:ascii="Book Antiqua" w:hAnsi="Book Antiqua" w:cs="Book Antiqua"/>
          <w:sz w:val="20"/>
          <w:szCs w:val="20"/>
        </w:rPr>
        <w:t xml:space="preserve"> for standers must be submitted by a MassHealth DME provider and be accompanied by clinical documentation </w:t>
      </w:r>
      <w:r w:rsidR="00492D9E">
        <w:rPr>
          <w:rFonts w:ascii="Book Antiqua" w:hAnsi="Book Antiqua" w:cs="Book Antiqua"/>
          <w:sz w:val="20"/>
          <w:szCs w:val="20"/>
        </w:rPr>
        <w:t>from</w:t>
      </w:r>
      <w:r w:rsidR="00492D9E" w:rsidRPr="00BC1373">
        <w:rPr>
          <w:rFonts w:ascii="Book Antiqua" w:hAnsi="Book Antiqua" w:cs="Book Antiqua"/>
          <w:sz w:val="20"/>
          <w:szCs w:val="20"/>
        </w:rPr>
        <w:t xml:space="preserve"> </w:t>
      </w:r>
      <w:r w:rsidRPr="008A11F0">
        <w:rPr>
          <w:rFonts w:ascii="Book Antiqua" w:hAnsi="Book Antiqua" w:cs="Book Antiqua"/>
          <w:sz w:val="20"/>
          <w:szCs w:val="20"/>
        </w:rPr>
        <w:t>a licensed physician or occupational or physical therapist on appropriate letterhead. Documentation must support the medical necessity for this equipment.</w:t>
      </w:r>
    </w:p>
    <w:p w14:paraId="7E6DFCC7" w14:textId="77777777" w:rsidR="00E100DB" w:rsidRPr="008A11F0" w:rsidRDefault="00E100DB" w:rsidP="00E100DB">
      <w:pPr>
        <w:rPr>
          <w:rFonts w:ascii="Book Antiqua" w:hAnsi="Book Antiqua" w:cs="Book Antiqua"/>
          <w:sz w:val="16"/>
          <w:szCs w:val="16"/>
        </w:rPr>
      </w:pPr>
    </w:p>
    <w:p w14:paraId="5C874ACA" w14:textId="77777777" w:rsidR="002E7B41" w:rsidRPr="004C7893" w:rsidRDefault="002E7B41" w:rsidP="00E100DB">
      <w:pPr>
        <w:numPr>
          <w:ilvl w:val="0"/>
          <w:numId w:val="33"/>
        </w:numPr>
        <w:rPr>
          <w:rFonts w:ascii="Tahoma" w:hAnsi="Tahoma" w:cs="Tahoma"/>
        </w:rPr>
      </w:pPr>
      <w:r w:rsidRPr="004C7893">
        <w:rPr>
          <w:rFonts w:ascii="Tahoma" w:hAnsi="Tahoma" w:cs="Tahoma"/>
          <w:b/>
        </w:rPr>
        <w:t>Proof of Medical Necessity</w:t>
      </w:r>
    </w:p>
    <w:p w14:paraId="4D4D01D2" w14:textId="77777777" w:rsidR="00A37882" w:rsidRPr="00A37882" w:rsidRDefault="00A37882" w:rsidP="00A37882">
      <w:pPr>
        <w:pStyle w:val="ListParagraph"/>
        <w:ind w:left="360"/>
        <w:rPr>
          <w:sz w:val="16"/>
          <w:szCs w:val="16"/>
        </w:rPr>
      </w:pPr>
    </w:p>
    <w:p w14:paraId="1E4BB859" w14:textId="77777777" w:rsidR="00E100DB" w:rsidRPr="008A11F0" w:rsidRDefault="00E100DB" w:rsidP="002E7B41">
      <w:pPr>
        <w:rPr>
          <w:rFonts w:ascii="Book Antiqua" w:hAnsi="Book Antiqua" w:cs="Book Antiqua"/>
          <w:sz w:val="16"/>
          <w:szCs w:val="16"/>
        </w:rPr>
      </w:pPr>
      <w:r w:rsidRPr="008A11F0">
        <w:rPr>
          <w:rFonts w:ascii="Book Antiqua" w:hAnsi="Book Antiqua" w:cs="Book Antiqua"/>
          <w:sz w:val="20"/>
          <w:szCs w:val="20"/>
        </w:rPr>
        <w:t xml:space="preserve">DME providers must present documentation of medical necessity </w:t>
      </w:r>
      <w:r w:rsidR="00646A05" w:rsidRPr="008A11F0">
        <w:rPr>
          <w:rFonts w:ascii="Book Antiqua" w:hAnsi="Book Antiqua" w:cs="Book Antiqua"/>
          <w:sz w:val="20"/>
          <w:szCs w:val="20"/>
        </w:rPr>
        <w:t xml:space="preserve">that </w:t>
      </w:r>
      <w:r w:rsidRPr="008A11F0">
        <w:rPr>
          <w:rFonts w:ascii="Book Antiqua" w:hAnsi="Book Antiqua" w:cs="Book Antiqua"/>
          <w:sz w:val="20"/>
          <w:szCs w:val="20"/>
        </w:rPr>
        <w:t>includes all of the following</w:t>
      </w:r>
      <w:r w:rsidR="004425D7" w:rsidRPr="008A11F0">
        <w:rPr>
          <w:rFonts w:ascii="Book Antiqua" w:hAnsi="Book Antiqua" w:cs="Book Antiqua"/>
          <w:sz w:val="20"/>
          <w:szCs w:val="20"/>
        </w:rPr>
        <w:t>:</w:t>
      </w:r>
    </w:p>
    <w:p w14:paraId="59EBE6C0" w14:textId="77777777" w:rsidR="00E100DB" w:rsidRPr="008A11F0" w:rsidRDefault="004425D7" w:rsidP="00E100DB">
      <w:pPr>
        <w:numPr>
          <w:ilvl w:val="1"/>
          <w:numId w:val="33"/>
        </w:numPr>
        <w:spacing w:before="120"/>
        <w:rPr>
          <w:rFonts w:ascii="Book Antiqua" w:hAnsi="Book Antiqua" w:cs="Book Antiqua"/>
          <w:sz w:val="20"/>
          <w:szCs w:val="20"/>
        </w:rPr>
      </w:pPr>
      <w:r w:rsidRPr="008A11F0">
        <w:rPr>
          <w:rFonts w:ascii="Book Antiqua" w:hAnsi="Book Antiqua" w:cs="Book Antiqua"/>
          <w:sz w:val="20"/>
          <w:szCs w:val="20"/>
        </w:rPr>
        <w:t xml:space="preserve">a </w:t>
      </w:r>
      <w:r w:rsidR="00E100DB" w:rsidRPr="008A11F0">
        <w:rPr>
          <w:rFonts w:ascii="Book Antiqua" w:hAnsi="Book Antiqua" w:cs="Book Antiqua"/>
          <w:sz w:val="20"/>
          <w:szCs w:val="20"/>
        </w:rPr>
        <w:t>prescript</w:t>
      </w:r>
      <w:r w:rsidR="00E100DB" w:rsidRPr="00BC1373">
        <w:rPr>
          <w:rFonts w:ascii="Book Antiqua" w:hAnsi="Book Antiqua" w:cs="Book Antiqua"/>
          <w:sz w:val="20"/>
          <w:szCs w:val="20"/>
        </w:rPr>
        <w:t>ion that meets the criteria provided in Section B</w:t>
      </w:r>
      <w:r w:rsidR="00492D9E">
        <w:rPr>
          <w:rFonts w:ascii="Book Antiqua" w:hAnsi="Book Antiqua" w:cs="Book Antiqua"/>
          <w:sz w:val="20"/>
          <w:szCs w:val="20"/>
        </w:rPr>
        <w:t>,</w:t>
      </w:r>
      <w:r w:rsidR="00E100DB" w:rsidRPr="00BC1373">
        <w:rPr>
          <w:rFonts w:ascii="Book Antiqua" w:hAnsi="Book Antiqua" w:cs="Book Antiqua"/>
          <w:sz w:val="20"/>
          <w:szCs w:val="20"/>
        </w:rPr>
        <w:t xml:space="preserve"> </w:t>
      </w:r>
      <w:r w:rsidR="00E100DB" w:rsidRPr="008A11F0">
        <w:rPr>
          <w:rFonts w:ascii="Book Antiqua" w:hAnsi="Book Antiqua" w:cs="Book Antiqua"/>
          <w:sz w:val="20"/>
          <w:szCs w:val="20"/>
        </w:rPr>
        <w:t>below</w:t>
      </w:r>
      <w:r w:rsidRPr="008A11F0">
        <w:rPr>
          <w:rFonts w:ascii="Book Antiqua" w:hAnsi="Book Antiqua" w:cs="Book Antiqua"/>
          <w:sz w:val="20"/>
          <w:szCs w:val="20"/>
        </w:rPr>
        <w:t>;</w:t>
      </w:r>
    </w:p>
    <w:p w14:paraId="4A004B56" w14:textId="77777777" w:rsidR="00E100DB" w:rsidRPr="008A11F0" w:rsidRDefault="004425D7" w:rsidP="00E100DB">
      <w:pPr>
        <w:numPr>
          <w:ilvl w:val="1"/>
          <w:numId w:val="33"/>
        </w:numPr>
        <w:spacing w:before="120"/>
        <w:rPr>
          <w:rFonts w:ascii="Book Antiqua" w:hAnsi="Book Antiqua" w:cs="Book Antiqua"/>
          <w:sz w:val="20"/>
          <w:szCs w:val="20"/>
        </w:rPr>
      </w:pPr>
      <w:r w:rsidRPr="008A11F0">
        <w:rPr>
          <w:rFonts w:ascii="Book Antiqua" w:hAnsi="Book Antiqua" w:cs="Book Antiqua"/>
          <w:sz w:val="20"/>
          <w:szCs w:val="20"/>
        </w:rPr>
        <w:t xml:space="preserve">a </w:t>
      </w:r>
      <w:r w:rsidR="00E100DB" w:rsidRPr="008A11F0">
        <w:rPr>
          <w:rFonts w:ascii="Book Antiqua" w:hAnsi="Book Antiqua" w:cs="Book Antiqua"/>
          <w:sz w:val="20"/>
          <w:szCs w:val="20"/>
        </w:rPr>
        <w:t>detailed letter of medical necessity containing:</w:t>
      </w:r>
    </w:p>
    <w:p w14:paraId="0856F830" w14:textId="77777777" w:rsidR="00E100DB" w:rsidRPr="00BC1373" w:rsidRDefault="00302C0B" w:rsidP="00302C0B">
      <w:pPr>
        <w:numPr>
          <w:ilvl w:val="2"/>
          <w:numId w:val="37"/>
        </w:numPr>
        <w:rPr>
          <w:rFonts w:ascii="Book Antiqua" w:hAnsi="Book Antiqua" w:cs="Book Antiqua"/>
          <w:sz w:val="20"/>
          <w:szCs w:val="20"/>
        </w:rPr>
      </w:pPr>
      <w:r w:rsidRPr="00BC1373">
        <w:rPr>
          <w:rFonts w:ascii="Book Antiqua" w:hAnsi="Book Antiqua" w:cs="Book Antiqua"/>
          <w:sz w:val="20"/>
          <w:szCs w:val="20"/>
        </w:rPr>
        <w:t xml:space="preserve">the member’s </w:t>
      </w:r>
      <w:r w:rsidR="00E100DB" w:rsidRPr="00BC1373">
        <w:rPr>
          <w:rFonts w:ascii="Book Antiqua" w:hAnsi="Book Antiqua" w:cs="Book Antiqua"/>
          <w:sz w:val="20"/>
          <w:szCs w:val="20"/>
        </w:rPr>
        <w:t>name and address;</w:t>
      </w:r>
    </w:p>
    <w:p w14:paraId="0B7C0A07" w14:textId="77777777" w:rsidR="00E100DB" w:rsidRPr="00F959E7" w:rsidRDefault="00302C0B" w:rsidP="00302C0B">
      <w:pPr>
        <w:numPr>
          <w:ilvl w:val="2"/>
          <w:numId w:val="37"/>
        </w:numPr>
        <w:rPr>
          <w:rFonts w:ascii="Book Antiqua" w:hAnsi="Book Antiqua" w:cs="Book Antiqua"/>
          <w:sz w:val="20"/>
          <w:szCs w:val="20"/>
        </w:rPr>
      </w:pPr>
      <w:r w:rsidRPr="00BC1373">
        <w:rPr>
          <w:rFonts w:ascii="Book Antiqua" w:hAnsi="Book Antiqua" w:cs="Book Antiqua"/>
          <w:sz w:val="20"/>
          <w:szCs w:val="20"/>
        </w:rPr>
        <w:t xml:space="preserve">the most </w:t>
      </w:r>
      <w:r w:rsidR="00E100DB" w:rsidRPr="00BC1373">
        <w:rPr>
          <w:rFonts w:ascii="Book Antiqua" w:hAnsi="Book Antiqua" w:cs="Book Antiqua"/>
          <w:sz w:val="20"/>
          <w:szCs w:val="20"/>
        </w:rPr>
        <w:t>recent comprehensive history and physical exam by a licensed physician or occupational or physica</w:t>
      </w:r>
      <w:r w:rsidR="00E100DB" w:rsidRPr="00F959E7">
        <w:rPr>
          <w:rFonts w:ascii="Book Antiqua" w:hAnsi="Book Antiqua" w:cs="Book Antiqua"/>
          <w:sz w:val="20"/>
          <w:szCs w:val="20"/>
        </w:rPr>
        <w:t>l therapist</w:t>
      </w:r>
      <w:r w:rsidRPr="00F959E7">
        <w:rPr>
          <w:rFonts w:ascii="Book Antiqua" w:hAnsi="Book Antiqua" w:cs="Book Antiqua"/>
          <w:sz w:val="20"/>
          <w:szCs w:val="20"/>
        </w:rPr>
        <w:t>,</w:t>
      </w:r>
      <w:r w:rsidR="00E100DB" w:rsidRPr="00F959E7">
        <w:rPr>
          <w:rFonts w:ascii="Book Antiqua" w:hAnsi="Book Antiqua" w:cs="Book Antiqua"/>
          <w:sz w:val="20"/>
          <w:szCs w:val="20"/>
        </w:rPr>
        <w:t xml:space="preserve"> including summary of medical condition, age at diagnosis, prognosis, and co-morbid conditions;</w:t>
      </w:r>
    </w:p>
    <w:p w14:paraId="3099780D" w14:textId="77777777" w:rsidR="00E100DB" w:rsidRPr="008A11F0" w:rsidRDefault="00302C0B" w:rsidP="00302C0B">
      <w:pPr>
        <w:numPr>
          <w:ilvl w:val="2"/>
          <w:numId w:val="37"/>
        </w:numPr>
        <w:rPr>
          <w:rFonts w:ascii="Book Antiqua" w:hAnsi="Book Antiqua" w:cs="Book Antiqua"/>
          <w:sz w:val="20"/>
          <w:szCs w:val="20"/>
        </w:rPr>
      </w:pPr>
      <w:r w:rsidRPr="00F959E7">
        <w:rPr>
          <w:rFonts w:ascii="Book Antiqua" w:hAnsi="Book Antiqua" w:cs="Book Antiqua"/>
          <w:sz w:val="20"/>
          <w:szCs w:val="20"/>
        </w:rPr>
        <w:t xml:space="preserve">the member’s </w:t>
      </w:r>
      <w:r w:rsidR="00E100DB" w:rsidRPr="00F959E7">
        <w:rPr>
          <w:rFonts w:ascii="Book Antiqua" w:hAnsi="Book Antiqua" w:cs="Book Antiqua"/>
          <w:sz w:val="20"/>
          <w:szCs w:val="20"/>
        </w:rPr>
        <w:t>functional and physical assessment including</w:t>
      </w:r>
      <w:r w:rsidRPr="00F959E7">
        <w:rPr>
          <w:rFonts w:ascii="Book Antiqua" w:hAnsi="Book Antiqua" w:cs="Book Antiqua"/>
          <w:sz w:val="20"/>
          <w:szCs w:val="20"/>
        </w:rPr>
        <w:t>,</w:t>
      </w:r>
      <w:r w:rsidR="00E100DB" w:rsidRPr="00F959E7">
        <w:rPr>
          <w:rFonts w:ascii="Book Antiqua" w:hAnsi="Book Antiqua" w:cs="Book Antiqua"/>
          <w:sz w:val="20"/>
          <w:szCs w:val="20"/>
        </w:rPr>
        <w:t xml:space="preserve"> but not limited to, strength, range of motion, tone, sensation, balance, </w:t>
      </w:r>
      <w:r w:rsidR="00492D9E" w:rsidRPr="00492D9E">
        <w:rPr>
          <w:rFonts w:ascii="Book Antiqua" w:hAnsi="Book Antiqua"/>
          <w:sz w:val="20"/>
          <w:szCs w:val="20"/>
        </w:rPr>
        <w:t>activities of daily living (</w:t>
      </w:r>
      <w:r w:rsidR="00E100DB" w:rsidRPr="00F959E7">
        <w:rPr>
          <w:rFonts w:ascii="Book Antiqua" w:hAnsi="Book Antiqua" w:cs="Book Antiqua"/>
          <w:sz w:val="20"/>
          <w:szCs w:val="20"/>
        </w:rPr>
        <w:t>ADLs</w:t>
      </w:r>
      <w:r w:rsidR="00492D9E">
        <w:rPr>
          <w:rFonts w:ascii="Book Antiqua" w:hAnsi="Book Antiqua" w:cs="Book Antiqua"/>
          <w:sz w:val="20"/>
          <w:szCs w:val="20"/>
        </w:rPr>
        <w:t>)</w:t>
      </w:r>
      <w:r w:rsidR="00E100DB" w:rsidRPr="00F959E7">
        <w:rPr>
          <w:rFonts w:ascii="Book Antiqua" w:hAnsi="Book Antiqua" w:cs="Book Antiqua"/>
          <w:sz w:val="20"/>
          <w:szCs w:val="20"/>
        </w:rPr>
        <w:t xml:space="preserve">, </w:t>
      </w:r>
      <w:r w:rsidR="00492D9E" w:rsidRPr="00DE78AF">
        <w:rPr>
          <w:rFonts w:ascii="Book Antiqua" w:hAnsi="Book Antiqua"/>
          <w:sz w:val="20"/>
          <w:szCs w:val="20"/>
        </w:rPr>
        <w:t>instrumental activities of daily living</w:t>
      </w:r>
      <w:r w:rsidR="00492D9E" w:rsidRPr="00F959E7">
        <w:rPr>
          <w:rFonts w:ascii="Book Antiqua" w:hAnsi="Book Antiqua" w:cs="Book Antiqua"/>
          <w:sz w:val="20"/>
          <w:szCs w:val="20"/>
        </w:rPr>
        <w:t xml:space="preserve"> </w:t>
      </w:r>
      <w:r w:rsidR="00492D9E">
        <w:rPr>
          <w:rFonts w:ascii="Book Antiqua" w:hAnsi="Book Antiqua" w:cs="Book Antiqua"/>
          <w:sz w:val="20"/>
          <w:szCs w:val="20"/>
        </w:rPr>
        <w:t>(</w:t>
      </w:r>
      <w:r w:rsidR="00E100DB" w:rsidRPr="00F959E7">
        <w:rPr>
          <w:rFonts w:ascii="Book Antiqua" w:hAnsi="Book Antiqua" w:cs="Book Antiqua"/>
          <w:sz w:val="20"/>
          <w:szCs w:val="20"/>
        </w:rPr>
        <w:t>IADLs</w:t>
      </w:r>
      <w:r w:rsidR="00492D9E">
        <w:rPr>
          <w:rFonts w:ascii="Book Antiqua" w:hAnsi="Book Antiqua" w:cs="Book Antiqua"/>
          <w:sz w:val="20"/>
          <w:szCs w:val="20"/>
        </w:rPr>
        <w:t>)</w:t>
      </w:r>
      <w:r w:rsidR="00E100DB" w:rsidRPr="008A11F0">
        <w:rPr>
          <w:rFonts w:ascii="Book Antiqua" w:hAnsi="Book Antiqua" w:cs="Book Antiqua"/>
          <w:sz w:val="20"/>
          <w:szCs w:val="20"/>
        </w:rPr>
        <w:t>, and functional status;</w:t>
      </w:r>
    </w:p>
    <w:p w14:paraId="0A9F4578" w14:textId="77777777" w:rsidR="00E100DB" w:rsidRPr="008A11F0" w:rsidRDefault="00302C0B" w:rsidP="00302C0B">
      <w:pPr>
        <w:numPr>
          <w:ilvl w:val="2"/>
          <w:numId w:val="37"/>
        </w:numPr>
        <w:rPr>
          <w:rFonts w:ascii="Book Antiqua" w:hAnsi="Book Antiqua" w:cs="Book Antiqua"/>
          <w:sz w:val="20"/>
          <w:szCs w:val="20"/>
        </w:rPr>
      </w:pPr>
      <w:r w:rsidRPr="008A11F0">
        <w:rPr>
          <w:rFonts w:ascii="Book Antiqua" w:hAnsi="Book Antiqua" w:cs="Book Antiqua"/>
          <w:sz w:val="20"/>
          <w:szCs w:val="20"/>
        </w:rPr>
        <w:t xml:space="preserve">documentation </w:t>
      </w:r>
      <w:r w:rsidR="00E100DB" w:rsidRPr="008A11F0">
        <w:rPr>
          <w:rFonts w:ascii="Book Antiqua" w:hAnsi="Book Antiqua" w:cs="Book Antiqua"/>
          <w:sz w:val="20"/>
          <w:szCs w:val="20"/>
        </w:rPr>
        <w:t>of failure of less</w:t>
      </w:r>
      <w:r w:rsidR="00492D9E">
        <w:rPr>
          <w:rFonts w:ascii="Book Antiqua" w:hAnsi="Book Antiqua" w:cs="Book Antiqua"/>
          <w:sz w:val="20"/>
          <w:szCs w:val="20"/>
        </w:rPr>
        <w:t xml:space="preserve"> </w:t>
      </w:r>
      <w:r w:rsidR="00E100DB" w:rsidRPr="008A11F0">
        <w:rPr>
          <w:rFonts w:ascii="Book Antiqua" w:hAnsi="Book Antiqua" w:cs="Book Antiqua"/>
          <w:sz w:val="20"/>
          <w:szCs w:val="20"/>
        </w:rPr>
        <w:t>costly alternatives</w:t>
      </w:r>
      <w:r w:rsidR="003824DD" w:rsidRPr="008A11F0">
        <w:rPr>
          <w:rFonts w:ascii="Book Antiqua" w:hAnsi="Book Antiqua" w:cs="Book Antiqua"/>
          <w:sz w:val="20"/>
          <w:szCs w:val="20"/>
        </w:rPr>
        <w:t xml:space="preserve"> that are comparable in effect</w:t>
      </w:r>
      <w:r w:rsidRPr="008A11F0">
        <w:rPr>
          <w:rFonts w:ascii="Book Antiqua" w:hAnsi="Book Antiqua" w:cs="Book Antiqua"/>
          <w:sz w:val="20"/>
          <w:szCs w:val="20"/>
        </w:rPr>
        <w:t>;</w:t>
      </w:r>
      <w:r w:rsidR="00E100DB" w:rsidRPr="008A11F0">
        <w:rPr>
          <w:rFonts w:ascii="Book Antiqua" w:hAnsi="Book Antiqua" w:cs="Book Antiqua"/>
          <w:sz w:val="20"/>
          <w:szCs w:val="20"/>
        </w:rPr>
        <w:t xml:space="preserve"> </w:t>
      </w:r>
    </w:p>
    <w:p w14:paraId="1B38CFA8" w14:textId="77777777" w:rsidR="003824DD" w:rsidRPr="00F959E7" w:rsidRDefault="003824DD" w:rsidP="003824DD">
      <w:pPr>
        <w:numPr>
          <w:ilvl w:val="2"/>
          <w:numId w:val="37"/>
        </w:numPr>
        <w:rPr>
          <w:rFonts w:ascii="Book Antiqua" w:hAnsi="Book Antiqua" w:cs="Book Antiqua"/>
          <w:sz w:val="20"/>
          <w:szCs w:val="20"/>
        </w:rPr>
      </w:pPr>
      <w:r w:rsidRPr="00BC1373">
        <w:rPr>
          <w:rFonts w:ascii="Book Antiqua" w:hAnsi="Book Antiqua" w:cs="Book Antiqua"/>
          <w:sz w:val="20"/>
          <w:szCs w:val="20"/>
        </w:rPr>
        <w:t xml:space="preserve">evidence that the member has demonstrated the ability to </w:t>
      </w:r>
      <w:r w:rsidR="00973BC6" w:rsidRPr="00BC1373">
        <w:rPr>
          <w:rFonts w:ascii="Book Antiqua" w:hAnsi="Book Antiqua" w:cs="Book Antiqua"/>
          <w:sz w:val="20"/>
          <w:szCs w:val="20"/>
        </w:rPr>
        <w:t xml:space="preserve">safely </w:t>
      </w:r>
      <w:r w:rsidRPr="00BC1373">
        <w:rPr>
          <w:rFonts w:ascii="Book Antiqua" w:hAnsi="Book Antiqua" w:cs="Book Antiqua"/>
          <w:sz w:val="20"/>
          <w:szCs w:val="20"/>
        </w:rPr>
        <w:t xml:space="preserve">use a stander </w:t>
      </w:r>
      <w:r w:rsidR="002E792C" w:rsidRPr="00BC1373">
        <w:rPr>
          <w:rFonts w:ascii="Book Antiqua" w:hAnsi="Book Antiqua" w:cs="Book Antiqua"/>
          <w:sz w:val="20"/>
          <w:szCs w:val="20"/>
        </w:rPr>
        <w:t>or tilt table for a therapeutic length of time</w:t>
      </w:r>
      <w:r w:rsidR="000C159C" w:rsidRPr="00F959E7">
        <w:rPr>
          <w:rFonts w:ascii="Book Antiqua" w:hAnsi="Book Antiqua" w:cs="Book Antiqua"/>
          <w:sz w:val="20"/>
          <w:szCs w:val="20"/>
        </w:rPr>
        <w:t xml:space="preserve"> (</w:t>
      </w:r>
      <w:r w:rsidR="00973BC6" w:rsidRPr="00F959E7">
        <w:rPr>
          <w:rFonts w:ascii="Book Antiqua" w:hAnsi="Book Antiqua" w:cs="Book Antiqua"/>
          <w:sz w:val="20"/>
          <w:szCs w:val="20"/>
        </w:rPr>
        <w:t xml:space="preserve">defined as a </w:t>
      </w:r>
      <w:r w:rsidR="00BB453B" w:rsidRPr="00F959E7">
        <w:rPr>
          <w:rFonts w:ascii="Book Antiqua" w:hAnsi="Book Antiqua" w:cs="Book Antiqua"/>
          <w:sz w:val="20"/>
          <w:szCs w:val="20"/>
        </w:rPr>
        <w:t xml:space="preserve">minimum of </w:t>
      </w:r>
      <w:r w:rsidR="000C159C" w:rsidRPr="00F959E7">
        <w:rPr>
          <w:rFonts w:ascii="Book Antiqua" w:hAnsi="Book Antiqua" w:cs="Book Antiqua"/>
          <w:sz w:val="20"/>
          <w:szCs w:val="20"/>
        </w:rPr>
        <w:t>30 minutes at a time</w:t>
      </w:r>
      <w:r w:rsidR="00BB453B" w:rsidRPr="00F959E7">
        <w:rPr>
          <w:rFonts w:ascii="Book Antiqua" w:hAnsi="Book Antiqua" w:cs="Book Antiqua"/>
          <w:sz w:val="20"/>
          <w:szCs w:val="20"/>
        </w:rPr>
        <w:t>)</w:t>
      </w:r>
      <w:r w:rsidR="00492D9E">
        <w:rPr>
          <w:rFonts w:ascii="Book Antiqua" w:hAnsi="Book Antiqua" w:cs="Book Antiqua"/>
          <w:sz w:val="20"/>
          <w:szCs w:val="20"/>
        </w:rPr>
        <w:t>;</w:t>
      </w:r>
      <w:r w:rsidR="002E792C" w:rsidRPr="00F959E7">
        <w:rPr>
          <w:rFonts w:ascii="Book Antiqua" w:hAnsi="Book Antiqua" w:cs="Book Antiqua"/>
          <w:sz w:val="20"/>
          <w:szCs w:val="20"/>
        </w:rPr>
        <w:t xml:space="preserve"> </w:t>
      </w:r>
      <w:r w:rsidR="00A50A99" w:rsidRPr="00F959E7">
        <w:rPr>
          <w:rFonts w:ascii="Book Antiqua" w:hAnsi="Book Antiqua" w:cs="Book Antiqua"/>
          <w:sz w:val="20"/>
          <w:szCs w:val="20"/>
        </w:rPr>
        <w:t xml:space="preserve"> </w:t>
      </w:r>
    </w:p>
    <w:p w14:paraId="6D83294F" w14:textId="77777777" w:rsidR="00973BC6" w:rsidRPr="008A11F0" w:rsidRDefault="00973BC6" w:rsidP="00973BC6">
      <w:pPr>
        <w:numPr>
          <w:ilvl w:val="2"/>
          <w:numId w:val="37"/>
        </w:numPr>
        <w:rPr>
          <w:rFonts w:ascii="Book Antiqua" w:hAnsi="Book Antiqua" w:cs="Book Antiqua"/>
          <w:sz w:val="20"/>
          <w:szCs w:val="20"/>
        </w:rPr>
      </w:pPr>
      <w:r w:rsidRPr="00F959E7">
        <w:rPr>
          <w:rFonts w:ascii="Book Antiqua" w:hAnsi="Book Antiqua" w:cs="Book Antiqua"/>
          <w:sz w:val="20"/>
          <w:szCs w:val="20"/>
        </w:rPr>
        <w:t xml:space="preserve">for power-assisted standing components, evidence that the member has demonstrated the ability to safely and independently use </w:t>
      </w:r>
      <w:r w:rsidRPr="00634CD7">
        <w:rPr>
          <w:rFonts w:ascii="Book Antiqua" w:hAnsi="Book Antiqua" w:cs="Book Antiqua"/>
          <w:sz w:val="20"/>
          <w:szCs w:val="20"/>
        </w:rPr>
        <w:t xml:space="preserve">the </w:t>
      </w:r>
      <w:r w:rsidR="00C86A48" w:rsidRPr="00634CD7">
        <w:rPr>
          <w:rFonts w:ascii="Book Antiqua" w:hAnsi="Book Antiqua" w:cs="Book Antiqua"/>
          <w:sz w:val="20"/>
          <w:szCs w:val="20"/>
        </w:rPr>
        <w:t>p</w:t>
      </w:r>
      <w:r w:rsidRPr="00634CD7">
        <w:rPr>
          <w:rFonts w:ascii="Book Antiqua" w:hAnsi="Book Antiqua" w:cs="Book Antiqua"/>
          <w:sz w:val="20"/>
          <w:szCs w:val="20"/>
        </w:rPr>
        <w:t xml:space="preserve">ower-assisted </w:t>
      </w:r>
      <w:r w:rsidR="00C86A48" w:rsidRPr="00634CD7">
        <w:rPr>
          <w:rFonts w:ascii="Book Antiqua" w:hAnsi="Book Antiqua" w:cs="Book Antiqua"/>
          <w:sz w:val="20"/>
          <w:szCs w:val="20"/>
        </w:rPr>
        <w:t>s</w:t>
      </w:r>
      <w:r w:rsidRPr="00634CD7">
        <w:rPr>
          <w:rFonts w:ascii="Book Antiqua" w:hAnsi="Book Antiqua" w:cs="Book Antiqua"/>
          <w:sz w:val="20"/>
          <w:szCs w:val="20"/>
        </w:rPr>
        <w:t xml:space="preserve">tanding </w:t>
      </w:r>
      <w:r w:rsidR="00C86A48" w:rsidRPr="00634CD7">
        <w:rPr>
          <w:rFonts w:ascii="Book Antiqua" w:hAnsi="Book Antiqua" w:cs="Book Antiqua"/>
          <w:sz w:val="20"/>
          <w:szCs w:val="20"/>
        </w:rPr>
        <w:t>c</w:t>
      </w:r>
      <w:r w:rsidRPr="00634CD7">
        <w:rPr>
          <w:rFonts w:ascii="Book Antiqua" w:hAnsi="Book Antiqua" w:cs="Book Antiqua"/>
          <w:sz w:val="20"/>
          <w:szCs w:val="20"/>
        </w:rPr>
        <w:t xml:space="preserve">omponents and that </w:t>
      </w:r>
      <w:r w:rsidR="002E7B41">
        <w:rPr>
          <w:rFonts w:ascii="Book Antiqua" w:hAnsi="Book Antiqua" w:cs="Book Antiqua"/>
          <w:sz w:val="20"/>
          <w:szCs w:val="20"/>
        </w:rPr>
        <w:t>they</w:t>
      </w:r>
      <w:r w:rsidR="002E7B41" w:rsidRPr="00634CD7">
        <w:rPr>
          <w:rFonts w:ascii="Book Antiqua" w:hAnsi="Book Antiqua" w:cs="Book Antiqua"/>
          <w:sz w:val="20"/>
          <w:szCs w:val="20"/>
        </w:rPr>
        <w:t xml:space="preserve"> </w:t>
      </w:r>
      <w:r w:rsidRPr="008A11F0">
        <w:rPr>
          <w:rFonts w:ascii="Book Antiqua" w:hAnsi="Book Antiqua" w:cs="Book Antiqua"/>
          <w:sz w:val="20"/>
          <w:szCs w:val="20"/>
        </w:rPr>
        <w:t xml:space="preserve">will </w:t>
      </w:r>
      <w:r w:rsidR="002E7B41">
        <w:rPr>
          <w:rFonts w:ascii="Book Antiqua" w:hAnsi="Book Antiqua" w:cs="Book Antiqua"/>
          <w:sz w:val="20"/>
          <w:szCs w:val="20"/>
        </w:rPr>
        <w:t>provide</w:t>
      </w:r>
      <w:r w:rsidR="002E7B41" w:rsidRPr="008A11F0">
        <w:rPr>
          <w:rFonts w:ascii="Book Antiqua" w:hAnsi="Book Antiqua" w:cs="Book Antiqua"/>
          <w:sz w:val="20"/>
          <w:szCs w:val="20"/>
        </w:rPr>
        <w:t xml:space="preserve"> </w:t>
      </w:r>
      <w:r w:rsidRPr="008A11F0">
        <w:rPr>
          <w:rFonts w:ascii="Book Antiqua" w:hAnsi="Book Antiqua" w:cs="Book Antiqua"/>
          <w:sz w:val="20"/>
          <w:szCs w:val="20"/>
        </w:rPr>
        <w:t>additional symptom relief throughout the day;</w:t>
      </w:r>
    </w:p>
    <w:p w14:paraId="5BD4AE43" w14:textId="77777777" w:rsidR="00E100DB" w:rsidRPr="00BC1373" w:rsidRDefault="002E792C" w:rsidP="00973BC6">
      <w:pPr>
        <w:numPr>
          <w:ilvl w:val="2"/>
          <w:numId w:val="37"/>
        </w:numPr>
        <w:rPr>
          <w:rFonts w:ascii="Book Antiqua" w:hAnsi="Book Antiqua" w:cs="Book Antiqua"/>
          <w:sz w:val="20"/>
          <w:szCs w:val="20"/>
        </w:rPr>
      </w:pPr>
      <w:r w:rsidRPr="008A11F0">
        <w:rPr>
          <w:rFonts w:ascii="Book Antiqua" w:hAnsi="Book Antiqua" w:cs="Book Antiqua"/>
          <w:sz w:val="20"/>
          <w:szCs w:val="20"/>
        </w:rPr>
        <w:t>a prescribed home-based therapeutic standing program outlining the planned use of the requested stander</w:t>
      </w:r>
      <w:r w:rsidR="00973BC6" w:rsidRPr="008A11F0">
        <w:rPr>
          <w:rFonts w:ascii="Book Antiqua" w:hAnsi="Book Antiqua" w:cs="Book Antiqua"/>
          <w:sz w:val="20"/>
          <w:szCs w:val="20"/>
        </w:rPr>
        <w:t xml:space="preserve"> or table</w:t>
      </w:r>
      <w:r w:rsidRPr="008A11F0">
        <w:rPr>
          <w:rFonts w:ascii="Book Antiqua" w:hAnsi="Book Antiqua" w:cs="Book Antiqua"/>
          <w:sz w:val="20"/>
          <w:szCs w:val="20"/>
        </w:rPr>
        <w:t xml:space="preserve"> and documentation demonstrating member’s ability t</w:t>
      </w:r>
      <w:r w:rsidR="00973BC6" w:rsidRPr="00BC1373">
        <w:rPr>
          <w:rFonts w:ascii="Book Antiqua" w:hAnsi="Book Antiqua" w:cs="Book Antiqua"/>
          <w:sz w:val="20"/>
          <w:szCs w:val="20"/>
        </w:rPr>
        <w:t xml:space="preserve">o tolerate the standing program; </w:t>
      </w:r>
    </w:p>
    <w:p w14:paraId="092E3635" w14:textId="77777777" w:rsidR="00E100DB" w:rsidRPr="00F959E7" w:rsidRDefault="004425D7" w:rsidP="00E100DB">
      <w:pPr>
        <w:numPr>
          <w:ilvl w:val="1"/>
          <w:numId w:val="33"/>
        </w:numPr>
        <w:spacing w:before="120"/>
        <w:rPr>
          <w:rFonts w:ascii="Book Antiqua" w:hAnsi="Book Antiqua" w:cs="Book Antiqua"/>
          <w:sz w:val="20"/>
          <w:szCs w:val="20"/>
        </w:rPr>
      </w:pPr>
      <w:r w:rsidRPr="00F959E7">
        <w:rPr>
          <w:rFonts w:ascii="Book Antiqua" w:hAnsi="Book Antiqua" w:cs="Book Antiqua"/>
          <w:sz w:val="20"/>
          <w:szCs w:val="20"/>
        </w:rPr>
        <w:t xml:space="preserve">documentation </w:t>
      </w:r>
      <w:r w:rsidR="00E100DB" w:rsidRPr="00F959E7">
        <w:rPr>
          <w:rFonts w:ascii="Book Antiqua" w:hAnsi="Book Antiqua" w:cs="Book Antiqua"/>
          <w:sz w:val="20"/>
          <w:szCs w:val="20"/>
        </w:rPr>
        <w:t>that the member does not otherwise have sufficient access to equipment in an alternative setting</w:t>
      </w:r>
      <w:r w:rsidR="00492D9E">
        <w:rPr>
          <w:rFonts w:ascii="Book Antiqua" w:hAnsi="Book Antiqua" w:cs="Book Antiqua"/>
          <w:sz w:val="20"/>
          <w:szCs w:val="20"/>
        </w:rPr>
        <w:t>; and</w:t>
      </w:r>
    </w:p>
    <w:p w14:paraId="4CE23804" w14:textId="77777777" w:rsidR="00E100DB" w:rsidRPr="00F959E7" w:rsidRDefault="004425D7" w:rsidP="00E100DB">
      <w:pPr>
        <w:numPr>
          <w:ilvl w:val="1"/>
          <w:numId w:val="33"/>
        </w:numPr>
        <w:spacing w:before="120"/>
        <w:rPr>
          <w:rFonts w:ascii="Book Antiqua" w:hAnsi="Book Antiqua" w:cs="Book Antiqua"/>
          <w:sz w:val="20"/>
          <w:szCs w:val="20"/>
        </w:rPr>
      </w:pPr>
      <w:r w:rsidRPr="00F959E7">
        <w:rPr>
          <w:rFonts w:ascii="Book Antiqua" w:hAnsi="Book Antiqua" w:cs="Book Antiqua"/>
          <w:sz w:val="20"/>
          <w:szCs w:val="20"/>
        </w:rPr>
        <w:t xml:space="preserve">documentation </w:t>
      </w:r>
      <w:r w:rsidR="00E100DB" w:rsidRPr="00F959E7">
        <w:rPr>
          <w:rFonts w:ascii="Book Antiqua" w:hAnsi="Book Antiqua" w:cs="Book Antiqua"/>
          <w:sz w:val="20"/>
          <w:szCs w:val="20"/>
        </w:rPr>
        <w:t xml:space="preserve">that </w:t>
      </w:r>
      <w:r w:rsidR="00302C0B" w:rsidRPr="00F959E7">
        <w:rPr>
          <w:rFonts w:ascii="Book Antiqua" w:hAnsi="Book Antiqua" w:cs="Book Antiqua"/>
          <w:sz w:val="20"/>
          <w:szCs w:val="20"/>
        </w:rPr>
        <w:t xml:space="preserve">the </w:t>
      </w:r>
      <w:r w:rsidR="00E100DB" w:rsidRPr="00F959E7">
        <w:rPr>
          <w:rFonts w:ascii="Book Antiqua" w:hAnsi="Book Antiqua" w:cs="Book Antiqua"/>
          <w:sz w:val="20"/>
          <w:szCs w:val="20"/>
        </w:rPr>
        <w:t>member’s home can accommodate the equipment.</w:t>
      </w:r>
    </w:p>
    <w:p w14:paraId="1D8BC41A" w14:textId="77777777" w:rsidR="00A87E3F" w:rsidRDefault="00A87E3F">
      <w:pPr>
        <w:spacing w:after="200" w:line="276" w:lineRule="auto"/>
        <w:rPr>
          <w:rFonts w:ascii="Book Antiqua" w:hAnsi="Book Antiqua" w:cs="Book Antiqua"/>
          <w:sz w:val="16"/>
          <w:szCs w:val="16"/>
        </w:rPr>
      </w:pPr>
      <w:r>
        <w:rPr>
          <w:rFonts w:ascii="Book Antiqua" w:hAnsi="Book Antiqua" w:cs="Book Antiqua"/>
          <w:sz w:val="16"/>
          <w:szCs w:val="16"/>
        </w:rPr>
        <w:br w:type="page"/>
      </w:r>
    </w:p>
    <w:p w14:paraId="15EEDA56" w14:textId="5FE2F47D" w:rsidR="00A87E3F" w:rsidRPr="00A87E3F" w:rsidRDefault="002E7B41" w:rsidP="00E100DB">
      <w:pPr>
        <w:numPr>
          <w:ilvl w:val="0"/>
          <w:numId w:val="33"/>
        </w:numPr>
        <w:rPr>
          <w:rFonts w:ascii="Book Antiqua" w:hAnsi="Book Antiqua" w:cs="Book Antiqua"/>
          <w:sz w:val="20"/>
          <w:szCs w:val="20"/>
        </w:rPr>
      </w:pPr>
      <w:r w:rsidRPr="004C7893">
        <w:rPr>
          <w:rFonts w:ascii="Tahoma" w:hAnsi="Tahoma" w:cs="Tahoma"/>
          <w:b/>
        </w:rPr>
        <w:lastRenderedPageBreak/>
        <w:t>Prescription Requirements</w:t>
      </w:r>
    </w:p>
    <w:p w14:paraId="1C14442E" w14:textId="77777777" w:rsidR="00937398" w:rsidRDefault="00937398" w:rsidP="00A87E3F">
      <w:pPr>
        <w:ind w:left="360"/>
        <w:rPr>
          <w:rFonts w:ascii="Tahoma" w:hAnsi="Tahoma" w:cs="Tahoma"/>
          <w:sz w:val="20"/>
          <w:szCs w:val="20"/>
        </w:rPr>
      </w:pPr>
    </w:p>
    <w:p w14:paraId="073AD443" w14:textId="1CA5B4C2" w:rsidR="00E100DB" w:rsidRPr="00F959E7" w:rsidRDefault="00E100DB" w:rsidP="00A87E3F">
      <w:pPr>
        <w:ind w:left="360"/>
        <w:rPr>
          <w:rFonts w:ascii="Book Antiqua" w:hAnsi="Book Antiqua" w:cs="Book Antiqua"/>
          <w:sz w:val="20"/>
          <w:szCs w:val="20"/>
        </w:rPr>
      </w:pPr>
      <w:r w:rsidRPr="00F959E7">
        <w:rPr>
          <w:rFonts w:ascii="Book Antiqua" w:hAnsi="Book Antiqua" w:cs="Book Antiqua"/>
          <w:sz w:val="20"/>
          <w:szCs w:val="20"/>
        </w:rPr>
        <w:t xml:space="preserve">MassHealth </w:t>
      </w:r>
      <w:r w:rsidRPr="008A11F0">
        <w:rPr>
          <w:rFonts w:ascii="Book Antiqua" w:hAnsi="Book Antiqua" w:cs="Book Antiqua"/>
          <w:sz w:val="20"/>
          <w:szCs w:val="20"/>
        </w:rPr>
        <w:t xml:space="preserve">pays for the purchase of a </w:t>
      </w:r>
      <w:r w:rsidR="00241E44" w:rsidRPr="008A11F0">
        <w:rPr>
          <w:rFonts w:ascii="Book Antiqua" w:hAnsi="Book Antiqua" w:cs="Book Antiqua"/>
          <w:sz w:val="20"/>
          <w:szCs w:val="20"/>
        </w:rPr>
        <w:t>stander only</w:t>
      </w:r>
      <w:r w:rsidRPr="008A11F0">
        <w:rPr>
          <w:rFonts w:ascii="Book Antiqua" w:hAnsi="Book Antiqua" w:cs="Book Antiqua"/>
          <w:sz w:val="20"/>
          <w:szCs w:val="20"/>
        </w:rPr>
        <w:t xml:space="preserve"> after the DME provider has obtained a written prescription signed by a licensed </w:t>
      </w:r>
      <w:r w:rsidR="00B054B3" w:rsidRPr="00BC1373">
        <w:rPr>
          <w:rFonts w:ascii="Book Antiqua" w:hAnsi="Book Antiqua" w:cs="Book Antiqua"/>
          <w:sz w:val="20"/>
          <w:szCs w:val="20"/>
        </w:rPr>
        <w:t>practitioner</w:t>
      </w:r>
      <w:r w:rsidRPr="00BC1373">
        <w:rPr>
          <w:rFonts w:ascii="Book Antiqua" w:hAnsi="Book Antiqua" w:cs="Book Antiqua"/>
          <w:sz w:val="20"/>
          <w:szCs w:val="20"/>
        </w:rPr>
        <w:t xml:space="preserve">. </w:t>
      </w:r>
      <w:r w:rsidR="00DC17DD" w:rsidRPr="00BC1373">
        <w:rPr>
          <w:sz w:val="22"/>
          <w:szCs w:val="22"/>
        </w:rPr>
        <w:t xml:space="preserve">The </w:t>
      </w:r>
      <w:r w:rsidR="009F5A18" w:rsidRPr="00BC1373">
        <w:rPr>
          <w:sz w:val="22"/>
          <w:szCs w:val="22"/>
        </w:rPr>
        <w:t xml:space="preserve">DME </w:t>
      </w:r>
      <w:r w:rsidR="00DC17DD" w:rsidRPr="00BC1373">
        <w:rPr>
          <w:sz w:val="22"/>
          <w:szCs w:val="22"/>
        </w:rPr>
        <w:t xml:space="preserve">provider must submit the request for </w:t>
      </w:r>
      <w:r w:rsidR="008C4069" w:rsidRPr="00BC1373">
        <w:rPr>
          <w:sz w:val="22"/>
          <w:szCs w:val="22"/>
        </w:rPr>
        <w:t xml:space="preserve">PA </w:t>
      </w:r>
      <w:r w:rsidR="00DC17DD" w:rsidRPr="00BC1373">
        <w:rPr>
          <w:sz w:val="22"/>
          <w:szCs w:val="22"/>
        </w:rPr>
        <w:t>to the MassHealth agency no later than 90 calendar days from the date of the prescription.</w:t>
      </w:r>
    </w:p>
    <w:p w14:paraId="76EDB899" w14:textId="77777777" w:rsidR="00E100DB" w:rsidRPr="008A11F0" w:rsidRDefault="00E100DB" w:rsidP="00E100DB">
      <w:pPr>
        <w:numPr>
          <w:ilvl w:val="1"/>
          <w:numId w:val="33"/>
        </w:numPr>
        <w:spacing w:before="120"/>
        <w:rPr>
          <w:rFonts w:ascii="Book Antiqua" w:hAnsi="Book Antiqua" w:cs="Book Antiqua"/>
          <w:sz w:val="20"/>
          <w:szCs w:val="20"/>
        </w:rPr>
      </w:pPr>
      <w:r w:rsidRPr="008A11F0">
        <w:rPr>
          <w:rFonts w:ascii="Book Antiqua" w:hAnsi="Book Antiqua" w:cs="Book Antiqua"/>
          <w:sz w:val="20"/>
          <w:szCs w:val="20"/>
        </w:rPr>
        <w:t>The prescription must be written on the prescriber’s prescription pad, the prescriber’s letterhead stationery, or on a Region A Durable Medical Equipment Regional Carrier (DMERC) certificate of medical necessity. If the Region A DMERC certificate of medical necessity is used, it must be completed in accordance with the instructions established by the Region A DMERC, in addition to complying with MassHealth regulations.</w:t>
      </w:r>
    </w:p>
    <w:p w14:paraId="18CFB082" w14:textId="77777777" w:rsidR="00E100DB" w:rsidRDefault="00E100DB" w:rsidP="00E100DB">
      <w:pPr>
        <w:numPr>
          <w:ilvl w:val="1"/>
          <w:numId w:val="33"/>
        </w:numPr>
        <w:spacing w:before="120"/>
        <w:rPr>
          <w:rFonts w:ascii="Book Antiqua" w:hAnsi="Book Antiqua" w:cs="Book Antiqua"/>
          <w:sz w:val="20"/>
          <w:szCs w:val="20"/>
        </w:rPr>
      </w:pPr>
      <w:r w:rsidRPr="008A11F0">
        <w:rPr>
          <w:rFonts w:ascii="Book Antiqua" w:hAnsi="Book Antiqua" w:cs="Book Antiqua"/>
          <w:sz w:val="20"/>
          <w:szCs w:val="20"/>
        </w:rPr>
        <w:t>Documentation must support the medical necessity of the purchase as determined by MassHealth.</w:t>
      </w:r>
    </w:p>
    <w:p w14:paraId="72B3267E" w14:textId="77777777" w:rsidR="00970BE6" w:rsidRPr="008A11F0" w:rsidRDefault="00970BE6" w:rsidP="00970BE6">
      <w:pPr>
        <w:spacing w:before="120"/>
        <w:ind w:left="734"/>
        <w:rPr>
          <w:rFonts w:ascii="Book Antiqua" w:hAnsi="Book Antiqua" w:cs="Book Antiqua"/>
          <w:sz w:val="20"/>
          <w:szCs w:val="20"/>
        </w:rPr>
      </w:pPr>
    </w:p>
    <w:p w14:paraId="5B0990FB" w14:textId="77777777" w:rsidR="00A87E3F" w:rsidRPr="00A87E3F" w:rsidRDefault="002E7B41" w:rsidP="008C4069">
      <w:pPr>
        <w:numPr>
          <w:ilvl w:val="0"/>
          <w:numId w:val="33"/>
        </w:numPr>
        <w:rPr>
          <w:rFonts w:ascii="Book Antiqua" w:hAnsi="Book Antiqua"/>
          <w:sz w:val="20"/>
          <w:szCs w:val="20"/>
        </w:rPr>
      </w:pPr>
      <w:r w:rsidRPr="00A37882">
        <w:rPr>
          <w:rFonts w:ascii="Tahoma" w:hAnsi="Tahoma" w:cs="Tahoma"/>
          <w:b/>
        </w:rPr>
        <w:t>Submission Requirements</w:t>
      </w:r>
      <w:r w:rsidRPr="00A37882">
        <w:rPr>
          <w:rFonts w:ascii="Tahoma" w:hAnsi="Tahoma" w:cs="Tahoma"/>
          <w:sz w:val="20"/>
          <w:szCs w:val="20"/>
        </w:rPr>
        <w:t xml:space="preserve"> </w:t>
      </w:r>
    </w:p>
    <w:p w14:paraId="190BC9F3" w14:textId="77777777" w:rsidR="00A87E3F" w:rsidRPr="00A87E3F" w:rsidRDefault="00A87E3F" w:rsidP="00A87E3F">
      <w:pPr>
        <w:ind w:left="360"/>
        <w:rPr>
          <w:rFonts w:ascii="Book Antiqua" w:hAnsi="Book Antiqua"/>
          <w:sz w:val="20"/>
          <w:szCs w:val="20"/>
        </w:rPr>
      </w:pPr>
    </w:p>
    <w:p w14:paraId="744F1DCE" w14:textId="77777777" w:rsidR="008C4069" w:rsidRPr="00BC1373" w:rsidRDefault="00E100DB" w:rsidP="00A87E3F">
      <w:pPr>
        <w:ind w:left="360"/>
        <w:rPr>
          <w:rFonts w:ascii="Book Antiqua" w:hAnsi="Book Antiqua"/>
          <w:sz w:val="20"/>
          <w:szCs w:val="20"/>
        </w:rPr>
      </w:pPr>
      <w:r w:rsidRPr="008A11F0">
        <w:rPr>
          <w:rFonts w:ascii="Book Antiqua" w:hAnsi="Book Antiqua" w:cs="Book Antiqua"/>
          <w:sz w:val="20"/>
          <w:szCs w:val="20"/>
        </w:rPr>
        <w:t>P</w:t>
      </w:r>
      <w:r w:rsidR="008C4069" w:rsidRPr="008A11F0">
        <w:rPr>
          <w:rFonts w:ascii="Book Antiqua" w:hAnsi="Book Antiqua" w:cs="Book Antiqua"/>
          <w:sz w:val="20"/>
          <w:szCs w:val="20"/>
        </w:rPr>
        <w:t>A</w:t>
      </w:r>
      <w:r w:rsidR="00C438D8" w:rsidRPr="00BC1373">
        <w:rPr>
          <w:rFonts w:ascii="Book Antiqua" w:hAnsi="Book Antiqua" w:cs="Book Antiqua"/>
          <w:sz w:val="20"/>
          <w:szCs w:val="20"/>
        </w:rPr>
        <w:t xml:space="preserve"> </w:t>
      </w:r>
      <w:r w:rsidRPr="008A11F0">
        <w:rPr>
          <w:rFonts w:ascii="Book Antiqua" w:hAnsi="Book Antiqua" w:cs="Book Antiqua"/>
          <w:sz w:val="20"/>
          <w:szCs w:val="20"/>
        </w:rPr>
        <w:t xml:space="preserve">requests must be submitted by a MassHealth DME provider. </w:t>
      </w:r>
      <w:r w:rsidR="008C4069" w:rsidRPr="008A11F0">
        <w:rPr>
          <w:rFonts w:ascii="Book Antiqua" w:hAnsi="Book Antiqua"/>
          <w:sz w:val="20"/>
          <w:szCs w:val="20"/>
        </w:rPr>
        <w:t xml:space="preserve">Providers are strongly encouraged to submit PA requests electronically. Providers must submit all information using the appropriate Prior Authorization Request Type in the LTSS Provider Portal, or by completing a MassHealth Prior Authorization Request </w:t>
      </w:r>
      <w:r w:rsidR="00492D9E">
        <w:rPr>
          <w:rFonts w:ascii="Book Antiqua" w:hAnsi="Book Antiqua"/>
          <w:sz w:val="20"/>
          <w:szCs w:val="20"/>
        </w:rPr>
        <w:t xml:space="preserve">(PA-1) </w:t>
      </w:r>
      <w:r w:rsidR="008C4069" w:rsidRPr="008A11F0">
        <w:rPr>
          <w:rFonts w:ascii="Book Antiqua" w:hAnsi="Book Antiqua"/>
          <w:sz w:val="20"/>
          <w:szCs w:val="20"/>
        </w:rPr>
        <w:t xml:space="preserve">form and attaching pertinent documentation. If submitting a non-electronic request, </w:t>
      </w:r>
      <w:r w:rsidR="00492D9E">
        <w:rPr>
          <w:rFonts w:ascii="Book Antiqua" w:hAnsi="Book Antiqua"/>
          <w:sz w:val="20"/>
          <w:szCs w:val="20"/>
        </w:rPr>
        <w:t xml:space="preserve">the provider should mail </w:t>
      </w:r>
      <w:r w:rsidR="008C4069" w:rsidRPr="008A11F0">
        <w:rPr>
          <w:rFonts w:ascii="Book Antiqua" w:hAnsi="Book Antiqua"/>
          <w:sz w:val="20"/>
          <w:szCs w:val="20"/>
        </w:rPr>
        <w:t>the PA-1 form, and any supporting documentation, to the address on the back of the PA-1 form. Questions about portal access should be directed to the LTSS Provider Service Center</w:t>
      </w:r>
      <w:r w:rsidR="008C4069" w:rsidRPr="00BC1373">
        <w:rPr>
          <w:rFonts w:ascii="Book Antiqua" w:hAnsi="Book Antiqua"/>
          <w:sz w:val="20"/>
          <w:szCs w:val="20"/>
        </w:rPr>
        <w:t xml:space="preserve"> by calling toll-free at (844) 368-5184.</w:t>
      </w:r>
    </w:p>
    <w:p w14:paraId="1A376053" w14:textId="77777777" w:rsidR="008C4069" w:rsidRPr="00F959E7" w:rsidRDefault="008C4069" w:rsidP="008C4069">
      <w:pPr>
        <w:rPr>
          <w:sz w:val="20"/>
          <w:szCs w:val="20"/>
        </w:rPr>
      </w:pPr>
    </w:p>
    <w:p w14:paraId="597706A0" w14:textId="77777777" w:rsidR="00A37882" w:rsidRPr="00F959E7" w:rsidRDefault="00A37882" w:rsidP="00A37882">
      <w:pPr>
        <w:pStyle w:val="EndnoteText"/>
        <w:jc w:val="center"/>
        <w:rPr>
          <w:rFonts w:ascii="Arial" w:hAnsi="Arial" w:cs="Arial"/>
          <w:sz w:val="24"/>
          <w:szCs w:val="24"/>
        </w:rPr>
      </w:pPr>
    </w:p>
    <w:p w14:paraId="464603FD" w14:textId="77777777" w:rsidR="00E100DB" w:rsidRPr="00F959E7" w:rsidRDefault="00E100DB" w:rsidP="00E100DB">
      <w:pPr>
        <w:pStyle w:val="EndnoteText"/>
        <w:jc w:val="center"/>
        <w:rPr>
          <w:rFonts w:ascii="Tahoma" w:hAnsi="Tahoma" w:cs="Tahoma"/>
          <w:sz w:val="32"/>
          <w:szCs w:val="32"/>
        </w:rPr>
      </w:pPr>
      <w:r w:rsidRPr="00F959E7">
        <w:rPr>
          <w:rFonts w:ascii="Tahoma" w:hAnsi="Tahoma" w:cs="Tahoma"/>
          <w:sz w:val="32"/>
          <w:szCs w:val="32"/>
        </w:rPr>
        <w:t>Select References</w:t>
      </w:r>
    </w:p>
    <w:p w14:paraId="0713CEEA" w14:textId="77777777" w:rsidR="00E100DB" w:rsidRPr="00F959E7" w:rsidRDefault="00E100DB" w:rsidP="00E100DB">
      <w:pPr>
        <w:pStyle w:val="EndnoteText"/>
        <w:jc w:val="center"/>
        <w:rPr>
          <w:rFonts w:ascii="Arial" w:hAnsi="Arial" w:cs="Arial"/>
          <w:sz w:val="24"/>
          <w:szCs w:val="24"/>
        </w:rPr>
      </w:pPr>
    </w:p>
    <w:p w14:paraId="1DF59DDC" w14:textId="77777777" w:rsidR="00E100DB" w:rsidRPr="00634CD7" w:rsidRDefault="00E100DB" w:rsidP="00E100DB">
      <w:pPr>
        <w:rPr>
          <w:rFonts w:ascii="Book Antiqua" w:hAnsi="Book Antiqua" w:cs="Book Antiqua"/>
          <w:sz w:val="20"/>
          <w:szCs w:val="20"/>
        </w:rPr>
      </w:pPr>
      <w:r w:rsidRPr="00F959E7">
        <w:rPr>
          <w:rFonts w:ascii="Book Antiqua" w:hAnsi="Book Antiqua" w:cs="Book Antiqua"/>
          <w:sz w:val="20"/>
          <w:szCs w:val="20"/>
        </w:rPr>
        <w:t xml:space="preserve">Caulton JM, Ward KA, Alsop CW, Dunn G, Adams JE, Mughal MZ. A randomised controlled trial of standing programme on bone mineral density in non-ambulant children with cerebral palsy. </w:t>
      </w:r>
      <w:r w:rsidRPr="00634CD7">
        <w:rPr>
          <w:rFonts w:ascii="Book Antiqua" w:hAnsi="Book Antiqua" w:cs="Book Antiqua"/>
          <w:i/>
          <w:iCs/>
          <w:sz w:val="20"/>
          <w:szCs w:val="20"/>
        </w:rPr>
        <w:t xml:space="preserve">Archives of Disease in Childhood. </w:t>
      </w:r>
      <w:r w:rsidRPr="00634CD7">
        <w:rPr>
          <w:rFonts w:ascii="Book Antiqua" w:hAnsi="Book Antiqua" w:cs="Book Antiqua"/>
          <w:sz w:val="20"/>
          <w:szCs w:val="20"/>
        </w:rPr>
        <w:t>Feb 2004;</w:t>
      </w:r>
      <w:r w:rsidR="00A87E3F">
        <w:rPr>
          <w:rFonts w:ascii="Book Antiqua" w:hAnsi="Book Antiqua" w:cs="Book Antiqua"/>
          <w:sz w:val="20"/>
          <w:szCs w:val="20"/>
        </w:rPr>
        <w:t xml:space="preserve"> </w:t>
      </w:r>
      <w:r w:rsidRPr="00634CD7">
        <w:rPr>
          <w:rFonts w:ascii="Book Antiqua" w:hAnsi="Book Antiqua" w:cs="Book Antiqua"/>
          <w:sz w:val="20"/>
          <w:szCs w:val="20"/>
        </w:rPr>
        <w:t>89(2):</w:t>
      </w:r>
      <w:r w:rsidR="00A87E3F">
        <w:rPr>
          <w:rFonts w:ascii="Book Antiqua" w:hAnsi="Book Antiqua" w:cs="Book Antiqua"/>
          <w:sz w:val="20"/>
          <w:szCs w:val="20"/>
        </w:rPr>
        <w:t xml:space="preserve"> </w:t>
      </w:r>
      <w:r w:rsidRPr="00634CD7">
        <w:rPr>
          <w:rFonts w:ascii="Book Antiqua" w:hAnsi="Book Antiqua" w:cs="Book Antiqua"/>
          <w:sz w:val="20"/>
          <w:szCs w:val="20"/>
        </w:rPr>
        <w:t>131-135.</w:t>
      </w:r>
    </w:p>
    <w:p w14:paraId="72B5B2E5" w14:textId="77777777" w:rsidR="00E100DB" w:rsidRPr="00634CD7" w:rsidRDefault="00E100DB" w:rsidP="00E100DB">
      <w:pPr>
        <w:rPr>
          <w:rFonts w:ascii="Book Antiqua" w:hAnsi="Book Antiqua" w:cs="Book Antiqua"/>
          <w:sz w:val="20"/>
          <w:szCs w:val="20"/>
        </w:rPr>
      </w:pPr>
    </w:p>
    <w:p w14:paraId="3F9D0150" w14:textId="77777777" w:rsidR="00E100DB" w:rsidRPr="00634CD7" w:rsidRDefault="00E100DB" w:rsidP="00E100DB">
      <w:pPr>
        <w:rPr>
          <w:rFonts w:ascii="Book Antiqua" w:hAnsi="Book Antiqua" w:cs="Book Antiqua"/>
          <w:sz w:val="20"/>
          <w:szCs w:val="20"/>
        </w:rPr>
      </w:pPr>
      <w:r w:rsidRPr="00634CD7">
        <w:rPr>
          <w:rFonts w:ascii="Book Antiqua" w:hAnsi="Book Antiqua" w:cs="Book Antiqua"/>
          <w:sz w:val="20"/>
          <w:szCs w:val="20"/>
        </w:rPr>
        <w:t xml:space="preserve">Chad KE, Bailey DA, McKay HA, Zello GA, Snyder RE. The effect of a weight-bearing physical activity program on bone mineral content and estimated volumetric density in children with spastic cerebral palsy. </w:t>
      </w:r>
      <w:r w:rsidRPr="00634CD7">
        <w:rPr>
          <w:rFonts w:ascii="Book Antiqua" w:hAnsi="Book Antiqua" w:cs="Book Antiqua"/>
          <w:i/>
          <w:iCs/>
          <w:sz w:val="20"/>
          <w:szCs w:val="20"/>
        </w:rPr>
        <w:t xml:space="preserve">Journal of Pediatrics. </w:t>
      </w:r>
      <w:r w:rsidRPr="00634CD7">
        <w:rPr>
          <w:rFonts w:ascii="Book Antiqua" w:hAnsi="Book Antiqua" w:cs="Book Antiqua"/>
          <w:sz w:val="20"/>
          <w:szCs w:val="20"/>
        </w:rPr>
        <w:t>Jul 1999;</w:t>
      </w:r>
      <w:r w:rsidR="003362BA">
        <w:rPr>
          <w:rFonts w:ascii="Book Antiqua" w:hAnsi="Book Antiqua" w:cs="Book Antiqua"/>
          <w:sz w:val="20"/>
          <w:szCs w:val="20"/>
        </w:rPr>
        <w:t xml:space="preserve"> </w:t>
      </w:r>
      <w:r w:rsidRPr="00634CD7">
        <w:rPr>
          <w:rFonts w:ascii="Book Antiqua" w:hAnsi="Book Antiqua" w:cs="Book Antiqua"/>
          <w:sz w:val="20"/>
          <w:szCs w:val="20"/>
        </w:rPr>
        <w:t>135(1):</w:t>
      </w:r>
      <w:r w:rsidR="003362BA">
        <w:rPr>
          <w:rFonts w:ascii="Book Antiqua" w:hAnsi="Book Antiqua" w:cs="Book Antiqua"/>
          <w:sz w:val="20"/>
          <w:szCs w:val="20"/>
        </w:rPr>
        <w:t xml:space="preserve"> </w:t>
      </w:r>
      <w:r w:rsidRPr="00634CD7">
        <w:rPr>
          <w:rFonts w:ascii="Book Antiqua" w:hAnsi="Book Antiqua" w:cs="Book Antiqua"/>
          <w:sz w:val="20"/>
          <w:szCs w:val="20"/>
        </w:rPr>
        <w:t>115-117.</w:t>
      </w:r>
    </w:p>
    <w:p w14:paraId="0548394D" w14:textId="77777777" w:rsidR="006612A1" w:rsidRPr="00634CD7" w:rsidRDefault="006612A1" w:rsidP="00E100DB">
      <w:pPr>
        <w:rPr>
          <w:rFonts w:ascii="Book Antiqua" w:hAnsi="Book Antiqua" w:cs="Book Antiqua"/>
          <w:sz w:val="20"/>
          <w:szCs w:val="20"/>
        </w:rPr>
      </w:pPr>
    </w:p>
    <w:p w14:paraId="3ECAED47" w14:textId="77777777" w:rsidR="006612A1" w:rsidRPr="008A11F0" w:rsidRDefault="006612A1" w:rsidP="00E100DB">
      <w:pPr>
        <w:rPr>
          <w:rFonts w:ascii="Book Antiqua" w:hAnsi="Book Antiqua" w:cs="Book Antiqua"/>
          <w:sz w:val="20"/>
          <w:szCs w:val="20"/>
        </w:rPr>
      </w:pPr>
      <w:r w:rsidRPr="00634CD7">
        <w:rPr>
          <w:rFonts w:ascii="Book Antiqua" w:hAnsi="Book Antiqua" w:cs="Book Antiqua"/>
          <w:sz w:val="20"/>
          <w:szCs w:val="20"/>
        </w:rPr>
        <w:t>Dicianno BE, Morgan A, Lieberman J, Rosen L</w:t>
      </w:r>
      <w:r w:rsidR="00CC09B7">
        <w:rPr>
          <w:rFonts w:ascii="Book Antiqua" w:hAnsi="Book Antiqua" w:cs="Book Antiqua"/>
          <w:sz w:val="20"/>
          <w:szCs w:val="20"/>
        </w:rPr>
        <w:t>.</w:t>
      </w:r>
      <w:r w:rsidRPr="008A11F0">
        <w:rPr>
          <w:rFonts w:ascii="Book Antiqua" w:hAnsi="Book Antiqua" w:cs="Book Antiqua"/>
          <w:sz w:val="20"/>
          <w:szCs w:val="20"/>
        </w:rPr>
        <w:t xml:space="preserve"> RESNA </w:t>
      </w:r>
      <w:r w:rsidR="004E1096" w:rsidRPr="008A11F0">
        <w:rPr>
          <w:rFonts w:ascii="Book Antiqua" w:hAnsi="Book Antiqua" w:cs="Book Antiqua"/>
          <w:sz w:val="20"/>
          <w:szCs w:val="20"/>
        </w:rPr>
        <w:t>p</w:t>
      </w:r>
      <w:r w:rsidRPr="008A11F0">
        <w:rPr>
          <w:rFonts w:ascii="Book Antiqua" w:hAnsi="Book Antiqua" w:cs="Book Antiqua"/>
          <w:sz w:val="20"/>
          <w:szCs w:val="20"/>
        </w:rPr>
        <w:t xml:space="preserve">osition </w:t>
      </w:r>
      <w:r w:rsidR="008250CD">
        <w:rPr>
          <w:rFonts w:ascii="Book Antiqua" w:hAnsi="Book Antiqua" w:cs="Book Antiqua"/>
          <w:sz w:val="20"/>
          <w:szCs w:val="20"/>
        </w:rPr>
        <w:t>o</w:t>
      </w:r>
      <w:r w:rsidRPr="008A11F0">
        <w:rPr>
          <w:rFonts w:ascii="Book Antiqua" w:hAnsi="Book Antiqua" w:cs="Book Antiqua"/>
          <w:sz w:val="20"/>
          <w:szCs w:val="20"/>
        </w:rPr>
        <w:t xml:space="preserve">n </w:t>
      </w:r>
      <w:r w:rsidR="00A61DF9" w:rsidRPr="00BC1373">
        <w:rPr>
          <w:rFonts w:ascii="Book Antiqua" w:hAnsi="Book Antiqua" w:cs="Book Antiqua"/>
          <w:sz w:val="20"/>
          <w:szCs w:val="20"/>
        </w:rPr>
        <w:t>t</w:t>
      </w:r>
      <w:r w:rsidRPr="00BC1373">
        <w:rPr>
          <w:rFonts w:ascii="Book Antiqua" w:hAnsi="Book Antiqua" w:cs="Book Antiqua"/>
          <w:sz w:val="20"/>
          <w:szCs w:val="20"/>
        </w:rPr>
        <w:t xml:space="preserve">he </w:t>
      </w:r>
      <w:r w:rsidR="004E1096" w:rsidRPr="00BC1373">
        <w:rPr>
          <w:rFonts w:ascii="Book Antiqua" w:hAnsi="Book Antiqua" w:cs="Book Antiqua"/>
          <w:sz w:val="20"/>
          <w:szCs w:val="20"/>
        </w:rPr>
        <w:t>a</w:t>
      </w:r>
      <w:r w:rsidRPr="00BC1373">
        <w:rPr>
          <w:rFonts w:ascii="Book Antiqua" w:hAnsi="Book Antiqua" w:cs="Book Antiqua"/>
          <w:sz w:val="20"/>
          <w:szCs w:val="20"/>
        </w:rPr>
        <w:t xml:space="preserve">pplication of </w:t>
      </w:r>
      <w:r w:rsidR="004E1096" w:rsidRPr="00BC1373">
        <w:rPr>
          <w:rFonts w:ascii="Book Antiqua" w:hAnsi="Book Antiqua" w:cs="Book Antiqua"/>
          <w:sz w:val="20"/>
          <w:szCs w:val="20"/>
        </w:rPr>
        <w:t>w</w:t>
      </w:r>
      <w:r w:rsidRPr="00F959E7">
        <w:rPr>
          <w:rFonts w:ascii="Book Antiqua" w:hAnsi="Book Antiqua" w:cs="Book Antiqua"/>
          <w:sz w:val="20"/>
          <w:szCs w:val="20"/>
        </w:rPr>
        <w:t xml:space="preserve">heelchair </w:t>
      </w:r>
      <w:r w:rsidR="004E1096" w:rsidRPr="00F959E7">
        <w:rPr>
          <w:rFonts w:ascii="Book Antiqua" w:hAnsi="Book Antiqua" w:cs="Book Antiqua"/>
          <w:sz w:val="20"/>
          <w:szCs w:val="20"/>
        </w:rPr>
        <w:t>s</w:t>
      </w:r>
      <w:r w:rsidRPr="00F959E7">
        <w:rPr>
          <w:rFonts w:ascii="Book Antiqua" w:hAnsi="Book Antiqua" w:cs="Book Antiqua"/>
          <w:sz w:val="20"/>
          <w:szCs w:val="20"/>
        </w:rPr>
        <w:t xml:space="preserve">tanding </w:t>
      </w:r>
      <w:r w:rsidR="004E1096" w:rsidRPr="00F959E7">
        <w:rPr>
          <w:rFonts w:ascii="Book Antiqua" w:hAnsi="Book Antiqua" w:cs="Book Antiqua"/>
          <w:sz w:val="20"/>
          <w:szCs w:val="20"/>
        </w:rPr>
        <w:t>d</w:t>
      </w:r>
      <w:r w:rsidRPr="00F959E7">
        <w:rPr>
          <w:rFonts w:ascii="Book Antiqua" w:hAnsi="Book Antiqua" w:cs="Book Antiqua"/>
          <w:sz w:val="20"/>
          <w:szCs w:val="20"/>
        </w:rPr>
        <w:t xml:space="preserve">evices: 2013 Current </w:t>
      </w:r>
      <w:r w:rsidR="004E1096" w:rsidRPr="00F959E7">
        <w:rPr>
          <w:rFonts w:ascii="Book Antiqua" w:hAnsi="Book Antiqua" w:cs="Book Antiqua"/>
          <w:sz w:val="20"/>
          <w:szCs w:val="20"/>
        </w:rPr>
        <w:t>s</w:t>
      </w:r>
      <w:r w:rsidRPr="00F959E7">
        <w:rPr>
          <w:rFonts w:ascii="Book Antiqua" w:hAnsi="Book Antiqua" w:cs="Book Antiqua"/>
          <w:sz w:val="20"/>
          <w:szCs w:val="20"/>
        </w:rPr>
        <w:t xml:space="preserve">tate </w:t>
      </w:r>
      <w:r w:rsidR="004E1096" w:rsidRPr="00F959E7">
        <w:rPr>
          <w:rFonts w:ascii="Book Antiqua" w:hAnsi="Book Antiqua" w:cs="Book Antiqua"/>
          <w:sz w:val="20"/>
          <w:szCs w:val="20"/>
        </w:rPr>
        <w:t>o</w:t>
      </w:r>
      <w:r w:rsidRPr="00F959E7">
        <w:rPr>
          <w:rFonts w:ascii="Book Antiqua" w:hAnsi="Book Antiqua" w:cs="Book Antiqua"/>
          <w:sz w:val="20"/>
          <w:szCs w:val="20"/>
        </w:rPr>
        <w:t xml:space="preserve">f </w:t>
      </w:r>
      <w:r w:rsidR="004E1096" w:rsidRPr="00634CD7">
        <w:rPr>
          <w:rFonts w:ascii="Book Antiqua" w:hAnsi="Book Antiqua" w:cs="Book Antiqua"/>
          <w:sz w:val="20"/>
          <w:szCs w:val="20"/>
        </w:rPr>
        <w:t>t</w:t>
      </w:r>
      <w:r w:rsidRPr="00634CD7">
        <w:rPr>
          <w:rFonts w:ascii="Book Antiqua" w:hAnsi="Book Antiqua" w:cs="Book Antiqua"/>
          <w:sz w:val="20"/>
          <w:szCs w:val="20"/>
        </w:rPr>
        <w:t xml:space="preserve">he </w:t>
      </w:r>
      <w:r w:rsidR="004E1096" w:rsidRPr="00634CD7">
        <w:rPr>
          <w:rFonts w:ascii="Book Antiqua" w:hAnsi="Book Antiqua" w:cs="Book Antiqua"/>
          <w:sz w:val="20"/>
          <w:szCs w:val="20"/>
        </w:rPr>
        <w:t>l</w:t>
      </w:r>
      <w:r w:rsidRPr="00634CD7">
        <w:rPr>
          <w:rFonts w:ascii="Book Antiqua" w:hAnsi="Book Antiqua" w:cs="Book Antiqua"/>
          <w:sz w:val="20"/>
          <w:szCs w:val="20"/>
        </w:rPr>
        <w:t>iterature</w:t>
      </w:r>
      <w:r w:rsidR="00CC09B7">
        <w:rPr>
          <w:rFonts w:ascii="Book Antiqua" w:hAnsi="Book Antiqua" w:cs="Book Antiqua"/>
          <w:sz w:val="20"/>
          <w:szCs w:val="20"/>
        </w:rPr>
        <w:t>.</w:t>
      </w:r>
      <w:r w:rsidRPr="00634CD7">
        <w:rPr>
          <w:rFonts w:ascii="Book Antiqua" w:hAnsi="Book Antiqua" w:cs="Book Antiqua"/>
          <w:sz w:val="20"/>
          <w:szCs w:val="20"/>
        </w:rPr>
        <w:t xml:space="preserve"> </w:t>
      </w:r>
      <w:r w:rsidRPr="008A11F0">
        <w:rPr>
          <w:rFonts w:ascii="Book Antiqua" w:hAnsi="Book Antiqua" w:cs="Book Antiqua"/>
          <w:i/>
          <w:sz w:val="20"/>
          <w:szCs w:val="20"/>
        </w:rPr>
        <w:t>Rehabilitation Engineering and Assistive Technology Society of North America</w:t>
      </w:r>
      <w:r w:rsidR="002E48CD">
        <w:rPr>
          <w:rFonts w:ascii="Book Antiqua" w:hAnsi="Book Antiqua" w:cs="Book Antiqua"/>
          <w:sz w:val="20"/>
          <w:szCs w:val="20"/>
        </w:rPr>
        <w:t>.</w:t>
      </w:r>
      <w:r w:rsidRPr="008A11F0">
        <w:rPr>
          <w:rFonts w:ascii="Book Antiqua" w:hAnsi="Book Antiqua" w:cs="Book Antiqua"/>
          <w:sz w:val="20"/>
          <w:szCs w:val="20"/>
        </w:rPr>
        <w:t xml:space="preserve"> Dec 2013</w:t>
      </w:r>
      <w:r w:rsidR="004F1544">
        <w:rPr>
          <w:rFonts w:ascii="Book Antiqua" w:hAnsi="Book Antiqua" w:cs="Book Antiqua"/>
          <w:sz w:val="20"/>
          <w:szCs w:val="20"/>
        </w:rPr>
        <w:t>;</w:t>
      </w:r>
      <w:r w:rsidR="003362BA">
        <w:rPr>
          <w:rFonts w:ascii="Book Antiqua" w:hAnsi="Book Antiqua" w:cs="Book Antiqua"/>
          <w:sz w:val="20"/>
          <w:szCs w:val="20"/>
        </w:rPr>
        <w:t xml:space="preserve"> </w:t>
      </w:r>
      <w:r w:rsidR="004F1544">
        <w:rPr>
          <w:rFonts w:ascii="Book Antiqua" w:hAnsi="Book Antiqua" w:cs="Book Antiqua"/>
          <w:sz w:val="20"/>
          <w:szCs w:val="20"/>
        </w:rPr>
        <w:t>21:</w:t>
      </w:r>
      <w:r w:rsidR="003362BA">
        <w:rPr>
          <w:rFonts w:ascii="Book Antiqua" w:hAnsi="Book Antiqua" w:cs="Book Antiqua"/>
          <w:sz w:val="20"/>
          <w:szCs w:val="20"/>
        </w:rPr>
        <w:t xml:space="preserve"> </w:t>
      </w:r>
      <w:r w:rsidR="004F1544">
        <w:rPr>
          <w:rFonts w:ascii="Book Antiqua" w:hAnsi="Book Antiqua" w:cs="Book Antiqua"/>
          <w:sz w:val="20"/>
          <w:szCs w:val="20"/>
        </w:rPr>
        <w:t>161-168</w:t>
      </w:r>
      <w:r w:rsidR="002E48CD">
        <w:rPr>
          <w:rFonts w:ascii="Book Antiqua" w:hAnsi="Book Antiqua" w:cs="Book Antiqua"/>
          <w:sz w:val="20"/>
          <w:szCs w:val="20"/>
        </w:rPr>
        <w:t>.</w:t>
      </w:r>
    </w:p>
    <w:p w14:paraId="09FDA060" w14:textId="77777777" w:rsidR="00E100DB" w:rsidRPr="008A11F0" w:rsidRDefault="00E100DB" w:rsidP="00E100DB">
      <w:pPr>
        <w:rPr>
          <w:rFonts w:ascii="Book Antiqua" w:hAnsi="Book Antiqua" w:cs="Book Antiqua"/>
          <w:sz w:val="20"/>
          <w:szCs w:val="20"/>
        </w:rPr>
      </w:pPr>
    </w:p>
    <w:p w14:paraId="61FE45B6" w14:textId="77777777" w:rsidR="00E100DB" w:rsidRPr="00BC1373" w:rsidRDefault="00E100DB" w:rsidP="00E100DB">
      <w:pPr>
        <w:rPr>
          <w:rFonts w:ascii="Book Antiqua" w:hAnsi="Book Antiqua" w:cs="Book Antiqua"/>
          <w:sz w:val="20"/>
          <w:szCs w:val="20"/>
        </w:rPr>
      </w:pPr>
      <w:r w:rsidRPr="00BC1373">
        <w:rPr>
          <w:rFonts w:ascii="Book Antiqua" w:hAnsi="Book Antiqua" w:cs="Book Antiqua"/>
          <w:sz w:val="20"/>
          <w:szCs w:val="20"/>
        </w:rPr>
        <w:t xml:space="preserve">Eng JJ, Levins SM, Townson AF, Mah-Jones D, Bremner J, Huston G. Use of prolonged standing for individuals with spinal cord injuries. </w:t>
      </w:r>
      <w:r w:rsidRPr="00BC1373">
        <w:rPr>
          <w:rFonts w:ascii="Book Antiqua" w:hAnsi="Book Antiqua" w:cs="Book Antiqua"/>
          <w:i/>
          <w:iCs/>
          <w:sz w:val="20"/>
          <w:szCs w:val="20"/>
        </w:rPr>
        <w:t xml:space="preserve">Physical Therapy. </w:t>
      </w:r>
      <w:r w:rsidRPr="00BC1373">
        <w:rPr>
          <w:rFonts w:ascii="Book Antiqua" w:hAnsi="Book Antiqua" w:cs="Book Antiqua"/>
          <w:sz w:val="20"/>
          <w:szCs w:val="20"/>
        </w:rPr>
        <w:t>Aug 2001;</w:t>
      </w:r>
      <w:r w:rsidR="003362BA">
        <w:rPr>
          <w:rFonts w:ascii="Book Antiqua" w:hAnsi="Book Antiqua" w:cs="Book Antiqua"/>
          <w:sz w:val="20"/>
          <w:szCs w:val="20"/>
        </w:rPr>
        <w:t xml:space="preserve"> </w:t>
      </w:r>
      <w:r w:rsidRPr="00BC1373">
        <w:rPr>
          <w:rFonts w:ascii="Book Antiqua" w:hAnsi="Book Antiqua" w:cs="Book Antiqua"/>
          <w:sz w:val="20"/>
          <w:szCs w:val="20"/>
        </w:rPr>
        <w:t>81(8):</w:t>
      </w:r>
      <w:r w:rsidR="003362BA">
        <w:rPr>
          <w:rFonts w:ascii="Book Antiqua" w:hAnsi="Book Antiqua" w:cs="Book Antiqua"/>
          <w:sz w:val="20"/>
          <w:szCs w:val="20"/>
        </w:rPr>
        <w:t xml:space="preserve"> </w:t>
      </w:r>
      <w:r w:rsidRPr="00BC1373">
        <w:rPr>
          <w:rFonts w:ascii="Book Antiqua" w:hAnsi="Book Antiqua" w:cs="Book Antiqua"/>
          <w:sz w:val="20"/>
          <w:szCs w:val="20"/>
        </w:rPr>
        <w:t>1392-1399.</w:t>
      </w:r>
    </w:p>
    <w:p w14:paraId="72C531DA" w14:textId="77777777" w:rsidR="00E100DB" w:rsidRPr="00F959E7" w:rsidRDefault="00E100DB" w:rsidP="00E100DB">
      <w:pPr>
        <w:rPr>
          <w:rFonts w:ascii="Book Antiqua" w:hAnsi="Book Antiqua" w:cs="Book Antiqua"/>
          <w:sz w:val="20"/>
          <w:szCs w:val="20"/>
        </w:rPr>
      </w:pPr>
    </w:p>
    <w:p w14:paraId="12167721" w14:textId="77777777" w:rsidR="00E100DB" w:rsidRPr="00F959E7" w:rsidRDefault="00E100DB" w:rsidP="00E100DB">
      <w:pPr>
        <w:rPr>
          <w:rFonts w:ascii="Book Antiqua" w:hAnsi="Book Antiqua" w:cs="Book Antiqua"/>
          <w:sz w:val="20"/>
          <w:szCs w:val="20"/>
        </w:rPr>
      </w:pPr>
      <w:r w:rsidRPr="00F959E7">
        <w:rPr>
          <w:rFonts w:ascii="Book Antiqua" w:hAnsi="Book Antiqua" w:cs="Book Antiqua"/>
          <w:sz w:val="20"/>
          <w:szCs w:val="20"/>
        </w:rPr>
        <w:t xml:space="preserve">Goemaere S, Van Laere M, De Neve P, Kaufman JM. Bone mineral status in paraplegic patients who do or do not perform standing. </w:t>
      </w:r>
      <w:r w:rsidRPr="00F959E7">
        <w:rPr>
          <w:rFonts w:ascii="Book Antiqua" w:hAnsi="Book Antiqua" w:cs="Book Antiqua"/>
          <w:i/>
          <w:iCs/>
          <w:sz w:val="20"/>
          <w:szCs w:val="20"/>
        </w:rPr>
        <w:t xml:space="preserve">Osteoporosis International. </w:t>
      </w:r>
      <w:r w:rsidRPr="00F959E7">
        <w:rPr>
          <w:rFonts w:ascii="Book Antiqua" w:hAnsi="Book Antiqua" w:cs="Book Antiqua"/>
          <w:sz w:val="20"/>
          <w:szCs w:val="20"/>
        </w:rPr>
        <w:t>May 1994;</w:t>
      </w:r>
      <w:r w:rsidR="003362BA">
        <w:rPr>
          <w:rFonts w:ascii="Book Antiqua" w:hAnsi="Book Antiqua" w:cs="Book Antiqua"/>
          <w:sz w:val="20"/>
          <w:szCs w:val="20"/>
        </w:rPr>
        <w:t xml:space="preserve"> </w:t>
      </w:r>
      <w:r w:rsidRPr="00F959E7">
        <w:rPr>
          <w:rFonts w:ascii="Book Antiqua" w:hAnsi="Book Antiqua" w:cs="Book Antiqua"/>
          <w:sz w:val="20"/>
          <w:szCs w:val="20"/>
        </w:rPr>
        <w:t>4(3):</w:t>
      </w:r>
      <w:r w:rsidR="003362BA">
        <w:rPr>
          <w:rFonts w:ascii="Book Antiqua" w:hAnsi="Book Antiqua" w:cs="Book Antiqua"/>
          <w:sz w:val="20"/>
          <w:szCs w:val="20"/>
        </w:rPr>
        <w:t xml:space="preserve"> </w:t>
      </w:r>
      <w:r w:rsidRPr="00F959E7">
        <w:rPr>
          <w:rFonts w:ascii="Book Antiqua" w:hAnsi="Book Antiqua" w:cs="Book Antiqua"/>
          <w:sz w:val="20"/>
          <w:szCs w:val="20"/>
        </w:rPr>
        <w:t>138-143.</w:t>
      </w:r>
    </w:p>
    <w:p w14:paraId="02E4D514" w14:textId="77777777" w:rsidR="00E100DB" w:rsidRPr="00F959E7" w:rsidRDefault="00E100DB" w:rsidP="00E100DB">
      <w:pPr>
        <w:rPr>
          <w:rFonts w:ascii="Book Antiqua" w:hAnsi="Book Antiqua" w:cs="Book Antiqua"/>
          <w:sz w:val="20"/>
          <w:szCs w:val="20"/>
        </w:rPr>
      </w:pPr>
    </w:p>
    <w:p w14:paraId="1FCF1A90" w14:textId="77777777" w:rsidR="00E100DB" w:rsidRPr="008A11F0" w:rsidRDefault="00E100DB" w:rsidP="00E100DB">
      <w:pPr>
        <w:rPr>
          <w:rFonts w:ascii="Book Antiqua" w:hAnsi="Book Antiqua" w:cs="Book Antiqua"/>
          <w:sz w:val="20"/>
          <w:szCs w:val="20"/>
        </w:rPr>
      </w:pPr>
      <w:r w:rsidRPr="00F959E7">
        <w:rPr>
          <w:rFonts w:ascii="Book Antiqua" w:hAnsi="Book Antiqua" w:cs="Book Antiqua"/>
          <w:sz w:val="20"/>
          <w:szCs w:val="20"/>
        </w:rPr>
        <w:t xml:space="preserve">Herman D, May R, Vogel L, Johnson J, Henderson RC. Quantifying weight-bearing by children with cerebral palsy while in passive standers. </w:t>
      </w:r>
      <w:r w:rsidRPr="00F959E7">
        <w:rPr>
          <w:rFonts w:ascii="Book Antiqua" w:hAnsi="Book Antiqua" w:cs="Book Antiqua"/>
          <w:i/>
          <w:iCs/>
          <w:sz w:val="20"/>
          <w:szCs w:val="20"/>
        </w:rPr>
        <w:t xml:space="preserve">Pediatric Physical Therapy. </w:t>
      </w:r>
      <w:r w:rsidR="004F1544" w:rsidRPr="00D17F8A">
        <w:rPr>
          <w:rFonts w:ascii="Book Antiqua" w:hAnsi="Book Antiqua" w:cs="Book Antiqua"/>
          <w:iCs/>
          <w:sz w:val="20"/>
          <w:szCs w:val="20"/>
        </w:rPr>
        <w:t>Winter</w:t>
      </w:r>
      <w:r w:rsidR="004F1544">
        <w:rPr>
          <w:rFonts w:ascii="Book Antiqua" w:hAnsi="Book Antiqua" w:cs="Book Antiqua"/>
          <w:i/>
          <w:iCs/>
          <w:sz w:val="20"/>
          <w:szCs w:val="20"/>
        </w:rPr>
        <w:t xml:space="preserve"> </w:t>
      </w:r>
      <w:r w:rsidRPr="008A11F0">
        <w:rPr>
          <w:rFonts w:ascii="Book Antiqua" w:hAnsi="Book Antiqua" w:cs="Book Antiqua"/>
          <w:sz w:val="20"/>
          <w:szCs w:val="20"/>
        </w:rPr>
        <w:t>2007;</w:t>
      </w:r>
      <w:r w:rsidR="00970BE6">
        <w:rPr>
          <w:rFonts w:ascii="Book Antiqua" w:hAnsi="Book Antiqua" w:cs="Book Antiqua"/>
          <w:sz w:val="20"/>
          <w:szCs w:val="20"/>
        </w:rPr>
        <w:t xml:space="preserve"> </w:t>
      </w:r>
      <w:r w:rsidRPr="008A11F0">
        <w:rPr>
          <w:rFonts w:ascii="Book Antiqua" w:hAnsi="Book Antiqua" w:cs="Book Antiqua"/>
          <w:sz w:val="20"/>
          <w:szCs w:val="20"/>
        </w:rPr>
        <w:t>19(4):</w:t>
      </w:r>
      <w:r w:rsidR="003362BA">
        <w:rPr>
          <w:rFonts w:ascii="Book Antiqua" w:hAnsi="Book Antiqua" w:cs="Book Antiqua"/>
          <w:sz w:val="20"/>
          <w:szCs w:val="20"/>
        </w:rPr>
        <w:t xml:space="preserve"> </w:t>
      </w:r>
      <w:r w:rsidRPr="008A11F0">
        <w:rPr>
          <w:rFonts w:ascii="Book Antiqua" w:hAnsi="Book Antiqua" w:cs="Book Antiqua"/>
          <w:sz w:val="20"/>
          <w:szCs w:val="20"/>
        </w:rPr>
        <w:t>283-287.</w:t>
      </w:r>
    </w:p>
    <w:p w14:paraId="673AC5ED" w14:textId="77777777" w:rsidR="00E100DB" w:rsidRPr="008A11F0" w:rsidRDefault="00E100DB" w:rsidP="00E100DB">
      <w:pPr>
        <w:rPr>
          <w:rFonts w:ascii="Book Antiqua" w:hAnsi="Book Antiqua" w:cs="Book Antiqua"/>
          <w:sz w:val="20"/>
          <w:szCs w:val="20"/>
        </w:rPr>
      </w:pPr>
    </w:p>
    <w:p w14:paraId="54C80E1B" w14:textId="77777777" w:rsidR="00E100DB" w:rsidRPr="00BC1373" w:rsidRDefault="00E100DB" w:rsidP="00E100DB">
      <w:pPr>
        <w:rPr>
          <w:rFonts w:ascii="Book Antiqua" w:hAnsi="Book Antiqua" w:cs="Book Antiqua"/>
          <w:sz w:val="20"/>
          <w:szCs w:val="20"/>
        </w:rPr>
      </w:pPr>
      <w:r w:rsidRPr="00BC1373">
        <w:rPr>
          <w:rFonts w:ascii="Book Antiqua" w:hAnsi="Book Antiqua" w:cs="Book Antiqua"/>
          <w:sz w:val="20"/>
          <w:szCs w:val="20"/>
        </w:rPr>
        <w:t xml:space="preserve">Ivey A, McDaniel C, Perkins S, Roblyer DD, Ruiz J. Supine stander for severely handicapped child. </w:t>
      </w:r>
      <w:r w:rsidRPr="00BC1373">
        <w:rPr>
          <w:rFonts w:ascii="Book Antiqua" w:hAnsi="Book Antiqua" w:cs="Book Antiqua"/>
          <w:i/>
          <w:iCs/>
          <w:sz w:val="20"/>
          <w:szCs w:val="20"/>
        </w:rPr>
        <w:t xml:space="preserve">Physical Therapy. </w:t>
      </w:r>
      <w:r w:rsidRPr="00BC1373">
        <w:rPr>
          <w:rFonts w:ascii="Book Antiqua" w:hAnsi="Book Antiqua" w:cs="Book Antiqua"/>
          <w:sz w:val="20"/>
          <w:szCs w:val="20"/>
        </w:rPr>
        <w:t>Apr 1981;</w:t>
      </w:r>
      <w:r w:rsidR="003362BA">
        <w:rPr>
          <w:rFonts w:ascii="Book Antiqua" w:hAnsi="Book Antiqua" w:cs="Book Antiqua"/>
          <w:sz w:val="20"/>
          <w:szCs w:val="20"/>
        </w:rPr>
        <w:t xml:space="preserve"> </w:t>
      </w:r>
      <w:r w:rsidRPr="00BC1373">
        <w:rPr>
          <w:rFonts w:ascii="Book Antiqua" w:hAnsi="Book Antiqua" w:cs="Book Antiqua"/>
          <w:sz w:val="20"/>
          <w:szCs w:val="20"/>
        </w:rPr>
        <w:t>61(4):</w:t>
      </w:r>
      <w:r w:rsidR="003362BA">
        <w:rPr>
          <w:rFonts w:ascii="Book Antiqua" w:hAnsi="Book Antiqua" w:cs="Book Antiqua"/>
          <w:sz w:val="20"/>
          <w:szCs w:val="20"/>
        </w:rPr>
        <w:t xml:space="preserve"> </w:t>
      </w:r>
      <w:r w:rsidRPr="00BC1373">
        <w:rPr>
          <w:rFonts w:ascii="Book Antiqua" w:hAnsi="Book Antiqua" w:cs="Book Antiqua"/>
          <w:sz w:val="20"/>
          <w:szCs w:val="20"/>
        </w:rPr>
        <w:t>525-526.</w:t>
      </w:r>
    </w:p>
    <w:p w14:paraId="19D20910" w14:textId="77777777" w:rsidR="00E100DB" w:rsidRPr="00F959E7" w:rsidRDefault="00E100DB" w:rsidP="00E100DB">
      <w:pPr>
        <w:rPr>
          <w:rFonts w:ascii="Book Antiqua" w:hAnsi="Book Antiqua" w:cs="Book Antiqua"/>
          <w:sz w:val="20"/>
          <w:szCs w:val="20"/>
        </w:rPr>
      </w:pPr>
    </w:p>
    <w:p w14:paraId="29B269D4" w14:textId="77777777" w:rsidR="00653C83" w:rsidRPr="008A11F0" w:rsidRDefault="00653C83" w:rsidP="00E100DB">
      <w:pPr>
        <w:rPr>
          <w:rFonts w:ascii="Book Antiqua" w:hAnsi="Book Antiqua" w:cs="Book Antiqua"/>
          <w:sz w:val="20"/>
          <w:szCs w:val="20"/>
        </w:rPr>
      </w:pPr>
      <w:bookmarkStart w:id="0" w:name="_GoBack"/>
      <w:bookmarkEnd w:id="0"/>
      <w:r w:rsidRPr="00F959E7">
        <w:rPr>
          <w:rFonts w:ascii="Book Antiqua" w:hAnsi="Book Antiqua" w:cs="Book Antiqua"/>
          <w:sz w:val="20"/>
          <w:szCs w:val="20"/>
        </w:rPr>
        <w:lastRenderedPageBreak/>
        <w:t>Paleg G, Livingstone R</w:t>
      </w:r>
      <w:r w:rsidR="005157C8">
        <w:rPr>
          <w:rFonts w:ascii="Book Antiqua" w:hAnsi="Book Antiqua" w:cs="Book Antiqua"/>
          <w:sz w:val="20"/>
          <w:szCs w:val="20"/>
        </w:rPr>
        <w:t>.</w:t>
      </w:r>
      <w:r w:rsidRPr="008A11F0">
        <w:rPr>
          <w:rFonts w:ascii="Book Antiqua" w:hAnsi="Book Antiqua" w:cs="Book Antiqua"/>
          <w:sz w:val="20"/>
          <w:szCs w:val="20"/>
        </w:rPr>
        <w:t xml:space="preserve"> Systematic review and clinical recommendations for dosage of supported home-based standing programs for adults with stroke, spinal cord injury and other neurological conditions.</w:t>
      </w:r>
      <w:r w:rsidR="000B1620" w:rsidRPr="008A11F0">
        <w:rPr>
          <w:rFonts w:ascii="Book Antiqua" w:hAnsi="Book Antiqua" w:cs="Book Antiqua"/>
          <w:sz w:val="20"/>
          <w:szCs w:val="20"/>
        </w:rPr>
        <w:t xml:space="preserve"> </w:t>
      </w:r>
      <w:r w:rsidR="000B1620" w:rsidRPr="008A11F0">
        <w:rPr>
          <w:rFonts w:ascii="Book Antiqua" w:hAnsi="Book Antiqua" w:cs="Book Antiqua"/>
          <w:i/>
          <w:sz w:val="20"/>
          <w:szCs w:val="20"/>
        </w:rPr>
        <w:t>BMC Musculoskeletal Disorders</w:t>
      </w:r>
      <w:r w:rsidR="005157C8">
        <w:rPr>
          <w:rFonts w:ascii="Book Antiqua" w:hAnsi="Book Antiqua" w:cs="Book Antiqua"/>
          <w:sz w:val="20"/>
          <w:szCs w:val="20"/>
        </w:rPr>
        <w:t>.</w:t>
      </w:r>
      <w:r w:rsidR="000B1620" w:rsidRPr="008A11F0">
        <w:rPr>
          <w:rFonts w:ascii="Book Antiqua" w:hAnsi="Book Antiqua" w:cs="Book Antiqua"/>
          <w:sz w:val="20"/>
          <w:szCs w:val="20"/>
        </w:rPr>
        <w:t xml:space="preserve"> </w:t>
      </w:r>
      <w:r w:rsidR="00113784">
        <w:rPr>
          <w:rFonts w:ascii="Book Antiqua" w:hAnsi="Book Antiqua" w:cs="Book Antiqua"/>
          <w:sz w:val="20"/>
          <w:szCs w:val="20"/>
        </w:rPr>
        <w:t xml:space="preserve">Nov </w:t>
      </w:r>
      <w:r w:rsidR="000B1620" w:rsidRPr="008A11F0">
        <w:rPr>
          <w:rFonts w:ascii="Book Antiqua" w:hAnsi="Book Antiqua" w:cs="Book Antiqua"/>
          <w:sz w:val="20"/>
          <w:szCs w:val="20"/>
        </w:rPr>
        <w:t>2015</w:t>
      </w:r>
      <w:r w:rsidR="00113784">
        <w:rPr>
          <w:rFonts w:ascii="Book Antiqua" w:hAnsi="Book Antiqua" w:cs="Book Antiqua"/>
          <w:sz w:val="20"/>
          <w:szCs w:val="20"/>
        </w:rPr>
        <w:t>;</w:t>
      </w:r>
      <w:r w:rsidR="003362BA">
        <w:rPr>
          <w:rFonts w:ascii="Book Antiqua" w:hAnsi="Book Antiqua" w:cs="Book Antiqua"/>
          <w:sz w:val="20"/>
          <w:szCs w:val="20"/>
        </w:rPr>
        <w:t xml:space="preserve"> </w:t>
      </w:r>
      <w:r w:rsidR="000B1620" w:rsidRPr="008A11F0">
        <w:rPr>
          <w:rFonts w:ascii="Book Antiqua" w:hAnsi="Book Antiqua" w:cs="Book Antiqua"/>
          <w:sz w:val="20"/>
          <w:szCs w:val="20"/>
        </w:rPr>
        <w:t>16:</w:t>
      </w:r>
      <w:r w:rsidR="003362BA">
        <w:rPr>
          <w:rFonts w:ascii="Book Antiqua" w:hAnsi="Book Antiqua" w:cs="Book Antiqua"/>
          <w:sz w:val="20"/>
          <w:szCs w:val="20"/>
        </w:rPr>
        <w:t xml:space="preserve"> </w:t>
      </w:r>
      <w:r w:rsidR="000B1620" w:rsidRPr="008A11F0">
        <w:rPr>
          <w:rFonts w:ascii="Book Antiqua" w:hAnsi="Book Antiqua" w:cs="Book Antiqua"/>
          <w:sz w:val="20"/>
          <w:szCs w:val="20"/>
        </w:rPr>
        <w:t>358</w:t>
      </w:r>
      <w:r w:rsidR="005157C8">
        <w:rPr>
          <w:rFonts w:ascii="Book Antiqua" w:hAnsi="Book Antiqua" w:cs="Book Antiqua"/>
          <w:sz w:val="20"/>
          <w:szCs w:val="20"/>
        </w:rPr>
        <w:t>.</w:t>
      </w:r>
    </w:p>
    <w:p w14:paraId="3C92BAA4" w14:textId="77777777" w:rsidR="00E100DB" w:rsidRPr="008A11F0" w:rsidRDefault="00E100DB" w:rsidP="00E100DB">
      <w:pPr>
        <w:rPr>
          <w:rFonts w:ascii="Book Antiqua" w:hAnsi="Book Antiqua" w:cs="Book Antiqua"/>
          <w:sz w:val="20"/>
          <w:szCs w:val="20"/>
        </w:rPr>
      </w:pPr>
    </w:p>
    <w:p w14:paraId="640EEA23" w14:textId="77777777" w:rsidR="00E100DB" w:rsidRPr="008A11F0" w:rsidRDefault="00E100DB" w:rsidP="00E100DB">
      <w:pPr>
        <w:rPr>
          <w:rFonts w:ascii="Book Antiqua" w:hAnsi="Book Antiqua" w:cs="Book Antiqua"/>
          <w:sz w:val="20"/>
          <w:szCs w:val="20"/>
        </w:rPr>
      </w:pPr>
      <w:r w:rsidRPr="008A11F0">
        <w:rPr>
          <w:rFonts w:ascii="Book Antiqua" w:hAnsi="Book Antiqua" w:cs="Book Antiqua"/>
          <w:sz w:val="20"/>
          <w:szCs w:val="20"/>
        </w:rPr>
        <w:t>Pin T, Dyke P, Chan M. The effectiveness of passive stretching in children with cerebral palsy</w:t>
      </w:r>
      <w:r w:rsidR="0074109A">
        <w:rPr>
          <w:rFonts w:ascii="Book Antiqua" w:hAnsi="Book Antiqua" w:cs="Book Antiqua"/>
          <w:sz w:val="20"/>
          <w:szCs w:val="20"/>
        </w:rPr>
        <w:t xml:space="preserve">. </w:t>
      </w:r>
      <w:r w:rsidRPr="008A11F0">
        <w:rPr>
          <w:rFonts w:ascii="Book Antiqua" w:hAnsi="Book Antiqua" w:cs="Book Antiqua"/>
          <w:i/>
          <w:iCs/>
          <w:sz w:val="20"/>
          <w:szCs w:val="20"/>
        </w:rPr>
        <w:t xml:space="preserve">Developmental Medicine &amp; Child Neurology. </w:t>
      </w:r>
      <w:r w:rsidRPr="008A11F0">
        <w:rPr>
          <w:rFonts w:ascii="Book Antiqua" w:hAnsi="Book Antiqua" w:cs="Book Antiqua"/>
          <w:sz w:val="20"/>
          <w:szCs w:val="20"/>
        </w:rPr>
        <w:t>Oct 2006;</w:t>
      </w:r>
      <w:r w:rsidR="003362BA">
        <w:rPr>
          <w:rFonts w:ascii="Book Antiqua" w:hAnsi="Book Antiqua" w:cs="Book Antiqua"/>
          <w:sz w:val="20"/>
          <w:szCs w:val="20"/>
        </w:rPr>
        <w:t xml:space="preserve"> </w:t>
      </w:r>
      <w:r w:rsidRPr="008A11F0">
        <w:rPr>
          <w:rFonts w:ascii="Book Antiqua" w:hAnsi="Book Antiqua" w:cs="Book Antiqua"/>
          <w:sz w:val="20"/>
          <w:szCs w:val="20"/>
        </w:rPr>
        <w:t>48(10):</w:t>
      </w:r>
      <w:r w:rsidR="003362BA">
        <w:rPr>
          <w:rFonts w:ascii="Book Antiqua" w:hAnsi="Book Antiqua" w:cs="Book Antiqua"/>
          <w:sz w:val="20"/>
          <w:szCs w:val="20"/>
        </w:rPr>
        <w:t xml:space="preserve"> </w:t>
      </w:r>
      <w:r w:rsidRPr="008A11F0">
        <w:rPr>
          <w:rFonts w:ascii="Book Antiqua" w:hAnsi="Book Antiqua" w:cs="Book Antiqua"/>
          <w:sz w:val="20"/>
          <w:szCs w:val="20"/>
        </w:rPr>
        <w:t>855-862.</w:t>
      </w:r>
    </w:p>
    <w:p w14:paraId="2B392246" w14:textId="77777777" w:rsidR="00F24ADF" w:rsidRPr="008A11F0" w:rsidRDefault="00F24ADF" w:rsidP="00E100DB">
      <w:pPr>
        <w:rPr>
          <w:rFonts w:ascii="Book Antiqua" w:hAnsi="Book Antiqua" w:cs="Book Antiqua"/>
          <w:sz w:val="20"/>
          <w:szCs w:val="20"/>
        </w:rPr>
      </w:pPr>
    </w:p>
    <w:p w14:paraId="49E49DF0" w14:textId="77777777" w:rsidR="00A33B6D" w:rsidRPr="00BC1373" w:rsidRDefault="00A33B6D" w:rsidP="00A33B6D">
      <w:pPr>
        <w:rPr>
          <w:rFonts w:ascii="Book Antiqua" w:hAnsi="Book Antiqua" w:cs="Book Antiqua"/>
          <w:sz w:val="20"/>
          <w:szCs w:val="20"/>
        </w:rPr>
      </w:pPr>
      <w:r w:rsidRPr="008A11F0">
        <w:rPr>
          <w:rFonts w:ascii="Book Antiqua" w:hAnsi="Book Antiqua" w:cs="Book Antiqua"/>
          <w:sz w:val="20"/>
          <w:szCs w:val="20"/>
        </w:rPr>
        <w:t xml:space="preserve">Scott OM, Hyde SA, Goddard C, Jones R, Dubowitz V. Effect of exercise in Duchenne muscular dystrophy. </w:t>
      </w:r>
      <w:r w:rsidRPr="008A11F0">
        <w:rPr>
          <w:rFonts w:ascii="Book Antiqua" w:hAnsi="Book Antiqua" w:cs="Book Antiqua"/>
          <w:i/>
          <w:iCs/>
          <w:sz w:val="20"/>
          <w:szCs w:val="20"/>
        </w:rPr>
        <w:t xml:space="preserve">Physiotherapy. </w:t>
      </w:r>
      <w:r w:rsidRPr="008A11F0">
        <w:rPr>
          <w:rFonts w:ascii="Book Antiqua" w:hAnsi="Book Antiqua" w:cs="Book Antiqua"/>
          <w:sz w:val="20"/>
          <w:szCs w:val="20"/>
        </w:rPr>
        <w:t xml:space="preserve">Jun </w:t>
      </w:r>
      <w:r w:rsidRPr="00BC1373">
        <w:rPr>
          <w:rFonts w:ascii="Book Antiqua" w:hAnsi="Book Antiqua" w:cs="Book Antiqua"/>
          <w:sz w:val="20"/>
          <w:szCs w:val="20"/>
        </w:rPr>
        <w:t>1981;</w:t>
      </w:r>
      <w:r w:rsidR="003362BA">
        <w:rPr>
          <w:rFonts w:ascii="Book Antiqua" w:hAnsi="Book Antiqua" w:cs="Book Antiqua"/>
          <w:sz w:val="20"/>
          <w:szCs w:val="20"/>
        </w:rPr>
        <w:t xml:space="preserve"> </w:t>
      </w:r>
      <w:r w:rsidRPr="00BC1373">
        <w:rPr>
          <w:rFonts w:ascii="Book Antiqua" w:hAnsi="Book Antiqua" w:cs="Book Antiqua"/>
          <w:sz w:val="20"/>
          <w:szCs w:val="20"/>
        </w:rPr>
        <w:t>67(6):</w:t>
      </w:r>
      <w:r w:rsidR="003362BA">
        <w:rPr>
          <w:rFonts w:ascii="Book Antiqua" w:hAnsi="Book Antiqua" w:cs="Book Antiqua"/>
          <w:sz w:val="20"/>
          <w:szCs w:val="20"/>
        </w:rPr>
        <w:t xml:space="preserve"> </w:t>
      </w:r>
      <w:r w:rsidRPr="00BC1373">
        <w:rPr>
          <w:rFonts w:ascii="Book Antiqua" w:hAnsi="Book Antiqua" w:cs="Book Antiqua"/>
          <w:sz w:val="20"/>
          <w:szCs w:val="20"/>
        </w:rPr>
        <w:t>174-176.</w:t>
      </w:r>
    </w:p>
    <w:p w14:paraId="628BD71A" w14:textId="77777777" w:rsidR="00A33B6D" w:rsidRPr="00BC1373" w:rsidRDefault="00A33B6D" w:rsidP="00E100DB">
      <w:pPr>
        <w:rPr>
          <w:rFonts w:ascii="Book Antiqua" w:hAnsi="Book Antiqua" w:cs="Book Antiqua"/>
          <w:sz w:val="20"/>
          <w:szCs w:val="20"/>
        </w:rPr>
      </w:pPr>
    </w:p>
    <w:p w14:paraId="29C7F543" w14:textId="77777777" w:rsidR="00F24ADF" w:rsidRPr="008A11F0" w:rsidRDefault="00F24ADF" w:rsidP="00E100DB">
      <w:pPr>
        <w:rPr>
          <w:rFonts w:ascii="Book Antiqua" w:hAnsi="Book Antiqua" w:cs="Book Antiqua"/>
          <w:sz w:val="20"/>
          <w:szCs w:val="20"/>
        </w:rPr>
      </w:pPr>
      <w:r w:rsidRPr="00BC1373">
        <w:rPr>
          <w:rFonts w:ascii="Book Antiqua" w:hAnsi="Book Antiqua" w:cs="Book Antiqua"/>
          <w:sz w:val="20"/>
          <w:szCs w:val="20"/>
        </w:rPr>
        <w:t>Taylor K</w:t>
      </w:r>
      <w:r w:rsidR="005157C8">
        <w:rPr>
          <w:rFonts w:ascii="Book Antiqua" w:hAnsi="Book Antiqua" w:cs="Book Antiqua"/>
          <w:sz w:val="20"/>
          <w:szCs w:val="20"/>
        </w:rPr>
        <w:t>.</w:t>
      </w:r>
      <w:r w:rsidRPr="008A11F0">
        <w:rPr>
          <w:rFonts w:ascii="Book Antiqua" w:hAnsi="Book Antiqua" w:cs="Book Antiqua"/>
          <w:sz w:val="20"/>
          <w:szCs w:val="20"/>
        </w:rPr>
        <w:t xml:space="preserve"> Factors </w:t>
      </w:r>
      <w:r w:rsidR="009218E7" w:rsidRPr="008A11F0">
        <w:rPr>
          <w:rFonts w:ascii="Book Antiqua" w:hAnsi="Book Antiqua" w:cs="Book Antiqua"/>
          <w:sz w:val="20"/>
          <w:szCs w:val="20"/>
        </w:rPr>
        <w:t>a</w:t>
      </w:r>
      <w:r w:rsidRPr="008A11F0">
        <w:rPr>
          <w:rFonts w:ascii="Book Antiqua" w:hAnsi="Book Antiqua" w:cs="Book Antiqua"/>
          <w:sz w:val="20"/>
          <w:szCs w:val="20"/>
        </w:rPr>
        <w:t xml:space="preserve">ffecting </w:t>
      </w:r>
      <w:r w:rsidR="009218E7" w:rsidRPr="008A11F0">
        <w:rPr>
          <w:rFonts w:ascii="Book Antiqua" w:hAnsi="Book Antiqua" w:cs="Book Antiqua"/>
          <w:sz w:val="20"/>
          <w:szCs w:val="20"/>
        </w:rPr>
        <w:t>p</w:t>
      </w:r>
      <w:r w:rsidRPr="00BC1373">
        <w:rPr>
          <w:rFonts w:ascii="Book Antiqua" w:hAnsi="Book Antiqua" w:cs="Book Antiqua"/>
          <w:sz w:val="20"/>
          <w:szCs w:val="20"/>
        </w:rPr>
        <w:t xml:space="preserve">rescription and </w:t>
      </w:r>
      <w:r w:rsidR="009218E7" w:rsidRPr="00BC1373">
        <w:rPr>
          <w:rFonts w:ascii="Book Antiqua" w:hAnsi="Book Antiqua" w:cs="Book Antiqua"/>
          <w:sz w:val="20"/>
          <w:szCs w:val="20"/>
        </w:rPr>
        <w:t>i</w:t>
      </w:r>
      <w:r w:rsidRPr="00BC1373">
        <w:rPr>
          <w:rFonts w:ascii="Book Antiqua" w:hAnsi="Book Antiqua" w:cs="Book Antiqua"/>
          <w:sz w:val="20"/>
          <w:szCs w:val="20"/>
        </w:rPr>
        <w:t xml:space="preserve">mplementation of </w:t>
      </w:r>
      <w:r w:rsidR="009218E7" w:rsidRPr="00BC1373">
        <w:rPr>
          <w:rFonts w:ascii="Book Antiqua" w:hAnsi="Book Antiqua" w:cs="Book Antiqua"/>
          <w:sz w:val="20"/>
          <w:szCs w:val="20"/>
        </w:rPr>
        <w:t>s</w:t>
      </w:r>
      <w:r w:rsidRPr="00BC1373">
        <w:rPr>
          <w:rFonts w:ascii="Book Antiqua" w:hAnsi="Book Antiqua" w:cs="Book Antiqua"/>
          <w:sz w:val="20"/>
          <w:szCs w:val="20"/>
        </w:rPr>
        <w:t>tanding-</w:t>
      </w:r>
      <w:r w:rsidR="009218E7" w:rsidRPr="00BC1373">
        <w:rPr>
          <w:rFonts w:ascii="Book Antiqua" w:hAnsi="Book Antiqua" w:cs="Book Antiqua"/>
          <w:sz w:val="20"/>
          <w:szCs w:val="20"/>
        </w:rPr>
        <w:t>f</w:t>
      </w:r>
      <w:r w:rsidRPr="00BC1373">
        <w:rPr>
          <w:rFonts w:ascii="Book Antiqua" w:hAnsi="Book Antiqua" w:cs="Book Antiqua"/>
          <w:sz w:val="20"/>
          <w:szCs w:val="20"/>
        </w:rPr>
        <w:t xml:space="preserve">rame </w:t>
      </w:r>
      <w:r w:rsidR="009218E7" w:rsidRPr="00BC1373">
        <w:rPr>
          <w:rFonts w:ascii="Book Antiqua" w:hAnsi="Book Antiqua" w:cs="Book Antiqua"/>
          <w:sz w:val="20"/>
          <w:szCs w:val="20"/>
        </w:rPr>
        <w:t>p</w:t>
      </w:r>
      <w:r w:rsidRPr="00BC1373">
        <w:rPr>
          <w:rFonts w:ascii="Book Antiqua" w:hAnsi="Book Antiqua" w:cs="Book Antiqua"/>
          <w:sz w:val="20"/>
          <w:szCs w:val="20"/>
        </w:rPr>
        <w:t xml:space="preserve">rograms by </w:t>
      </w:r>
      <w:r w:rsidR="009218E7" w:rsidRPr="00BC1373">
        <w:rPr>
          <w:rFonts w:ascii="Book Antiqua" w:hAnsi="Book Antiqua" w:cs="Book Antiqua"/>
          <w:sz w:val="20"/>
          <w:szCs w:val="20"/>
        </w:rPr>
        <w:t>s</w:t>
      </w:r>
      <w:r w:rsidRPr="00BC1373">
        <w:rPr>
          <w:rFonts w:ascii="Book Antiqua" w:hAnsi="Book Antiqua" w:cs="Book Antiqua"/>
          <w:sz w:val="20"/>
          <w:szCs w:val="20"/>
        </w:rPr>
        <w:t>chool-</w:t>
      </w:r>
      <w:r w:rsidR="009218E7" w:rsidRPr="00BC1373">
        <w:rPr>
          <w:rFonts w:ascii="Book Antiqua" w:hAnsi="Book Antiqua" w:cs="Book Antiqua"/>
          <w:sz w:val="20"/>
          <w:szCs w:val="20"/>
        </w:rPr>
        <w:t>b</w:t>
      </w:r>
      <w:r w:rsidRPr="00BC1373">
        <w:rPr>
          <w:rFonts w:ascii="Book Antiqua" w:hAnsi="Book Antiqua" w:cs="Book Antiqua"/>
          <w:sz w:val="20"/>
          <w:szCs w:val="20"/>
        </w:rPr>
        <w:t xml:space="preserve">ased </w:t>
      </w:r>
      <w:r w:rsidR="009218E7" w:rsidRPr="00BC1373">
        <w:rPr>
          <w:rFonts w:ascii="Book Antiqua" w:hAnsi="Book Antiqua" w:cs="Book Antiqua"/>
          <w:sz w:val="20"/>
          <w:szCs w:val="20"/>
        </w:rPr>
        <w:t>p</w:t>
      </w:r>
      <w:r w:rsidRPr="00BC1373">
        <w:rPr>
          <w:rFonts w:ascii="Book Antiqua" w:hAnsi="Book Antiqua" w:cs="Book Antiqua"/>
          <w:sz w:val="20"/>
          <w:szCs w:val="20"/>
        </w:rPr>
        <w:t xml:space="preserve">hysical </w:t>
      </w:r>
      <w:r w:rsidR="009218E7" w:rsidRPr="00BC1373">
        <w:rPr>
          <w:rFonts w:ascii="Book Antiqua" w:hAnsi="Book Antiqua" w:cs="Book Antiqua"/>
          <w:sz w:val="20"/>
          <w:szCs w:val="20"/>
        </w:rPr>
        <w:t>t</w:t>
      </w:r>
      <w:r w:rsidRPr="00BC1373">
        <w:rPr>
          <w:rFonts w:ascii="Book Antiqua" w:hAnsi="Book Antiqua" w:cs="Book Antiqua"/>
          <w:sz w:val="20"/>
          <w:szCs w:val="20"/>
        </w:rPr>
        <w:t xml:space="preserve">herapists for </w:t>
      </w:r>
      <w:r w:rsidR="009218E7" w:rsidRPr="00BC1373">
        <w:rPr>
          <w:rFonts w:ascii="Book Antiqua" w:hAnsi="Book Antiqua" w:cs="Book Antiqua"/>
          <w:sz w:val="20"/>
          <w:szCs w:val="20"/>
        </w:rPr>
        <w:t>c</w:t>
      </w:r>
      <w:r w:rsidRPr="00BC1373">
        <w:rPr>
          <w:rFonts w:ascii="Book Antiqua" w:hAnsi="Book Antiqua" w:cs="Book Antiqua"/>
          <w:sz w:val="20"/>
          <w:szCs w:val="20"/>
        </w:rPr>
        <w:t xml:space="preserve">hildren with </w:t>
      </w:r>
      <w:r w:rsidR="009218E7" w:rsidRPr="00BC1373">
        <w:rPr>
          <w:rFonts w:ascii="Book Antiqua" w:hAnsi="Book Antiqua" w:cs="Book Antiqua"/>
          <w:sz w:val="20"/>
          <w:szCs w:val="20"/>
        </w:rPr>
        <w:t>i</w:t>
      </w:r>
      <w:r w:rsidRPr="00BC1373">
        <w:rPr>
          <w:rFonts w:ascii="Book Antiqua" w:hAnsi="Book Antiqua" w:cs="Book Antiqua"/>
          <w:sz w:val="20"/>
          <w:szCs w:val="20"/>
        </w:rPr>
        <w:t xml:space="preserve">mpaired </w:t>
      </w:r>
      <w:r w:rsidR="009218E7" w:rsidRPr="00BC1373">
        <w:rPr>
          <w:rFonts w:ascii="Book Antiqua" w:hAnsi="Book Antiqua" w:cs="Book Antiqua"/>
          <w:sz w:val="20"/>
          <w:szCs w:val="20"/>
        </w:rPr>
        <w:t>m</w:t>
      </w:r>
      <w:r w:rsidRPr="00BC1373">
        <w:rPr>
          <w:rFonts w:ascii="Book Antiqua" w:hAnsi="Book Antiqua" w:cs="Book Antiqua"/>
          <w:sz w:val="20"/>
          <w:szCs w:val="20"/>
        </w:rPr>
        <w:t xml:space="preserve">obility. </w:t>
      </w:r>
      <w:r w:rsidR="00535F97" w:rsidRPr="00BC1373">
        <w:rPr>
          <w:rFonts w:ascii="Book Antiqua" w:hAnsi="Book Antiqua" w:cs="Book Antiqua"/>
          <w:i/>
          <w:sz w:val="20"/>
          <w:szCs w:val="20"/>
        </w:rPr>
        <w:t>Pediatric Physical Therapy</w:t>
      </w:r>
      <w:r w:rsidR="005157C8">
        <w:rPr>
          <w:rFonts w:ascii="Book Antiqua" w:hAnsi="Book Antiqua" w:cs="Book Antiqua"/>
          <w:sz w:val="20"/>
          <w:szCs w:val="20"/>
        </w:rPr>
        <w:t>.</w:t>
      </w:r>
      <w:r w:rsidR="00535F97" w:rsidRPr="008A11F0">
        <w:rPr>
          <w:rFonts w:ascii="Book Antiqua" w:hAnsi="Book Antiqua" w:cs="Book Antiqua"/>
          <w:i/>
          <w:sz w:val="20"/>
          <w:szCs w:val="20"/>
        </w:rPr>
        <w:t xml:space="preserve"> </w:t>
      </w:r>
      <w:r w:rsidR="0074109A" w:rsidRPr="00D17F8A">
        <w:rPr>
          <w:rFonts w:ascii="Book Antiqua" w:hAnsi="Book Antiqua" w:cs="Book Antiqua"/>
          <w:sz w:val="20"/>
          <w:szCs w:val="20"/>
        </w:rPr>
        <w:t xml:space="preserve">Fall </w:t>
      </w:r>
      <w:r w:rsidR="00535F97" w:rsidRPr="008A11F0">
        <w:rPr>
          <w:rFonts w:ascii="Book Antiqua" w:hAnsi="Book Antiqua" w:cs="Book Antiqua"/>
          <w:sz w:val="20"/>
          <w:szCs w:val="20"/>
        </w:rPr>
        <w:t>2009</w:t>
      </w:r>
      <w:r w:rsidR="0074109A">
        <w:rPr>
          <w:rFonts w:ascii="Book Antiqua" w:hAnsi="Book Antiqua" w:cs="Book Antiqua"/>
          <w:sz w:val="20"/>
          <w:szCs w:val="20"/>
        </w:rPr>
        <w:t>;</w:t>
      </w:r>
      <w:r w:rsidR="003362BA">
        <w:rPr>
          <w:rFonts w:ascii="Book Antiqua" w:hAnsi="Book Antiqua" w:cs="Book Antiqua"/>
          <w:sz w:val="20"/>
          <w:szCs w:val="20"/>
        </w:rPr>
        <w:t xml:space="preserve"> </w:t>
      </w:r>
      <w:r w:rsidR="0074109A">
        <w:rPr>
          <w:rFonts w:ascii="Book Antiqua" w:hAnsi="Book Antiqua" w:cs="Book Antiqua"/>
          <w:sz w:val="20"/>
          <w:szCs w:val="20"/>
        </w:rPr>
        <w:t>21(3):</w:t>
      </w:r>
      <w:r w:rsidR="003362BA">
        <w:rPr>
          <w:rFonts w:ascii="Book Antiqua" w:hAnsi="Book Antiqua" w:cs="Book Antiqua"/>
          <w:sz w:val="20"/>
          <w:szCs w:val="20"/>
        </w:rPr>
        <w:t xml:space="preserve"> </w:t>
      </w:r>
      <w:r w:rsidR="00535F97" w:rsidRPr="008A11F0">
        <w:rPr>
          <w:rFonts w:ascii="Book Antiqua" w:hAnsi="Book Antiqua" w:cs="Book Antiqua"/>
          <w:sz w:val="20"/>
          <w:szCs w:val="20"/>
        </w:rPr>
        <w:t>282-288</w:t>
      </w:r>
      <w:r w:rsidR="005157C8">
        <w:rPr>
          <w:rFonts w:ascii="Book Antiqua" w:hAnsi="Book Antiqua" w:cs="Book Antiqua"/>
          <w:sz w:val="20"/>
          <w:szCs w:val="20"/>
        </w:rPr>
        <w:t>.</w:t>
      </w:r>
      <w:r w:rsidRPr="008A11F0">
        <w:rPr>
          <w:rFonts w:ascii="Book Antiqua" w:hAnsi="Book Antiqua" w:cs="Book Antiqua"/>
          <w:sz w:val="20"/>
          <w:szCs w:val="20"/>
        </w:rPr>
        <w:t xml:space="preserve"> </w:t>
      </w:r>
    </w:p>
    <w:p w14:paraId="7718C5A2" w14:textId="77777777" w:rsidR="00BF30D1" w:rsidRPr="008A11F0" w:rsidRDefault="00BF30D1" w:rsidP="00E100DB">
      <w:pPr>
        <w:rPr>
          <w:rFonts w:ascii="Book Antiqua" w:hAnsi="Book Antiqua" w:cs="Book Antiqua"/>
          <w:sz w:val="20"/>
          <w:szCs w:val="20"/>
        </w:rPr>
      </w:pPr>
    </w:p>
    <w:p w14:paraId="0C62BDD5" w14:textId="77777777" w:rsidR="00BF30D1" w:rsidRPr="008A11F0" w:rsidRDefault="00BF30D1" w:rsidP="00E100DB">
      <w:pPr>
        <w:rPr>
          <w:rFonts w:ascii="Book Antiqua" w:hAnsi="Book Antiqua" w:cs="Book Antiqua"/>
          <w:sz w:val="20"/>
          <w:szCs w:val="20"/>
        </w:rPr>
      </w:pPr>
      <w:r w:rsidRPr="008A11F0">
        <w:rPr>
          <w:rFonts w:ascii="Book Antiqua" w:hAnsi="Book Antiqua" w:cs="Book Antiqua"/>
          <w:sz w:val="20"/>
          <w:szCs w:val="20"/>
        </w:rPr>
        <w:t>Townsend EL, Bideau C, Holmes TM</w:t>
      </w:r>
      <w:r w:rsidR="005157C8">
        <w:rPr>
          <w:rFonts w:ascii="Book Antiqua" w:hAnsi="Book Antiqua" w:cs="Book Antiqua"/>
          <w:sz w:val="20"/>
          <w:szCs w:val="20"/>
        </w:rPr>
        <w:t>.</w:t>
      </w:r>
      <w:r w:rsidRPr="008A11F0">
        <w:rPr>
          <w:rFonts w:ascii="Book Antiqua" w:hAnsi="Book Antiqua" w:cs="Book Antiqua"/>
          <w:sz w:val="20"/>
          <w:szCs w:val="20"/>
        </w:rPr>
        <w:t xml:space="preserve"> Supported </w:t>
      </w:r>
      <w:r w:rsidR="009218E7" w:rsidRPr="008A11F0">
        <w:rPr>
          <w:rFonts w:ascii="Book Antiqua" w:hAnsi="Book Antiqua" w:cs="Book Antiqua"/>
          <w:sz w:val="20"/>
          <w:szCs w:val="20"/>
        </w:rPr>
        <w:t>s</w:t>
      </w:r>
      <w:r w:rsidRPr="008A11F0">
        <w:rPr>
          <w:rFonts w:ascii="Book Antiqua" w:hAnsi="Book Antiqua" w:cs="Book Antiqua"/>
          <w:sz w:val="20"/>
          <w:szCs w:val="20"/>
        </w:rPr>
        <w:t xml:space="preserve">tanding in </w:t>
      </w:r>
      <w:r w:rsidR="009218E7" w:rsidRPr="008A11F0">
        <w:rPr>
          <w:rFonts w:ascii="Book Antiqua" w:hAnsi="Book Antiqua" w:cs="Book Antiqua"/>
          <w:sz w:val="20"/>
          <w:szCs w:val="20"/>
        </w:rPr>
        <w:t>b</w:t>
      </w:r>
      <w:r w:rsidRPr="00BC1373">
        <w:rPr>
          <w:rFonts w:ascii="Book Antiqua" w:hAnsi="Book Antiqua" w:cs="Book Antiqua"/>
          <w:sz w:val="20"/>
          <w:szCs w:val="20"/>
        </w:rPr>
        <w:t xml:space="preserve">oys </w:t>
      </w:r>
      <w:r w:rsidR="009218E7" w:rsidRPr="00BC1373">
        <w:rPr>
          <w:rFonts w:ascii="Book Antiqua" w:hAnsi="Book Antiqua" w:cs="Book Antiqua"/>
          <w:sz w:val="20"/>
          <w:szCs w:val="20"/>
        </w:rPr>
        <w:t>w</w:t>
      </w:r>
      <w:r w:rsidRPr="00BC1373">
        <w:rPr>
          <w:rFonts w:ascii="Book Antiqua" w:hAnsi="Book Antiqua" w:cs="Book Antiqua"/>
          <w:sz w:val="20"/>
          <w:szCs w:val="20"/>
        </w:rPr>
        <w:t xml:space="preserve">ith Duchenne </w:t>
      </w:r>
      <w:r w:rsidR="009218E7" w:rsidRPr="00BC1373">
        <w:rPr>
          <w:rFonts w:ascii="Book Antiqua" w:hAnsi="Book Antiqua" w:cs="Book Antiqua"/>
          <w:sz w:val="20"/>
          <w:szCs w:val="20"/>
        </w:rPr>
        <w:t>m</w:t>
      </w:r>
      <w:r w:rsidRPr="00BC1373">
        <w:rPr>
          <w:rFonts w:ascii="Book Antiqua" w:hAnsi="Book Antiqua" w:cs="Book Antiqua"/>
          <w:sz w:val="20"/>
          <w:szCs w:val="20"/>
        </w:rPr>
        <w:t xml:space="preserve">uscular </w:t>
      </w:r>
      <w:r w:rsidR="009218E7" w:rsidRPr="00BC1373">
        <w:rPr>
          <w:rFonts w:ascii="Book Antiqua" w:hAnsi="Book Antiqua" w:cs="Book Antiqua"/>
          <w:sz w:val="20"/>
          <w:szCs w:val="20"/>
        </w:rPr>
        <w:t>d</w:t>
      </w:r>
      <w:r w:rsidRPr="00BC1373">
        <w:rPr>
          <w:rFonts w:ascii="Book Antiqua" w:hAnsi="Book Antiqua" w:cs="Book Antiqua"/>
          <w:sz w:val="20"/>
          <w:szCs w:val="20"/>
        </w:rPr>
        <w:t xml:space="preserve">ystrophy.  </w:t>
      </w:r>
      <w:r w:rsidRPr="00BC1373">
        <w:rPr>
          <w:rFonts w:ascii="Book Antiqua" w:hAnsi="Book Antiqua" w:cs="Book Antiqua"/>
          <w:i/>
          <w:sz w:val="20"/>
          <w:szCs w:val="20"/>
        </w:rPr>
        <w:t>Pediatric Physical Therapy</w:t>
      </w:r>
      <w:r w:rsidR="005157C8">
        <w:rPr>
          <w:rFonts w:ascii="Book Antiqua" w:hAnsi="Book Antiqua" w:cs="Book Antiqua"/>
          <w:sz w:val="20"/>
          <w:szCs w:val="20"/>
        </w:rPr>
        <w:t>.</w:t>
      </w:r>
      <w:r w:rsidRPr="00BC1373">
        <w:rPr>
          <w:rFonts w:ascii="Book Antiqua" w:hAnsi="Book Antiqua" w:cs="Book Antiqua"/>
          <w:sz w:val="20"/>
          <w:szCs w:val="20"/>
        </w:rPr>
        <w:t xml:space="preserve"> </w:t>
      </w:r>
      <w:r w:rsidR="0074109A">
        <w:rPr>
          <w:rFonts w:ascii="Book Antiqua" w:hAnsi="Book Antiqua" w:cs="Book Antiqua"/>
          <w:sz w:val="20"/>
          <w:szCs w:val="20"/>
        </w:rPr>
        <w:t xml:space="preserve">Fall </w:t>
      </w:r>
      <w:r w:rsidR="006612A1" w:rsidRPr="00BC1373">
        <w:rPr>
          <w:rFonts w:ascii="Book Antiqua" w:hAnsi="Book Antiqua" w:cs="Book Antiqua"/>
          <w:sz w:val="20"/>
          <w:szCs w:val="20"/>
        </w:rPr>
        <w:t>2016</w:t>
      </w:r>
      <w:r w:rsidR="0074109A">
        <w:rPr>
          <w:rFonts w:ascii="Book Antiqua" w:hAnsi="Book Antiqua" w:cs="Book Antiqua"/>
          <w:sz w:val="20"/>
          <w:szCs w:val="20"/>
        </w:rPr>
        <w:t>;</w:t>
      </w:r>
      <w:r w:rsidR="003362BA">
        <w:rPr>
          <w:rFonts w:ascii="Book Antiqua" w:hAnsi="Book Antiqua" w:cs="Book Antiqua"/>
          <w:sz w:val="20"/>
          <w:szCs w:val="20"/>
        </w:rPr>
        <w:t xml:space="preserve"> </w:t>
      </w:r>
      <w:r w:rsidR="0074109A">
        <w:rPr>
          <w:rFonts w:ascii="Book Antiqua" w:hAnsi="Book Antiqua" w:cs="Book Antiqua"/>
          <w:sz w:val="20"/>
          <w:szCs w:val="20"/>
        </w:rPr>
        <w:t>28(3):</w:t>
      </w:r>
      <w:r w:rsidR="003362BA">
        <w:rPr>
          <w:rFonts w:ascii="Book Antiqua" w:hAnsi="Book Antiqua" w:cs="Book Antiqua"/>
          <w:sz w:val="20"/>
          <w:szCs w:val="20"/>
        </w:rPr>
        <w:t xml:space="preserve"> </w:t>
      </w:r>
      <w:r w:rsidR="006612A1" w:rsidRPr="00BC1373">
        <w:rPr>
          <w:rFonts w:ascii="Book Antiqua" w:hAnsi="Book Antiqua" w:cs="Book Antiqua"/>
          <w:sz w:val="20"/>
          <w:szCs w:val="20"/>
        </w:rPr>
        <w:t>320-329</w:t>
      </w:r>
      <w:r w:rsidR="005157C8">
        <w:rPr>
          <w:rFonts w:ascii="Book Antiqua" w:hAnsi="Book Antiqua" w:cs="Book Antiqua"/>
          <w:sz w:val="20"/>
          <w:szCs w:val="20"/>
        </w:rPr>
        <w:t>.</w:t>
      </w:r>
    </w:p>
    <w:p w14:paraId="43195019" w14:textId="77777777" w:rsidR="00E100DB" w:rsidRPr="008A11F0" w:rsidRDefault="00E100DB" w:rsidP="00E100DB">
      <w:pPr>
        <w:rPr>
          <w:rFonts w:ascii="Book Antiqua" w:hAnsi="Book Antiqua" w:cs="Book Antiqua"/>
          <w:sz w:val="20"/>
          <w:szCs w:val="20"/>
        </w:rPr>
      </w:pPr>
    </w:p>
    <w:p w14:paraId="3D22A001" w14:textId="77777777" w:rsidR="00FE1105" w:rsidRPr="00F959E7" w:rsidRDefault="00FE1105" w:rsidP="00FE1105">
      <w:pPr>
        <w:pStyle w:val="EndnoteText"/>
        <w:jc w:val="center"/>
        <w:rPr>
          <w:rFonts w:ascii="Arial" w:hAnsi="Arial" w:cs="Arial"/>
          <w:sz w:val="24"/>
          <w:szCs w:val="24"/>
        </w:rPr>
      </w:pPr>
    </w:p>
    <w:p w14:paraId="746126CB" w14:textId="77777777" w:rsidR="00DC7AD3" w:rsidRPr="00C867E8" w:rsidRDefault="0074109A" w:rsidP="00C867E8">
      <w:pPr>
        <w:jc w:val="center"/>
        <w:rPr>
          <w:rFonts w:ascii="Tahoma" w:hAnsi="Tahoma" w:cs="Tahoma"/>
          <w:sz w:val="32"/>
          <w:szCs w:val="32"/>
        </w:rPr>
      </w:pPr>
      <w:r w:rsidRPr="00C867E8">
        <w:rPr>
          <w:rFonts w:ascii="Tahoma" w:hAnsi="Tahoma" w:cs="Tahoma"/>
          <w:sz w:val="32"/>
          <w:szCs w:val="32"/>
        </w:rPr>
        <w:t>Appendix A</w:t>
      </w:r>
    </w:p>
    <w:p w14:paraId="4E1A312E" w14:textId="77777777" w:rsidR="00FE1105" w:rsidRPr="00F959E7" w:rsidRDefault="00FE1105" w:rsidP="00FE1105">
      <w:pPr>
        <w:pStyle w:val="EndnoteText"/>
        <w:jc w:val="center"/>
        <w:rPr>
          <w:rFonts w:ascii="Arial" w:hAnsi="Arial" w:cs="Arial"/>
          <w:sz w:val="24"/>
          <w:szCs w:val="24"/>
        </w:rPr>
      </w:pPr>
    </w:p>
    <w:p w14:paraId="5DDDA03B" w14:textId="41A4F962" w:rsidR="00DC7AD3" w:rsidRPr="003362BA" w:rsidRDefault="00DC7AD3" w:rsidP="00FE1105">
      <w:pPr>
        <w:autoSpaceDE w:val="0"/>
        <w:autoSpaceDN w:val="0"/>
        <w:adjustRightInd w:val="0"/>
        <w:rPr>
          <w:rFonts w:ascii="Book Antiqua" w:hAnsi="Book Antiqua" w:cs="MinionPro-Regular"/>
          <w:sz w:val="20"/>
          <w:szCs w:val="20"/>
        </w:rPr>
      </w:pPr>
      <w:r w:rsidRPr="003362BA">
        <w:rPr>
          <w:rFonts w:ascii="Book Antiqua" w:hAnsi="Book Antiqua" w:cs="MinionPro-Regular"/>
          <w:sz w:val="20"/>
          <w:szCs w:val="20"/>
        </w:rPr>
        <w:t xml:space="preserve">(130 CMR 409.000: </w:t>
      </w:r>
      <w:r w:rsidRPr="003362BA">
        <w:rPr>
          <w:rFonts w:ascii="Book Antiqua" w:hAnsi="Book Antiqua" w:cs="MinionPro-It"/>
          <w:i/>
          <w:iCs/>
          <w:sz w:val="20"/>
          <w:szCs w:val="20"/>
        </w:rPr>
        <w:t>Durable Medical Equipment Services</w:t>
      </w:r>
      <w:r w:rsidRPr="003362BA">
        <w:rPr>
          <w:rFonts w:ascii="Book Antiqua" w:hAnsi="Book Antiqua" w:cs="MinionPro-Regular"/>
          <w:sz w:val="20"/>
          <w:szCs w:val="20"/>
        </w:rPr>
        <w:t xml:space="preserve">) </w:t>
      </w:r>
      <w:hyperlink r:id="rId8" w:tooltip="Website for 130 CMR 409.000: Durable Medical Equipment Services" w:history="1">
        <w:r w:rsidRPr="003362BA">
          <w:rPr>
            <w:rStyle w:val="Hyperlink"/>
            <w:rFonts w:ascii="Book Antiqua" w:hAnsi="Book Antiqua" w:cs="MinionPro-Regular"/>
            <w:sz w:val="20"/>
            <w:szCs w:val="20"/>
          </w:rPr>
          <w:t>https://www.mass.gov/regulations/130-CMR-409000-durable-medical-equipment-services</w:t>
        </w:r>
      </w:hyperlink>
    </w:p>
    <w:p w14:paraId="1A58CE34" w14:textId="77777777" w:rsidR="00DC7AD3" w:rsidRPr="003362BA" w:rsidRDefault="00DC7AD3" w:rsidP="00715012">
      <w:pPr>
        <w:autoSpaceDE w:val="0"/>
        <w:autoSpaceDN w:val="0"/>
        <w:adjustRightInd w:val="0"/>
        <w:rPr>
          <w:rFonts w:ascii="Book Antiqua" w:hAnsi="Book Antiqua" w:cs="MinionPro-It"/>
          <w:i/>
          <w:iCs/>
          <w:sz w:val="20"/>
          <w:szCs w:val="20"/>
        </w:rPr>
      </w:pPr>
    </w:p>
    <w:p w14:paraId="5BEB6167" w14:textId="340CCE98" w:rsidR="00DC7AD3" w:rsidRPr="003362BA" w:rsidRDefault="00DC17DD" w:rsidP="00715012">
      <w:pPr>
        <w:autoSpaceDE w:val="0"/>
        <w:autoSpaceDN w:val="0"/>
        <w:adjustRightInd w:val="0"/>
        <w:rPr>
          <w:rFonts w:ascii="Book Antiqua" w:hAnsi="Book Antiqua" w:cs="MinionPro-It"/>
          <w:i/>
          <w:iCs/>
          <w:sz w:val="20"/>
          <w:szCs w:val="20"/>
        </w:rPr>
      </w:pPr>
      <w:r w:rsidRPr="003362BA">
        <w:rPr>
          <w:rFonts w:ascii="Book Antiqua" w:hAnsi="Book Antiqua" w:cs="MinionPro-It"/>
          <w:i/>
          <w:iCs/>
          <w:sz w:val="20"/>
          <w:szCs w:val="20"/>
        </w:rPr>
        <w:t>(</w:t>
      </w:r>
      <w:r w:rsidR="00DC7AD3" w:rsidRPr="003362BA">
        <w:rPr>
          <w:rFonts w:ascii="Book Antiqua" w:hAnsi="Book Antiqua" w:cs="MinionPro-It"/>
          <w:i/>
          <w:iCs/>
          <w:sz w:val="20"/>
          <w:szCs w:val="20"/>
        </w:rPr>
        <w:t>MassHealth DME and Oxygen Payment and Coverage Guideline</w:t>
      </w:r>
      <w:r w:rsidR="00F1189E" w:rsidRPr="003362BA">
        <w:rPr>
          <w:rFonts w:ascii="Book Antiqua" w:hAnsi="Book Antiqua" w:cs="MinionPro-It"/>
          <w:i/>
          <w:iCs/>
          <w:sz w:val="20"/>
          <w:szCs w:val="20"/>
        </w:rPr>
        <w:t xml:space="preserve"> </w:t>
      </w:r>
      <w:r w:rsidR="00DC7AD3" w:rsidRPr="003362BA">
        <w:rPr>
          <w:rFonts w:ascii="Book Antiqua" w:hAnsi="Book Antiqua" w:cs="MinionPro-It"/>
          <w:i/>
          <w:iCs/>
          <w:sz w:val="20"/>
          <w:szCs w:val="20"/>
        </w:rPr>
        <w:t>Tool</w:t>
      </w:r>
      <w:r w:rsidRPr="003362BA">
        <w:rPr>
          <w:rFonts w:ascii="Book Antiqua" w:hAnsi="Book Antiqua" w:cs="MinionPro-It"/>
          <w:i/>
          <w:iCs/>
          <w:sz w:val="20"/>
          <w:szCs w:val="20"/>
        </w:rPr>
        <w:t>)</w:t>
      </w:r>
      <w:r w:rsidR="00DC7AD3" w:rsidRPr="003362BA">
        <w:rPr>
          <w:rFonts w:ascii="Book Antiqua" w:hAnsi="Book Antiqua" w:cs="MinionPro-It"/>
          <w:i/>
          <w:iCs/>
          <w:sz w:val="20"/>
          <w:szCs w:val="20"/>
        </w:rPr>
        <w:t xml:space="preserve"> </w:t>
      </w:r>
      <w:hyperlink r:id="rId9" w:tooltip="Website for MassHealth DME and Oxygen Payment and Coverage Guideline Tool" w:history="1">
        <w:r w:rsidR="00F1189E" w:rsidRPr="003362BA">
          <w:rPr>
            <w:rStyle w:val="Hyperlink"/>
            <w:rFonts w:ascii="Book Antiqua" w:hAnsi="Book Antiqua" w:cs="MinionPro-It"/>
            <w:sz w:val="20"/>
            <w:szCs w:val="20"/>
          </w:rPr>
          <w:t>https://www.mass.gov/service-details/masshealth-payment-and-coverage-guideline-tools</w:t>
        </w:r>
      </w:hyperlink>
      <w:r w:rsidR="00F1189E" w:rsidRPr="003362BA">
        <w:rPr>
          <w:rFonts w:ascii="Book Antiqua" w:hAnsi="Book Antiqua" w:cs="MinionPro-It"/>
          <w:i/>
          <w:iCs/>
          <w:sz w:val="20"/>
          <w:szCs w:val="20"/>
        </w:rPr>
        <w:t xml:space="preserve"> </w:t>
      </w:r>
    </w:p>
    <w:p w14:paraId="70049551" w14:textId="77777777" w:rsidR="00E100DB" w:rsidRPr="003362BA" w:rsidRDefault="00E100DB" w:rsidP="00690695">
      <w:pPr>
        <w:rPr>
          <w:rFonts w:ascii="Book Antiqua" w:hAnsi="Book Antiqua"/>
          <w:sz w:val="20"/>
          <w:szCs w:val="20"/>
        </w:rPr>
      </w:pPr>
    </w:p>
    <w:p w14:paraId="7AE129A7" w14:textId="7A56A968" w:rsidR="00DC17DD" w:rsidRPr="003362BA" w:rsidRDefault="00DC17DD" w:rsidP="00690695">
      <w:pPr>
        <w:rPr>
          <w:rFonts w:ascii="Book Antiqua" w:hAnsi="Book Antiqua" w:cs="MinionPro-Regular"/>
          <w:sz w:val="20"/>
          <w:szCs w:val="20"/>
        </w:rPr>
      </w:pPr>
      <w:r w:rsidRPr="003362BA">
        <w:rPr>
          <w:rFonts w:ascii="Book Antiqua" w:hAnsi="Book Antiqua" w:cs="MinionPro-Regular"/>
          <w:sz w:val="20"/>
          <w:szCs w:val="20"/>
        </w:rPr>
        <w:t xml:space="preserve">(130 CMR 450.000: </w:t>
      </w:r>
      <w:r w:rsidRPr="003362BA">
        <w:rPr>
          <w:rFonts w:ascii="Book Antiqua" w:hAnsi="Book Antiqua" w:cs="MinionPro-It"/>
          <w:i/>
          <w:iCs/>
          <w:sz w:val="20"/>
          <w:szCs w:val="20"/>
        </w:rPr>
        <w:t>Administrative and Billing Regulations</w:t>
      </w:r>
      <w:r w:rsidRPr="003362BA">
        <w:rPr>
          <w:rFonts w:ascii="Book Antiqua" w:hAnsi="Book Antiqua" w:cs="MinionPro-Regular"/>
          <w:sz w:val="20"/>
          <w:szCs w:val="20"/>
        </w:rPr>
        <w:t xml:space="preserve">) </w:t>
      </w:r>
      <w:hyperlink r:id="rId10" w:tooltip="Website for 130 CMR 450.000: Administrative and Billing Regulations" w:history="1">
        <w:r w:rsidRPr="003362BA">
          <w:rPr>
            <w:rStyle w:val="Hyperlink"/>
            <w:rFonts w:ascii="Book Antiqua" w:hAnsi="Book Antiqua" w:cs="MinionPro-Regular"/>
            <w:sz w:val="20"/>
            <w:szCs w:val="20"/>
          </w:rPr>
          <w:t>https://www.mass.gov/regulations/130-CMR-450000-administrative-and-billing-regulations</w:t>
        </w:r>
      </w:hyperlink>
    </w:p>
    <w:p w14:paraId="2B07D4CB" w14:textId="77777777" w:rsidR="00DC17DD" w:rsidRPr="003362BA" w:rsidRDefault="00DC17DD" w:rsidP="00690695">
      <w:pPr>
        <w:rPr>
          <w:rFonts w:ascii="Book Antiqua" w:hAnsi="Book Antiqua"/>
          <w:sz w:val="20"/>
          <w:szCs w:val="20"/>
        </w:rPr>
      </w:pPr>
    </w:p>
    <w:p w14:paraId="4EDBCB4F" w14:textId="0C6B7F59" w:rsidR="00E100DB" w:rsidRPr="00BC1373" w:rsidRDefault="00E100DB" w:rsidP="00690695">
      <w:pPr>
        <w:pStyle w:val="EndnoteText"/>
        <w:rPr>
          <w:rFonts w:ascii="Book Antiqua" w:hAnsi="Book Antiqua" w:cs="Book Antiqua"/>
        </w:rPr>
      </w:pPr>
      <w:r w:rsidRPr="00BC1373">
        <w:rPr>
          <w:rFonts w:ascii="Book Antiqua" w:hAnsi="Book Antiqua" w:cs="Book Antiqua"/>
        </w:rPr>
        <w:t xml:space="preserve">These Guidelines are based on review of the medical literature and current practice in </w:t>
      </w:r>
      <w:r w:rsidR="00C438D8" w:rsidRPr="00BC1373">
        <w:rPr>
          <w:rFonts w:ascii="Book Antiqua" w:hAnsi="Book Antiqua" w:cs="Book Antiqua"/>
        </w:rPr>
        <w:t>standers</w:t>
      </w:r>
      <w:r w:rsidRPr="00BC1373">
        <w:rPr>
          <w:rFonts w:ascii="Book Antiqua" w:hAnsi="Book Antiqua" w:cs="Book Antiqua"/>
        </w:rPr>
        <w:t>. MassHealth reserves the right to review and update the contents of these Guidelines and cited references as new clinical evidence and medical technology emerge.</w:t>
      </w:r>
    </w:p>
    <w:p w14:paraId="61136EA3" w14:textId="77777777" w:rsidR="00E100DB" w:rsidRPr="00BC1373" w:rsidRDefault="00E100DB" w:rsidP="00690695">
      <w:pPr>
        <w:pStyle w:val="EndnoteText"/>
        <w:rPr>
          <w:rFonts w:ascii="Book Antiqua" w:hAnsi="Book Antiqua" w:cs="Book Antiqua"/>
        </w:rPr>
      </w:pPr>
    </w:p>
    <w:p w14:paraId="4188545B" w14:textId="330E31E0" w:rsidR="00E100DB" w:rsidRPr="008A11F0" w:rsidRDefault="00E100DB" w:rsidP="00690695">
      <w:pPr>
        <w:pStyle w:val="EndnoteText"/>
        <w:rPr>
          <w:rFonts w:ascii="Book Antiqua" w:hAnsi="Book Antiqua" w:cs="Book Antiqua"/>
        </w:rPr>
      </w:pPr>
      <w:r w:rsidRPr="00F959E7">
        <w:rPr>
          <w:rFonts w:ascii="Book Antiqua" w:hAnsi="Book Antiqua" w:cs="Book Antiqua"/>
        </w:rPr>
        <w:t>This document was prepared for medical professionals to assist them in submitting documentation supporting the medical necessity of proposed treatment</w:t>
      </w:r>
      <w:r w:rsidR="003362BA">
        <w:rPr>
          <w:rFonts w:ascii="Book Antiqua" w:hAnsi="Book Antiqua" w:cs="Book Antiqua"/>
        </w:rPr>
        <w:t>, products, or services</w:t>
      </w:r>
      <w:r w:rsidRPr="00F959E7">
        <w:rPr>
          <w:rFonts w:ascii="Book Antiqua" w:hAnsi="Book Antiqua" w:cs="Book Antiqua"/>
        </w:rPr>
        <w:t xml:space="preserve">. Some language used in this communication may be unfamiliar to other readers; in this case, </w:t>
      </w:r>
      <w:r w:rsidR="003362BA">
        <w:rPr>
          <w:rFonts w:ascii="Book Antiqua" w:hAnsi="Book Antiqua" w:cs="Book Antiqua"/>
        </w:rPr>
        <w:t>those readers should contact their</w:t>
      </w:r>
      <w:r w:rsidRPr="00F959E7">
        <w:rPr>
          <w:rFonts w:ascii="Book Antiqua" w:hAnsi="Book Antiqua" w:cs="Book Antiqua"/>
        </w:rPr>
        <w:t xml:space="preserve"> health</w:t>
      </w:r>
      <w:r w:rsidR="003362BA">
        <w:rPr>
          <w:rFonts w:ascii="Book Antiqua" w:hAnsi="Book Antiqua" w:cs="Book Antiqua"/>
        </w:rPr>
        <w:t xml:space="preserve"> </w:t>
      </w:r>
      <w:r w:rsidRPr="008A11F0">
        <w:rPr>
          <w:rFonts w:ascii="Book Antiqua" w:hAnsi="Book Antiqua" w:cs="Book Antiqua"/>
        </w:rPr>
        <w:t>care provider for guidance or explanation.</w:t>
      </w:r>
    </w:p>
    <w:p w14:paraId="26190B8A" w14:textId="77777777" w:rsidR="00E100DB" w:rsidRPr="008A11F0" w:rsidRDefault="00E100DB" w:rsidP="00E100DB">
      <w:pPr>
        <w:pStyle w:val="EndnoteText"/>
        <w:tabs>
          <w:tab w:val="right" w:leader="underscore" w:pos="4320"/>
          <w:tab w:val="left" w:pos="4500"/>
          <w:tab w:val="right" w:leader="underscore" w:pos="7920"/>
          <w:tab w:val="left" w:pos="8100"/>
        </w:tabs>
        <w:ind w:left="4320" w:hanging="4320"/>
        <w:rPr>
          <w:rFonts w:ascii="Book Antiqua" w:hAnsi="Book Antiqua" w:cs="Book Antiqua"/>
        </w:rPr>
      </w:pPr>
    </w:p>
    <w:p w14:paraId="29DC76DD" w14:textId="77777777" w:rsidR="00E100DB" w:rsidRPr="00BC1373" w:rsidRDefault="00E100DB" w:rsidP="00E100DB">
      <w:pPr>
        <w:pStyle w:val="EndnoteText"/>
        <w:tabs>
          <w:tab w:val="right" w:leader="underscore" w:pos="4320"/>
          <w:tab w:val="left" w:pos="4500"/>
          <w:tab w:val="right" w:leader="underscore" w:pos="7920"/>
          <w:tab w:val="left" w:pos="8100"/>
        </w:tabs>
        <w:ind w:left="4320" w:hanging="4320"/>
        <w:rPr>
          <w:rFonts w:ascii="Book Antiqua" w:hAnsi="Book Antiqua" w:cs="Book Antiqua"/>
        </w:rPr>
      </w:pPr>
    </w:p>
    <w:p w14:paraId="09C8CBF0" w14:textId="76C91449" w:rsidR="003362BA" w:rsidRDefault="003362BA" w:rsidP="003362BA">
      <w:pPr>
        <w:pStyle w:val="EndnoteText"/>
        <w:tabs>
          <w:tab w:val="right" w:leader="underscore" w:pos="4320"/>
          <w:tab w:val="left" w:pos="4500"/>
          <w:tab w:val="right" w:leader="underscore" w:pos="7920"/>
          <w:tab w:val="left" w:pos="8100"/>
        </w:tabs>
        <w:ind w:left="4320" w:hanging="432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Policy Effective Date: </w:t>
      </w:r>
      <w:r w:rsidR="00970BE6" w:rsidRPr="00970BE6">
        <w:rPr>
          <w:rFonts w:ascii="Book Antiqua" w:hAnsi="Book Antiqua"/>
          <w:szCs w:val="24"/>
          <w:u w:val="single"/>
        </w:rPr>
        <w:t xml:space="preserve">December </w:t>
      </w:r>
      <w:r w:rsidR="00F82D75">
        <w:rPr>
          <w:rFonts w:ascii="Book Antiqua" w:hAnsi="Book Antiqua"/>
          <w:szCs w:val="24"/>
          <w:u w:val="single"/>
        </w:rPr>
        <w:t>6</w:t>
      </w:r>
      <w:r w:rsidR="00970BE6" w:rsidRPr="00970BE6">
        <w:rPr>
          <w:rFonts w:ascii="Book Antiqua" w:hAnsi="Book Antiqua"/>
          <w:szCs w:val="24"/>
          <w:u w:val="single"/>
        </w:rPr>
        <w:t>, 2019</w:t>
      </w:r>
      <w:r w:rsidR="00937398">
        <w:rPr>
          <w:rFonts w:ascii="Book Antiqua" w:hAnsi="Book Antiqua"/>
          <w:szCs w:val="24"/>
        </w:rPr>
        <w:tab/>
      </w:r>
      <w:r w:rsidR="00937398">
        <w:rPr>
          <w:rFonts w:ascii="Book Antiqua" w:hAnsi="Book Antiqua"/>
          <w:szCs w:val="24"/>
        </w:rPr>
        <w:tab/>
      </w:r>
      <w:r>
        <w:rPr>
          <w:rFonts w:ascii="Book Antiqua" w:hAnsi="Book Antiqua"/>
          <w:szCs w:val="24"/>
        </w:rPr>
        <w:t>Approved by:</w:t>
      </w:r>
      <w:r>
        <w:rPr>
          <w:rFonts w:ascii="Book Antiqua" w:hAnsi="Book Antiqua"/>
          <w:szCs w:val="24"/>
        </w:rPr>
        <w:tab/>
        <w:t xml:space="preserve">, </w:t>
      </w:r>
      <w:r>
        <w:rPr>
          <w:rFonts w:ascii="Book Antiqua" w:hAnsi="Book Antiqua"/>
          <w:szCs w:val="24"/>
        </w:rPr>
        <w:tab/>
        <w:t>Medical Director</w:t>
      </w:r>
    </w:p>
    <w:p w14:paraId="77446CE2" w14:textId="77777777" w:rsidR="003362BA" w:rsidRPr="00577E57" w:rsidRDefault="003362BA" w:rsidP="003362BA">
      <w:pPr>
        <w:pStyle w:val="EndnoteText"/>
        <w:tabs>
          <w:tab w:val="right" w:leader="underscore" w:pos="4320"/>
          <w:tab w:val="left" w:pos="4500"/>
          <w:tab w:val="right" w:leader="underscore" w:pos="7920"/>
          <w:tab w:val="left" w:pos="8100"/>
        </w:tabs>
        <w:ind w:left="4320" w:firstLine="144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Jill Morrow-Gorton</w:t>
      </w:r>
      <w:r w:rsidRPr="007D5C74">
        <w:rPr>
          <w:rFonts w:ascii="Book Antiqua" w:hAnsi="Book Antiqua"/>
          <w:color w:val="000000"/>
        </w:rPr>
        <w:t>, MD</w:t>
      </w:r>
    </w:p>
    <w:p w14:paraId="17120ADF" w14:textId="77777777" w:rsidR="003362BA" w:rsidRPr="00577E57" w:rsidRDefault="003362BA" w:rsidP="003362BA">
      <w:pPr>
        <w:pStyle w:val="EndnoteText"/>
        <w:tabs>
          <w:tab w:val="right" w:leader="underscore" w:pos="4320"/>
          <w:tab w:val="left" w:pos="4500"/>
          <w:tab w:val="right" w:leader="underscore" w:pos="7920"/>
          <w:tab w:val="left" w:pos="8100"/>
        </w:tabs>
        <w:ind w:left="4320" w:firstLine="144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Acting </w:t>
      </w:r>
      <w:r w:rsidRPr="00577E57">
        <w:rPr>
          <w:rFonts w:ascii="Book Antiqua" w:hAnsi="Book Antiqua"/>
          <w:color w:val="000000"/>
        </w:rPr>
        <w:t>Chief Medical Officer, MassHealth</w:t>
      </w:r>
    </w:p>
    <w:p w14:paraId="2A37CEBA" w14:textId="77777777" w:rsidR="003362BA" w:rsidRPr="00577E57" w:rsidRDefault="003362BA" w:rsidP="003362BA">
      <w:pPr>
        <w:pStyle w:val="EndnoteText"/>
        <w:tabs>
          <w:tab w:val="right" w:leader="underscore" w:pos="4320"/>
          <w:tab w:val="left" w:pos="4500"/>
          <w:tab w:val="right" w:leader="underscore" w:pos="7920"/>
          <w:tab w:val="left" w:pos="8100"/>
        </w:tabs>
        <w:ind w:left="4320" w:firstLine="1440"/>
        <w:rPr>
          <w:rFonts w:ascii="Book Antiqua" w:hAnsi="Book Antiqua"/>
        </w:rPr>
      </w:pPr>
    </w:p>
    <w:p w14:paraId="3A027483" w14:textId="77777777" w:rsidR="009E27C8" w:rsidRPr="00553D5F" w:rsidRDefault="009E27C8" w:rsidP="009E27C8"/>
    <w:p w14:paraId="0B3C8F3F" w14:textId="6BB90FF3" w:rsidR="00172E4A" w:rsidRDefault="00B27DAA" w:rsidP="009E27C8">
      <w:r w:rsidRPr="00553D5F">
        <w:t>Supersedes policy dated February 15, 2009</w:t>
      </w:r>
    </w:p>
    <w:p w14:paraId="2D502C92" w14:textId="77777777" w:rsidR="00172E4A" w:rsidRDefault="00172E4A" w:rsidP="009E27C8"/>
    <w:p w14:paraId="32309CF4" w14:textId="77777777" w:rsidR="00172E4A" w:rsidRDefault="00172E4A" w:rsidP="00172E4A">
      <w:pPr>
        <w:spacing w:after="200" w:line="276" w:lineRule="auto"/>
      </w:pPr>
      <w:r>
        <w:br w:type="page"/>
      </w:r>
    </w:p>
    <w:p w14:paraId="0E0201CE" w14:textId="77777777" w:rsidR="00172E4A" w:rsidRPr="00553D5F" w:rsidRDefault="00172E4A" w:rsidP="009E27C8">
      <w:pPr>
        <w:sectPr w:rsidR="00172E4A" w:rsidRPr="00553D5F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296" w:bottom="1260" w:left="1296" w:header="720" w:footer="720" w:gutter="0"/>
          <w:cols w:space="720"/>
          <w:titlePg/>
          <w:docGrid w:linePitch="360"/>
        </w:sectPr>
      </w:pPr>
    </w:p>
    <w:p w14:paraId="7E0BE20C" w14:textId="77777777" w:rsidR="004865B6" w:rsidRPr="00553D5F" w:rsidRDefault="004865B6" w:rsidP="00F82D75"/>
    <w:sectPr w:rsidR="004865B6" w:rsidRPr="00553D5F">
      <w:headerReference w:type="first" r:id="rId15"/>
      <w:footerReference w:type="first" r:id="rId16"/>
      <w:pgSz w:w="12240" w:h="15840" w:code="1"/>
      <w:pgMar w:top="1440" w:right="1296" w:bottom="1260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E9A29" w14:textId="77777777" w:rsidR="00A44544" w:rsidRDefault="00A44544">
      <w:r>
        <w:separator/>
      </w:r>
    </w:p>
  </w:endnote>
  <w:endnote w:type="continuationSeparator" w:id="0">
    <w:p w14:paraId="5BEE7CA7" w14:textId="77777777" w:rsidR="00A44544" w:rsidRDefault="00A44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 Pro Med">
    <w:altName w:val="Minion Pro M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Pro-I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Pro-Regular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BF8BA" w14:textId="07B011DE" w:rsidR="00634CD7" w:rsidRDefault="00634CD7">
    <w:pPr>
      <w:pStyle w:val="Footer"/>
      <w:pBdr>
        <w:top w:val="single" w:sz="4" w:space="1" w:color="auto"/>
      </w:pBdr>
      <w:jc w:val="center"/>
      <w:rPr>
        <w:rStyle w:val="PageNumber"/>
        <w:rFonts w:ascii="Tahoma" w:hAnsi="Tahoma" w:cs="Tahoma"/>
        <w:sz w:val="20"/>
        <w:szCs w:val="20"/>
      </w:rPr>
    </w:pPr>
    <w:r>
      <w:rPr>
        <w:rStyle w:val="PageNumber"/>
        <w:rFonts w:ascii="Tahoma" w:hAnsi="Tahoma" w:cs="Tahoma"/>
        <w:sz w:val="20"/>
        <w:szCs w:val="20"/>
      </w:rPr>
      <w:fldChar w:fldCharType="begin"/>
    </w:r>
    <w:r>
      <w:rPr>
        <w:rStyle w:val="PageNumber"/>
        <w:rFonts w:ascii="Tahoma" w:hAnsi="Tahoma" w:cs="Tahoma"/>
        <w:sz w:val="20"/>
        <w:szCs w:val="20"/>
      </w:rPr>
      <w:instrText xml:space="preserve"> PAGE </w:instrText>
    </w:r>
    <w:r>
      <w:rPr>
        <w:rStyle w:val="PageNumber"/>
        <w:rFonts w:ascii="Tahoma" w:hAnsi="Tahoma" w:cs="Tahoma"/>
        <w:sz w:val="20"/>
        <w:szCs w:val="20"/>
      </w:rPr>
      <w:fldChar w:fldCharType="separate"/>
    </w:r>
    <w:r w:rsidR="0098023B">
      <w:rPr>
        <w:rStyle w:val="PageNumber"/>
        <w:rFonts w:ascii="Tahoma" w:hAnsi="Tahoma" w:cs="Tahoma"/>
        <w:noProof/>
        <w:sz w:val="20"/>
        <w:szCs w:val="20"/>
      </w:rPr>
      <w:t>5</w:t>
    </w:r>
    <w:r>
      <w:rPr>
        <w:rStyle w:val="PageNumber"/>
        <w:rFonts w:ascii="Tahoma" w:hAnsi="Tahoma" w:cs="Tahoma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13AE4" w14:textId="1BC8E01E" w:rsidR="00634CD7" w:rsidRDefault="00743936">
    <w:pPr>
      <w:pStyle w:val="Footer"/>
      <w:pBdr>
        <w:top w:val="single" w:sz="4" w:space="1" w:color="auto"/>
      </w:pBdr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M</w:t>
    </w:r>
    <w:r w:rsidR="0098023B">
      <w:rPr>
        <w:rFonts w:ascii="Tahoma" w:hAnsi="Tahoma" w:cs="Tahoma"/>
        <w:sz w:val="20"/>
        <w:szCs w:val="20"/>
      </w:rPr>
      <w:t>NG-SD</w:t>
    </w:r>
    <w:r>
      <w:rPr>
        <w:rFonts w:ascii="Tahoma" w:hAnsi="Tahoma" w:cs="Tahoma"/>
        <w:sz w:val="20"/>
        <w:szCs w:val="20"/>
      </w:rPr>
      <w:t xml:space="preserve"> (12</w:t>
    </w:r>
    <w:r w:rsidR="00634CD7">
      <w:rPr>
        <w:rFonts w:ascii="Tahoma" w:hAnsi="Tahoma" w:cs="Tahoma"/>
        <w:sz w:val="20"/>
        <w:szCs w:val="20"/>
      </w:rPr>
      <w:t>/19)</w:t>
    </w:r>
    <w:r w:rsidR="00634CD7">
      <w:rPr>
        <w:rFonts w:ascii="Tahoma" w:hAnsi="Tahoma" w:cs="Tahoma"/>
        <w:sz w:val="20"/>
        <w:szCs w:val="20"/>
      </w:rPr>
      <w:tab/>
    </w:r>
    <w:r w:rsidR="00634CD7">
      <w:rPr>
        <w:rStyle w:val="PageNumber"/>
        <w:rFonts w:ascii="Tahoma" w:hAnsi="Tahoma" w:cs="Tahoma"/>
        <w:sz w:val="20"/>
        <w:szCs w:val="20"/>
      </w:rPr>
      <w:fldChar w:fldCharType="begin"/>
    </w:r>
    <w:r w:rsidR="00634CD7">
      <w:rPr>
        <w:rStyle w:val="PageNumber"/>
        <w:rFonts w:ascii="Tahoma" w:hAnsi="Tahoma" w:cs="Tahoma"/>
        <w:sz w:val="20"/>
        <w:szCs w:val="20"/>
      </w:rPr>
      <w:instrText xml:space="preserve"> PAGE </w:instrText>
    </w:r>
    <w:r w:rsidR="00634CD7">
      <w:rPr>
        <w:rStyle w:val="PageNumber"/>
        <w:rFonts w:ascii="Tahoma" w:hAnsi="Tahoma" w:cs="Tahoma"/>
        <w:sz w:val="20"/>
        <w:szCs w:val="20"/>
      </w:rPr>
      <w:fldChar w:fldCharType="separate"/>
    </w:r>
    <w:r w:rsidR="0098023B">
      <w:rPr>
        <w:rStyle w:val="PageNumber"/>
        <w:rFonts w:ascii="Tahoma" w:hAnsi="Tahoma" w:cs="Tahoma"/>
        <w:noProof/>
        <w:sz w:val="20"/>
        <w:szCs w:val="20"/>
      </w:rPr>
      <w:t>1</w:t>
    </w:r>
    <w:r w:rsidR="00634CD7">
      <w:rPr>
        <w:rStyle w:val="PageNumber"/>
        <w:rFonts w:ascii="Tahoma" w:hAnsi="Tahoma" w:cs="Tahoma"/>
        <w:sz w:val="20"/>
        <w:szCs w:val="20"/>
      </w:rPr>
      <w:fldChar w:fldCharType="end"/>
    </w:r>
    <w:r w:rsidR="00634CD7">
      <w:rPr>
        <w:rStyle w:val="PageNumber"/>
        <w:rFonts w:ascii="Tahoma" w:hAnsi="Tahoma" w:cs="Tahoma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9688E" w14:textId="77777777" w:rsidR="00634CD7" w:rsidRDefault="00634CD7" w:rsidP="0058585B">
    <w:pPr>
      <w:pStyle w:val="Footer"/>
      <w:rPr>
        <w:rFonts w:ascii="Tahoma" w:hAnsi="Tahoma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1A3AD" w14:textId="77777777" w:rsidR="00A44544" w:rsidRDefault="00A44544">
      <w:r>
        <w:separator/>
      </w:r>
    </w:p>
  </w:footnote>
  <w:footnote w:type="continuationSeparator" w:id="0">
    <w:p w14:paraId="290DBE5D" w14:textId="77777777" w:rsidR="00A44544" w:rsidRDefault="00A44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BEB43" w14:textId="29115F55" w:rsidR="00937398" w:rsidRDefault="00634CD7" w:rsidP="00937398">
    <w:pPr>
      <w:pStyle w:val="Header"/>
      <w:pBdr>
        <w:bottom w:val="single" w:sz="4" w:space="2" w:color="auto"/>
      </w:pBdr>
      <w:rPr>
        <w:rFonts w:ascii="Tahoma" w:hAnsi="Tahoma" w:cs="Tahoma"/>
        <w:sz w:val="20"/>
        <w:szCs w:val="20"/>
      </w:rPr>
    </w:pPr>
    <w:r w:rsidRPr="002F7E8D">
      <w:rPr>
        <w:rFonts w:ascii="Tahoma" w:hAnsi="Tahoma" w:cs="Tahoma"/>
        <w:sz w:val="20"/>
        <w:szCs w:val="20"/>
      </w:rPr>
      <w:t>Guidelines for Medical Necessity Determination for Standers</w:t>
    </w:r>
    <w:r w:rsidR="002F7E8D" w:rsidRPr="002F7E8D">
      <w:rPr>
        <w:rFonts w:ascii="Tahoma" w:hAnsi="Tahoma" w:cs="Tahoma"/>
        <w:sz w:val="20"/>
        <w:szCs w:val="20"/>
      </w:rPr>
      <w:t xml:space="preserve"> </w:t>
    </w:r>
    <w:r w:rsidR="002F7E8D" w:rsidRPr="00236E94">
      <w:rPr>
        <w:rFonts w:ascii="Tahoma" w:hAnsi="Tahoma" w:cs="Tahoma"/>
        <w:sz w:val="20"/>
        <w:szCs w:val="20"/>
      </w:rPr>
      <w:t>and Power-Assisted (Dynamic)</w:t>
    </w:r>
  </w:p>
  <w:p w14:paraId="2A3489D4" w14:textId="757B2D9E" w:rsidR="00634CD7" w:rsidRDefault="00E42161" w:rsidP="00B46C44">
    <w:pPr>
      <w:pStyle w:val="Header"/>
      <w:pBdr>
        <w:bottom w:val="single" w:sz="4" w:space="2" w:color="auto"/>
      </w:pBdr>
      <w:rPr>
        <w:rFonts w:ascii="Tahoma" w:hAnsi="Tahoma" w:cs="Tahoma"/>
        <w:i/>
        <w:iCs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 </w:t>
    </w:r>
    <w:r w:rsidR="002F7E8D" w:rsidRPr="00236E94">
      <w:rPr>
        <w:rFonts w:ascii="Tahoma" w:hAnsi="Tahoma" w:cs="Tahoma"/>
        <w:sz w:val="20"/>
        <w:szCs w:val="20"/>
      </w:rPr>
      <w:t>Standing Components for Wheelchairs</w:t>
    </w:r>
  </w:p>
  <w:p w14:paraId="3C9852D9" w14:textId="77777777" w:rsidR="00634CD7" w:rsidRDefault="00634C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D7DB2" w14:textId="689B547F" w:rsidR="00634CD7" w:rsidRDefault="00634CD7">
    <w:pPr>
      <w:pStyle w:val="Header"/>
      <w:ind w:left="-720"/>
      <w:rPr>
        <w:rFonts w:ascii="Tahoma" w:hAnsi="Tahoma" w:cs="Tahoma"/>
        <w:sz w:val="40"/>
        <w:szCs w:val="40"/>
      </w:rPr>
    </w:pPr>
    <w:r>
      <w:rPr>
        <w:rFonts w:ascii="Tahoma" w:hAnsi="Tahoma" w:cs="Tahoma"/>
        <w:sz w:val="40"/>
        <w:szCs w:val="40"/>
      </w:rPr>
      <w:t xml:space="preserve">Guidelines for Medical Necessity Determination </w:t>
    </w:r>
  </w:p>
  <w:p w14:paraId="2E2BFEF1" w14:textId="77777777" w:rsidR="00634CD7" w:rsidRDefault="00634CD7">
    <w:pPr>
      <w:pStyle w:val="Header"/>
      <w:ind w:left="1260"/>
      <w:rPr>
        <w:rFonts w:ascii="Arial" w:hAnsi="Arial" w:cs="Arial"/>
        <w:i/>
        <w:iCs/>
        <w:sz w:val="48"/>
        <w:szCs w:val="48"/>
      </w:rPr>
    </w:pPr>
    <w:r>
      <w:rPr>
        <w:rFonts w:ascii="Tahoma" w:hAnsi="Tahoma" w:cs="Tahoma"/>
        <w:sz w:val="40"/>
        <w:szCs w:val="40"/>
      </w:rPr>
      <w:t>for Standers and Power</w:t>
    </w:r>
    <w:r w:rsidR="002F7E8D">
      <w:rPr>
        <w:rFonts w:ascii="Tahoma" w:hAnsi="Tahoma" w:cs="Tahoma"/>
        <w:sz w:val="40"/>
        <w:szCs w:val="40"/>
      </w:rPr>
      <w:t>-</w:t>
    </w:r>
    <w:r>
      <w:rPr>
        <w:rFonts w:ascii="Tahoma" w:hAnsi="Tahoma" w:cs="Tahoma"/>
        <w:sz w:val="40"/>
        <w:szCs w:val="40"/>
      </w:rPr>
      <w:t xml:space="preserve">Assisted (Dynamic) Standing Components for Wheelchairs </w:t>
    </w:r>
  </w:p>
  <w:p w14:paraId="68E01EE4" w14:textId="77777777" w:rsidR="00634CD7" w:rsidRDefault="00634C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901E6" w14:textId="77777777" w:rsidR="00634CD7" w:rsidRPr="00854389" w:rsidRDefault="00634CD7" w:rsidP="008543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420BA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1D1F39"/>
    <w:multiLevelType w:val="hybridMultilevel"/>
    <w:tmpl w:val="27069A44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bCs/>
        <w:i w:val="0"/>
        <w:iCs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734"/>
        </w:tabs>
        <w:ind w:left="734" w:hanging="360"/>
      </w:pPr>
      <w:rPr>
        <w:rFonts w:ascii="Book Antiqua" w:hAnsi="Book Antiqua" w:cs="Book Antiqua" w:hint="default"/>
        <w:b/>
        <w:bCs/>
        <w:i w:val="0"/>
        <w:iCs w:val="0"/>
        <w:sz w:val="20"/>
        <w:szCs w:val="20"/>
      </w:rPr>
    </w:lvl>
    <w:lvl w:ilvl="2" w:tplc="FFFFFFFF">
      <w:start w:val="1"/>
      <w:numFmt w:val="lowerLetter"/>
      <w:lvlText w:val="%3."/>
      <w:lvlJc w:val="right"/>
      <w:pPr>
        <w:tabs>
          <w:tab w:val="num" w:pos="1368"/>
        </w:tabs>
        <w:ind w:left="1368" w:hanging="504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6BB705B"/>
    <w:multiLevelType w:val="hybridMultilevel"/>
    <w:tmpl w:val="E8547FC6"/>
    <w:lvl w:ilvl="0" w:tplc="33908F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723C65"/>
    <w:multiLevelType w:val="hybridMultilevel"/>
    <w:tmpl w:val="510E1A10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bCs/>
        <w:i w:val="0"/>
        <w:iCs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734"/>
        </w:tabs>
        <w:ind w:left="734" w:hanging="360"/>
      </w:pPr>
      <w:rPr>
        <w:rFonts w:ascii="Book Antiqua" w:hAnsi="Book Antiqua" w:cs="Book Antiqua" w:hint="default"/>
        <w:b/>
        <w:bCs/>
        <w:i w:val="0"/>
        <w:iCs w:val="0"/>
        <w:sz w:val="20"/>
        <w:szCs w:val="20"/>
      </w:rPr>
    </w:lvl>
    <w:lvl w:ilvl="2" w:tplc="04090001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b/>
        <w:i w:val="0"/>
        <w:sz w:val="24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4520428"/>
    <w:multiLevelType w:val="hybridMultilevel"/>
    <w:tmpl w:val="A11053EC"/>
    <w:lvl w:ilvl="0" w:tplc="62C0C3B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C777ECE"/>
    <w:multiLevelType w:val="hybridMultilevel"/>
    <w:tmpl w:val="062059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B90550F"/>
    <w:multiLevelType w:val="hybridMultilevel"/>
    <w:tmpl w:val="217847FA"/>
    <w:lvl w:ilvl="0" w:tplc="CB063ED2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FC31EDE"/>
    <w:multiLevelType w:val="hybridMultilevel"/>
    <w:tmpl w:val="C01A38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2012DDE"/>
    <w:multiLevelType w:val="hybridMultilevel"/>
    <w:tmpl w:val="AB0C97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AE12B22"/>
    <w:multiLevelType w:val="singleLevel"/>
    <w:tmpl w:val="F34EB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</w:abstractNum>
  <w:abstractNum w:abstractNumId="10" w15:restartNumberingAfterBreak="0">
    <w:nsid w:val="63C36E00"/>
    <w:multiLevelType w:val="singleLevel"/>
    <w:tmpl w:val="4BCEA0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</w:abstractNum>
  <w:abstractNum w:abstractNumId="11" w15:restartNumberingAfterBreak="0">
    <w:nsid w:val="71767C23"/>
    <w:multiLevelType w:val="singleLevel"/>
    <w:tmpl w:val="8A5692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8"/>
  </w:num>
  <w:num w:numId="33">
    <w:abstractNumId w:val="1"/>
  </w:num>
  <w:num w:numId="34">
    <w:abstractNumId w:val="9"/>
  </w:num>
  <w:num w:numId="35">
    <w:abstractNumId w:val="10"/>
  </w:num>
  <w:num w:numId="36">
    <w:abstractNumId w:val="11"/>
  </w:num>
  <w:num w:numId="37">
    <w:abstractNumId w:val="3"/>
  </w:num>
  <w:num w:numId="38">
    <w:abstractNumId w:val="5"/>
  </w:num>
  <w:num w:numId="39">
    <w:abstractNumId w:val="6"/>
  </w:num>
  <w:num w:numId="40">
    <w:abstractNumId w:val="7"/>
  </w:num>
  <w:num w:numId="41">
    <w:abstractNumId w:val="2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87"/>
  <w:displayVerticalDrawingGridEvery w:val="2"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0DB"/>
    <w:rsid w:val="0000440F"/>
    <w:rsid w:val="00005513"/>
    <w:rsid w:val="00021EB7"/>
    <w:rsid w:val="000300A3"/>
    <w:rsid w:val="00031529"/>
    <w:rsid w:val="000562EC"/>
    <w:rsid w:val="000811D8"/>
    <w:rsid w:val="0008124C"/>
    <w:rsid w:val="000A015E"/>
    <w:rsid w:val="000B1499"/>
    <w:rsid w:val="000B1620"/>
    <w:rsid w:val="000B1ADA"/>
    <w:rsid w:val="000B3193"/>
    <w:rsid w:val="000C159C"/>
    <w:rsid w:val="000C5088"/>
    <w:rsid w:val="000D0692"/>
    <w:rsid w:val="000E7156"/>
    <w:rsid w:val="000F46C1"/>
    <w:rsid w:val="000F7D00"/>
    <w:rsid w:val="00100AD1"/>
    <w:rsid w:val="00100D13"/>
    <w:rsid w:val="00113784"/>
    <w:rsid w:val="0011667C"/>
    <w:rsid w:val="00133AEA"/>
    <w:rsid w:val="00134D0C"/>
    <w:rsid w:val="0014444D"/>
    <w:rsid w:val="00144820"/>
    <w:rsid w:val="00144E7F"/>
    <w:rsid w:val="00147F4A"/>
    <w:rsid w:val="00172E4A"/>
    <w:rsid w:val="00185D67"/>
    <w:rsid w:val="00185E34"/>
    <w:rsid w:val="001977D7"/>
    <w:rsid w:val="001A251C"/>
    <w:rsid w:val="001A295C"/>
    <w:rsid w:val="001B5F63"/>
    <w:rsid w:val="001B7EE5"/>
    <w:rsid w:val="001D498E"/>
    <w:rsid w:val="001D7E6B"/>
    <w:rsid w:val="001F6CC4"/>
    <w:rsid w:val="0020515A"/>
    <w:rsid w:val="00206065"/>
    <w:rsid w:val="00211DBB"/>
    <w:rsid w:val="00222472"/>
    <w:rsid w:val="00223761"/>
    <w:rsid w:val="00224E70"/>
    <w:rsid w:val="00236E94"/>
    <w:rsid w:val="00241E44"/>
    <w:rsid w:val="00267F6B"/>
    <w:rsid w:val="0028324F"/>
    <w:rsid w:val="00294113"/>
    <w:rsid w:val="00295E5F"/>
    <w:rsid w:val="002B1CA5"/>
    <w:rsid w:val="002B2481"/>
    <w:rsid w:val="002B45F2"/>
    <w:rsid w:val="002C1D6B"/>
    <w:rsid w:val="002C1DC5"/>
    <w:rsid w:val="002C62C4"/>
    <w:rsid w:val="002C6F0B"/>
    <w:rsid w:val="002E48CD"/>
    <w:rsid w:val="002E792C"/>
    <w:rsid w:val="002E7B41"/>
    <w:rsid w:val="002F3ED1"/>
    <w:rsid w:val="002F41BC"/>
    <w:rsid w:val="002F7E8D"/>
    <w:rsid w:val="00302C0B"/>
    <w:rsid w:val="00315C20"/>
    <w:rsid w:val="00332361"/>
    <w:rsid w:val="003362BA"/>
    <w:rsid w:val="00367AFD"/>
    <w:rsid w:val="0037214A"/>
    <w:rsid w:val="00376762"/>
    <w:rsid w:val="00376B5F"/>
    <w:rsid w:val="003824DD"/>
    <w:rsid w:val="003830D5"/>
    <w:rsid w:val="00386951"/>
    <w:rsid w:val="003A1B80"/>
    <w:rsid w:val="003A2BD5"/>
    <w:rsid w:val="003B2978"/>
    <w:rsid w:val="003B6750"/>
    <w:rsid w:val="003C4193"/>
    <w:rsid w:val="003C5096"/>
    <w:rsid w:val="003C6326"/>
    <w:rsid w:val="003D5450"/>
    <w:rsid w:val="003D5F37"/>
    <w:rsid w:val="003F5D41"/>
    <w:rsid w:val="00402B2D"/>
    <w:rsid w:val="00405E06"/>
    <w:rsid w:val="0040643E"/>
    <w:rsid w:val="004425D7"/>
    <w:rsid w:val="00443173"/>
    <w:rsid w:val="00472CFD"/>
    <w:rsid w:val="004818BA"/>
    <w:rsid w:val="004826BC"/>
    <w:rsid w:val="004865B6"/>
    <w:rsid w:val="00492D9E"/>
    <w:rsid w:val="004A01C5"/>
    <w:rsid w:val="004A08AC"/>
    <w:rsid w:val="004A4843"/>
    <w:rsid w:val="004A5222"/>
    <w:rsid w:val="004A5FD3"/>
    <w:rsid w:val="004A7E45"/>
    <w:rsid w:val="004C3A86"/>
    <w:rsid w:val="004C5E67"/>
    <w:rsid w:val="004C7893"/>
    <w:rsid w:val="004D0FB9"/>
    <w:rsid w:val="004D4F5D"/>
    <w:rsid w:val="004E1096"/>
    <w:rsid w:val="004E5A41"/>
    <w:rsid w:val="004E77BD"/>
    <w:rsid w:val="004F1544"/>
    <w:rsid w:val="004F2E80"/>
    <w:rsid w:val="004F7056"/>
    <w:rsid w:val="00514D22"/>
    <w:rsid w:val="005157C8"/>
    <w:rsid w:val="00516E26"/>
    <w:rsid w:val="00517AE4"/>
    <w:rsid w:val="00527A5B"/>
    <w:rsid w:val="00534208"/>
    <w:rsid w:val="00535F97"/>
    <w:rsid w:val="00537F23"/>
    <w:rsid w:val="00545233"/>
    <w:rsid w:val="00553D5F"/>
    <w:rsid w:val="00557CF3"/>
    <w:rsid w:val="00580C1D"/>
    <w:rsid w:val="00583C85"/>
    <w:rsid w:val="0058585B"/>
    <w:rsid w:val="005907B0"/>
    <w:rsid w:val="00593320"/>
    <w:rsid w:val="00593F24"/>
    <w:rsid w:val="005A5EE0"/>
    <w:rsid w:val="005D5159"/>
    <w:rsid w:val="005F4038"/>
    <w:rsid w:val="006005B9"/>
    <w:rsid w:val="00601F39"/>
    <w:rsid w:val="0060543B"/>
    <w:rsid w:val="00614D7F"/>
    <w:rsid w:val="00617E3A"/>
    <w:rsid w:val="00620AA4"/>
    <w:rsid w:val="00622885"/>
    <w:rsid w:val="006229C1"/>
    <w:rsid w:val="00624B9A"/>
    <w:rsid w:val="00626C9F"/>
    <w:rsid w:val="00634CD7"/>
    <w:rsid w:val="00637589"/>
    <w:rsid w:val="00646A05"/>
    <w:rsid w:val="0065190A"/>
    <w:rsid w:val="00653C83"/>
    <w:rsid w:val="00656DCB"/>
    <w:rsid w:val="0066006C"/>
    <w:rsid w:val="006612A1"/>
    <w:rsid w:val="00662305"/>
    <w:rsid w:val="00662914"/>
    <w:rsid w:val="00681A4A"/>
    <w:rsid w:val="0068581E"/>
    <w:rsid w:val="0068654F"/>
    <w:rsid w:val="00690695"/>
    <w:rsid w:val="006A5F8A"/>
    <w:rsid w:val="006D1E9A"/>
    <w:rsid w:val="006D54A4"/>
    <w:rsid w:val="006D596E"/>
    <w:rsid w:val="006E7666"/>
    <w:rsid w:val="00700C85"/>
    <w:rsid w:val="00710957"/>
    <w:rsid w:val="00715012"/>
    <w:rsid w:val="00731C15"/>
    <w:rsid w:val="0074109A"/>
    <w:rsid w:val="00743936"/>
    <w:rsid w:val="00745939"/>
    <w:rsid w:val="007561B2"/>
    <w:rsid w:val="00763953"/>
    <w:rsid w:val="0076450F"/>
    <w:rsid w:val="00771939"/>
    <w:rsid w:val="00781EAD"/>
    <w:rsid w:val="007826E6"/>
    <w:rsid w:val="00795F32"/>
    <w:rsid w:val="007A42C8"/>
    <w:rsid w:val="007A4ADA"/>
    <w:rsid w:val="007B2100"/>
    <w:rsid w:val="007B2800"/>
    <w:rsid w:val="007B6782"/>
    <w:rsid w:val="007F2D31"/>
    <w:rsid w:val="0080079B"/>
    <w:rsid w:val="0080293D"/>
    <w:rsid w:val="00803600"/>
    <w:rsid w:val="00803F2C"/>
    <w:rsid w:val="0081097A"/>
    <w:rsid w:val="008117F9"/>
    <w:rsid w:val="00823C73"/>
    <w:rsid w:val="008250CD"/>
    <w:rsid w:val="0084700C"/>
    <w:rsid w:val="00851032"/>
    <w:rsid w:val="00854389"/>
    <w:rsid w:val="00866443"/>
    <w:rsid w:val="008752F6"/>
    <w:rsid w:val="008A11F0"/>
    <w:rsid w:val="008A59D9"/>
    <w:rsid w:val="008B5987"/>
    <w:rsid w:val="008C08F8"/>
    <w:rsid w:val="008C3C26"/>
    <w:rsid w:val="008C4069"/>
    <w:rsid w:val="008C4BF2"/>
    <w:rsid w:val="008D6A36"/>
    <w:rsid w:val="008D7C3B"/>
    <w:rsid w:val="008E5091"/>
    <w:rsid w:val="008F0270"/>
    <w:rsid w:val="009009FC"/>
    <w:rsid w:val="009218E7"/>
    <w:rsid w:val="00923DB5"/>
    <w:rsid w:val="00925C4B"/>
    <w:rsid w:val="00930CC7"/>
    <w:rsid w:val="00935742"/>
    <w:rsid w:val="00937398"/>
    <w:rsid w:val="00947F36"/>
    <w:rsid w:val="009503AF"/>
    <w:rsid w:val="009533A4"/>
    <w:rsid w:val="00954FDB"/>
    <w:rsid w:val="009571D5"/>
    <w:rsid w:val="009678AB"/>
    <w:rsid w:val="00970BE6"/>
    <w:rsid w:val="00973BC6"/>
    <w:rsid w:val="0098023B"/>
    <w:rsid w:val="00991F69"/>
    <w:rsid w:val="00993BC4"/>
    <w:rsid w:val="00995A36"/>
    <w:rsid w:val="009A0938"/>
    <w:rsid w:val="009B5733"/>
    <w:rsid w:val="009B6BE6"/>
    <w:rsid w:val="009B78E8"/>
    <w:rsid w:val="009B7972"/>
    <w:rsid w:val="009C4C14"/>
    <w:rsid w:val="009D3223"/>
    <w:rsid w:val="009D356B"/>
    <w:rsid w:val="009E27C8"/>
    <w:rsid w:val="009E4214"/>
    <w:rsid w:val="009F0F04"/>
    <w:rsid w:val="009F208C"/>
    <w:rsid w:val="009F5A18"/>
    <w:rsid w:val="00A01569"/>
    <w:rsid w:val="00A0433F"/>
    <w:rsid w:val="00A149EF"/>
    <w:rsid w:val="00A26086"/>
    <w:rsid w:val="00A33B6D"/>
    <w:rsid w:val="00A33FB5"/>
    <w:rsid w:val="00A37882"/>
    <w:rsid w:val="00A44544"/>
    <w:rsid w:val="00A45DB9"/>
    <w:rsid w:val="00A46C04"/>
    <w:rsid w:val="00A50A99"/>
    <w:rsid w:val="00A50B2B"/>
    <w:rsid w:val="00A61DF9"/>
    <w:rsid w:val="00A8457A"/>
    <w:rsid w:val="00A87E3F"/>
    <w:rsid w:val="00AA0A3D"/>
    <w:rsid w:val="00AB37CF"/>
    <w:rsid w:val="00AB6789"/>
    <w:rsid w:val="00AB7AD6"/>
    <w:rsid w:val="00AD3804"/>
    <w:rsid w:val="00AD5227"/>
    <w:rsid w:val="00AE2497"/>
    <w:rsid w:val="00AE63DA"/>
    <w:rsid w:val="00AF65A4"/>
    <w:rsid w:val="00B0138E"/>
    <w:rsid w:val="00B054B3"/>
    <w:rsid w:val="00B118F7"/>
    <w:rsid w:val="00B178C4"/>
    <w:rsid w:val="00B24293"/>
    <w:rsid w:val="00B27DAA"/>
    <w:rsid w:val="00B41503"/>
    <w:rsid w:val="00B46C44"/>
    <w:rsid w:val="00B82823"/>
    <w:rsid w:val="00B86E24"/>
    <w:rsid w:val="00B9512B"/>
    <w:rsid w:val="00BB453B"/>
    <w:rsid w:val="00BB73D6"/>
    <w:rsid w:val="00BC1373"/>
    <w:rsid w:val="00BC2907"/>
    <w:rsid w:val="00BC5220"/>
    <w:rsid w:val="00BC60B5"/>
    <w:rsid w:val="00BD4ADB"/>
    <w:rsid w:val="00BD5E7D"/>
    <w:rsid w:val="00BF30D1"/>
    <w:rsid w:val="00BF619C"/>
    <w:rsid w:val="00BF75C4"/>
    <w:rsid w:val="00C306BB"/>
    <w:rsid w:val="00C438D8"/>
    <w:rsid w:val="00C456E0"/>
    <w:rsid w:val="00C45CFB"/>
    <w:rsid w:val="00C50CB5"/>
    <w:rsid w:val="00C54304"/>
    <w:rsid w:val="00C620DF"/>
    <w:rsid w:val="00C62665"/>
    <w:rsid w:val="00C63851"/>
    <w:rsid w:val="00C63ABB"/>
    <w:rsid w:val="00C85469"/>
    <w:rsid w:val="00C867E8"/>
    <w:rsid w:val="00C86A48"/>
    <w:rsid w:val="00CB50E8"/>
    <w:rsid w:val="00CC09B7"/>
    <w:rsid w:val="00CC72CB"/>
    <w:rsid w:val="00CD7C0C"/>
    <w:rsid w:val="00CF791F"/>
    <w:rsid w:val="00CF7CDD"/>
    <w:rsid w:val="00D01FC2"/>
    <w:rsid w:val="00D07A62"/>
    <w:rsid w:val="00D1703D"/>
    <w:rsid w:val="00D17A2F"/>
    <w:rsid w:val="00D17F8A"/>
    <w:rsid w:val="00D34A6E"/>
    <w:rsid w:val="00D369D3"/>
    <w:rsid w:val="00D36B77"/>
    <w:rsid w:val="00D42D51"/>
    <w:rsid w:val="00D5034B"/>
    <w:rsid w:val="00D57369"/>
    <w:rsid w:val="00D73100"/>
    <w:rsid w:val="00D759A0"/>
    <w:rsid w:val="00D82868"/>
    <w:rsid w:val="00D82A36"/>
    <w:rsid w:val="00D844B0"/>
    <w:rsid w:val="00D92B2D"/>
    <w:rsid w:val="00D97BB9"/>
    <w:rsid w:val="00DB510B"/>
    <w:rsid w:val="00DB546A"/>
    <w:rsid w:val="00DC17DD"/>
    <w:rsid w:val="00DC5095"/>
    <w:rsid w:val="00DC7AD3"/>
    <w:rsid w:val="00DF2143"/>
    <w:rsid w:val="00DF770B"/>
    <w:rsid w:val="00E05679"/>
    <w:rsid w:val="00E06378"/>
    <w:rsid w:val="00E100DB"/>
    <w:rsid w:val="00E15855"/>
    <w:rsid w:val="00E42161"/>
    <w:rsid w:val="00E64F1B"/>
    <w:rsid w:val="00E71327"/>
    <w:rsid w:val="00E75F2A"/>
    <w:rsid w:val="00E8301C"/>
    <w:rsid w:val="00E87A8E"/>
    <w:rsid w:val="00E87E5F"/>
    <w:rsid w:val="00E95B3E"/>
    <w:rsid w:val="00E96959"/>
    <w:rsid w:val="00EA78A1"/>
    <w:rsid w:val="00EC4D11"/>
    <w:rsid w:val="00ED789A"/>
    <w:rsid w:val="00F02D14"/>
    <w:rsid w:val="00F059EA"/>
    <w:rsid w:val="00F10565"/>
    <w:rsid w:val="00F1189E"/>
    <w:rsid w:val="00F148CB"/>
    <w:rsid w:val="00F15170"/>
    <w:rsid w:val="00F24ADF"/>
    <w:rsid w:val="00F409F7"/>
    <w:rsid w:val="00F41A7A"/>
    <w:rsid w:val="00F432F9"/>
    <w:rsid w:val="00F80271"/>
    <w:rsid w:val="00F82D75"/>
    <w:rsid w:val="00F92F25"/>
    <w:rsid w:val="00F959E7"/>
    <w:rsid w:val="00FB2BFD"/>
    <w:rsid w:val="00FB56E6"/>
    <w:rsid w:val="00FE1105"/>
    <w:rsid w:val="00FE1ACD"/>
    <w:rsid w:val="00FE3D0B"/>
    <w:rsid w:val="00FE5C57"/>
    <w:rsid w:val="00FF0686"/>
    <w:rsid w:val="00FF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3486AC7"/>
  <w14:defaultImageDpi w14:val="0"/>
  <w15:docId w15:val="{D1DF9FC7-3403-4B02-8074-A32AE038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C7AD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00DB"/>
    <w:pPr>
      <w:keepNext/>
      <w:outlineLvl w:val="0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E100DB"/>
    <w:pPr>
      <w:keepNext/>
      <w:outlineLvl w:val="6"/>
    </w:pPr>
    <w:rPr>
      <w:rFonts w:ascii="Arial" w:hAnsi="Arial" w:cs="Arial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100DB"/>
    <w:rPr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E100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100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100D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E100DB"/>
    <w:rPr>
      <w:rFonts w:cs="Times New Roman"/>
    </w:rPr>
  </w:style>
  <w:style w:type="character" w:styleId="Hyperlink">
    <w:name w:val="Hyperlink"/>
    <w:basedOn w:val="DefaultParagraphFont"/>
    <w:uiPriority w:val="99"/>
    <w:rsid w:val="00E100DB"/>
    <w:rPr>
      <w:rFonts w:cs="Times New Roman"/>
      <w:color w:val="0000FF"/>
      <w:u w:val="single"/>
    </w:rPr>
  </w:style>
  <w:style w:type="paragraph" w:styleId="ListBullet">
    <w:name w:val="List Bullet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EA78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144E7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F027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2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F027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2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F0270"/>
    <w:rPr>
      <w:rFonts w:cs="Times New Roman"/>
      <w:b/>
      <w:bCs/>
      <w:sz w:val="20"/>
      <w:szCs w:val="20"/>
    </w:rPr>
  </w:style>
  <w:style w:type="paragraph" w:customStyle="1" w:styleId="Pa27">
    <w:name w:val="Pa27"/>
    <w:basedOn w:val="Normal"/>
    <w:next w:val="Normal"/>
    <w:uiPriority w:val="99"/>
    <w:rsid w:val="00BC1373"/>
    <w:pPr>
      <w:autoSpaceDE w:val="0"/>
      <w:autoSpaceDN w:val="0"/>
      <w:adjustRightInd w:val="0"/>
      <w:spacing w:line="241" w:lineRule="atLeast"/>
    </w:pPr>
    <w:rPr>
      <w:rFonts w:ascii="Minion Pro Med" w:hAnsi="Minion Pro Med"/>
    </w:rPr>
  </w:style>
  <w:style w:type="character" w:customStyle="1" w:styleId="A9">
    <w:name w:val="A9"/>
    <w:uiPriority w:val="99"/>
    <w:rsid w:val="00BC1373"/>
    <w:rPr>
      <w:color w:val="000000"/>
    </w:rPr>
  </w:style>
  <w:style w:type="character" w:customStyle="1" w:styleId="A10">
    <w:name w:val="A10"/>
    <w:uiPriority w:val="99"/>
    <w:rsid w:val="00BC1373"/>
    <w:rPr>
      <w:color w:val="0082C4"/>
      <w:sz w:val="20"/>
      <w:u w:val="single"/>
    </w:rPr>
  </w:style>
  <w:style w:type="paragraph" w:styleId="Revision">
    <w:name w:val="Revision"/>
    <w:hidden/>
    <w:uiPriority w:val="99"/>
    <w:semiHidden/>
    <w:rsid w:val="00553D5F"/>
    <w:pPr>
      <w:spacing w:after="0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37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regulations/130-CMR-409000-durable-medical-equipment-services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mass.gov/regulations/130-CMR-450000-administrative-and-billing-regulat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service-details/masshealth-payment-and-coverage-guideline-tool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29B03-D8F2-47D9-B114-6D54501B6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2137</Words>
  <Characters>13095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These Guidelines for Medical Necessity Determination (Guidelines) identify the clinical information MassHealth needs to determine medical necessity for Standers</vt:lpstr>
    </vt:vector>
  </TitlesOfParts>
  <Company>Office of Health and Human Services</Company>
  <LinksUpToDate>false</LinksUpToDate>
  <CharactersWithSpaces>15202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These Guidelines for Medical Necessity Determination (Guidelines) identify the clinical information MassHealth needs to determine medical necessity for Standers</dc:title>
  <dc:creator>Beth Gerard</dc:creator>
  <cp:lastModifiedBy>Bentley, Bernadette M. (EHS)</cp:lastModifiedBy>
  <cp:revision>2</cp:revision>
  <cp:lastPrinted>2019-12-04T16:47:00Z</cp:lastPrinted>
  <dcterms:created xsi:type="dcterms:W3CDTF">2019-12-11T16:51:00Z</dcterms:created>
  <dcterms:modified xsi:type="dcterms:W3CDTF">2019-12-11T16:51:00Z</dcterms:modified>
</cp:coreProperties>
</file>