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82321" w14:textId="77777777" w:rsidR="0026011E" w:rsidRPr="0026011E" w:rsidRDefault="00A83025" w:rsidP="0026011E">
      <w:pPr>
        <w:spacing w:before="120" w:after="120"/>
        <w:jc w:val="center"/>
        <w:rPr>
          <w:rFonts w:ascii="Times New Roman" w:eastAsia="Times New Roman" w:hAnsi="Times New Roman" w:cs="Times New Roman"/>
          <w:b/>
          <w:caps/>
          <w:spacing w:val="24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object w:dxaOrig="1440" w:dyaOrig="1440" w14:anchorId="5D072F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9pt;width:56.15pt;height:71.75pt;z-index:251659264;visibility:visible;mso-wrap-edited:f">
            <v:imagedata r:id="rId8" o:title="" gain="2147483647f" blacklevel=".5" grayscale="t" bilevel="t"/>
          </v:shape>
          <o:OLEObject Type="Embed" ProgID="Word.Picture.8" ShapeID="_x0000_s1026" DrawAspect="Content" ObjectID="_1608974087" r:id="rId9"/>
        </w:object>
      </w:r>
      <w:r w:rsidR="0026011E" w:rsidRPr="0026011E">
        <w:rPr>
          <w:rFonts w:ascii="Times New Roman" w:eastAsia="Times New Roman" w:hAnsi="Times New Roman" w:cs="Times New Roman"/>
          <w:b/>
          <w:smallCaps/>
          <w:spacing w:val="24"/>
          <w:sz w:val="28"/>
          <w:szCs w:val="28"/>
        </w:rPr>
        <w:t xml:space="preserve">       </w:t>
      </w:r>
      <w:r w:rsidR="0026011E" w:rsidRPr="0026011E">
        <w:rPr>
          <w:rFonts w:ascii="Times New Roman" w:eastAsia="Times New Roman" w:hAnsi="Times New Roman" w:cs="Times New Roman"/>
          <w:b/>
          <w:caps/>
          <w:spacing w:val="24"/>
          <w:sz w:val="28"/>
          <w:szCs w:val="28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="0026011E" w:rsidRPr="0026011E">
            <w:rPr>
              <w:rFonts w:ascii="Times New Roman" w:eastAsia="Times New Roman" w:hAnsi="Times New Roman" w:cs="Times New Roman"/>
              <w:b/>
              <w:caps/>
              <w:spacing w:val="24"/>
              <w:sz w:val="28"/>
              <w:szCs w:val="28"/>
            </w:rPr>
            <w:t>Commonwealth</w:t>
          </w:r>
        </w:smartTag>
        <w:r w:rsidR="0026011E" w:rsidRPr="0026011E">
          <w:rPr>
            <w:rFonts w:ascii="Times New Roman" w:eastAsia="Times New Roman" w:hAnsi="Times New Roman" w:cs="Times New Roman"/>
            <w:b/>
            <w:caps/>
            <w:spacing w:val="24"/>
            <w:sz w:val="28"/>
            <w:szCs w:val="28"/>
          </w:rPr>
          <w:t xml:space="preserve"> of </w:t>
        </w:r>
        <w:smartTag w:uri="urn:schemas-microsoft-com:office:smarttags" w:element="PlaceName">
          <w:r w:rsidR="0026011E" w:rsidRPr="0026011E">
            <w:rPr>
              <w:rFonts w:ascii="Times New Roman" w:eastAsia="Times New Roman" w:hAnsi="Times New Roman" w:cs="Times New Roman"/>
              <w:b/>
              <w:caps/>
              <w:spacing w:val="24"/>
              <w:sz w:val="28"/>
              <w:szCs w:val="28"/>
            </w:rPr>
            <w:t>Massachusetts</w:t>
          </w:r>
        </w:smartTag>
      </w:smartTag>
    </w:p>
    <w:p w14:paraId="74A87BC8" w14:textId="77777777" w:rsidR="0026011E" w:rsidRPr="0026011E" w:rsidRDefault="0026011E" w:rsidP="0026011E">
      <w:pPr>
        <w:spacing w:before="120" w:after="120"/>
        <w:jc w:val="center"/>
        <w:rPr>
          <w:rFonts w:ascii="Times New Roman" w:eastAsia="Times New Roman" w:hAnsi="Times New Roman" w:cs="Times New Roman"/>
          <w:b/>
          <w:smallCaps/>
          <w:spacing w:val="24"/>
          <w:sz w:val="24"/>
          <w:szCs w:val="24"/>
        </w:rPr>
      </w:pPr>
      <w:r w:rsidRPr="0026011E">
        <w:rPr>
          <w:rFonts w:ascii="Times New Roman" w:eastAsia="Times New Roman" w:hAnsi="Times New Roman" w:cs="Times New Roman"/>
          <w:b/>
          <w:smallCaps/>
          <w:spacing w:val="24"/>
          <w:sz w:val="24"/>
          <w:szCs w:val="24"/>
        </w:rPr>
        <w:t xml:space="preserve">      Division of Administrative Law Appeals</w:t>
      </w:r>
    </w:p>
    <w:p w14:paraId="7EA19CD7" w14:textId="4A4D02D9" w:rsidR="0026011E" w:rsidRPr="0026011E" w:rsidRDefault="0026011E" w:rsidP="0026011E">
      <w:pPr>
        <w:spacing w:before="120" w:after="120"/>
        <w:jc w:val="center"/>
        <w:rPr>
          <w:rFonts w:ascii="Times New Roman" w:eastAsia="Times New Roman" w:hAnsi="Times New Roman" w:cs="Times New Roman"/>
          <w:b/>
          <w:smallCaps/>
          <w:spacing w:val="24"/>
          <w:sz w:val="24"/>
          <w:szCs w:val="24"/>
        </w:rPr>
      </w:pPr>
      <w:r w:rsidRPr="0026011E">
        <w:rPr>
          <w:rFonts w:ascii="Times New Roman" w:eastAsia="Times New Roman" w:hAnsi="Times New Roman" w:cs="Times New Roman"/>
          <w:b/>
          <w:smallCaps/>
          <w:spacing w:val="24"/>
          <w:sz w:val="24"/>
          <w:szCs w:val="24"/>
        </w:rPr>
        <w:t xml:space="preserve">       1</w:t>
      </w:r>
      <w:r w:rsidR="00FE38F4">
        <w:rPr>
          <w:rFonts w:ascii="Times New Roman" w:eastAsia="Times New Roman" w:hAnsi="Times New Roman" w:cs="Times New Roman"/>
          <w:b/>
          <w:smallCaps/>
          <w:spacing w:val="24"/>
          <w:sz w:val="24"/>
          <w:szCs w:val="24"/>
        </w:rPr>
        <w:t>4 Summer</w:t>
      </w:r>
      <w:r w:rsidRPr="0026011E">
        <w:rPr>
          <w:rFonts w:ascii="Times New Roman" w:eastAsia="Times New Roman" w:hAnsi="Times New Roman" w:cs="Times New Roman"/>
          <w:b/>
          <w:smallCaps/>
          <w:spacing w:val="24"/>
          <w:sz w:val="24"/>
          <w:szCs w:val="24"/>
        </w:rPr>
        <w:t xml:space="preserve"> Street, </w:t>
      </w:r>
      <w:r w:rsidR="00FE38F4">
        <w:rPr>
          <w:rFonts w:ascii="Times New Roman" w:eastAsia="Times New Roman" w:hAnsi="Times New Roman" w:cs="Times New Roman"/>
          <w:b/>
          <w:smallCaps/>
          <w:spacing w:val="24"/>
          <w:sz w:val="24"/>
          <w:szCs w:val="24"/>
        </w:rPr>
        <w:t>4</w:t>
      </w:r>
      <w:r w:rsidRPr="0026011E">
        <w:rPr>
          <w:rFonts w:ascii="Times New Roman" w:eastAsia="Times New Roman" w:hAnsi="Times New Roman" w:cs="Times New Roman"/>
          <w:b/>
          <w:smallCaps/>
          <w:spacing w:val="24"/>
          <w:sz w:val="24"/>
          <w:szCs w:val="24"/>
          <w:vertAlign w:val="superscript"/>
        </w:rPr>
        <w:t>th</w:t>
      </w:r>
      <w:r w:rsidRPr="0026011E">
        <w:rPr>
          <w:rFonts w:ascii="Times New Roman" w:eastAsia="Times New Roman" w:hAnsi="Times New Roman" w:cs="Times New Roman"/>
          <w:b/>
          <w:smallCaps/>
          <w:spacing w:val="24"/>
          <w:sz w:val="24"/>
          <w:szCs w:val="24"/>
        </w:rPr>
        <w:t xml:space="preserve"> Floor</w:t>
      </w:r>
    </w:p>
    <w:p w14:paraId="190AE79B" w14:textId="3A336B24" w:rsidR="0026011E" w:rsidRPr="0026011E" w:rsidRDefault="0026011E" w:rsidP="0026011E">
      <w:pPr>
        <w:spacing w:before="120" w:after="120"/>
        <w:rPr>
          <w:rFonts w:ascii="Times New Roman" w:eastAsia="Times New Roman" w:hAnsi="Times New Roman" w:cs="Times New Roman"/>
          <w:smallCaps/>
          <w:spacing w:val="24"/>
          <w:sz w:val="24"/>
          <w:szCs w:val="24"/>
        </w:rPr>
      </w:pPr>
      <w:r w:rsidRPr="0026011E">
        <w:rPr>
          <w:rFonts w:ascii="Times New Roman" w:eastAsia="Times New Roman" w:hAnsi="Times New Roman" w:cs="Times New Roman"/>
          <w:b/>
          <w:smallCaps/>
          <w:spacing w:val="24"/>
          <w:sz w:val="24"/>
          <w:szCs w:val="24"/>
        </w:rPr>
        <w:tab/>
      </w:r>
      <w:r w:rsidRPr="0026011E">
        <w:rPr>
          <w:rFonts w:ascii="Times New Roman" w:eastAsia="Times New Roman" w:hAnsi="Times New Roman" w:cs="Times New Roman"/>
          <w:b/>
          <w:smallCaps/>
          <w:spacing w:val="24"/>
          <w:sz w:val="24"/>
          <w:szCs w:val="24"/>
        </w:rPr>
        <w:tab/>
      </w:r>
      <w:r w:rsidRPr="0026011E">
        <w:rPr>
          <w:rFonts w:ascii="Times New Roman" w:eastAsia="Times New Roman" w:hAnsi="Times New Roman" w:cs="Times New Roman"/>
          <w:b/>
          <w:smallCaps/>
          <w:spacing w:val="24"/>
          <w:sz w:val="24"/>
          <w:szCs w:val="24"/>
        </w:rPr>
        <w:tab/>
      </w:r>
      <w:r w:rsidRPr="0026011E">
        <w:rPr>
          <w:rFonts w:ascii="Times New Roman" w:eastAsia="Times New Roman" w:hAnsi="Times New Roman" w:cs="Times New Roman"/>
          <w:b/>
          <w:smallCaps/>
          <w:spacing w:val="24"/>
          <w:sz w:val="24"/>
          <w:szCs w:val="24"/>
        </w:rPr>
        <w:tab/>
        <w:t xml:space="preserve">          </w:t>
      </w:r>
      <w:r w:rsidR="00FE38F4">
        <w:rPr>
          <w:rFonts w:ascii="Times New Roman" w:eastAsia="Times New Roman" w:hAnsi="Times New Roman" w:cs="Times New Roman"/>
          <w:b/>
          <w:smallCaps/>
          <w:spacing w:val="24"/>
          <w:sz w:val="24"/>
          <w:szCs w:val="24"/>
        </w:rPr>
        <w:t>Malden</w:t>
      </w:r>
      <w:r w:rsidRPr="0026011E">
        <w:rPr>
          <w:rFonts w:ascii="Times New Roman" w:eastAsia="Times New Roman" w:hAnsi="Times New Roman" w:cs="Times New Roman"/>
          <w:b/>
          <w:smallCaps/>
          <w:spacing w:val="24"/>
          <w:sz w:val="24"/>
          <w:szCs w:val="24"/>
        </w:rPr>
        <w:t>, MA 021</w:t>
      </w:r>
      <w:r w:rsidR="00FE38F4">
        <w:rPr>
          <w:rFonts w:ascii="Times New Roman" w:eastAsia="Times New Roman" w:hAnsi="Times New Roman" w:cs="Times New Roman"/>
          <w:b/>
          <w:smallCaps/>
          <w:spacing w:val="24"/>
          <w:sz w:val="24"/>
          <w:szCs w:val="24"/>
        </w:rPr>
        <w:t>48</w:t>
      </w:r>
    </w:p>
    <w:p w14:paraId="5263F6C1" w14:textId="6F151DB9" w:rsidR="0026011E" w:rsidRPr="0026011E" w:rsidRDefault="00764517" w:rsidP="0026011E">
      <w:pPr>
        <w:ind w:left="-720" w:right="-900"/>
        <w:rPr>
          <w:rFonts w:ascii="Times New Roman" w:eastAsia="Times New Roman" w:hAnsi="Times New Roman" w:cs="Times New Roman"/>
          <w:smallCaps/>
          <w:sz w:val="20"/>
          <w:szCs w:val="20"/>
        </w:rPr>
      </w:pPr>
      <w:r>
        <w:rPr>
          <w:rFonts w:ascii="Times New Roman" w:eastAsia="Times New Roman" w:hAnsi="Times New Roman" w:cs="Times New Roman"/>
          <w:smallCaps/>
          <w:sz w:val="20"/>
          <w:szCs w:val="20"/>
        </w:rPr>
        <w:t>Edward B. MCGRATH</w:t>
      </w:r>
      <w:r w:rsidR="0026011E" w:rsidRPr="0026011E">
        <w:rPr>
          <w:rFonts w:ascii="Times New Roman" w:eastAsia="Times New Roman" w:hAnsi="Times New Roman" w:cs="Times New Roman"/>
          <w:smallCaps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26011E" w:rsidRPr="0026011E">
        <w:rPr>
          <w:rFonts w:ascii="Times New Roman" w:eastAsia="Times New Roman" w:hAnsi="Times New Roman" w:cs="Times New Roman"/>
          <w:smallCaps/>
          <w:sz w:val="20"/>
          <w:szCs w:val="20"/>
        </w:rPr>
        <w:tab/>
        <w:t xml:space="preserve">Tel:  </w:t>
      </w:r>
      <w:r w:rsidR="00FE38F4">
        <w:rPr>
          <w:rFonts w:ascii="Times New Roman" w:eastAsia="Times New Roman" w:hAnsi="Times New Roman" w:cs="Times New Roman"/>
          <w:smallCaps/>
          <w:sz w:val="20"/>
          <w:szCs w:val="20"/>
        </w:rPr>
        <w:t>781-397-</w:t>
      </w:r>
      <w:r w:rsidR="00140FA0">
        <w:rPr>
          <w:rFonts w:ascii="Times New Roman" w:eastAsia="Times New Roman" w:hAnsi="Times New Roman" w:cs="Times New Roman"/>
          <w:smallCaps/>
          <w:sz w:val="20"/>
          <w:szCs w:val="20"/>
        </w:rPr>
        <w:t>4700</w:t>
      </w:r>
    </w:p>
    <w:p w14:paraId="5FFE34F6" w14:textId="095E6501" w:rsidR="0026011E" w:rsidRPr="0026011E" w:rsidRDefault="0026011E" w:rsidP="0026011E">
      <w:pPr>
        <w:ind w:left="-720" w:right="-900"/>
        <w:rPr>
          <w:rFonts w:ascii="Times New Roman" w:eastAsia="Times New Roman" w:hAnsi="Times New Roman" w:cs="Times New Roman"/>
          <w:smallCaps/>
          <w:sz w:val="20"/>
          <w:szCs w:val="20"/>
        </w:rPr>
      </w:pPr>
      <w:r w:rsidRPr="0026011E">
        <w:rPr>
          <w:rFonts w:ascii="Times New Roman" w:eastAsia="Times New Roman" w:hAnsi="Times New Roman" w:cs="Times New Roman"/>
          <w:smallCaps/>
          <w:sz w:val="20"/>
          <w:szCs w:val="20"/>
        </w:rPr>
        <w:t xml:space="preserve">Chief Administrative Magistrate   </w:t>
      </w:r>
      <w:r w:rsidRPr="0026011E">
        <w:rPr>
          <w:rFonts w:ascii="Times New Roman" w:eastAsia="Times New Roman" w:hAnsi="Times New Roman" w:cs="Times New Roman"/>
          <w:smallCaps/>
          <w:sz w:val="20"/>
          <w:szCs w:val="20"/>
        </w:rPr>
        <w:tab/>
        <w:t xml:space="preserve">                                             </w:t>
      </w:r>
      <w:r w:rsidRPr="0026011E">
        <w:rPr>
          <w:rFonts w:ascii="Times New Roman" w:eastAsia="Times New Roman" w:hAnsi="Times New Roman" w:cs="Times New Roman"/>
          <w:smallCaps/>
          <w:sz w:val="20"/>
          <w:szCs w:val="20"/>
        </w:rPr>
        <w:tab/>
        <w:t xml:space="preserve">    </w:t>
      </w:r>
      <w:r w:rsidRPr="0026011E">
        <w:rPr>
          <w:rFonts w:ascii="Times New Roman" w:eastAsia="Times New Roman" w:hAnsi="Times New Roman" w:cs="Times New Roman"/>
          <w:smallCaps/>
          <w:sz w:val="20"/>
          <w:szCs w:val="20"/>
        </w:rPr>
        <w:tab/>
        <w:t xml:space="preserve">                              </w:t>
      </w:r>
      <w:r w:rsidRPr="0026011E">
        <w:rPr>
          <w:rFonts w:ascii="Times New Roman" w:eastAsia="Times New Roman" w:hAnsi="Times New Roman" w:cs="Times New Roman"/>
          <w:smallCaps/>
          <w:sz w:val="20"/>
          <w:szCs w:val="20"/>
        </w:rPr>
        <w:tab/>
        <w:t xml:space="preserve">Fax:  </w:t>
      </w:r>
      <w:r w:rsidR="00140FA0">
        <w:rPr>
          <w:rFonts w:ascii="Times New Roman" w:eastAsia="Times New Roman" w:hAnsi="Times New Roman" w:cs="Times New Roman"/>
          <w:smallCaps/>
          <w:sz w:val="20"/>
          <w:szCs w:val="20"/>
        </w:rPr>
        <w:t>781-397-4720</w:t>
      </w:r>
    </w:p>
    <w:p w14:paraId="36429BF5" w14:textId="77777777" w:rsidR="0026011E" w:rsidRPr="0026011E" w:rsidRDefault="0026011E" w:rsidP="0026011E">
      <w:pPr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26011E">
        <w:rPr>
          <w:rFonts w:ascii="Times New Roman" w:eastAsia="Times New Roman" w:hAnsi="Times New Roman" w:cs="Times New Roman"/>
          <w:sz w:val="24"/>
          <w:szCs w:val="20"/>
        </w:rPr>
        <w:tab/>
      </w:r>
      <w:r w:rsidRPr="0026011E">
        <w:rPr>
          <w:rFonts w:ascii="Times New Roman" w:eastAsia="Times New Roman" w:hAnsi="Times New Roman" w:cs="Times New Roman"/>
          <w:sz w:val="24"/>
          <w:szCs w:val="20"/>
        </w:rPr>
        <w:tab/>
      </w:r>
      <w:r w:rsidRPr="0026011E">
        <w:rPr>
          <w:rFonts w:ascii="Times New Roman" w:eastAsia="Times New Roman" w:hAnsi="Times New Roman" w:cs="Times New Roman"/>
          <w:sz w:val="24"/>
          <w:szCs w:val="20"/>
        </w:rPr>
        <w:tab/>
      </w:r>
      <w:r w:rsidRPr="0026011E">
        <w:rPr>
          <w:rFonts w:ascii="Times New Roman" w:eastAsia="Times New Roman" w:hAnsi="Times New Roman" w:cs="Times New Roman"/>
          <w:sz w:val="24"/>
          <w:szCs w:val="20"/>
        </w:rPr>
        <w:tab/>
      </w:r>
      <w:r w:rsidRPr="0026011E">
        <w:rPr>
          <w:rFonts w:ascii="Times New Roman" w:eastAsia="Times New Roman" w:hAnsi="Times New Roman" w:cs="Times New Roman"/>
          <w:sz w:val="24"/>
          <w:szCs w:val="20"/>
        </w:rPr>
        <w:tab/>
      </w:r>
      <w:r w:rsidRPr="0026011E">
        <w:rPr>
          <w:rFonts w:ascii="Times New Roman" w:eastAsia="Times New Roman" w:hAnsi="Times New Roman" w:cs="Times New Roman"/>
          <w:sz w:val="24"/>
          <w:szCs w:val="20"/>
        </w:rPr>
        <w:tab/>
      </w:r>
      <w:r w:rsidRPr="0026011E">
        <w:rPr>
          <w:rFonts w:ascii="Times New Roman" w:eastAsia="Times New Roman" w:hAnsi="Times New Roman" w:cs="Times New Roman"/>
          <w:sz w:val="24"/>
          <w:szCs w:val="20"/>
        </w:rPr>
        <w:tab/>
      </w:r>
      <w:r w:rsidRPr="0026011E">
        <w:rPr>
          <w:rFonts w:ascii="Times New Roman" w:eastAsia="Times New Roman" w:hAnsi="Times New Roman" w:cs="Times New Roman"/>
          <w:smallCaps/>
          <w:sz w:val="20"/>
          <w:szCs w:val="20"/>
        </w:rPr>
        <w:t xml:space="preserve">                                Website:  </w:t>
      </w:r>
      <w:r w:rsidRPr="0026011E">
        <w:rPr>
          <w:rFonts w:ascii="Times New Roman" w:eastAsia="Times New Roman" w:hAnsi="Times New Roman" w:cs="Times New Roman"/>
          <w:sz w:val="20"/>
          <w:szCs w:val="20"/>
        </w:rPr>
        <w:t>www.mass.gov/dala</w:t>
      </w:r>
      <w:r w:rsidRPr="0026011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3465D0A2" w14:textId="77777777" w:rsidR="008821B2" w:rsidRPr="00AD425C" w:rsidRDefault="008821B2" w:rsidP="00832393">
      <w:pPr>
        <w:jc w:val="center"/>
        <w:rPr>
          <w:rFonts w:ascii="Arial" w:hAnsi="Arial" w:cs="Arial"/>
          <w:sz w:val="24"/>
          <w:szCs w:val="24"/>
        </w:rPr>
      </w:pPr>
      <w:r w:rsidRPr="00AD425C">
        <w:rPr>
          <w:rFonts w:ascii="Arial" w:hAnsi="Arial" w:cs="Arial"/>
          <w:sz w:val="24"/>
          <w:szCs w:val="24"/>
        </w:rPr>
        <w:t xml:space="preserve">Standing Order </w:t>
      </w:r>
      <w:r w:rsidR="0026011E" w:rsidRPr="00AD425C">
        <w:rPr>
          <w:rFonts w:ascii="Arial" w:hAnsi="Arial" w:cs="Arial"/>
          <w:sz w:val="24"/>
          <w:szCs w:val="24"/>
        </w:rPr>
        <w:t>13-1</w:t>
      </w:r>
    </w:p>
    <w:p w14:paraId="4101AD65" w14:textId="77777777" w:rsidR="00832393" w:rsidRPr="00832393" w:rsidRDefault="00832393" w:rsidP="00832393">
      <w:pPr>
        <w:jc w:val="center"/>
        <w:rPr>
          <w:rFonts w:ascii="Arial" w:hAnsi="Arial" w:cs="Arial"/>
          <w:sz w:val="18"/>
          <w:szCs w:val="18"/>
        </w:rPr>
      </w:pPr>
    </w:p>
    <w:p w14:paraId="7865CDA9" w14:textId="77777777" w:rsidR="008821B2" w:rsidRPr="00832393" w:rsidRDefault="008821B2" w:rsidP="00832393">
      <w:pPr>
        <w:rPr>
          <w:rFonts w:ascii="Arial" w:hAnsi="Arial" w:cs="Arial"/>
          <w:sz w:val="18"/>
          <w:szCs w:val="18"/>
        </w:rPr>
      </w:pPr>
      <w:r w:rsidRPr="00832393">
        <w:rPr>
          <w:rFonts w:ascii="Arial" w:hAnsi="Arial" w:cs="Arial"/>
          <w:sz w:val="18"/>
          <w:szCs w:val="18"/>
        </w:rPr>
        <w:tab/>
      </w:r>
      <w:r w:rsidR="0026011E" w:rsidRPr="00832393">
        <w:rPr>
          <w:rFonts w:ascii="Arial" w:hAnsi="Arial" w:cs="Arial"/>
          <w:sz w:val="18"/>
          <w:szCs w:val="18"/>
        </w:rPr>
        <w:t xml:space="preserve"> </w:t>
      </w:r>
      <w:r w:rsidR="000C23D7" w:rsidRPr="00832393">
        <w:rPr>
          <w:rFonts w:ascii="Arial" w:hAnsi="Arial" w:cs="Arial"/>
          <w:sz w:val="18"/>
          <w:szCs w:val="18"/>
        </w:rPr>
        <w:t xml:space="preserve">This standing order governs practice before the Division of Administrative Law Appeals, </w:t>
      </w:r>
      <w:r w:rsidR="0026011E" w:rsidRPr="00832393">
        <w:rPr>
          <w:rFonts w:ascii="Arial" w:hAnsi="Arial" w:cs="Arial"/>
          <w:sz w:val="18"/>
          <w:szCs w:val="18"/>
        </w:rPr>
        <w:t>General Jurisdiction Section</w:t>
      </w:r>
      <w:r w:rsidR="000C23D7" w:rsidRPr="00832393">
        <w:rPr>
          <w:rFonts w:ascii="Arial" w:hAnsi="Arial" w:cs="Arial"/>
          <w:sz w:val="18"/>
          <w:szCs w:val="18"/>
        </w:rPr>
        <w:t>.</w:t>
      </w:r>
      <w:r w:rsidR="00EB45E3" w:rsidRPr="00832393">
        <w:rPr>
          <w:rStyle w:val="FootnoteReference"/>
          <w:rFonts w:ascii="Arial" w:hAnsi="Arial" w:cs="Arial"/>
          <w:sz w:val="18"/>
          <w:szCs w:val="18"/>
        </w:rPr>
        <w:footnoteReference w:id="1"/>
      </w:r>
    </w:p>
    <w:p w14:paraId="748FC1A8" w14:textId="77777777" w:rsidR="00832393" w:rsidRPr="00832393" w:rsidRDefault="00832393" w:rsidP="00832393">
      <w:pPr>
        <w:rPr>
          <w:rFonts w:ascii="Arial" w:hAnsi="Arial" w:cs="Arial"/>
          <w:sz w:val="18"/>
          <w:szCs w:val="18"/>
        </w:rPr>
      </w:pPr>
    </w:p>
    <w:p w14:paraId="4A052E36" w14:textId="74E65348" w:rsidR="00BA17F7" w:rsidRPr="00832393" w:rsidRDefault="008821B2" w:rsidP="00832393">
      <w:pPr>
        <w:rPr>
          <w:rFonts w:ascii="Arial" w:eastAsia="Times New Roman" w:hAnsi="Arial" w:cs="Arial"/>
          <w:sz w:val="18"/>
          <w:szCs w:val="18"/>
          <w:lang w:val="en"/>
        </w:rPr>
      </w:pPr>
      <w:r w:rsidRPr="00832393">
        <w:rPr>
          <w:rFonts w:ascii="Arial" w:hAnsi="Arial" w:cs="Arial"/>
          <w:sz w:val="18"/>
          <w:szCs w:val="18"/>
        </w:rPr>
        <w:tab/>
        <w:t xml:space="preserve">1. </w:t>
      </w:r>
      <w:r w:rsidR="0026011E" w:rsidRPr="00832393">
        <w:rPr>
          <w:rFonts w:ascii="Arial" w:hAnsi="Arial" w:cs="Arial"/>
          <w:sz w:val="18"/>
          <w:szCs w:val="18"/>
        </w:rPr>
        <w:tab/>
      </w:r>
      <w:r w:rsidR="00BA17F7" w:rsidRPr="00832393">
        <w:rPr>
          <w:rFonts w:ascii="Arial" w:hAnsi="Arial" w:cs="Arial"/>
          <w:i/>
          <w:sz w:val="18"/>
          <w:szCs w:val="18"/>
        </w:rPr>
        <w:t>Procedural Rules</w:t>
      </w:r>
      <w:r w:rsidR="00BA17F7" w:rsidRPr="00832393">
        <w:rPr>
          <w:rFonts w:ascii="Arial" w:hAnsi="Arial" w:cs="Arial"/>
          <w:sz w:val="18"/>
          <w:szCs w:val="18"/>
        </w:rPr>
        <w:t xml:space="preserve">:  </w:t>
      </w:r>
      <w:r w:rsidR="00D90C5E" w:rsidRPr="00832393">
        <w:rPr>
          <w:rFonts w:ascii="Arial" w:hAnsi="Arial" w:cs="Arial"/>
          <w:sz w:val="18"/>
          <w:szCs w:val="18"/>
        </w:rPr>
        <w:t>This matter will be governed by</w:t>
      </w:r>
      <w:r w:rsidR="00BC63C1" w:rsidRPr="00832393">
        <w:rPr>
          <w:rFonts w:ascii="Arial" w:hAnsi="Arial" w:cs="Arial"/>
          <w:sz w:val="18"/>
          <w:szCs w:val="18"/>
        </w:rPr>
        <w:t xml:space="preserve"> </w:t>
      </w:r>
      <w:r w:rsidRPr="00832393">
        <w:rPr>
          <w:rFonts w:ascii="Arial" w:hAnsi="Arial" w:cs="Arial"/>
          <w:sz w:val="18"/>
          <w:szCs w:val="18"/>
        </w:rPr>
        <w:t xml:space="preserve">the Standard Adjudicatory </w:t>
      </w:r>
      <w:r w:rsidR="00D90C5E" w:rsidRPr="00832393">
        <w:rPr>
          <w:rFonts w:ascii="Arial" w:hAnsi="Arial" w:cs="Arial"/>
          <w:sz w:val="18"/>
          <w:szCs w:val="18"/>
        </w:rPr>
        <w:t>Rules of Practice and Procedure</w:t>
      </w:r>
      <w:r w:rsidRPr="00832393">
        <w:rPr>
          <w:rFonts w:ascii="Arial" w:hAnsi="Arial" w:cs="Arial"/>
          <w:sz w:val="18"/>
          <w:szCs w:val="18"/>
        </w:rPr>
        <w:t xml:space="preserve"> which are found in Title 801 of the Code of Massachusetts Regulations, Sections 1.01 through 1.04</w:t>
      </w:r>
      <w:r w:rsidR="00BA17F7" w:rsidRPr="00832393">
        <w:rPr>
          <w:rFonts w:ascii="Arial" w:hAnsi="Arial" w:cs="Arial"/>
          <w:sz w:val="18"/>
          <w:szCs w:val="18"/>
        </w:rPr>
        <w:t>.  You will find a link to the rules on the Division’s website</w:t>
      </w:r>
      <w:r w:rsidR="0026011E" w:rsidRPr="00832393">
        <w:rPr>
          <w:rFonts w:ascii="Arial" w:hAnsi="Arial" w:cs="Arial"/>
          <w:sz w:val="18"/>
          <w:szCs w:val="18"/>
        </w:rPr>
        <w:t xml:space="preserve"> at </w:t>
      </w:r>
      <w:hyperlink r:id="rId10" w:history="1">
        <w:r w:rsidR="00BA17F7" w:rsidRPr="00832393">
          <w:rPr>
            <w:rStyle w:val="Hyperlink"/>
            <w:rFonts w:ascii="Arial" w:hAnsi="Arial" w:cs="Arial"/>
            <w:sz w:val="18"/>
            <w:szCs w:val="18"/>
          </w:rPr>
          <w:t>www.mass.gov/dala</w:t>
        </w:r>
      </w:hyperlink>
      <w:r w:rsidR="00BA17F7" w:rsidRPr="00832393">
        <w:rPr>
          <w:rFonts w:ascii="Arial" w:hAnsi="Arial" w:cs="Arial"/>
          <w:sz w:val="18"/>
          <w:szCs w:val="18"/>
        </w:rPr>
        <w:t xml:space="preserve"> in the resource entitled “</w:t>
      </w:r>
      <w:proofErr w:type="spellStart"/>
      <w:r w:rsidR="00BA17F7" w:rsidRPr="00832393">
        <w:rPr>
          <w:rFonts w:ascii="Arial" w:hAnsi="Arial" w:cs="Arial"/>
          <w:sz w:val="18"/>
          <w:szCs w:val="18"/>
        </w:rPr>
        <w:t>P</w:t>
      </w:r>
      <w:r w:rsidR="00D1082D">
        <w:rPr>
          <w:rFonts w:ascii="Arial" w:hAnsi="Arial" w:cs="Arial"/>
          <w:sz w:val="18"/>
          <w:szCs w:val="18"/>
        </w:rPr>
        <w:t>r</w:t>
      </w:r>
      <w:bookmarkStart w:id="0" w:name="_GoBack"/>
      <w:bookmarkEnd w:id="0"/>
      <w:r w:rsidR="00BA17F7" w:rsidRPr="00832393">
        <w:rPr>
          <w:rFonts w:ascii="Arial" w:eastAsia="Times New Roman" w:hAnsi="Arial" w:cs="Arial"/>
          <w:sz w:val="18"/>
          <w:szCs w:val="18"/>
          <w:lang w:val="en"/>
        </w:rPr>
        <w:t>acticing</w:t>
      </w:r>
      <w:proofErr w:type="spellEnd"/>
      <w:r w:rsidR="00BA17F7" w:rsidRPr="00832393">
        <w:rPr>
          <w:rFonts w:ascii="Arial" w:eastAsia="Times New Roman" w:hAnsi="Arial" w:cs="Arial"/>
          <w:sz w:val="18"/>
          <w:szCs w:val="18"/>
          <w:lang w:val="en"/>
        </w:rPr>
        <w:t xml:space="preserve"> at DALA” in the “Key Resources” section.  </w:t>
      </w:r>
      <w:r w:rsidRPr="00832393">
        <w:rPr>
          <w:rFonts w:ascii="Arial" w:hAnsi="Arial" w:cs="Arial"/>
          <w:sz w:val="18"/>
          <w:szCs w:val="18"/>
        </w:rPr>
        <w:t xml:space="preserve"> </w:t>
      </w:r>
      <w:r w:rsidR="00BA17F7" w:rsidRPr="00832393">
        <w:rPr>
          <w:rFonts w:ascii="Arial" w:hAnsi="Arial" w:cs="Arial"/>
          <w:sz w:val="18"/>
          <w:szCs w:val="18"/>
        </w:rPr>
        <w:t xml:space="preserve">You may also find helpful two additional resources, </w:t>
      </w:r>
      <w:r w:rsidRPr="00832393">
        <w:rPr>
          <w:rFonts w:ascii="Arial" w:eastAsia="Times New Roman" w:hAnsi="Arial" w:cs="Arial"/>
          <w:sz w:val="18"/>
          <w:szCs w:val="18"/>
          <w:lang w:val="en"/>
        </w:rPr>
        <w:t>“How Retirement Cases Are Scheduled</w:t>
      </w:r>
      <w:r w:rsidR="00BA17F7" w:rsidRPr="00832393">
        <w:rPr>
          <w:rFonts w:ascii="Arial" w:eastAsia="Times New Roman" w:hAnsi="Arial" w:cs="Arial"/>
          <w:sz w:val="18"/>
          <w:szCs w:val="18"/>
          <w:lang w:val="en"/>
        </w:rPr>
        <w:t>,</w:t>
      </w:r>
      <w:r w:rsidRPr="00832393">
        <w:rPr>
          <w:rFonts w:ascii="Arial" w:eastAsia="Times New Roman" w:hAnsi="Arial" w:cs="Arial"/>
          <w:sz w:val="18"/>
          <w:szCs w:val="18"/>
          <w:lang w:val="en"/>
        </w:rPr>
        <w:t xml:space="preserve">” and “If you are representing yourself </w:t>
      </w:r>
      <w:proofErr w:type="gramStart"/>
      <w:r w:rsidRPr="00832393">
        <w:rPr>
          <w:rFonts w:ascii="Arial" w:eastAsia="Times New Roman" w:hAnsi="Arial" w:cs="Arial"/>
          <w:sz w:val="18"/>
          <w:szCs w:val="18"/>
          <w:lang w:val="en"/>
        </w:rPr>
        <w:t>. . . .</w:t>
      </w:r>
      <w:proofErr w:type="gramEnd"/>
      <w:r w:rsidRPr="00832393">
        <w:rPr>
          <w:rFonts w:ascii="Arial" w:eastAsia="Times New Roman" w:hAnsi="Arial" w:cs="Arial"/>
          <w:sz w:val="18"/>
          <w:szCs w:val="18"/>
          <w:lang w:val="en"/>
        </w:rPr>
        <w:t xml:space="preserve">” </w:t>
      </w:r>
    </w:p>
    <w:p w14:paraId="43CAA1E9" w14:textId="77777777" w:rsidR="00832393" w:rsidRPr="00832393" w:rsidRDefault="00832393" w:rsidP="00832393">
      <w:pPr>
        <w:rPr>
          <w:rFonts w:ascii="Arial" w:eastAsia="Times New Roman" w:hAnsi="Arial" w:cs="Arial"/>
          <w:sz w:val="18"/>
          <w:szCs w:val="18"/>
          <w:lang w:val="en"/>
        </w:rPr>
      </w:pPr>
    </w:p>
    <w:p w14:paraId="4FB24EBF" w14:textId="23A0EE42" w:rsidR="000F2C6E" w:rsidRPr="00832393" w:rsidRDefault="00BA17F7" w:rsidP="00832393">
      <w:pPr>
        <w:rPr>
          <w:rFonts w:ascii="Arial" w:hAnsi="Arial" w:cs="Arial"/>
          <w:sz w:val="18"/>
          <w:szCs w:val="18"/>
        </w:rPr>
      </w:pPr>
      <w:r w:rsidRPr="00832393">
        <w:rPr>
          <w:rFonts w:ascii="Arial" w:eastAsia="Times New Roman" w:hAnsi="Arial" w:cs="Arial"/>
          <w:sz w:val="18"/>
          <w:szCs w:val="18"/>
          <w:lang w:val="en"/>
        </w:rPr>
        <w:tab/>
        <w:t xml:space="preserve">2. </w:t>
      </w:r>
      <w:r w:rsidRPr="00832393">
        <w:rPr>
          <w:rFonts w:ascii="Arial" w:eastAsia="Times New Roman" w:hAnsi="Arial" w:cs="Arial"/>
          <w:sz w:val="18"/>
          <w:szCs w:val="18"/>
          <w:lang w:val="en"/>
        </w:rPr>
        <w:tab/>
      </w:r>
      <w:r w:rsidRPr="00832393">
        <w:rPr>
          <w:rFonts w:ascii="Arial" w:eastAsia="Times New Roman" w:hAnsi="Arial" w:cs="Arial"/>
          <w:i/>
          <w:sz w:val="18"/>
          <w:szCs w:val="18"/>
          <w:lang w:val="en"/>
        </w:rPr>
        <w:t>How to File Papers:</w:t>
      </w:r>
      <w:r w:rsidR="0026011E" w:rsidRPr="00832393">
        <w:rPr>
          <w:rFonts w:ascii="Arial" w:eastAsia="Times New Roman" w:hAnsi="Arial" w:cs="Arial"/>
          <w:sz w:val="18"/>
          <w:szCs w:val="18"/>
          <w:lang w:val="en"/>
        </w:rPr>
        <w:t xml:space="preserve"> </w:t>
      </w:r>
      <w:r w:rsidR="00F845E8">
        <w:rPr>
          <w:rFonts w:ascii="Arial" w:eastAsia="Times New Roman" w:hAnsi="Arial" w:cs="Arial"/>
          <w:sz w:val="18"/>
          <w:szCs w:val="18"/>
          <w:lang w:val="en"/>
        </w:rPr>
        <w:t xml:space="preserve"> Papers may be filed by U.S. m</w:t>
      </w:r>
      <w:r w:rsidRPr="00832393">
        <w:rPr>
          <w:rFonts w:ascii="Arial" w:eastAsia="Times New Roman" w:hAnsi="Arial" w:cs="Arial"/>
          <w:sz w:val="18"/>
          <w:szCs w:val="18"/>
          <w:lang w:val="en"/>
        </w:rPr>
        <w:t xml:space="preserve">ail or other similar service for in-hand delivery at the Division’s offices at </w:t>
      </w:r>
      <w:r w:rsidR="00C679F1">
        <w:rPr>
          <w:rFonts w:ascii="Arial" w:eastAsia="Times New Roman" w:hAnsi="Arial" w:cs="Arial"/>
          <w:sz w:val="18"/>
          <w:szCs w:val="18"/>
          <w:lang w:val="en"/>
        </w:rPr>
        <w:t>14 Summer</w:t>
      </w:r>
      <w:r w:rsidRPr="00832393">
        <w:rPr>
          <w:rFonts w:ascii="Arial" w:eastAsia="Times New Roman" w:hAnsi="Arial" w:cs="Arial"/>
          <w:sz w:val="18"/>
          <w:szCs w:val="18"/>
          <w:lang w:val="en"/>
        </w:rPr>
        <w:t xml:space="preserve"> Street, </w:t>
      </w:r>
      <w:r w:rsidR="00C679F1">
        <w:rPr>
          <w:rFonts w:ascii="Arial" w:eastAsia="Times New Roman" w:hAnsi="Arial" w:cs="Arial"/>
          <w:sz w:val="18"/>
          <w:szCs w:val="18"/>
          <w:lang w:val="en"/>
        </w:rPr>
        <w:t>4</w:t>
      </w:r>
      <w:r w:rsidR="0027616A" w:rsidRPr="00832393">
        <w:rPr>
          <w:rFonts w:ascii="Arial" w:eastAsia="Times New Roman" w:hAnsi="Arial" w:cs="Arial"/>
          <w:sz w:val="18"/>
          <w:szCs w:val="18"/>
          <w:vertAlign w:val="superscript"/>
          <w:lang w:val="en"/>
        </w:rPr>
        <w:t>th</w:t>
      </w:r>
      <w:r w:rsidR="0027616A" w:rsidRPr="00832393">
        <w:rPr>
          <w:rFonts w:ascii="Arial" w:eastAsia="Times New Roman" w:hAnsi="Arial" w:cs="Arial"/>
          <w:sz w:val="18"/>
          <w:szCs w:val="18"/>
          <w:lang w:val="en"/>
        </w:rPr>
        <w:t xml:space="preserve"> Floor, </w:t>
      </w:r>
      <w:r w:rsidR="00C679F1">
        <w:rPr>
          <w:rFonts w:ascii="Arial" w:eastAsia="Times New Roman" w:hAnsi="Arial" w:cs="Arial"/>
          <w:sz w:val="18"/>
          <w:szCs w:val="18"/>
          <w:lang w:val="en"/>
        </w:rPr>
        <w:t>Malden</w:t>
      </w:r>
      <w:r w:rsidRPr="00832393">
        <w:rPr>
          <w:rFonts w:ascii="Arial" w:eastAsia="Times New Roman" w:hAnsi="Arial" w:cs="Arial"/>
          <w:sz w:val="18"/>
          <w:szCs w:val="18"/>
          <w:lang w:val="en"/>
        </w:rPr>
        <w:t>, MA 021</w:t>
      </w:r>
      <w:r w:rsidR="00C679F1">
        <w:rPr>
          <w:rFonts w:ascii="Arial" w:eastAsia="Times New Roman" w:hAnsi="Arial" w:cs="Arial"/>
          <w:sz w:val="18"/>
          <w:szCs w:val="18"/>
          <w:lang w:val="en"/>
        </w:rPr>
        <w:t>48</w:t>
      </w:r>
      <w:r w:rsidRPr="00832393">
        <w:rPr>
          <w:rFonts w:ascii="Arial" w:eastAsia="Times New Roman" w:hAnsi="Arial" w:cs="Arial"/>
          <w:sz w:val="18"/>
          <w:szCs w:val="18"/>
          <w:lang w:val="en"/>
        </w:rPr>
        <w:t xml:space="preserve">. </w:t>
      </w:r>
      <w:r w:rsidR="0027616A" w:rsidRPr="00832393">
        <w:rPr>
          <w:rFonts w:ascii="Arial" w:eastAsia="Times New Roman" w:hAnsi="Arial" w:cs="Arial"/>
          <w:sz w:val="18"/>
          <w:szCs w:val="18"/>
          <w:lang w:val="en"/>
        </w:rPr>
        <w:t xml:space="preserve"> Short documents (less than 5 pages) may be filed by fax/telecopier (</w:t>
      </w:r>
      <w:r w:rsidR="0005037D">
        <w:rPr>
          <w:rFonts w:ascii="Arial" w:eastAsia="Times New Roman" w:hAnsi="Arial" w:cs="Arial"/>
          <w:sz w:val="18"/>
          <w:szCs w:val="18"/>
          <w:lang w:val="en"/>
        </w:rPr>
        <w:t>781-397-4720</w:t>
      </w:r>
      <w:r w:rsidR="0027616A" w:rsidRPr="00832393">
        <w:rPr>
          <w:rFonts w:ascii="Arial" w:eastAsia="Times New Roman" w:hAnsi="Arial" w:cs="Arial"/>
          <w:sz w:val="18"/>
          <w:szCs w:val="18"/>
          <w:lang w:val="en"/>
        </w:rPr>
        <w:t>).  You may not use electronic mail unless you are requested to do so by the magis</w:t>
      </w:r>
      <w:r w:rsidR="001B3A3E" w:rsidRPr="00832393">
        <w:rPr>
          <w:rFonts w:ascii="Arial" w:eastAsia="Times New Roman" w:hAnsi="Arial" w:cs="Arial"/>
          <w:sz w:val="18"/>
          <w:szCs w:val="18"/>
          <w:lang w:val="en"/>
        </w:rPr>
        <w:t>t</w:t>
      </w:r>
      <w:r w:rsidR="0027616A" w:rsidRPr="00832393">
        <w:rPr>
          <w:rFonts w:ascii="Arial" w:eastAsia="Times New Roman" w:hAnsi="Arial" w:cs="Arial"/>
          <w:sz w:val="18"/>
          <w:szCs w:val="18"/>
          <w:lang w:val="en"/>
        </w:rPr>
        <w:t xml:space="preserve">rate hearing your case.  </w:t>
      </w:r>
      <w:r w:rsidR="0027616A" w:rsidRPr="00832393">
        <w:rPr>
          <w:rFonts w:ascii="Arial" w:eastAsia="Times New Roman" w:hAnsi="Arial" w:cs="Arial"/>
          <w:b/>
          <w:caps/>
          <w:sz w:val="18"/>
          <w:szCs w:val="18"/>
          <w:lang w:val="en"/>
        </w:rPr>
        <w:t>All filings must contain your certification that a copy of what you are filing has been sent to all opposing parties</w:t>
      </w:r>
      <w:r w:rsidR="000F2C6E" w:rsidRPr="00832393">
        <w:rPr>
          <w:rFonts w:ascii="Arial" w:eastAsia="Times New Roman" w:hAnsi="Arial" w:cs="Arial"/>
          <w:b/>
          <w:caps/>
          <w:sz w:val="18"/>
          <w:szCs w:val="18"/>
          <w:lang w:val="en"/>
        </w:rPr>
        <w:t xml:space="preserve"> AND DESCRIBE HOW AND WHEN YOU DID SO</w:t>
      </w:r>
      <w:r w:rsidR="0027616A" w:rsidRPr="00832393">
        <w:rPr>
          <w:rFonts w:ascii="Arial" w:eastAsia="Times New Roman" w:hAnsi="Arial" w:cs="Arial"/>
          <w:b/>
          <w:caps/>
          <w:sz w:val="18"/>
          <w:szCs w:val="18"/>
          <w:lang w:val="en"/>
        </w:rPr>
        <w:t xml:space="preserve">.  </w:t>
      </w:r>
      <w:r w:rsidR="000F2C6E" w:rsidRPr="00832393">
        <w:rPr>
          <w:rFonts w:ascii="Arial" w:hAnsi="Arial" w:cs="Arial"/>
          <w:sz w:val="18"/>
          <w:szCs w:val="18"/>
        </w:rPr>
        <w:t>Parties should not submit the same documents by more than one method. For example, a party should not submit one document by both U.S. mail and fax.</w:t>
      </w:r>
    </w:p>
    <w:p w14:paraId="0683CCD5" w14:textId="77777777" w:rsidR="008821B2" w:rsidRPr="00832393" w:rsidRDefault="008821B2" w:rsidP="00832393">
      <w:pPr>
        <w:rPr>
          <w:rFonts w:ascii="Arial" w:eastAsia="Times New Roman" w:hAnsi="Arial" w:cs="Arial"/>
          <w:b/>
          <w:caps/>
          <w:sz w:val="18"/>
          <w:szCs w:val="18"/>
          <w:lang w:val="en"/>
        </w:rPr>
      </w:pPr>
    </w:p>
    <w:p w14:paraId="0955B9E2" w14:textId="77777777" w:rsidR="0027616A" w:rsidRPr="00832393" w:rsidRDefault="0027616A" w:rsidP="00832393">
      <w:pPr>
        <w:rPr>
          <w:rFonts w:ascii="Arial" w:eastAsia="Times New Roman" w:hAnsi="Arial" w:cs="Arial"/>
          <w:sz w:val="18"/>
          <w:szCs w:val="18"/>
          <w:lang w:val="en"/>
        </w:rPr>
      </w:pPr>
      <w:r w:rsidRPr="00832393">
        <w:rPr>
          <w:rFonts w:ascii="Arial" w:eastAsia="Times New Roman" w:hAnsi="Arial" w:cs="Arial"/>
          <w:b/>
          <w:caps/>
          <w:sz w:val="18"/>
          <w:szCs w:val="18"/>
          <w:lang w:val="en"/>
        </w:rPr>
        <w:tab/>
      </w:r>
      <w:r w:rsidRPr="00832393">
        <w:rPr>
          <w:rFonts w:ascii="Arial" w:eastAsia="Times New Roman" w:hAnsi="Arial" w:cs="Arial"/>
          <w:caps/>
          <w:sz w:val="18"/>
          <w:szCs w:val="18"/>
          <w:lang w:val="en"/>
        </w:rPr>
        <w:t xml:space="preserve">3. </w:t>
      </w:r>
      <w:r w:rsidRPr="00832393">
        <w:rPr>
          <w:rFonts w:ascii="Arial" w:eastAsia="Times New Roman" w:hAnsi="Arial" w:cs="Arial"/>
          <w:caps/>
          <w:sz w:val="18"/>
          <w:szCs w:val="18"/>
          <w:lang w:val="en"/>
        </w:rPr>
        <w:tab/>
      </w:r>
      <w:r w:rsidR="000F2C6E" w:rsidRPr="00832393">
        <w:rPr>
          <w:rFonts w:ascii="Arial" w:eastAsia="Times New Roman" w:hAnsi="Arial" w:cs="Arial"/>
          <w:i/>
          <w:sz w:val="18"/>
          <w:szCs w:val="18"/>
          <w:lang w:val="en"/>
        </w:rPr>
        <w:t>Filing Exhibits:</w:t>
      </w:r>
      <w:r w:rsidR="000F2C6E" w:rsidRPr="00832393">
        <w:rPr>
          <w:rFonts w:ascii="Arial" w:eastAsia="Times New Roman" w:hAnsi="Arial" w:cs="Arial"/>
          <w:sz w:val="18"/>
          <w:szCs w:val="18"/>
          <w:lang w:val="en"/>
        </w:rPr>
        <w:t xml:space="preserve">  </w:t>
      </w:r>
      <w:r w:rsidRPr="00832393">
        <w:rPr>
          <w:rFonts w:ascii="Arial" w:eastAsia="Times New Roman" w:hAnsi="Arial" w:cs="Arial"/>
          <w:sz w:val="18"/>
          <w:szCs w:val="18"/>
          <w:lang w:val="en"/>
        </w:rPr>
        <w:t xml:space="preserve">Unless otherwise ordered by the magistrate hearing your case, or your case is a retirement case, </w:t>
      </w:r>
      <w:r w:rsidR="000F2C6E" w:rsidRPr="00832393">
        <w:rPr>
          <w:rFonts w:ascii="Arial" w:eastAsia="Times New Roman" w:hAnsi="Arial" w:cs="Arial"/>
          <w:sz w:val="18"/>
          <w:szCs w:val="18"/>
          <w:lang w:val="en"/>
        </w:rPr>
        <w:t>exhibits shall be filed no earlier than five business days before your scheduled hearing.  For retirement cases, the exhibits shall be file</w:t>
      </w:r>
      <w:r w:rsidR="001B3A3E" w:rsidRPr="00832393">
        <w:rPr>
          <w:rFonts w:ascii="Arial" w:eastAsia="Times New Roman" w:hAnsi="Arial" w:cs="Arial"/>
          <w:sz w:val="18"/>
          <w:szCs w:val="18"/>
          <w:lang w:val="en"/>
        </w:rPr>
        <w:t>d</w:t>
      </w:r>
      <w:r w:rsidR="000F2C6E" w:rsidRPr="00832393">
        <w:rPr>
          <w:rFonts w:ascii="Arial" w:eastAsia="Times New Roman" w:hAnsi="Arial" w:cs="Arial"/>
          <w:sz w:val="18"/>
          <w:szCs w:val="18"/>
          <w:lang w:val="en"/>
        </w:rPr>
        <w:t xml:space="preserve"> with the pre-hearing memorandum.  Exhibits having more than 5 pages shall have the pages numbered.  Unless permitted by the magistrate hearing your case, exhibits and other documents should not be submitted on electronic media.</w:t>
      </w:r>
    </w:p>
    <w:p w14:paraId="38C8D6EA" w14:textId="77777777" w:rsidR="00832393" w:rsidRPr="00832393" w:rsidRDefault="00832393" w:rsidP="00832393">
      <w:pPr>
        <w:rPr>
          <w:rFonts w:ascii="Arial" w:eastAsia="Times New Roman" w:hAnsi="Arial" w:cs="Arial"/>
          <w:sz w:val="18"/>
          <w:szCs w:val="18"/>
          <w:lang w:val="en"/>
        </w:rPr>
      </w:pPr>
    </w:p>
    <w:p w14:paraId="0BE9913F" w14:textId="77777777" w:rsidR="008821B2" w:rsidRPr="00832393" w:rsidRDefault="009F33F8" w:rsidP="00832393">
      <w:pPr>
        <w:rPr>
          <w:rFonts w:ascii="Arial" w:hAnsi="Arial" w:cs="Arial"/>
          <w:sz w:val="18"/>
          <w:szCs w:val="18"/>
        </w:rPr>
      </w:pPr>
      <w:r w:rsidRPr="00832393">
        <w:rPr>
          <w:rFonts w:ascii="Arial" w:eastAsia="Times New Roman" w:hAnsi="Arial" w:cs="Arial"/>
          <w:sz w:val="18"/>
          <w:szCs w:val="18"/>
          <w:lang w:val="en"/>
        </w:rPr>
        <w:tab/>
        <w:t xml:space="preserve">4. </w:t>
      </w:r>
      <w:r w:rsidRPr="00832393">
        <w:rPr>
          <w:rFonts w:ascii="Arial" w:eastAsia="Times New Roman" w:hAnsi="Arial" w:cs="Arial"/>
          <w:sz w:val="18"/>
          <w:szCs w:val="18"/>
          <w:lang w:val="en"/>
        </w:rPr>
        <w:tab/>
      </w:r>
      <w:r w:rsidRPr="00832393">
        <w:rPr>
          <w:rFonts w:ascii="Arial" w:eastAsia="Times New Roman" w:hAnsi="Arial" w:cs="Arial"/>
          <w:i/>
          <w:sz w:val="18"/>
          <w:szCs w:val="18"/>
          <w:lang w:val="en"/>
        </w:rPr>
        <w:t>Communications with Magistrates:</w:t>
      </w:r>
      <w:r w:rsidRPr="00832393">
        <w:rPr>
          <w:rFonts w:ascii="Arial" w:eastAsia="Times New Roman" w:hAnsi="Arial" w:cs="Arial"/>
          <w:sz w:val="18"/>
          <w:szCs w:val="18"/>
          <w:lang w:val="en"/>
        </w:rPr>
        <w:t xml:space="preserve">  All communications with the magistrate hearing your case must be either (a) in writing with a copy to all opposing parties; (b)  by conference call with all parties participating arranged or authorized by the magistrate at such time as the magistrate designates; or (c) at a hearing in which all parties have been given notice and permitted to participate.  As examples of prohibited conduct:   </w:t>
      </w:r>
      <w:r w:rsidR="008821B2" w:rsidRPr="00832393">
        <w:rPr>
          <w:rFonts w:ascii="Arial" w:hAnsi="Arial" w:cs="Arial"/>
          <w:sz w:val="18"/>
          <w:szCs w:val="18"/>
        </w:rPr>
        <w:t xml:space="preserve">A party </w:t>
      </w:r>
      <w:r w:rsidR="000B1413" w:rsidRPr="00832393">
        <w:rPr>
          <w:rFonts w:ascii="Arial" w:hAnsi="Arial" w:cs="Arial"/>
          <w:sz w:val="18"/>
          <w:szCs w:val="18"/>
        </w:rPr>
        <w:t xml:space="preserve">should </w:t>
      </w:r>
      <w:r w:rsidR="008821B2" w:rsidRPr="00832393">
        <w:rPr>
          <w:rFonts w:ascii="Arial" w:hAnsi="Arial" w:cs="Arial"/>
          <w:sz w:val="18"/>
          <w:szCs w:val="18"/>
        </w:rPr>
        <w:t>not call or try to call an administrative magistrate to check on the status of the case</w:t>
      </w:r>
      <w:r w:rsidRPr="00832393">
        <w:rPr>
          <w:rFonts w:ascii="Arial" w:hAnsi="Arial" w:cs="Arial"/>
          <w:sz w:val="18"/>
          <w:szCs w:val="18"/>
        </w:rPr>
        <w:t>; p</w:t>
      </w:r>
      <w:r w:rsidR="003F6726" w:rsidRPr="00832393">
        <w:rPr>
          <w:rFonts w:ascii="Arial" w:hAnsi="Arial" w:cs="Arial"/>
          <w:sz w:val="18"/>
          <w:szCs w:val="18"/>
        </w:rPr>
        <w:t xml:space="preserve">arties </w:t>
      </w:r>
      <w:r w:rsidR="000B1413" w:rsidRPr="00832393">
        <w:rPr>
          <w:rFonts w:ascii="Arial" w:hAnsi="Arial" w:cs="Arial"/>
          <w:sz w:val="18"/>
          <w:szCs w:val="18"/>
        </w:rPr>
        <w:t xml:space="preserve">should </w:t>
      </w:r>
      <w:r w:rsidR="008821B2" w:rsidRPr="00832393">
        <w:rPr>
          <w:rFonts w:ascii="Arial" w:hAnsi="Arial" w:cs="Arial"/>
          <w:sz w:val="18"/>
          <w:szCs w:val="18"/>
        </w:rPr>
        <w:t>not</w:t>
      </w:r>
      <w:r w:rsidR="001B3A3E" w:rsidRPr="00832393">
        <w:rPr>
          <w:rFonts w:ascii="Arial" w:hAnsi="Arial" w:cs="Arial"/>
          <w:sz w:val="18"/>
          <w:szCs w:val="18"/>
        </w:rPr>
        <w:t xml:space="preserve">, without the prior permission or knowledge of the magistrate, </w:t>
      </w:r>
      <w:r w:rsidR="008821B2" w:rsidRPr="00832393">
        <w:rPr>
          <w:rFonts w:ascii="Arial" w:hAnsi="Arial" w:cs="Arial"/>
          <w:sz w:val="18"/>
          <w:szCs w:val="18"/>
        </w:rPr>
        <w:t>initiate a conference call with an administrative magistrate</w:t>
      </w:r>
      <w:r w:rsidR="001B3A3E" w:rsidRPr="00832393">
        <w:rPr>
          <w:rFonts w:ascii="Arial" w:hAnsi="Arial" w:cs="Arial"/>
          <w:sz w:val="18"/>
          <w:szCs w:val="18"/>
        </w:rPr>
        <w:t xml:space="preserve"> </w:t>
      </w:r>
      <w:r w:rsidR="008821B2" w:rsidRPr="00832393">
        <w:rPr>
          <w:rFonts w:ascii="Arial" w:hAnsi="Arial" w:cs="Arial"/>
          <w:sz w:val="18"/>
          <w:szCs w:val="18"/>
        </w:rPr>
        <w:t>to ask jointly for a continuance</w:t>
      </w:r>
      <w:r w:rsidRPr="00832393">
        <w:rPr>
          <w:rFonts w:ascii="Arial" w:hAnsi="Arial" w:cs="Arial"/>
          <w:sz w:val="18"/>
          <w:szCs w:val="18"/>
        </w:rPr>
        <w:t xml:space="preserve"> or other instruction relating to the case; a</w:t>
      </w:r>
      <w:r w:rsidR="008821B2" w:rsidRPr="00832393">
        <w:rPr>
          <w:rFonts w:ascii="Arial" w:hAnsi="Arial" w:cs="Arial"/>
          <w:sz w:val="18"/>
          <w:szCs w:val="18"/>
        </w:rPr>
        <w:t xml:space="preserve"> party </w:t>
      </w:r>
      <w:r w:rsidR="000B1413" w:rsidRPr="00832393">
        <w:rPr>
          <w:rFonts w:ascii="Arial" w:hAnsi="Arial" w:cs="Arial"/>
          <w:sz w:val="18"/>
          <w:szCs w:val="18"/>
        </w:rPr>
        <w:t xml:space="preserve">should </w:t>
      </w:r>
      <w:r w:rsidR="008821B2" w:rsidRPr="00832393">
        <w:rPr>
          <w:rFonts w:ascii="Arial" w:hAnsi="Arial" w:cs="Arial"/>
          <w:sz w:val="18"/>
          <w:szCs w:val="18"/>
        </w:rPr>
        <w:t>not</w:t>
      </w:r>
      <w:r w:rsidRPr="00832393">
        <w:rPr>
          <w:rFonts w:ascii="Arial" w:hAnsi="Arial" w:cs="Arial"/>
          <w:sz w:val="18"/>
          <w:szCs w:val="18"/>
        </w:rPr>
        <w:t>, without permission or unless at the direction of the magistrate,</w:t>
      </w:r>
      <w:r w:rsidR="008821B2" w:rsidRPr="00832393">
        <w:rPr>
          <w:rFonts w:ascii="Arial" w:hAnsi="Arial" w:cs="Arial"/>
          <w:sz w:val="18"/>
          <w:szCs w:val="18"/>
        </w:rPr>
        <w:t xml:space="preserve"> send an e-mail to a magistrate, even if he or she </w:t>
      </w:r>
      <w:r w:rsidRPr="00832393">
        <w:rPr>
          <w:rFonts w:ascii="Arial" w:hAnsi="Arial" w:cs="Arial"/>
          <w:sz w:val="18"/>
          <w:szCs w:val="18"/>
        </w:rPr>
        <w:t>copies all</w:t>
      </w:r>
      <w:r w:rsidR="008821B2" w:rsidRPr="00832393">
        <w:rPr>
          <w:rFonts w:ascii="Arial" w:hAnsi="Arial" w:cs="Arial"/>
          <w:sz w:val="18"/>
          <w:szCs w:val="18"/>
        </w:rPr>
        <w:t xml:space="preserve"> other part</w:t>
      </w:r>
      <w:r w:rsidRPr="00832393">
        <w:rPr>
          <w:rFonts w:ascii="Arial" w:hAnsi="Arial" w:cs="Arial"/>
          <w:sz w:val="18"/>
          <w:szCs w:val="18"/>
        </w:rPr>
        <w:t>ies; a</w:t>
      </w:r>
      <w:r w:rsidR="00C641E8" w:rsidRPr="00832393">
        <w:rPr>
          <w:rFonts w:ascii="Arial" w:hAnsi="Arial" w:cs="Arial"/>
          <w:sz w:val="18"/>
          <w:szCs w:val="18"/>
        </w:rPr>
        <w:t xml:space="preserve"> party </w:t>
      </w:r>
      <w:r w:rsidR="000B1413" w:rsidRPr="00832393">
        <w:rPr>
          <w:rFonts w:ascii="Arial" w:hAnsi="Arial" w:cs="Arial"/>
          <w:sz w:val="18"/>
          <w:szCs w:val="18"/>
        </w:rPr>
        <w:t xml:space="preserve">should </w:t>
      </w:r>
      <w:r w:rsidR="00C641E8" w:rsidRPr="00832393">
        <w:rPr>
          <w:rFonts w:ascii="Arial" w:hAnsi="Arial" w:cs="Arial"/>
          <w:sz w:val="18"/>
          <w:szCs w:val="18"/>
        </w:rPr>
        <w:t xml:space="preserve">not </w:t>
      </w:r>
      <w:r w:rsidRPr="00832393">
        <w:rPr>
          <w:rFonts w:ascii="Arial" w:hAnsi="Arial" w:cs="Arial"/>
          <w:sz w:val="18"/>
          <w:szCs w:val="18"/>
        </w:rPr>
        <w:t xml:space="preserve">call or </w:t>
      </w:r>
      <w:r w:rsidR="00C641E8" w:rsidRPr="00832393">
        <w:rPr>
          <w:rFonts w:ascii="Arial" w:hAnsi="Arial" w:cs="Arial"/>
          <w:sz w:val="18"/>
          <w:szCs w:val="18"/>
        </w:rPr>
        <w:t>send an e-mail about a legal issue to an administrative staffer at DALA and ask the staffer to ask the administrative</w:t>
      </w:r>
      <w:r w:rsidR="003F6726" w:rsidRPr="00832393">
        <w:rPr>
          <w:rFonts w:ascii="Arial" w:hAnsi="Arial" w:cs="Arial"/>
          <w:sz w:val="18"/>
          <w:szCs w:val="18"/>
        </w:rPr>
        <w:t xml:space="preserve"> magistrate for an answer.</w:t>
      </w:r>
    </w:p>
    <w:p w14:paraId="1A75E73E" w14:textId="77777777" w:rsidR="00832393" w:rsidRPr="00832393" w:rsidRDefault="00832393" w:rsidP="00832393">
      <w:pPr>
        <w:rPr>
          <w:rFonts w:ascii="Arial" w:hAnsi="Arial" w:cs="Arial"/>
          <w:sz w:val="18"/>
          <w:szCs w:val="18"/>
        </w:rPr>
      </w:pPr>
    </w:p>
    <w:p w14:paraId="383508B2" w14:textId="77777777" w:rsidR="00C06785" w:rsidRPr="00832393" w:rsidRDefault="009F33F8" w:rsidP="00832393">
      <w:pPr>
        <w:rPr>
          <w:rFonts w:ascii="Arial" w:hAnsi="Arial" w:cs="Arial"/>
          <w:sz w:val="18"/>
          <w:szCs w:val="18"/>
        </w:rPr>
      </w:pPr>
      <w:r w:rsidRPr="00832393">
        <w:rPr>
          <w:rFonts w:ascii="Arial" w:hAnsi="Arial" w:cs="Arial"/>
          <w:sz w:val="18"/>
          <w:szCs w:val="18"/>
        </w:rPr>
        <w:tab/>
        <w:t xml:space="preserve">5.  </w:t>
      </w:r>
      <w:r w:rsidRPr="00832393">
        <w:rPr>
          <w:rFonts w:ascii="Arial" w:hAnsi="Arial" w:cs="Arial"/>
          <w:sz w:val="18"/>
          <w:szCs w:val="18"/>
        </w:rPr>
        <w:tab/>
      </w:r>
      <w:r w:rsidRPr="00832393">
        <w:rPr>
          <w:rFonts w:ascii="Arial" w:hAnsi="Arial" w:cs="Arial"/>
          <w:i/>
          <w:sz w:val="18"/>
          <w:szCs w:val="18"/>
        </w:rPr>
        <w:t>Continuances</w:t>
      </w:r>
      <w:r w:rsidRPr="00832393">
        <w:rPr>
          <w:rFonts w:ascii="Arial" w:hAnsi="Arial" w:cs="Arial"/>
          <w:sz w:val="18"/>
          <w:szCs w:val="18"/>
        </w:rPr>
        <w:t xml:space="preserve">:  </w:t>
      </w:r>
      <w:r w:rsidR="00C06785" w:rsidRPr="00832393">
        <w:rPr>
          <w:rFonts w:ascii="Arial" w:hAnsi="Arial" w:cs="Arial"/>
          <w:sz w:val="18"/>
          <w:szCs w:val="18"/>
        </w:rPr>
        <w:t>A party moving for a continuance (requesting a postponement) must:</w:t>
      </w:r>
    </w:p>
    <w:p w14:paraId="659B5FF7" w14:textId="77777777" w:rsidR="00832393" w:rsidRPr="00832393" w:rsidRDefault="00832393" w:rsidP="00832393">
      <w:pPr>
        <w:rPr>
          <w:rFonts w:ascii="Arial" w:hAnsi="Arial" w:cs="Arial"/>
          <w:sz w:val="18"/>
          <w:szCs w:val="18"/>
        </w:rPr>
      </w:pPr>
    </w:p>
    <w:p w14:paraId="14BD75A1" w14:textId="77777777" w:rsidR="00C06785" w:rsidRPr="00832393" w:rsidRDefault="009F33F8" w:rsidP="00832393">
      <w:pPr>
        <w:ind w:firstLine="720"/>
        <w:rPr>
          <w:rFonts w:ascii="Arial" w:hAnsi="Arial" w:cs="Arial"/>
          <w:sz w:val="18"/>
          <w:szCs w:val="18"/>
        </w:rPr>
      </w:pPr>
      <w:r w:rsidRPr="00832393">
        <w:rPr>
          <w:rFonts w:ascii="Arial" w:hAnsi="Arial" w:cs="Arial"/>
          <w:sz w:val="18"/>
          <w:szCs w:val="18"/>
        </w:rPr>
        <w:t xml:space="preserve">a. </w:t>
      </w:r>
      <w:r w:rsidRPr="00832393">
        <w:rPr>
          <w:rFonts w:ascii="Arial" w:hAnsi="Arial" w:cs="Arial"/>
          <w:sz w:val="18"/>
          <w:szCs w:val="18"/>
        </w:rPr>
        <w:tab/>
        <w:t>S</w:t>
      </w:r>
      <w:r w:rsidR="00C06785" w:rsidRPr="00832393">
        <w:rPr>
          <w:rFonts w:ascii="Arial" w:hAnsi="Arial" w:cs="Arial"/>
          <w:sz w:val="18"/>
          <w:szCs w:val="18"/>
        </w:rPr>
        <w:t xml:space="preserve">tate the good cause for the motion and how long he or she has known the good cause. </w:t>
      </w:r>
      <w:r w:rsidR="00832393" w:rsidRPr="00832393">
        <w:rPr>
          <w:rFonts w:ascii="Arial" w:hAnsi="Arial" w:cs="Arial"/>
          <w:sz w:val="18"/>
          <w:szCs w:val="18"/>
        </w:rPr>
        <w:t xml:space="preserve"> </w:t>
      </w:r>
      <w:r w:rsidR="00C06785" w:rsidRPr="00832393">
        <w:rPr>
          <w:rFonts w:ascii="Arial" w:hAnsi="Arial" w:cs="Arial"/>
          <w:i/>
          <w:sz w:val="18"/>
          <w:szCs w:val="18"/>
        </w:rPr>
        <w:t>See</w:t>
      </w:r>
      <w:r w:rsidRPr="00832393">
        <w:rPr>
          <w:rFonts w:ascii="Arial" w:hAnsi="Arial" w:cs="Arial"/>
          <w:sz w:val="18"/>
          <w:szCs w:val="18"/>
        </w:rPr>
        <w:t xml:space="preserve"> 801 CMR 1.01(7)(d);</w:t>
      </w:r>
    </w:p>
    <w:p w14:paraId="43564E5F" w14:textId="77777777" w:rsidR="00832393" w:rsidRPr="00832393" w:rsidRDefault="00832393" w:rsidP="00832393">
      <w:pPr>
        <w:rPr>
          <w:rFonts w:ascii="Arial" w:hAnsi="Arial" w:cs="Arial"/>
          <w:sz w:val="18"/>
          <w:szCs w:val="18"/>
        </w:rPr>
      </w:pPr>
    </w:p>
    <w:p w14:paraId="610964C8" w14:textId="77777777" w:rsidR="00C06785" w:rsidRPr="00832393" w:rsidRDefault="00826765" w:rsidP="00832393">
      <w:pPr>
        <w:ind w:firstLine="720"/>
        <w:rPr>
          <w:rFonts w:ascii="Arial" w:hAnsi="Arial" w:cs="Arial"/>
          <w:sz w:val="18"/>
          <w:szCs w:val="18"/>
        </w:rPr>
      </w:pPr>
      <w:r w:rsidRPr="00832393">
        <w:rPr>
          <w:rFonts w:ascii="Arial" w:hAnsi="Arial" w:cs="Arial"/>
          <w:sz w:val="18"/>
          <w:szCs w:val="18"/>
        </w:rPr>
        <w:t xml:space="preserve">b. </w:t>
      </w:r>
      <w:r w:rsidRPr="00832393">
        <w:rPr>
          <w:rFonts w:ascii="Arial" w:hAnsi="Arial" w:cs="Arial"/>
          <w:sz w:val="18"/>
          <w:szCs w:val="18"/>
        </w:rPr>
        <w:tab/>
        <w:t>S</w:t>
      </w:r>
      <w:r w:rsidR="00C06785" w:rsidRPr="00832393">
        <w:rPr>
          <w:rFonts w:ascii="Arial" w:hAnsi="Arial" w:cs="Arial"/>
          <w:sz w:val="18"/>
          <w:szCs w:val="18"/>
        </w:rPr>
        <w:t>tate whether the other party or parties assent to th</w:t>
      </w:r>
      <w:r w:rsidRPr="00832393">
        <w:rPr>
          <w:rFonts w:ascii="Arial" w:hAnsi="Arial" w:cs="Arial"/>
          <w:sz w:val="18"/>
          <w:szCs w:val="18"/>
        </w:rPr>
        <w:t>e motion (agree to the request);</w:t>
      </w:r>
    </w:p>
    <w:p w14:paraId="406C376E" w14:textId="77777777" w:rsidR="00832393" w:rsidRPr="00832393" w:rsidRDefault="00832393" w:rsidP="00832393">
      <w:pPr>
        <w:rPr>
          <w:rFonts w:ascii="Arial" w:hAnsi="Arial" w:cs="Arial"/>
          <w:sz w:val="18"/>
          <w:szCs w:val="18"/>
        </w:rPr>
      </w:pPr>
    </w:p>
    <w:p w14:paraId="12974A96" w14:textId="77777777" w:rsidR="00C06785" w:rsidRPr="00832393" w:rsidRDefault="00826765" w:rsidP="00832393">
      <w:pPr>
        <w:ind w:firstLine="720"/>
        <w:rPr>
          <w:rFonts w:ascii="Arial" w:hAnsi="Arial" w:cs="Arial"/>
          <w:sz w:val="18"/>
          <w:szCs w:val="18"/>
        </w:rPr>
      </w:pPr>
      <w:r w:rsidRPr="00832393">
        <w:rPr>
          <w:rFonts w:ascii="Arial" w:hAnsi="Arial" w:cs="Arial"/>
          <w:sz w:val="18"/>
          <w:szCs w:val="18"/>
        </w:rPr>
        <w:t>c.</w:t>
      </w:r>
      <w:r w:rsidRPr="00832393">
        <w:rPr>
          <w:rFonts w:ascii="Arial" w:hAnsi="Arial" w:cs="Arial"/>
          <w:sz w:val="18"/>
          <w:szCs w:val="18"/>
        </w:rPr>
        <w:tab/>
        <w:t>C</w:t>
      </w:r>
      <w:r w:rsidR="00C06785" w:rsidRPr="00832393">
        <w:rPr>
          <w:rFonts w:ascii="Arial" w:hAnsi="Arial" w:cs="Arial"/>
          <w:sz w:val="18"/>
          <w:szCs w:val="18"/>
        </w:rPr>
        <w:t>onfer with the other party or parties and propose alternative dates four to eigh</w:t>
      </w:r>
      <w:r w:rsidRPr="00832393">
        <w:rPr>
          <w:rFonts w:ascii="Arial" w:hAnsi="Arial" w:cs="Arial"/>
          <w:sz w:val="18"/>
          <w:szCs w:val="18"/>
        </w:rPr>
        <w:t>t weeks after the original date;</w:t>
      </w:r>
    </w:p>
    <w:p w14:paraId="511504E1" w14:textId="77777777" w:rsidR="00832393" w:rsidRPr="00832393" w:rsidRDefault="00832393" w:rsidP="00832393">
      <w:pPr>
        <w:rPr>
          <w:rFonts w:ascii="Arial" w:hAnsi="Arial" w:cs="Arial"/>
          <w:sz w:val="18"/>
          <w:szCs w:val="18"/>
        </w:rPr>
      </w:pPr>
    </w:p>
    <w:p w14:paraId="2E6901E8" w14:textId="77777777" w:rsidR="00C06785" w:rsidRPr="00832393" w:rsidRDefault="00826765" w:rsidP="00832393">
      <w:pPr>
        <w:ind w:firstLine="720"/>
        <w:rPr>
          <w:rFonts w:ascii="Arial" w:hAnsi="Arial" w:cs="Arial"/>
          <w:sz w:val="18"/>
          <w:szCs w:val="18"/>
        </w:rPr>
      </w:pPr>
      <w:r w:rsidRPr="00832393">
        <w:rPr>
          <w:rFonts w:ascii="Arial" w:hAnsi="Arial" w:cs="Arial"/>
          <w:sz w:val="18"/>
          <w:szCs w:val="18"/>
        </w:rPr>
        <w:t>d.</w:t>
      </w:r>
      <w:r w:rsidRPr="00832393">
        <w:rPr>
          <w:rFonts w:ascii="Arial" w:hAnsi="Arial" w:cs="Arial"/>
          <w:sz w:val="18"/>
          <w:szCs w:val="18"/>
        </w:rPr>
        <w:tab/>
        <w:t>N</w:t>
      </w:r>
      <w:r w:rsidR="00C06785" w:rsidRPr="00832393">
        <w:rPr>
          <w:rFonts w:ascii="Arial" w:hAnsi="Arial" w:cs="Arial"/>
          <w:sz w:val="18"/>
          <w:szCs w:val="18"/>
        </w:rPr>
        <w:t>ot call DALA’s administrative staff to check on the status of the motion during the first 24 hours after filing it</w:t>
      </w:r>
      <w:r w:rsidRPr="00832393">
        <w:rPr>
          <w:rFonts w:ascii="Arial" w:hAnsi="Arial" w:cs="Arial"/>
          <w:sz w:val="18"/>
          <w:szCs w:val="18"/>
        </w:rPr>
        <w:t xml:space="preserve"> or before the opposing party/parties have had </w:t>
      </w:r>
      <w:r w:rsidR="00832393" w:rsidRPr="00832393">
        <w:rPr>
          <w:rFonts w:ascii="Arial" w:hAnsi="Arial" w:cs="Arial"/>
          <w:sz w:val="18"/>
          <w:szCs w:val="18"/>
        </w:rPr>
        <w:t>seven days</w:t>
      </w:r>
      <w:r w:rsidRPr="00832393">
        <w:rPr>
          <w:rFonts w:ascii="Arial" w:hAnsi="Arial" w:cs="Arial"/>
          <w:sz w:val="18"/>
          <w:szCs w:val="18"/>
        </w:rPr>
        <w:t xml:space="preserve"> to respond if they have not previously assented;</w:t>
      </w:r>
    </w:p>
    <w:p w14:paraId="0D7AF6C7" w14:textId="77777777" w:rsidR="00832393" w:rsidRPr="00832393" w:rsidRDefault="00832393" w:rsidP="00832393">
      <w:pPr>
        <w:rPr>
          <w:rFonts w:ascii="Arial" w:hAnsi="Arial" w:cs="Arial"/>
          <w:sz w:val="18"/>
          <w:szCs w:val="18"/>
        </w:rPr>
      </w:pPr>
    </w:p>
    <w:p w14:paraId="4159ED6F" w14:textId="77777777" w:rsidR="00C06785" w:rsidRPr="00832393" w:rsidRDefault="00826765" w:rsidP="00832393">
      <w:pPr>
        <w:ind w:firstLine="720"/>
        <w:rPr>
          <w:rFonts w:ascii="Arial" w:hAnsi="Arial" w:cs="Arial"/>
          <w:sz w:val="18"/>
          <w:szCs w:val="18"/>
        </w:rPr>
      </w:pPr>
      <w:r w:rsidRPr="00832393">
        <w:rPr>
          <w:rFonts w:ascii="Arial" w:hAnsi="Arial" w:cs="Arial"/>
          <w:sz w:val="18"/>
          <w:szCs w:val="18"/>
        </w:rPr>
        <w:t xml:space="preserve">e. </w:t>
      </w:r>
      <w:r w:rsidRPr="00832393">
        <w:rPr>
          <w:rFonts w:ascii="Arial" w:hAnsi="Arial" w:cs="Arial"/>
          <w:sz w:val="18"/>
          <w:szCs w:val="18"/>
        </w:rPr>
        <w:tab/>
        <w:t>N</w:t>
      </w:r>
      <w:r w:rsidR="00C06785" w:rsidRPr="00832393">
        <w:rPr>
          <w:rFonts w:ascii="Arial" w:hAnsi="Arial" w:cs="Arial"/>
          <w:sz w:val="18"/>
          <w:szCs w:val="18"/>
        </w:rPr>
        <w:t>ot call DALA’s administrative staff more than once in a day to check on the status of the motion.</w:t>
      </w:r>
    </w:p>
    <w:p w14:paraId="31F69D8E" w14:textId="77777777" w:rsidR="00C06785" w:rsidRPr="00832393" w:rsidRDefault="00C06785" w:rsidP="00832393">
      <w:pPr>
        <w:rPr>
          <w:rFonts w:ascii="Arial" w:hAnsi="Arial" w:cs="Arial"/>
          <w:sz w:val="18"/>
          <w:szCs w:val="18"/>
        </w:rPr>
      </w:pPr>
    </w:p>
    <w:sectPr w:rsidR="00C06785" w:rsidRPr="00832393" w:rsidSect="00542C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5ED61" w14:textId="77777777" w:rsidR="00A83025" w:rsidRDefault="00A83025" w:rsidP="007800C0">
      <w:r>
        <w:separator/>
      </w:r>
    </w:p>
  </w:endnote>
  <w:endnote w:type="continuationSeparator" w:id="0">
    <w:p w14:paraId="16C11B04" w14:textId="77777777" w:rsidR="00A83025" w:rsidRDefault="00A83025" w:rsidP="0078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64D12" w14:textId="77777777" w:rsidR="00C76DD4" w:rsidRDefault="00C76D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52331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3013ADA" w14:textId="77777777" w:rsidR="007800C0" w:rsidRPr="00C76DD4" w:rsidRDefault="007800C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76D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76DD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76D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42CC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76DD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13BBCCD" w14:textId="77777777" w:rsidR="007800C0" w:rsidRDefault="007800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38E38" w14:textId="77777777" w:rsidR="00C76DD4" w:rsidRDefault="00C76D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8825E" w14:textId="77777777" w:rsidR="00A83025" w:rsidRDefault="00A83025" w:rsidP="007800C0">
      <w:r>
        <w:separator/>
      </w:r>
    </w:p>
  </w:footnote>
  <w:footnote w:type="continuationSeparator" w:id="0">
    <w:p w14:paraId="22716468" w14:textId="77777777" w:rsidR="00A83025" w:rsidRDefault="00A83025" w:rsidP="007800C0">
      <w:r>
        <w:continuationSeparator/>
      </w:r>
    </w:p>
  </w:footnote>
  <w:footnote w:id="1">
    <w:p w14:paraId="5EE36969" w14:textId="77777777" w:rsidR="00EB45E3" w:rsidRPr="00542CC3" w:rsidRDefault="00EB45E3">
      <w:pPr>
        <w:pStyle w:val="FootnoteText"/>
        <w:rPr>
          <w:rFonts w:ascii="Arial" w:hAnsi="Arial" w:cs="Arial"/>
          <w:sz w:val="18"/>
          <w:szCs w:val="18"/>
        </w:rPr>
      </w:pPr>
      <w:r w:rsidRPr="00542CC3">
        <w:rPr>
          <w:rStyle w:val="FootnoteReference"/>
          <w:rFonts w:ascii="Arial" w:hAnsi="Arial" w:cs="Arial"/>
          <w:sz w:val="18"/>
          <w:szCs w:val="18"/>
          <w:vertAlign w:val="baseline"/>
        </w:rPr>
        <w:footnoteRef/>
      </w:r>
      <w:r w:rsidRPr="00542CC3">
        <w:rPr>
          <w:rFonts w:ascii="Arial" w:hAnsi="Arial" w:cs="Arial"/>
          <w:sz w:val="18"/>
          <w:szCs w:val="18"/>
        </w:rPr>
        <w:t>.  This Standing Order does not apply to the Bureau of Special Education Appeals.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097F5" w14:textId="77777777" w:rsidR="00C76DD4" w:rsidRDefault="00C76D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2FF91" w14:textId="77777777" w:rsidR="00C76DD4" w:rsidRDefault="00C76D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A20B4" w14:textId="77777777" w:rsidR="00C76DD4" w:rsidRDefault="00C76D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201C6"/>
    <w:multiLevelType w:val="multilevel"/>
    <w:tmpl w:val="89E6D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4D4DB3"/>
    <w:multiLevelType w:val="hybridMultilevel"/>
    <w:tmpl w:val="BA18A876"/>
    <w:lvl w:ilvl="0" w:tplc="D09A1A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F34F0"/>
    <w:multiLevelType w:val="multilevel"/>
    <w:tmpl w:val="4B9A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943"/>
    <w:rsid w:val="000151C8"/>
    <w:rsid w:val="000151EE"/>
    <w:rsid w:val="00027E38"/>
    <w:rsid w:val="0005037D"/>
    <w:rsid w:val="000666FC"/>
    <w:rsid w:val="000B1413"/>
    <w:rsid w:val="000B2ED3"/>
    <w:rsid w:val="000C23D7"/>
    <w:rsid w:val="000F2C6E"/>
    <w:rsid w:val="001178B0"/>
    <w:rsid w:val="00127219"/>
    <w:rsid w:val="00140FA0"/>
    <w:rsid w:val="001B3A3E"/>
    <w:rsid w:val="001B4E06"/>
    <w:rsid w:val="001B4FBC"/>
    <w:rsid w:val="001D1DCA"/>
    <w:rsid w:val="0026011E"/>
    <w:rsid w:val="0027616A"/>
    <w:rsid w:val="00287C96"/>
    <w:rsid w:val="002A5C1B"/>
    <w:rsid w:val="00317001"/>
    <w:rsid w:val="00333B88"/>
    <w:rsid w:val="00341B46"/>
    <w:rsid w:val="0035030B"/>
    <w:rsid w:val="00370E85"/>
    <w:rsid w:val="003C5CF1"/>
    <w:rsid w:val="003D23C5"/>
    <w:rsid w:val="003F4CBA"/>
    <w:rsid w:val="003F6726"/>
    <w:rsid w:val="00440523"/>
    <w:rsid w:val="004633AD"/>
    <w:rsid w:val="00493961"/>
    <w:rsid w:val="004E1B22"/>
    <w:rsid w:val="005273F7"/>
    <w:rsid w:val="00542CC3"/>
    <w:rsid w:val="00565538"/>
    <w:rsid w:val="00597769"/>
    <w:rsid w:val="005A0D96"/>
    <w:rsid w:val="005C0628"/>
    <w:rsid w:val="00664943"/>
    <w:rsid w:val="006A07EF"/>
    <w:rsid w:val="006F55BB"/>
    <w:rsid w:val="0075600C"/>
    <w:rsid w:val="00764517"/>
    <w:rsid w:val="007800C0"/>
    <w:rsid w:val="007875D6"/>
    <w:rsid w:val="007D4A54"/>
    <w:rsid w:val="007F3AE6"/>
    <w:rsid w:val="007F6C01"/>
    <w:rsid w:val="00812B53"/>
    <w:rsid w:val="008143A8"/>
    <w:rsid w:val="00826765"/>
    <w:rsid w:val="00832393"/>
    <w:rsid w:val="008377A0"/>
    <w:rsid w:val="00873753"/>
    <w:rsid w:val="008753F4"/>
    <w:rsid w:val="008821B2"/>
    <w:rsid w:val="00885D6F"/>
    <w:rsid w:val="008A1AF9"/>
    <w:rsid w:val="008F7DEE"/>
    <w:rsid w:val="00902ADC"/>
    <w:rsid w:val="009B7089"/>
    <w:rsid w:val="009E5964"/>
    <w:rsid w:val="009F33F8"/>
    <w:rsid w:val="00A37515"/>
    <w:rsid w:val="00A40C36"/>
    <w:rsid w:val="00A83025"/>
    <w:rsid w:val="00AD04F0"/>
    <w:rsid w:val="00AD425C"/>
    <w:rsid w:val="00AE1149"/>
    <w:rsid w:val="00AF2878"/>
    <w:rsid w:val="00AF79EC"/>
    <w:rsid w:val="00B7517F"/>
    <w:rsid w:val="00BA17F7"/>
    <w:rsid w:val="00BC63C1"/>
    <w:rsid w:val="00BF3508"/>
    <w:rsid w:val="00C06785"/>
    <w:rsid w:val="00C4731B"/>
    <w:rsid w:val="00C641E8"/>
    <w:rsid w:val="00C679F1"/>
    <w:rsid w:val="00C76DD4"/>
    <w:rsid w:val="00CE69A7"/>
    <w:rsid w:val="00CF1984"/>
    <w:rsid w:val="00D01141"/>
    <w:rsid w:val="00D1082D"/>
    <w:rsid w:val="00D90C5E"/>
    <w:rsid w:val="00E44872"/>
    <w:rsid w:val="00E72BDD"/>
    <w:rsid w:val="00EB45E3"/>
    <w:rsid w:val="00EC399F"/>
    <w:rsid w:val="00EC59ED"/>
    <w:rsid w:val="00F845E8"/>
    <w:rsid w:val="00FE38F4"/>
    <w:rsid w:val="00FE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7"/>
    <o:shapelayout v:ext="edit">
      <o:idmap v:ext="edit" data="1"/>
    </o:shapelayout>
  </w:shapeDefaults>
  <w:decimalSymbol w:val="."/>
  <w:listSeparator w:val=","/>
  <w14:docId w14:val="10851160"/>
  <w15:docId w15:val="{BD30FFA3-22F8-47AF-86A0-07FFB4BB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4943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31700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1700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3170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1413"/>
    <w:pPr>
      <w:ind w:left="720"/>
    </w:pPr>
  </w:style>
  <w:style w:type="character" w:customStyle="1" w:styleId="apple-converted-space">
    <w:name w:val="apple-converted-space"/>
    <w:basedOn w:val="DefaultParagraphFont"/>
    <w:rsid w:val="000B1413"/>
  </w:style>
  <w:style w:type="paragraph" w:styleId="BalloonText">
    <w:name w:val="Balloon Text"/>
    <w:basedOn w:val="Normal"/>
    <w:link w:val="BalloonTextChar"/>
    <w:uiPriority w:val="99"/>
    <w:semiHidden/>
    <w:unhideWhenUsed/>
    <w:rsid w:val="00A3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5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00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0C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800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0C0"/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45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45E3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45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mass.gov/dal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0B97E-9F7B-4141-9A98-8B5DCFB8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Bresler, Kenneth (ALA)</dc:creator>
  <cp:lastModifiedBy>Kelly, Lynne (A&amp;F)</cp:lastModifiedBy>
  <cp:revision>7</cp:revision>
  <cp:lastPrinted>2013-05-29T13:44:00Z</cp:lastPrinted>
  <dcterms:created xsi:type="dcterms:W3CDTF">2019-01-14T17:24:00Z</dcterms:created>
  <dcterms:modified xsi:type="dcterms:W3CDTF">2019-01-14T17:28:00Z</dcterms:modified>
</cp:coreProperties>
</file>