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28CBD66C" w14:textId="77777777" w:rsidR="001926B8" w:rsidRPr="00BB7B5D" w:rsidRDefault="001926B8" w:rsidP="001926B8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BB7B5D">
        <w:rPr>
          <w:rFonts w:ascii="Calibri" w:hAnsi="Calibri" w:cs="Calibri"/>
          <w:b/>
          <w:bCs/>
          <w:sz w:val="26"/>
          <w:szCs w:val="26"/>
        </w:rPr>
        <w:t>COMMONWEALTH OF MASSACHUSETTS</w:t>
      </w:r>
    </w:p>
    <w:p w14:paraId="2EEDAD60" w14:textId="77777777" w:rsidR="001926B8" w:rsidRPr="00BB7B5D" w:rsidRDefault="001926B8" w:rsidP="001926B8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BB7B5D">
        <w:rPr>
          <w:rFonts w:ascii="Calibri" w:hAnsi="Calibri" w:cs="Calibri"/>
          <w:b/>
          <w:bCs/>
          <w:sz w:val="26"/>
          <w:szCs w:val="26"/>
        </w:rPr>
        <w:t>DIVISION OF ADMINISTRATIVE LAW APPEALS</w:t>
      </w:r>
    </w:p>
    <w:p w14:paraId="460885C9" w14:textId="753898A8" w:rsidR="00801E6D" w:rsidRDefault="001926B8" w:rsidP="001926B8">
      <w:pPr>
        <w:spacing w:after="180" w:line="240" w:lineRule="auto"/>
        <w:rPr>
          <w:rFonts w:ascii="Calibri" w:hAnsi="Calibri" w:cs="Calibri"/>
          <w:sz w:val="24"/>
          <w:szCs w:val="24"/>
        </w:rPr>
      </w:pPr>
      <w:r w:rsidRPr="001926B8">
        <w:rPr>
          <w:rFonts w:ascii="Calibri" w:hAnsi="Calibri" w:cs="Calibri"/>
          <w:sz w:val="24"/>
          <w:szCs w:val="24"/>
        </w:rPr>
        <w:tab/>
      </w:r>
      <w:r w:rsidRPr="001926B8">
        <w:rPr>
          <w:rFonts w:ascii="Calibri" w:hAnsi="Calibri" w:cs="Calibri"/>
          <w:sz w:val="24"/>
          <w:szCs w:val="24"/>
        </w:rPr>
        <w:tab/>
      </w:r>
      <w:r w:rsidRPr="001926B8">
        <w:rPr>
          <w:rFonts w:ascii="Calibri" w:hAnsi="Calibri" w:cs="Calibri"/>
          <w:sz w:val="24"/>
          <w:szCs w:val="24"/>
        </w:rPr>
        <w:tab/>
      </w:r>
    </w:p>
    <w:p w14:paraId="3D040DDD" w14:textId="5C455922" w:rsidR="00FB62F4" w:rsidRPr="00BB7B5D" w:rsidRDefault="00611487" w:rsidP="006B43FC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B7B5D">
        <w:rPr>
          <w:rFonts w:ascii="Calibri" w:hAnsi="Calibri" w:cs="Calibri"/>
          <w:b/>
          <w:bCs/>
          <w:sz w:val="24"/>
          <w:szCs w:val="24"/>
        </w:rPr>
        <w:t>STANDING ORDER 25-01</w:t>
      </w:r>
      <w:r w:rsidR="00FB62F4" w:rsidRPr="00BB7B5D">
        <w:rPr>
          <w:rFonts w:ascii="Calibri" w:hAnsi="Calibri" w:cs="Calibri"/>
          <w:b/>
          <w:bCs/>
          <w:sz w:val="24"/>
          <w:szCs w:val="24"/>
        </w:rPr>
        <w:t>:</w:t>
      </w:r>
    </w:p>
    <w:p w14:paraId="1B6966CD" w14:textId="3F29ADF9" w:rsidR="00D53BAB" w:rsidRPr="00BB7B5D" w:rsidRDefault="00FB62F4" w:rsidP="00595342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B7B5D">
        <w:rPr>
          <w:rFonts w:ascii="Calibri" w:hAnsi="Calibri" w:cs="Calibri"/>
          <w:b/>
          <w:bCs/>
          <w:sz w:val="24"/>
          <w:szCs w:val="24"/>
          <w:u w:val="single"/>
        </w:rPr>
        <w:t>Medical and Technical Evidence</w:t>
      </w:r>
    </w:p>
    <w:p w14:paraId="7DE6B620" w14:textId="114AB131" w:rsidR="00B93CE8" w:rsidRPr="00BB7B5D" w:rsidRDefault="00080980" w:rsidP="00DA3F6A">
      <w:pPr>
        <w:spacing w:after="240"/>
        <w:ind w:firstLine="720"/>
        <w:rPr>
          <w:rFonts w:ascii="Calibri" w:hAnsi="Calibri" w:cs="Calibri"/>
          <w:sz w:val="24"/>
          <w:szCs w:val="24"/>
        </w:rPr>
      </w:pPr>
      <w:r w:rsidRPr="002407CC">
        <w:rPr>
          <w:rFonts w:ascii="Calibri" w:hAnsi="Calibri" w:cs="Calibri"/>
          <w:sz w:val="24"/>
          <w:szCs w:val="24"/>
        </w:rPr>
        <w:t>This Standing Order governs practice before the Division of Administrative Law Appeals, General Jurisdiction Unit</w:t>
      </w:r>
      <w:r w:rsidR="00B93CE8" w:rsidRPr="00BB7B5D">
        <w:rPr>
          <w:rStyle w:val="FootnoteReference"/>
          <w:rFonts w:ascii="Calibri" w:hAnsi="Calibri" w:cs="Calibri"/>
          <w:sz w:val="24"/>
          <w:szCs w:val="24"/>
        </w:rPr>
        <w:footnoteReference w:id="1"/>
      </w:r>
      <w:r w:rsidR="00BB7B5D">
        <w:rPr>
          <w:rFonts w:ascii="Calibri" w:hAnsi="Calibri" w:cs="Calibri"/>
          <w:sz w:val="24"/>
          <w:szCs w:val="24"/>
        </w:rPr>
        <w:t>,</w:t>
      </w:r>
      <w:r w:rsidRPr="002407CC">
        <w:rPr>
          <w:rFonts w:ascii="Calibri" w:hAnsi="Calibri" w:cs="Calibri"/>
          <w:sz w:val="24"/>
          <w:szCs w:val="24"/>
        </w:rPr>
        <w:t xml:space="preserve"> and is intended to promote the fair, efficient</w:t>
      </w:r>
      <w:r w:rsidR="00A62293">
        <w:rPr>
          <w:rFonts w:ascii="Calibri" w:hAnsi="Calibri" w:cs="Calibri"/>
          <w:sz w:val="24"/>
          <w:szCs w:val="24"/>
        </w:rPr>
        <w:t xml:space="preserve"> </w:t>
      </w:r>
      <w:r w:rsidRPr="002407CC">
        <w:rPr>
          <w:rFonts w:ascii="Calibri" w:hAnsi="Calibri" w:cs="Calibri"/>
          <w:sz w:val="24"/>
          <w:szCs w:val="24"/>
        </w:rPr>
        <w:t>and timely resolution of cases involving medical or technical evidence.</w:t>
      </w:r>
    </w:p>
    <w:p w14:paraId="78768BFD" w14:textId="3651C9EF" w:rsidR="00CA2350" w:rsidRDefault="00E46CD7" w:rsidP="00AC70CC">
      <w:pPr>
        <w:ind w:firstLine="720"/>
        <w:rPr>
          <w:rFonts w:ascii="Calibri" w:hAnsi="Calibri" w:cs="Calibri"/>
          <w:sz w:val="24"/>
          <w:szCs w:val="24"/>
        </w:rPr>
      </w:pPr>
      <w:r w:rsidRPr="00BB7B5D">
        <w:rPr>
          <w:rFonts w:ascii="Calibri" w:hAnsi="Calibri" w:cs="Calibri"/>
          <w:sz w:val="24"/>
          <w:szCs w:val="24"/>
        </w:rPr>
        <w:t>C</w:t>
      </w:r>
      <w:r w:rsidRPr="002407CC">
        <w:rPr>
          <w:rFonts w:ascii="Calibri" w:hAnsi="Calibri" w:cs="Calibri"/>
          <w:sz w:val="24"/>
          <w:szCs w:val="24"/>
        </w:rPr>
        <w:t>onsistent with</w:t>
      </w:r>
      <w:r w:rsidR="00B06124" w:rsidRPr="00B06124">
        <w:rPr>
          <w:rFonts w:ascii="Segoe UI" w:hAnsi="Segoe UI" w:cs="Segoe UI"/>
          <w:sz w:val="18"/>
          <w:szCs w:val="18"/>
        </w:rPr>
        <w:t xml:space="preserve"> </w:t>
      </w:r>
      <w:r w:rsidR="00B06124" w:rsidRPr="00B06124">
        <w:rPr>
          <w:rFonts w:ascii="Calibri" w:hAnsi="Calibri" w:cs="Calibri"/>
          <w:sz w:val="24"/>
          <w:szCs w:val="24"/>
        </w:rPr>
        <w:t>G.L. c. 30A, § 11(4</w:t>
      </w:r>
      <w:r w:rsidR="00B06124">
        <w:rPr>
          <w:rFonts w:ascii="Calibri" w:hAnsi="Calibri" w:cs="Calibri"/>
          <w:sz w:val="24"/>
          <w:szCs w:val="24"/>
        </w:rPr>
        <w:t>), and</w:t>
      </w:r>
      <w:r w:rsidRPr="002407CC">
        <w:rPr>
          <w:rFonts w:ascii="Calibri" w:hAnsi="Calibri" w:cs="Calibri"/>
          <w:sz w:val="24"/>
          <w:szCs w:val="24"/>
        </w:rPr>
        <w:t xml:space="preserve"> 801 CMR 1.01, </w:t>
      </w:r>
      <w:r w:rsidR="00BE0380">
        <w:rPr>
          <w:rFonts w:ascii="Calibri" w:hAnsi="Calibri" w:cs="Calibri"/>
          <w:sz w:val="24"/>
          <w:szCs w:val="24"/>
        </w:rPr>
        <w:t>m</w:t>
      </w:r>
      <w:r w:rsidR="00080980" w:rsidRPr="002407CC">
        <w:rPr>
          <w:rFonts w:ascii="Calibri" w:hAnsi="Calibri" w:cs="Calibri"/>
          <w:sz w:val="24"/>
          <w:szCs w:val="24"/>
        </w:rPr>
        <w:t xml:space="preserve">agistrates must base their findings and conclusions on </w:t>
      </w:r>
      <w:r w:rsidR="00B93CE8" w:rsidRPr="00BB7B5D">
        <w:rPr>
          <w:rFonts w:ascii="Calibri" w:hAnsi="Calibri" w:cs="Calibri"/>
          <w:sz w:val="24"/>
          <w:szCs w:val="24"/>
        </w:rPr>
        <w:t>the</w:t>
      </w:r>
      <w:r w:rsidR="00080980" w:rsidRPr="002407CC">
        <w:rPr>
          <w:rFonts w:ascii="Calibri" w:hAnsi="Calibri" w:cs="Calibri"/>
          <w:sz w:val="24"/>
          <w:szCs w:val="24"/>
        </w:rPr>
        <w:t xml:space="preserve"> evidence contained in the record</w:t>
      </w:r>
      <w:r w:rsidR="00A33AB6" w:rsidRPr="00BB7B5D">
        <w:rPr>
          <w:rFonts w:ascii="Calibri" w:hAnsi="Calibri" w:cs="Calibri"/>
          <w:sz w:val="24"/>
          <w:szCs w:val="24"/>
        </w:rPr>
        <w:t xml:space="preserve">.  </w:t>
      </w:r>
      <w:r w:rsidRPr="00BB7B5D">
        <w:rPr>
          <w:rFonts w:ascii="Calibri" w:hAnsi="Calibri" w:cs="Calibri"/>
          <w:sz w:val="24"/>
          <w:szCs w:val="24"/>
        </w:rPr>
        <w:t>This</w:t>
      </w:r>
      <w:r w:rsidR="00664A4E" w:rsidRPr="00BB7B5D">
        <w:rPr>
          <w:rFonts w:ascii="Calibri" w:hAnsi="Calibri" w:cs="Calibri"/>
          <w:sz w:val="24"/>
          <w:szCs w:val="24"/>
        </w:rPr>
        <w:t xml:space="preserve"> requirement</w:t>
      </w:r>
      <w:r w:rsidRPr="00BB7B5D">
        <w:rPr>
          <w:rFonts w:ascii="Calibri" w:hAnsi="Calibri" w:cs="Calibri"/>
          <w:sz w:val="24"/>
          <w:szCs w:val="24"/>
        </w:rPr>
        <w:t xml:space="preserve"> applies</w:t>
      </w:r>
      <w:r w:rsidR="00E15B2E" w:rsidRPr="00BB7B5D">
        <w:rPr>
          <w:rFonts w:ascii="Calibri" w:hAnsi="Calibri" w:cs="Calibri"/>
          <w:sz w:val="24"/>
          <w:szCs w:val="24"/>
        </w:rPr>
        <w:t xml:space="preserve"> to</w:t>
      </w:r>
      <w:r w:rsidR="00664A4E" w:rsidRPr="00BB7B5D">
        <w:rPr>
          <w:rFonts w:ascii="Calibri" w:hAnsi="Calibri" w:cs="Calibri"/>
          <w:sz w:val="24"/>
          <w:szCs w:val="24"/>
        </w:rPr>
        <w:t xml:space="preserve"> equally</w:t>
      </w:r>
      <w:r w:rsidR="00080980" w:rsidRPr="002407CC">
        <w:rPr>
          <w:rFonts w:ascii="Calibri" w:hAnsi="Calibri" w:cs="Calibri"/>
          <w:sz w:val="24"/>
          <w:szCs w:val="24"/>
        </w:rPr>
        <w:t xml:space="preserve"> the meaning of specialized terminology </w:t>
      </w:r>
      <w:r w:rsidR="00880A25" w:rsidRPr="00BB7B5D">
        <w:rPr>
          <w:rFonts w:ascii="Calibri" w:hAnsi="Calibri" w:cs="Calibri"/>
          <w:sz w:val="24"/>
          <w:szCs w:val="24"/>
        </w:rPr>
        <w:t>and</w:t>
      </w:r>
      <w:r w:rsidR="00080980" w:rsidRPr="002407CC">
        <w:rPr>
          <w:rFonts w:ascii="Calibri" w:hAnsi="Calibri" w:cs="Calibri"/>
          <w:sz w:val="24"/>
          <w:szCs w:val="24"/>
        </w:rPr>
        <w:t xml:space="preserve"> the validity of medical </w:t>
      </w:r>
      <w:r w:rsidR="00B06124">
        <w:rPr>
          <w:rFonts w:ascii="Calibri" w:hAnsi="Calibri" w:cs="Calibri"/>
          <w:sz w:val="24"/>
          <w:szCs w:val="24"/>
        </w:rPr>
        <w:t>and</w:t>
      </w:r>
      <w:r w:rsidR="00080980" w:rsidRPr="002407CC">
        <w:rPr>
          <w:rFonts w:ascii="Calibri" w:hAnsi="Calibri" w:cs="Calibri"/>
          <w:sz w:val="24"/>
          <w:szCs w:val="24"/>
        </w:rPr>
        <w:t xml:space="preserve"> technical principles</w:t>
      </w:r>
      <w:r w:rsidR="00080980" w:rsidRPr="00BB7B5D">
        <w:rPr>
          <w:rFonts w:ascii="Calibri" w:hAnsi="Calibri" w:cs="Calibri"/>
          <w:sz w:val="24"/>
          <w:szCs w:val="24"/>
        </w:rPr>
        <w:t>.</w:t>
      </w:r>
      <w:r w:rsidR="00AC70CC" w:rsidRPr="00BB7B5D">
        <w:rPr>
          <w:rFonts w:ascii="Calibri" w:hAnsi="Calibri" w:cs="Calibri"/>
          <w:sz w:val="24"/>
          <w:szCs w:val="24"/>
        </w:rPr>
        <w:t xml:space="preserve">  </w:t>
      </w:r>
    </w:p>
    <w:p w14:paraId="5CC3C10C" w14:textId="2E972BC2" w:rsidR="00080980" w:rsidRPr="00BB7B5D" w:rsidRDefault="00080980" w:rsidP="00AC70CC">
      <w:pPr>
        <w:ind w:firstLine="720"/>
        <w:rPr>
          <w:rFonts w:ascii="Calibri" w:hAnsi="Calibri" w:cs="Calibri"/>
          <w:sz w:val="24"/>
          <w:szCs w:val="24"/>
        </w:rPr>
      </w:pPr>
      <w:r w:rsidRPr="002407CC">
        <w:rPr>
          <w:rFonts w:ascii="Calibri" w:hAnsi="Calibri" w:cs="Calibri"/>
          <w:sz w:val="24"/>
          <w:szCs w:val="24"/>
        </w:rPr>
        <w:t>Accordingly</w:t>
      </w:r>
      <w:r w:rsidR="00BA2842" w:rsidRPr="00BB7B5D">
        <w:rPr>
          <w:rFonts w:ascii="Calibri" w:hAnsi="Calibri" w:cs="Calibri"/>
          <w:sz w:val="24"/>
          <w:szCs w:val="24"/>
        </w:rPr>
        <w:t xml:space="preserve">: </w:t>
      </w:r>
      <w:r w:rsidR="00E15B2E" w:rsidRPr="00BB7B5D">
        <w:rPr>
          <w:rFonts w:ascii="Calibri" w:hAnsi="Calibri" w:cs="Calibri"/>
          <w:sz w:val="24"/>
          <w:szCs w:val="24"/>
        </w:rPr>
        <w:t xml:space="preserve"> </w:t>
      </w:r>
    </w:p>
    <w:p w14:paraId="5CD1C30C" w14:textId="68967B69" w:rsidR="00080980" w:rsidRPr="00A278EB" w:rsidRDefault="00080980" w:rsidP="001E0DDF">
      <w:pPr>
        <w:pStyle w:val="ListParagraph"/>
        <w:numPr>
          <w:ilvl w:val="0"/>
          <w:numId w:val="9"/>
        </w:numPr>
        <w:spacing w:after="120"/>
        <w:ind w:left="1080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A278EB">
        <w:rPr>
          <w:rFonts w:ascii="Calibri" w:hAnsi="Calibri" w:cs="Calibri"/>
          <w:b/>
          <w:bCs/>
          <w:sz w:val="24"/>
          <w:szCs w:val="24"/>
        </w:rPr>
        <w:t>Stipulations.</w:t>
      </w:r>
    </w:p>
    <w:p w14:paraId="177D4930" w14:textId="34950FC4" w:rsidR="001E0DDF" w:rsidRDefault="001E0DDF" w:rsidP="001E0DDF">
      <w:pPr>
        <w:pStyle w:val="ListParagraph"/>
        <w:spacing w:after="0"/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Whenever </w:t>
      </w:r>
      <w:r w:rsidRPr="003C5642">
        <w:rPr>
          <w:rFonts w:ascii="Calibri" w:hAnsi="Calibri" w:cs="Calibri"/>
          <w:sz w:val="24"/>
          <w:szCs w:val="24"/>
        </w:rPr>
        <w:t xml:space="preserve">practicable, the parties shall </w:t>
      </w:r>
      <w:proofErr w:type="gramStart"/>
      <w:r w:rsidRPr="003C5642">
        <w:rPr>
          <w:rFonts w:ascii="Calibri" w:hAnsi="Calibri" w:cs="Calibri"/>
          <w:sz w:val="24"/>
          <w:szCs w:val="24"/>
        </w:rPr>
        <w:t>stipulate to</w:t>
      </w:r>
      <w:proofErr w:type="gramEnd"/>
      <w:r w:rsidRPr="003C5642">
        <w:rPr>
          <w:rFonts w:ascii="Calibri" w:hAnsi="Calibri" w:cs="Calibri"/>
          <w:sz w:val="24"/>
          <w:szCs w:val="24"/>
        </w:rPr>
        <w:t xml:space="preserve"> the meaning of medical and technical terms and to medical and technical</w:t>
      </w:r>
      <w:r>
        <w:rPr>
          <w:rFonts w:ascii="Calibri" w:hAnsi="Calibri" w:cs="Calibri"/>
          <w:sz w:val="24"/>
          <w:szCs w:val="24"/>
        </w:rPr>
        <w:t xml:space="preserve"> principles.</w:t>
      </w:r>
    </w:p>
    <w:p w14:paraId="4BE40EEC" w14:textId="77777777" w:rsidR="001E0DDF" w:rsidRPr="00BB7B5D" w:rsidRDefault="001E0DDF" w:rsidP="006B43FC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76348D74" w14:textId="600A4826" w:rsidR="00080980" w:rsidRPr="002407CC" w:rsidRDefault="00080980" w:rsidP="00A62293">
      <w:pPr>
        <w:pStyle w:val="ListParagraph"/>
        <w:numPr>
          <w:ilvl w:val="0"/>
          <w:numId w:val="9"/>
        </w:numPr>
        <w:spacing w:after="120"/>
        <w:ind w:left="1080"/>
        <w:contextualSpacing w:val="0"/>
        <w:rPr>
          <w:rFonts w:ascii="Calibri" w:hAnsi="Calibri" w:cs="Calibri"/>
          <w:sz w:val="24"/>
          <w:szCs w:val="24"/>
        </w:rPr>
      </w:pPr>
      <w:r w:rsidRPr="00A278EB">
        <w:rPr>
          <w:rFonts w:ascii="Calibri" w:hAnsi="Calibri" w:cs="Calibri"/>
          <w:b/>
          <w:bCs/>
          <w:sz w:val="24"/>
          <w:szCs w:val="24"/>
        </w:rPr>
        <w:t>Evidence Required in the Absence of Stipulation.</w:t>
      </w:r>
      <w:r w:rsidR="00664A4E" w:rsidRPr="00BB7B5D">
        <w:rPr>
          <w:rFonts w:ascii="Calibri" w:hAnsi="Calibri" w:cs="Calibri"/>
          <w:sz w:val="24"/>
          <w:szCs w:val="24"/>
        </w:rPr>
        <w:t xml:space="preserve">   </w:t>
      </w:r>
      <w:r w:rsidRPr="002407CC">
        <w:rPr>
          <w:rFonts w:ascii="Calibri" w:hAnsi="Calibri" w:cs="Calibri"/>
          <w:sz w:val="24"/>
          <w:szCs w:val="24"/>
        </w:rPr>
        <w:t>In the absence of a stipulation:</w:t>
      </w:r>
    </w:p>
    <w:p w14:paraId="1FAD3CC2" w14:textId="77777777" w:rsidR="006B43FC" w:rsidRPr="00BB7B5D" w:rsidRDefault="00080980" w:rsidP="006B43FC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Calibri" w:hAnsi="Calibri" w:cs="Calibri"/>
          <w:sz w:val="24"/>
          <w:szCs w:val="24"/>
        </w:rPr>
      </w:pPr>
      <w:r w:rsidRPr="00BB7B5D">
        <w:rPr>
          <w:rFonts w:ascii="Calibri" w:hAnsi="Calibri" w:cs="Calibri"/>
          <w:sz w:val="24"/>
          <w:szCs w:val="24"/>
        </w:rPr>
        <w:t>A party seeking to rely on a medical or technical term bears the burden of establishing the meaning of the term through evidence admitted into the record.</w:t>
      </w:r>
    </w:p>
    <w:p w14:paraId="47364344" w14:textId="19AD128C" w:rsidR="00080980" w:rsidRPr="00BB7B5D" w:rsidRDefault="00080980" w:rsidP="006B43FC">
      <w:pPr>
        <w:pStyle w:val="ListParagraph"/>
        <w:numPr>
          <w:ilvl w:val="0"/>
          <w:numId w:val="10"/>
        </w:numPr>
        <w:spacing w:after="120" w:line="240" w:lineRule="auto"/>
        <w:ind w:left="1440"/>
        <w:contextualSpacing w:val="0"/>
        <w:rPr>
          <w:rFonts w:ascii="Calibri" w:hAnsi="Calibri" w:cs="Calibri"/>
          <w:sz w:val="24"/>
          <w:szCs w:val="24"/>
        </w:rPr>
      </w:pPr>
      <w:r w:rsidRPr="00BB7B5D">
        <w:rPr>
          <w:rFonts w:ascii="Calibri" w:hAnsi="Calibri" w:cs="Calibri"/>
          <w:sz w:val="24"/>
          <w:szCs w:val="24"/>
        </w:rPr>
        <w:t>A party seeking to rely on a medical or technical principle bears the burden of providing a sufficient evidentiary foundation for that principle.</w:t>
      </w:r>
    </w:p>
    <w:p w14:paraId="07BF6179" w14:textId="45CDE740" w:rsidR="00080980" w:rsidRDefault="00E7343D" w:rsidP="006B43FC">
      <w:pPr>
        <w:pStyle w:val="ListParagraph"/>
        <w:numPr>
          <w:ilvl w:val="0"/>
          <w:numId w:val="10"/>
        </w:numPr>
        <w:spacing w:after="0"/>
        <w:ind w:left="1440"/>
        <w:rPr>
          <w:rFonts w:ascii="Calibri" w:hAnsi="Calibri" w:cs="Calibri"/>
          <w:sz w:val="24"/>
          <w:szCs w:val="24"/>
        </w:rPr>
      </w:pPr>
      <w:r w:rsidRPr="00BB7B5D">
        <w:rPr>
          <w:rFonts w:ascii="Calibri" w:hAnsi="Calibri" w:cs="Calibri"/>
          <w:sz w:val="24"/>
          <w:szCs w:val="24"/>
        </w:rPr>
        <w:t>E</w:t>
      </w:r>
      <w:r w:rsidR="00080980" w:rsidRPr="00BB7B5D">
        <w:rPr>
          <w:rFonts w:ascii="Calibri" w:hAnsi="Calibri" w:cs="Calibri"/>
          <w:sz w:val="24"/>
          <w:szCs w:val="24"/>
        </w:rPr>
        <w:t xml:space="preserve">vidence offered for these purposes shall comply with </w:t>
      </w:r>
      <w:r w:rsidR="00B06124" w:rsidRPr="00B06124">
        <w:rPr>
          <w:rFonts w:ascii="Calibri" w:hAnsi="Calibri" w:cs="Calibri"/>
          <w:sz w:val="24"/>
          <w:szCs w:val="24"/>
        </w:rPr>
        <w:t>G.L. c. 30A, § 11(2)</w:t>
      </w:r>
      <w:r w:rsidR="00B06124">
        <w:rPr>
          <w:rFonts w:ascii="Calibri" w:hAnsi="Calibri" w:cs="Calibri"/>
          <w:sz w:val="24"/>
          <w:szCs w:val="24"/>
        </w:rPr>
        <w:t xml:space="preserve">, and </w:t>
      </w:r>
      <w:r w:rsidR="00080980" w:rsidRPr="00BB7B5D">
        <w:rPr>
          <w:rFonts w:ascii="Calibri" w:hAnsi="Calibri" w:cs="Calibri"/>
          <w:sz w:val="24"/>
          <w:szCs w:val="24"/>
        </w:rPr>
        <w:t>801 CMR 1.01</w:t>
      </w:r>
      <w:r w:rsidR="00B06124">
        <w:rPr>
          <w:rFonts w:ascii="Calibri" w:hAnsi="Calibri" w:cs="Calibri"/>
          <w:sz w:val="24"/>
          <w:szCs w:val="24"/>
        </w:rPr>
        <w:t xml:space="preserve"> </w:t>
      </w:r>
      <w:r w:rsidR="00080980" w:rsidRPr="00BB7B5D">
        <w:rPr>
          <w:rFonts w:ascii="Calibri" w:hAnsi="Calibri" w:cs="Calibri"/>
          <w:sz w:val="24"/>
          <w:szCs w:val="24"/>
        </w:rPr>
        <w:t>and may include expert opinion, authenticated documents, or other reliable and probative evidence customarily relied upon in administrative proceedings.</w:t>
      </w:r>
    </w:p>
    <w:p w14:paraId="5830A63F" w14:textId="77777777" w:rsidR="00030FA5" w:rsidRDefault="00030FA5" w:rsidP="00030FA5">
      <w:pPr>
        <w:pStyle w:val="ListParagraph"/>
        <w:spacing w:after="0"/>
        <w:ind w:left="1440"/>
        <w:rPr>
          <w:rFonts w:ascii="Calibri" w:hAnsi="Calibri" w:cs="Calibri"/>
          <w:sz w:val="24"/>
          <w:szCs w:val="24"/>
        </w:rPr>
      </w:pPr>
    </w:p>
    <w:p w14:paraId="1DF4EDB9" w14:textId="0EC6EF2A" w:rsidR="00030FA5" w:rsidRDefault="00030FA5" w:rsidP="00030FA5">
      <w:pPr>
        <w:spacing w:after="0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Standing</w:t>
      </w:r>
      <w:r w:rsidRPr="00001A95">
        <w:rPr>
          <w:rFonts w:ascii="Calibri" w:hAnsi="Calibri" w:cs="Calibri"/>
          <w:sz w:val="24"/>
          <w:szCs w:val="24"/>
        </w:rPr>
        <w:t xml:space="preserve"> Order should be read in conjunction with Standing Order </w:t>
      </w:r>
      <w:r>
        <w:rPr>
          <w:rFonts w:ascii="Calibri" w:hAnsi="Calibri" w:cs="Calibri"/>
          <w:sz w:val="24"/>
          <w:szCs w:val="24"/>
        </w:rPr>
        <w:t>25-</w:t>
      </w:r>
      <w:r w:rsidR="00EE0AB2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2</w:t>
      </w:r>
      <w:r w:rsidRPr="00001A95">
        <w:rPr>
          <w:rFonts w:ascii="Calibri" w:hAnsi="Calibri" w:cs="Calibri"/>
          <w:sz w:val="24"/>
          <w:szCs w:val="24"/>
        </w:rPr>
        <w:t xml:space="preserve">, which </w:t>
      </w:r>
      <w:r>
        <w:rPr>
          <w:rFonts w:ascii="Calibri" w:hAnsi="Calibri" w:cs="Calibri"/>
          <w:sz w:val="24"/>
          <w:szCs w:val="24"/>
        </w:rPr>
        <w:t xml:space="preserve">addresses </w:t>
      </w:r>
      <w:r w:rsidR="00C95794">
        <w:rPr>
          <w:rFonts w:ascii="Calibri" w:hAnsi="Calibri" w:cs="Calibri"/>
          <w:sz w:val="24"/>
          <w:szCs w:val="24"/>
        </w:rPr>
        <w:t>the presentation and use of voluminous documents.</w:t>
      </w:r>
    </w:p>
    <w:p w14:paraId="605D95DE" w14:textId="77777777" w:rsidR="00030FA5" w:rsidRPr="00BB7B5D" w:rsidRDefault="00030FA5" w:rsidP="00030FA5">
      <w:pPr>
        <w:pStyle w:val="ListParagraph"/>
        <w:spacing w:after="0"/>
        <w:ind w:left="0" w:firstLine="720"/>
        <w:contextualSpacing w:val="0"/>
        <w:rPr>
          <w:rFonts w:ascii="Calibri" w:hAnsi="Calibri" w:cs="Calibri"/>
          <w:sz w:val="24"/>
          <w:szCs w:val="24"/>
        </w:rPr>
      </w:pPr>
    </w:p>
    <w:p w14:paraId="0CEBAA51" w14:textId="41393F46" w:rsidR="00C81460" w:rsidRPr="00CB0239" w:rsidRDefault="00C81460" w:rsidP="00C814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sz w:val="24"/>
          <w:szCs w:val="24"/>
          <w:u w:val="single"/>
        </w:rPr>
      </w:pPr>
      <w:r w:rsidRPr="00C81460">
        <w:rPr>
          <w:rFonts w:ascii="Calibri" w:eastAsia="Calibri" w:hAnsi="Calibri" w:cs="Calibri"/>
          <w:sz w:val="24"/>
          <w:szCs w:val="24"/>
        </w:rPr>
        <w:t xml:space="preserve">Dated: </w:t>
      </w:r>
      <w:r w:rsidR="00FB62F4">
        <w:rPr>
          <w:rFonts w:ascii="Calibri" w:eastAsia="Calibri" w:hAnsi="Calibri" w:cs="Calibri"/>
          <w:sz w:val="24"/>
          <w:szCs w:val="24"/>
        </w:rPr>
        <w:t>December 1</w:t>
      </w:r>
      <w:r w:rsidR="006B43FC">
        <w:rPr>
          <w:rFonts w:ascii="Calibri" w:eastAsia="Calibri" w:hAnsi="Calibri" w:cs="Calibri"/>
          <w:sz w:val="24"/>
          <w:szCs w:val="24"/>
        </w:rPr>
        <w:t>9</w:t>
      </w:r>
      <w:r w:rsidR="00CB0239"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 w:rsidR="00CB0239">
        <w:rPr>
          <w:rFonts w:ascii="Calibri" w:eastAsia="Calibri" w:hAnsi="Calibri" w:cs="Calibri"/>
          <w:sz w:val="24"/>
          <w:szCs w:val="24"/>
        </w:rPr>
        <w:t>2025</w:t>
      </w:r>
      <w:proofErr w:type="gramEnd"/>
      <w:r w:rsidRPr="00C81460">
        <w:rPr>
          <w:rFonts w:ascii="Calibri" w:eastAsia="Calibri" w:hAnsi="Calibri" w:cs="Calibri"/>
          <w:sz w:val="24"/>
          <w:szCs w:val="24"/>
        </w:rPr>
        <w:t xml:space="preserve">   </w:t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="008D53A8">
        <w:rPr>
          <w:rFonts w:ascii="Calibri" w:eastAsia="Calibri" w:hAnsi="Calibri" w:cs="Calibri"/>
          <w:sz w:val="24"/>
          <w:szCs w:val="24"/>
        </w:rPr>
        <w:tab/>
      </w:r>
      <w:r w:rsidR="00CB0239" w:rsidRPr="00B94BB9">
        <w:rPr>
          <w:rFonts w:ascii="Lucida Handwriting" w:eastAsia="Calibri" w:hAnsi="Lucida Handwriting" w:cs="Calibri"/>
          <w:sz w:val="24"/>
          <w:szCs w:val="24"/>
          <w:u w:val="single"/>
        </w:rPr>
        <w:t>Natalie S. Monroe</w:t>
      </w:r>
      <w:r w:rsidR="00CB0239">
        <w:rPr>
          <w:rFonts w:ascii="Calibri" w:eastAsia="Calibri" w:hAnsi="Calibri" w:cs="Calibri"/>
          <w:sz w:val="24"/>
          <w:szCs w:val="24"/>
          <w:u w:val="single"/>
        </w:rPr>
        <w:tab/>
      </w:r>
      <w:r w:rsidR="00CB0239">
        <w:rPr>
          <w:rFonts w:ascii="Calibri" w:eastAsia="Calibri" w:hAnsi="Calibri" w:cs="Calibri"/>
          <w:sz w:val="24"/>
          <w:szCs w:val="24"/>
          <w:u w:val="single"/>
        </w:rPr>
        <w:tab/>
      </w:r>
      <w:r w:rsidR="00CB0239">
        <w:rPr>
          <w:rFonts w:ascii="Calibri" w:eastAsia="Calibri" w:hAnsi="Calibri" w:cs="Calibri"/>
          <w:sz w:val="24"/>
          <w:szCs w:val="24"/>
          <w:u w:val="single"/>
        </w:rPr>
        <w:tab/>
      </w:r>
    </w:p>
    <w:p w14:paraId="47F18F03" w14:textId="6A0CE53D" w:rsidR="00C81460" w:rsidRPr="00C81460" w:rsidRDefault="00C81460" w:rsidP="00C8146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="008D53A8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noProof/>
          <w:sz w:val="24"/>
          <w:szCs w:val="24"/>
        </w:rPr>
        <w:t>Natalie S. Monroe</w:t>
      </w:r>
    </w:p>
    <w:p w14:paraId="6C8A01C5" w14:textId="04FF0B9A" w:rsidR="008313D1" w:rsidRPr="00072B4B" w:rsidRDefault="00C81460" w:rsidP="00072B4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noProof/>
          <w:sz w:val="24"/>
          <w:szCs w:val="24"/>
        </w:rPr>
      </w:pP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sz w:val="24"/>
          <w:szCs w:val="24"/>
        </w:rPr>
        <w:tab/>
      </w:r>
      <w:r w:rsidR="008D53A8">
        <w:rPr>
          <w:rFonts w:ascii="Calibri" w:eastAsia="Calibri" w:hAnsi="Calibri" w:cs="Calibri"/>
          <w:sz w:val="24"/>
          <w:szCs w:val="24"/>
        </w:rPr>
        <w:tab/>
      </w:r>
      <w:r w:rsidRPr="00C81460">
        <w:rPr>
          <w:rFonts w:ascii="Calibri" w:eastAsia="Calibri" w:hAnsi="Calibri" w:cs="Calibri"/>
          <w:noProof/>
          <w:sz w:val="24"/>
          <w:szCs w:val="24"/>
        </w:rPr>
        <w:t>Chief Administrative Magistrate</w:t>
      </w:r>
    </w:p>
    <w:sectPr w:rsidR="008313D1" w:rsidRPr="00072B4B" w:rsidSect="00150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78AC" w14:textId="77777777" w:rsidR="002B592E" w:rsidRDefault="002B592E" w:rsidP="001500F7">
      <w:pPr>
        <w:spacing w:after="0" w:line="240" w:lineRule="auto"/>
      </w:pPr>
      <w:r>
        <w:separator/>
      </w:r>
    </w:p>
  </w:endnote>
  <w:endnote w:type="continuationSeparator" w:id="0">
    <w:p w14:paraId="55E1E797" w14:textId="77777777" w:rsidR="002B592E" w:rsidRDefault="002B592E" w:rsidP="0015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F7FB" w14:textId="77777777" w:rsidR="001B6758" w:rsidRDefault="001B6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7739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C345B" w14:textId="02685C00" w:rsidR="001500F7" w:rsidRDefault="001500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98A4B" w14:textId="77777777" w:rsidR="001500F7" w:rsidRDefault="00150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1013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D9BB6A" w14:textId="012E0243" w:rsidR="001B6758" w:rsidRDefault="001B67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7D9A5" w14:textId="77777777" w:rsidR="001B6758" w:rsidRDefault="001B6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EE5C" w14:textId="77777777" w:rsidR="002B592E" w:rsidRDefault="002B592E" w:rsidP="001500F7">
      <w:pPr>
        <w:spacing w:after="0" w:line="240" w:lineRule="auto"/>
      </w:pPr>
      <w:r>
        <w:separator/>
      </w:r>
    </w:p>
  </w:footnote>
  <w:footnote w:type="continuationSeparator" w:id="0">
    <w:p w14:paraId="505B1422" w14:textId="77777777" w:rsidR="002B592E" w:rsidRDefault="002B592E" w:rsidP="001500F7">
      <w:pPr>
        <w:spacing w:after="0" w:line="240" w:lineRule="auto"/>
      </w:pPr>
      <w:r>
        <w:continuationSeparator/>
      </w:r>
    </w:p>
  </w:footnote>
  <w:footnote w:id="1">
    <w:p w14:paraId="5CB9DAFA" w14:textId="20057773" w:rsidR="00B93CE8" w:rsidRDefault="00B93CE8" w:rsidP="00B93CE8">
      <w:pPr>
        <w:pStyle w:val="FootnoteText"/>
        <w:rPr>
          <w:rFonts w:ascii="Calibri" w:hAnsi="Calibri" w:cs="Calibri"/>
        </w:rPr>
      </w:pPr>
      <w:r w:rsidRPr="005C6DC5">
        <w:rPr>
          <w:rStyle w:val="FootnoteReference"/>
          <w:rFonts w:ascii="Calibri" w:hAnsi="Calibri" w:cs="Calibri"/>
        </w:rPr>
        <w:footnoteRef/>
      </w:r>
      <w:r w:rsidRPr="005C6DC5">
        <w:rPr>
          <w:rFonts w:ascii="Calibri" w:hAnsi="Calibri" w:cs="Calibri"/>
        </w:rPr>
        <w:t xml:space="preserve"> This Standing Order does not apply to the Bureau of Special Education Appeals.</w:t>
      </w:r>
    </w:p>
    <w:p w14:paraId="2F7A74DD" w14:textId="77777777" w:rsidR="006A7E87" w:rsidRPr="00A62293" w:rsidRDefault="006A7E87" w:rsidP="00B93CE8">
      <w:pPr>
        <w:pStyle w:val="FootnoteText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4B79" w14:textId="77777777" w:rsidR="001B6758" w:rsidRDefault="001B6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634" w14:textId="77777777" w:rsidR="001B6758" w:rsidRDefault="001B6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D688" w14:textId="77777777" w:rsidR="001B6758" w:rsidRDefault="001B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0E6"/>
    <w:multiLevelType w:val="multilevel"/>
    <w:tmpl w:val="4876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331"/>
    <w:multiLevelType w:val="hybridMultilevel"/>
    <w:tmpl w:val="513CEA22"/>
    <w:lvl w:ilvl="0" w:tplc="B0F2A0A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5C39"/>
    <w:multiLevelType w:val="multilevel"/>
    <w:tmpl w:val="8B9A0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039D0"/>
    <w:multiLevelType w:val="hybridMultilevel"/>
    <w:tmpl w:val="3658487A"/>
    <w:lvl w:ilvl="0" w:tplc="F3BAF104">
      <w:start w:val="1"/>
      <w:numFmt w:val="decimal"/>
      <w:lvlText w:val="%1."/>
      <w:lvlJc w:val="left"/>
      <w:pPr>
        <w:ind w:left="1020" w:hanging="360"/>
      </w:pPr>
    </w:lvl>
    <w:lvl w:ilvl="1" w:tplc="D39EF2E6">
      <w:start w:val="1"/>
      <w:numFmt w:val="decimal"/>
      <w:lvlText w:val="%2."/>
      <w:lvlJc w:val="left"/>
      <w:pPr>
        <w:ind w:left="1020" w:hanging="360"/>
      </w:pPr>
    </w:lvl>
    <w:lvl w:ilvl="2" w:tplc="12187636">
      <w:start w:val="1"/>
      <w:numFmt w:val="decimal"/>
      <w:lvlText w:val="%3."/>
      <w:lvlJc w:val="left"/>
      <w:pPr>
        <w:ind w:left="1020" w:hanging="360"/>
      </w:pPr>
    </w:lvl>
    <w:lvl w:ilvl="3" w:tplc="67742F54">
      <w:start w:val="1"/>
      <w:numFmt w:val="decimal"/>
      <w:lvlText w:val="%4."/>
      <w:lvlJc w:val="left"/>
      <w:pPr>
        <w:ind w:left="1020" w:hanging="360"/>
      </w:pPr>
    </w:lvl>
    <w:lvl w:ilvl="4" w:tplc="1BE8003C">
      <w:start w:val="1"/>
      <w:numFmt w:val="decimal"/>
      <w:lvlText w:val="%5."/>
      <w:lvlJc w:val="left"/>
      <w:pPr>
        <w:ind w:left="1020" w:hanging="360"/>
      </w:pPr>
    </w:lvl>
    <w:lvl w:ilvl="5" w:tplc="6D48EE50">
      <w:start w:val="1"/>
      <w:numFmt w:val="decimal"/>
      <w:lvlText w:val="%6."/>
      <w:lvlJc w:val="left"/>
      <w:pPr>
        <w:ind w:left="1020" w:hanging="360"/>
      </w:pPr>
    </w:lvl>
    <w:lvl w:ilvl="6" w:tplc="3A120DB0">
      <w:start w:val="1"/>
      <w:numFmt w:val="decimal"/>
      <w:lvlText w:val="%7."/>
      <w:lvlJc w:val="left"/>
      <w:pPr>
        <w:ind w:left="1020" w:hanging="360"/>
      </w:pPr>
    </w:lvl>
    <w:lvl w:ilvl="7" w:tplc="8C46C9BC">
      <w:start w:val="1"/>
      <w:numFmt w:val="decimal"/>
      <w:lvlText w:val="%8."/>
      <w:lvlJc w:val="left"/>
      <w:pPr>
        <w:ind w:left="1020" w:hanging="360"/>
      </w:pPr>
    </w:lvl>
    <w:lvl w:ilvl="8" w:tplc="BA0861B6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1494231"/>
    <w:multiLevelType w:val="multilevel"/>
    <w:tmpl w:val="DBD86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8720D"/>
    <w:multiLevelType w:val="multilevel"/>
    <w:tmpl w:val="4A1EE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7654A"/>
    <w:multiLevelType w:val="hybridMultilevel"/>
    <w:tmpl w:val="0C94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A185A"/>
    <w:multiLevelType w:val="multilevel"/>
    <w:tmpl w:val="C7CC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E55B5"/>
    <w:multiLevelType w:val="multilevel"/>
    <w:tmpl w:val="D10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832657F"/>
    <w:multiLevelType w:val="multilevel"/>
    <w:tmpl w:val="C330B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42394430">
    <w:abstractNumId w:val="0"/>
  </w:num>
  <w:num w:numId="2" w16cid:durableId="965425151">
    <w:abstractNumId w:val="2"/>
  </w:num>
  <w:num w:numId="3" w16cid:durableId="497577643">
    <w:abstractNumId w:val="7"/>
  </w:num>
  <w:num w:numId="4" w16cid:durableId="1778913708">
    <w:abstractNumId w:val="8"/>
  </w:num>
  <w:num w:numId="5" w16cid:durableId="437141273">
    <w:abstractNumId w:val="4"/>
  </w:num>
  <w:num w:numId="6" w16cid:durableId="1438521658">
    <w:abstractNumId w:val="9"/>
  </w:num>
  <w:num w:numId="7" w16cid:durableId="258948967">
    <w:abstractNumId w:val="3"/>
  </w:num>
  <w:num w:numId="8" w16cid:durableId="591624629">
    <w:abstractNumId w:val="5"/>
  </w:num>
  <w:num w:numId="9" w16cid:durableId="997490274">
    <w:abstractNumId w:val="1"/>
  </w:num>
  <w:num w:numId="10" w16cid:durableId="1494485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0216B9"/>
    <w:rsid w:val="00030FA5"/>
    <w:rsid w:val="00072B4B"/>
    <w:rsid w:val="00073CB3"/>
    <w:rsid w:val="00080980"/>
    <w:rsid w:val="000912BE"/>
    <w:rsid w:val="00092FBB"/>
    <w:rsid w:val="000B3CC2"/>
    <w:rsid w:val="001500F7"/>
    <w:rsid w:val="00183D4E"/>
    <w:rsid w:val="001926B8"/>
    <w:rsid w:val="00195002"/>
    <w:rsid w:val="001B6758"/>
    <w:rsid w:val="001C7EB8"/>
    <w:rsid w:val="001E0DDF"/>
    <w:rsid w:val="00253586"/>
    <w:rsid w:val="002B161A"/>
    <w:rsid w:val="002B592E"/>
    <w:rsid w:val="0030764C"/>
    <w:rsid w:val="003C5642"/>
    <w:rsid w:val="00400040"/>
    <w:rsid w:val="004937D9"/>
    <w:rsid w:val="004C68D6"/>
    <w:rsid w:val="005269BE"/>
    <w:rsid w:val="00542C7F"/>
    <w:rsid w:val="00595342"/>
    <w:rsid w:val="005B7336"/>
    <w:rsid w:val="005B7DD7"/>
    <w:rsid w:val="005C6DC5"/>
    <w:rsid w:val="005C72D8"/>
    <w:rsid w:val="00611487"/>
    <w:rsid w:val="00664A4E"/>
    <w:rsid w:val="00675249"/>
    <w:rsid w:val="006A39F4"/>
    <w:rsid w:val="006A7E87"/>
    <w:rsid w:val="006B43FC"/>
    <w:rsid w:val="006E2290"/>
    <w:rsid w:val="00777BE5"/>
    <w:rsid w:val="007940B4"/>
    <w:rsid w:val="00801E6D"/>
    <w:rsid w:val="008313D1"/>
    <w:rsid w:val="00856CDC"/>
    <w:rsid w:val="00880A25"/>
    <w:rsid w:val="008A0F6C"/>
    <w:rsid w:val="008C56C7"/>
    <w:rsid w:val="008D53A8"/>
    <w:rsid w:val="00972027"/>
    <w:rsid w:val="009A4668"/>
    <w:rsid w:val="009B4D3C"/>
    <w:rsid w:val="00A2144D"/>
    <w:rsid w:val="00A278EB"/>
    <w:rsid w:val="00A33AB6"/>
    <w:rsid w:val="00A62293"/>
    <w:rsid w:val="00AC70CC"/>
    <w:rsid w:val="00AD5FE0"/>
    <w:rsid w:val="00B009BF"/>
    <w:rsid w:val="00B06124"/>
    <w:rsid w:val="00B40BBC"/>
    <w:rsid w:val="00B5729C"/>
    <w:rsid w:val="00B93CE8"/>
    <w:rsid w:val="00B94BB9"/>
    <w:rsid w:val="00BA2842"/>
    <w:rsid w:val="00BB7B5D"/>
    <w:rsid w:val="00BE0380"/>
    <w:rsid w:val="00C54A3A"/>
    <w:rsid w:val="00C81460"/>
    <w:rsid w:val="00C876CD"/>
    <w:rsid w:val="00C92E5D"/>
    <w:rsid w:val="00C95794"/>
    <w:rsid w:val="00CA2350"/>
    <w:rsid w:val="00CB0239"/>
    <w:rsid w:val="00D17F9D"/>
    <w:rsid w:val="00D35C5C"/>
    <w:rsid w:val="00D50BDF"/>
    <w:rsid w:val="00D53BAB"/>
    <w:rsid w:val="00D562D2"/>
    <w:rsid w:val="00D608FD"/>
    <w:rsid w:val="00DA3F6A"/>
    <w:rsid w:val="00E15B2E"/>
    <w:rsid w:val="00E46CD7"/>
    <w:rsid w:val="00E7343D"/>
    <w:rsid w:val="00ED1D16"/>
    <w:rsid w:val="00EE0AB2"/>
    <w:rsid w:val="00F15C91"/>
    <w:rsid w:val="00F314B2"/>
    <w:rsid w:val="00FA2665"/>
    <w:rsid w:val="00FB62F4"/>
    <w:rsid w:val="13C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D7D5B"/>
  <w15:chartTrackingRefBased/>
  <w15:docId w15:val="{164D51DD-F43A-41C0-97E9-CEA7FDFD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B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6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6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6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6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6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6B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1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4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4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6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0F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0F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937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7D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C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C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4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Natalie S. (ALA)</dc:creator>
  <cp:keywords/>
  <dc:description/>
  <cp:lastModifiedBy>Tennen, Eric (ALA)</cp:lastModifiedBy>
  <cp:revision>2</cp:revision>
  <cp:lastPrinted>2025-04-02T21:40:00Z</cp:lastPrinted>
  <dcterms:created xsi:type="dcterms:W3CDTF">2025-12-19T15:14:00Z</dcterms:created>
  <dcterms:modified xsi:type="dcterms:W3CDTF">2025-12-19T15:14:00Z</dcterms:modified>
</cp:coreProperties>
</file>