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9DECA"/>
  <w:body>
    <w:p w14:paraId="28CBD66C" w14:textId="77777777" w:rsidR="001926B8" w:rsidRPr="00BB7B5D" w:rsidRDefault="001926B8" w:rsidP="001926B8">
      <w:pPr>
        <w:spacing w:after="0" w:line="240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 w:rsidRPr="00BB7B5D">
        <w:rPr>
          <w:rFonts w:ascii="Calibri" w:hAnsi="Calibri" w:cs="Calibri"/>
          <w:b/>
          <w:bCs/>
          <w:sz w:val="26"/>
          <w:szCs w:val="26"/>
        </w:rPr>
        <w:t>COMMONWEALTH OF MASSACHUSETTS</w:t>
      </w:r>
    </w:p>
    <w:p w14:paraId="2EEDAD60" w14:textId="77777777" w:rsidR="001926B8" w:rsidRPr="00BB7B5D" w:rsidRDefault="001926B8" w:rsidP="001926B8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BB7B5D">
        <w:rPr>
          <w:rFonts w:ascii="Calibri" w:hAnsi="Calibri" w:cs="Calibri"/>
          <w:b/>
          <w:bCs/>
          <w:sz w:val="26"/>
          <w:szCs w:val="26"/>
        </w:rPr>
        <w:t>DIVISION OF ADMINISTRATIVE LAW APPEALS</w:t>
      </w:r>
    </w:p>
    <w:p w14:paraId="5E73E9DF" w14:textId="77777777" w:rsidR="007940B4" w:rsidRDefault="007940B4" w:rsidP="001926B8">
      <w:pPr>
        <w:spacing w:after="180" w:line="240" w:lineRule="auto"/>
        <w:rPr>
          <w:rFonts w:ascii="Calibri" w:hAnsi="Calibri" w:cs="Calibri"/>
          <w:sz w:val="24"/>
          <w:szCs w:val="24"/>
        </w:rPr>
      </w:pPr>
    </w:p>
    <w:p w14:paraId="583B30FF" w14:textId="5ECF21DB" w:rsidR="00484B8F" w:rsidRDefault="00611487" w:rsidP="00484B8F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BB7B5D">
        <w:rPr>
          <w:rFonts w:ascii="Calibri" w:hAnsi="Calibri" w:cs="Calibri"/>
          <w:b/>
          <w:bCs/>
          <w:sz w:val="24"/>
          <w:szCs w:val="24"/>
        </w:rPr>
        <w:t>STANDING ORDER 25-0</w:t>
      </w:r>
      <w:r w:rsidR="00DE3F60">
        <w:rPr>
          <w:rFonts w:ascii="Calibri" w:hAnsi="Calibri" w:cs="Calibri"/>
          <w:b/>
          <w:bCs/>
          <w:sz w:val="24"/>
          <w:szCs w:val="24"/>
        </w:rPr>
        <w:t>2</w:t>
      </w:r>
      <w:r w:rsidR="00FB62F4" w:rsidRPr="00BB7B5D">
        <w:rPr>
          <w:rFonts w:ascii="Calibri" w:hAnsi="Calibri" w:cs="Calibri"/>
          <w:b/>
          <w:bCs/>
          <w:sz w:val="24"/>
          <w:szCs w:val="24"/>
        </w:rPr>
        <w:t>:</w:t>
      </w:r>
    </w:p>
    <w:p w14:paraId="1B6966CD" w14:textId="01BD5A3B" w:rsidR="00D53BAB" w:rsidRPr="00484B8F" w:rsidRDefault="003A37A0" w:rsidP="00484B8F">
      <w:pPr>
        <w:spacing w:after="24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Voluminous Documentary</w:t>
      </w:r>
      <w:r w:rsidR="00FB62F4" w:rsidRPr="00BB7B5D">
        <w:rPr>
          <w:rFonts w:ascii="Calibri" w:hAnsi="Calibri" w:cs="Calibri"/>
          <w:b/>
          <w:bCs/>
          <w:sz w:val="24"/>
          <w:szCs w:val="24"/>
          <w:u w:val="single"/>
        </w:rPr>
        <w:t xml:space="preserve"> Evidence</w:t>
      </w:r>
    </w:p>
    <w:p w14:paraId="7DE6B620" w14:textId="1CE2FD3B" w:rsidR="00B93CE8" w:rsidRPr="00BB7B5D" w:rsidRDefault="00080980" w:rsidP="00DA3F6A">
      <w:pPr>
        <w:spacing w:after="240"/>
        <w:ind w:firstLine="720"/>
        <w:rPr>
          <w:rFonts w:ascii="Calibri" w:hAnsi="Calibri" w:cs="Calibri"/>
          <w:sz w:val="24"/>
          <w:szCs w:val="24"/>
        </w:rPr>
      </w:pPr>
      <w:r w:rsidRPr="002407CC">
        <w:rPr>
          <w:rFonts w:ascii="Calibri" w:hAnsi="Calibri" w:cs="Calibri"/>
          <w:sz w:val="24"/>
          <w:szCs w:val="24"/>
        </w:rPr>
        <w:t>This Standing Order governs practice before the Division of Administrative Law Appeals, General Jurisdiction Unit</w:t>
      </w:r>
      <w:r w:rsidR="00B93CE8" w:rsidRPr="00BB7B5D">
        <w:rPr>
          <w:rStyle w:val="FootnoteReference"/>
          <w:rFonts w:ascii="Calibri" w:hAnsi="Calibri" w:cs="Calibri"/>
          <w:sz w:val="24"/>
          <w:szCs w:val="24"/>
        </w:rPr>
        <w:footnoteReference w:id="1"/>
      </w:r>
      <w:r w:rsidR="00BB7B5D">
        <w:rPr>
          <w:rFonts w:ascii="Calibri" w:hAnsi="Calibri" w:cs="Calibri"/>
          <w:sz w:val="24"/>
          <w:szCs w:val="24"/>
        </w:rPr>
        <w:t>,</w:t>
      </w:r>
      <w:r w:rsidRPr="002407CC">
        <w:rPr>
          <w:rFonts w:ascii="Calibri" w:hAnsi="Calibri" w:cs="Calibri"/>
          <w:sz w:val="24"/>
          <w:szCs w:val="24"/>
        </w:rPr>
        <w:t xml:space="preserve"> and is intended to promote the fair, efficient</w:t>
      </w:r>
      <w:r w:rsidR="00A62293">
        <w:rPr>
          <w:rFonts w:ascii="Calibri" w:hAnsi="Calibri" w:cs="Calibri"/>
          <w:sz w:val="24"/>
          <w:szCs w:val="24"/>
        </w:rPr>
        <w:t xml:space="preserve"> </w:t>
      </w:r>
      <w:r w:rsidRPr="002407CC">
        <w:rPr>
          <w:rFonts w:ascii="Calibri" w:hAnsi="Calibri" w:cs="Calibri"/>
          <w:sz w:val="24"/>
          <w:szCs w:val="24"/>
        </w:rPr>
        <w:t xml:space="preserve">and timely resolution of cases involving </w:t>
      </w:r>
      <w:r w:rsidR="00DB7CCE">
        <w:rPr>
          <w:rFonts w:ascii="Calibri" w:hAnsi="Calibri" w:cs="Calibri"/>
          <w:sz w:val="24"/>
          <w:szCs w:val="24"/>
        </w:rPr>
        <w:t>voluminous</w:t>
      </w:r>
      <w:r w:rsidRPr="002407CC">
        <w:rPr>
          <w:rFonts w:ascii="Calibri" w:hAnsi="Calibri" w:cs="Calibri"/>
          <w:sz w:val="24"/>
          <w:szCs w:val="24"/>
        </w:rPr>
        <w:t xml:space="preserve"> evidence.</w:t>
      </w:r>
      <w:r w:rsidR="008E127D">
        <w:rPr>
          <w:rFonts w:ascii="Calibri" w:hAnsi="Calibri" w:cs="Calibri"/>
          <w:sz w:val="24"/>
          <w:szCs w:val="24"/>
        </w:rPr>
        <w:t xml:space="preserve">  </w:t>
      </w:r>
      <w:r w:rsidR="008E127D" w:rsidRPr="008E127D">
        <w:rPr>
          <w:rFonts w:ascii="Calibri" w:hAnsi="Calibri" w:cs="Calibri"/>
          <w:sz w:val="24"/>
          <w:szCs w:val="24"/>
        </w:rPr>
        <w:t>This Standing Order applies unless the magistrate provides different instructions in a particular case.</w:t>
      </w:r>
    </w:p>
    <w:p w14:paraId="04F3C272" w14:textId="4DC7EC76" w:rsidR="00C72E21" w:rsidRDefault="003D4A1E" w:rsidP="00AA75FD">
      <w:pPr>
        <w:ind w:firstLine="720"/>
        <w:rPr>
          <w:rFonts w:ascii="Calibri" w:hAnsi="Calibri" w:cs="Calibri"/>
          <w:sz w:val="24"/>
          <w:szCs w:val="24"/>
        </w:rPr>
      </w:pPr>
      <w:r w:rsidRPr="00BB7B5D">
        <w:rPr>
          <w:rFonts w:ascii="Calibri" w:hAnsi="Calibri" w:cs="Calibri"/>
          <w:sz w:val="24"/>
          <w:szCs w:val="24"/>
        </w:rPr>
        <w:t>C</w:t>
      </w:r>
      <w:r w:rsidRPr="002407CC">
        <w:rPr>
          <w:rFonts w:ascii="Calibri" w:hAnsi="Calibri" w:cs="Calibri"/>
          <w:sz w:val="24"/>
          <w:szCs w:val="24"/>
        </w:rPr>
        <w:t>onsistent with</w:t>
      </w:r>
      <w:r w:rsidRPr="00B06124">
        <w:rPr>
          <w:rFonts w:ascii="Segoe UI" w:hAnsi="Segoe UI" w:cs="Segoe UI"/>
          <w:sz w:val="18"/>
          <w:szCs w:val="18"/>
        </w:rPr>
        <w:t xml:space="preserve"> </w:t>
      </w:r>
      <w:r w:rsidRPr="00B06124">
        <w:rPr>
          <w:rFonts w:ascii="Calibri" w:hAnsi="Calibri" w:cs="Calibri"/>
          <w:sz w:val="24"/>
          <w:szCs w:val="24"/>
        </w:rPr>
        <w:t>G.L. c. 30A, § 11(4</w:t>
      </w:r>
      <w:r>
        <w:rPr>
          <w:rFonts w:ascii="Calibri" w:hAnsi="Calibri" w:cs="Calibri"/>
          <w:sz w:val="24"/>
          <w:szCs w:val="24"/>
        </w:rPr>
        <w:t>), and</w:t>
      </w:r>
      <w:r w:rsidRPr="002407CC">
        <w:rPr>
          <w:rFonts w:ascii="Calibri" w:hAnsi="Calibri" w:cs="Calibri"/>
          <w:sz w:val="24"/>
          <w:szCs w:val="24"/>
        </w:rPr>
        <w:t xml:space="preserve"> 801 CMR 1.01</w:t>
      </w:r>
      <w:r w:rsidR="00E46CD7" w:rsidRPr="002407CC">
        <w:rPr>
          <w:rFonts w:ascii="Calibri" w:hAnsi="Calibri" w:cs="Calibri"/>
          <w:sz w:val="24"/>
          <w:szCs w:val="24"/>
        </w:rPr>
        <w:t xml:space="preserve">, </w:t>
      </w:r>
      <w:r w:rsidR="00C64685">
        <w:rPr>
          <w:rFonts w:ascii="Calibri" w:hAnsi="Calibri" w:cs="Calibri"/>
          <w:sz w:val="24"/>
          <w:szCs w:val="24"/>
        </w:rPr>
        <w:t>m</w:t>
      </w:r>
      <w:r w:rsidR="00080980" w:rsidRPr="002407CC">
        <w:rPr>
          <w:rFonts w:ascii="Calibri" w:hAnsi="Calibri" w:cs="Calibri"/>
          <w:sz w:val="24"/>
          <w:szCs w:val="24"/>
        </w:rPr>
        <w:t xml:space="preserve">agistrates must base their findings and conclusions on </w:t>
      </w:r>
      <w:r w:rsidR="00B93CE8" w:rsidRPr="00BB7B5D">
        <w:rPr>
          <w:rFonts w:ascii="Calibri" w:hAnsi="Calibri" w:cs="Calibri"/>
          <w:sz w:val="24"/>
          <w:szCs w:val="24"/>
        </w:rPr>
        <w:t>the</w:t>
      </w:r>
      <w:r w:rsidR="00080980" w:rsidRPr="002407CC">
        <w:rPr>
          <w:rFonts w:ascii="Calibri" w:hAnsi="Calibri" w:cs="Calibri"/>
          <w:sz w:val="24"/>
          <w:szCs w:val="24"/>
        </w:rPr>
        <w:t xml:space="preserve"> evidence contained in the record</w:t>
      </w:r>
      <w:r w:rsidR="00A33AB6" w:rsidRPr="00BB7B5D">
        <w:rPr>
          <w:rFonts w:ascii="Calibri" w:hAnsi="Calibri" w:cs="Calibri"/>
          <w:sz w:val="24"/>
          <w:szCs w:val="24"/>
        </w:rPr>
        <w:t xml:space="preserve">.  </w:t>
      </w:r>
      <w:r w:rsidR="00C72E21" w:rsidRPr="00C72E21">
        <w:rPr>
          <w:rFonts w:ascii="Calibri" w:hAnsi="Calibri" w:cs="Calibri"/>
          <w:sz w:val="24"/>
          <w:szCs w:val="24"/>
        </w:rPr>
        <w:t xml:space="preserve">Each party is responsible for presenting evidence to support </w:t>
      </w:r>
      <w:r w:rsidR="00C670FB">
        <w:rPr>
          <w:rFonts w:ascii="Calibri" w:hAnsi="Calibri" w:cs="Calibri"/>
          <w:sz w:val="24"/>
          <w:szCs w:val="24"/>
        </w:rPr>
        <w:t>their c</w:t>
      </w:r>
      <w:r w:rsidR="00C72E21" w:rsidRPr="00C72E21">
        <w:rPr>
          <w:rFonts w:ascii="Calibri" w:hAnsi="Calibri" w:cs="Calibri"/>
          <w:sz w:val="24"/>
          <w:szCs w:val="24"/>
        </w:rPr>
        <w:t xml:space="preserve">laims and defenses and for clearly explaining the relevance of that evidence to the facts in dispute. </w:t>
      </w:r>
      <w:r w:rsidR="00726EEF">
        <w:rPr>
          <w:rFonts w:ascii="Calibri" w:hAnsi="Calibri" w:cs="Calibri"/>
          <w:sz w:val="24"/>
          <w:szCs w:val="24"/>
        </w:rPr>
        <w:t xml:space="preserve"> </w:t>
      </w:r>
      <w:r w:rsidR="00726EEF" w:rsidRPr="00C72E21">
        <w:rPr>
          <w:rFonts w:ascii="Calibri" w:hAnsi="Calibri" w:cs="Calibri"/>
          <w:sz w:val="24"/>
          <w:szCs w:val="24"/>
        </w:rPr>
        <w:t xml:space="preserve">A party’s failure to connect documentary evidence to the facts in dispute may </w:t>
      </w:r>
      <w:r w:rsidR="00726EEF">
        <w:rPr>
          <w:rFonts w:ascii="Calibri" w:hAnsi="Calibri" w:cs="Calibri"/>
          <w:sz w:val="24"/>
          <w:szCs w:val="24"/>
        </w:rPr>
        <w:t>result in</w:t>
      </w:r>
      <w:r w:rsidR="00B228AC">
        <w:rPr>
          <w:rFonts w:ascii="Calibri" w:hAnsi="Calibri" w:cs="Calibri"/>
          <w:sz w:val="24"/>
          <w:szCs w:val="24"/>
        </w:rPr>
        <w:t xml:space="preserve"> the</w:t>
      </w:r>
      <w:r w:rsidR="00931123">
        <w:rPr>
          <w:rFonts w:ascii="Calibri" w:hAnsi="Calibri" w:cs="Calibri"/>
          <w:sz w:val="24"/>
          <w:szCs w:val="24"/>
        </w:rPr>
        <w:t xml:space="preserve"> evidence</w:t>
      </w:r>
      <w:r w:rsidR="00726EEF">
        <w:rPr>
          <w:rFonts w:ascii="Calibri" w:hAnsi="Calibri" w:cs="Calibri"/>
          <w:sz w:val="24"/>
          <w:szCs w:val="24"/>
        </w:rPr>
        <w:t xml:space="preserve"> being</w:t>
      </w:r>
      <w:r w:rsidR="00D1764E">
        <w:rPr>
          <w:rFonts w:ascii="Calibri" w:hAnsi="Calibri" w:cs="Calibri"/>
          <w:sz w:val="24"/>
          <w:szCs w:val="24"/>
        </w:rPr>
        <w:t xml:space="preserve"> excluded or</w:t>
      </w:r>
      <w:r w:rsidR="00726EEF">
        <w:rPr>
          <w:rFonts w:ascii="Calibri" w:hAnsi="Calibri" w:cs="Calibri"/>
          <w:sz w:val="24"/>
          <w:szCs w:val="24"/>
        </w:rPr>
        <w:t xml:space="preserve"> afforded little or no weight.  </w:t>
      </w:r>
      <w:r w:rsidR="00276382">
        <w:rPr>
          <w:rFonts w:ascii="Calibri" w:hAnsi="Calibri" w:cs="Calibri"/>
          <w:sz w:val="24"/>
          <w:szCs w:val="24"/>
        </w:rPr>
        <w:t xml:space="preserve">Furthermore, the </w:t>
      </w:r>
      <w:r w:rsidR="00C72E21" w:rsidRPr="00C72E21">
        <w:rPr>
          <w:rFonts w:ascii="Calibri" w:hAnsi="Calibri" w:cs="Calibri"/>
          <w:sz w:val="24"/>
          <w:szCs w:val="24"/>
        </w:rPr>
        <w:t xml:space="preserve">submission of irrelevant documents may impede the efficient resolution of a case. </w:t>
      </w:r>
      <w:r w:rsidR="001762E8">
        <w:rPr>
          <w:rFonts w:ascii="Calibri" w:hAnsi="Calibri" w:cs="Calibri"/>
          <w:sz w:val="24"/>
          <w:szCs w:val="24"/>
        </w:rPr>
        <w:t xml:space="preserve"> </w:t>
      </w:r>
    </w:p>
    <w:p w14:paraId="5B73B0FD" w14:textId="1681BC37" w:rsidR="00AA75FD" w:rsidRPr="00AA75FD" w:rsidRDefault="00AA75FD" w:rsidP="00AA75FD">
      <w:pPr>
        <w:ind w:firstLine="720"/>
        <w:rPr>
          <w:rFonts w:ascii="Calibri" w:hAnsi="Calibri" w:cs="Calibri"/>
          <w:sz w:val="24"/>
          <w:szCs w:val="24"/>
        </w:rPr>
      </w:pPr>
      <w:r w:rsidRPr="00AA75FD">
        <w:rPr>
          <w:rFonts w:ascii="Calibri" w:hAnsi="Calibri" w:cs="Calibri"/>
          <w:sz w:val="24"/>
          <w:szCs w:val="24"/>
        </w:rPr>
        <w:t>Accordingly:</w:t>
      </w:r>
    </w:p>
    <w:p w14:paraId="34EADE10" w14:textId="3155E188" w:rsidR="00961DD6" w:rsidRPr="00961DD6" w:rsidRDefault="00AA75FD" w:rsidP="00961DD6">
      <w:pPr>
        <w:pStyle w:val="ListParagraph"/>
        <w:numPr>
          <w:ilvl w:val="0"/>
          <w:numId w:val="11"/>
        </w:numPr>
        <w:spacing w:after="120"/>
        <w:contextualSpacing w:val="0"/>
        <w:rPr>
          <w:rFonts w:ascii="Calibri" w:hAnsi="Calibri" w:cs="Calibri"/>
          <w:b/>
          <w:bCs/>
          <w:sz w:val="24"/>
          <w:szCs w:val="24"/>
        </w:rPr>
      </w:pPr>
      <w:r w:rsidRPr="00961DD6">
        <w:rPr>
          <w:rFonts w:ascii="Calibri" w:hAnsi="Calibri" w:cs="Calibri"/>
          <w:b/>
          <w:bCs/>
          <w:sz w:val="24"/>
          <w:szCs w:val="24"/>
        </w:rPr>
        <w:t>Relevance of Documents.</w:t>
      </w:r>
    </w:p>
    <w:p w14:paraId="0059BE2B" w14:textId="792EC990" w:rsidR="00AA75FD" w:rsidRDefault="00AA75FD" w:rsidP="00961DD6">
      <w:pPr>
        <w:pStyle w:val="ListParagraph"/>
        <w:spacing w:after="0"/>
        <w:ind w:left="1080"/>
        <w:contextualSpacing w:val="0"/>
        <w:rPr>
          <w:rFonts w:ascii="Calibri" w:hAnsi="Calibri" w:cs="Calibri"/>
          <w:sz w:val="24"/>
          <w:szCs w:val="24"/>
        </w:rPr>
      </w:pPr>
      <w:r w:rsidRPr="00961DD6">
        <w:rPr>
          <w:rFonts w:ascii="Calibri" w:hAnsi="Calibri" w:cs="Calibri"/>
          <w:sz w:val="24"/>
          <w:szCs w:val="24"/>
        </w:rPr>
        <w:t xml:space="preserve">Parties are reminded to submit only documents that are </w:t>
      </w:r>
      <w:r w:rsidR="004E6924">
        <w:rPr>
          <w:rFonts w:ascii="Calibri" w:hAnsi="Calibri" w:cs="Calibri"/>
          <w:sz w:val="24"/>
          <w:szCs w:val="24"/>
        </w:rPr>
        <w:t xml:space="preserve">legally </w:t>
      </w:r>
      <w:r w:rsidRPr="00961DD6">
        <w:rPr>
          <w:rFonts w:ascii="Calibri" w:hAnsi="Calibri" w:cs="Calibri"/>
          <w:sz w:val="24"/>
          <w:szCs w:val="24"/>
        </w:rPr>
        <w:t>relevant to the issues in dispute.</w:t>
      </w:r>
    </w:p>
    <w:p w14:paraId="139AA0A3" w14:textId="77777777" w:rsidR="00961DD6" w:rsidRPr="00961DD6" w:rsidRDefault="00961DD6" w:rsidP="00961DD6">
      <w:pPr>
        <w:pStyle w:val="ListParagraph"/>
        <w:spacing w:after="0"/>
        <w:ind w:left="1080"/>
        <w:contextualSpacing w:val="0"/>
        <w:rPr>
          <w:rFonts w:ascii="Calibri" w:hAnsi="Calibri" w:cs="Calibri"/>
          <w:sz w:val="24"/>
          <w:szCs w:val="24"/>
        </w:rPr>
      </w:pPr>
    </w:p>
    <w:p w14:paraId="541E7818" w14:textId="10FCB6EB" w:rsidR="00961DD6" w:rsidRPr="00961DD6" w:rsidRDefault="00AA75FD" w:rsidP="00961DD6">
      <w:pPr>
        <w:pStyle w:val="ListParagraph"/>
        <w:numPr>
          <w:ilvl w:val="0"/>
          <w:numId w:val="11"/>
        </w:numPr>
        <w:spacing w:after="120"/>
        <w:contextualSpacing w:val="0"/>
        <w:rPr>
          <w:rFonts w:ascii="Calibri" w:hAnsi="Calibri" w:cs="Calibri"/>
          <w:b/>
          <w:bCs/>
          <w:sz w:val="24"/>
          <w:szCs w:val="24"/>
        </w:rPr>
      </w:pPr>
      <w:r w:rsidRPr="00961DD6">
        <w:rPr>
          <w:rFonts w:ascii="Calibri" w:hAnsi="Calibri" w:cs="Calibri"/>
          <w:b/>
          <w:bCs/>
          <w:sz w:val="24"/>
          <w:szCs w:val="24"/>
        </w:rPr>
        <w:t>Citations to Lengthy Exhibits.</w:t>
      </w:r>
    </w:p>
    <w:p w14:paraId="0DE12C73" w14:textId="796ACE54" w:rsidR="00AA75FD" w:rsidRDefault="00AA75FD" w:rsidP="00961DD6">
      <w:pPr>
        <w:pStyle w:val="ListParagraph"/>
        <w:ind w:left="1080"/>
        <w:rPr>
          <w:rFonts w:ascii="Calibri" w:hAnsi="Calibri" w:cs="Calibri"/>
          <w:sz w:val="24"/>
          <w:szCs w:val="24"/>
        </w:rPr>
      </w:pPr>
      <w:r w:rsidRPr="00961DD6">
        <w:rPr>
          <w:rFonts w:ascii="Calibri" w:hAnsi="Calibri" w:cs="Calibri"/>
          <w:sz w:val="24"/>
          <w:szCs w:val="24"/>
        </w:rPr>
        <w:t xml:space="preserve">When </w:t>
      </w:r>
      <w:proofErr w:type="gramStart"/>
      <w:r w:rsidRPr="00961DD6">
        <w:rPr>
          <w:rFonts w:ascii="Calibri" w:hAnsi="Calibri" w:cs="Calibri"/>
          <w:sz w:val="24"/>
          <w:szCs w:val="24"/>
        </w:rPr>
        <w:t>citing to</w:t>
      </w:r>
      <w:proofErr w:type="gramEnd"/>
      <w:r w:rsidRPr="00961DD6">
        <w:rPr>
          <w:rFonts w:ascii="Calibri" w:hAnsi="Calibri" w:cs="Calibri"/>
          <w:sz w:val="24"/>
          <w:szCs w:val="24"/>
        </w:rPr>
        <w:t xml:space="preserve"> a proposed or admitted exhibit that exceeds five (5) pages, the party must identify the relevant portion(s) of the exhibit by page number.</w:t>
      </w:r>
    </w:p>
    <w:p w14:paraId="582ADB6E" w14:textId="77777777" w:rsidR="00191BC0" w:rsidRPr="00961DD6" w:rsidRDefault="00191BC0" w:rsidP="00961DD6">
      <w:pPr>
        <w:pStyle w:val="ListParagraph"/>
        <w:ind w:left="1080"/>
        <w:rPr>
          <w:rFonts w:ascii="Calibri" w:hAnsi="Calibri" w:cs="Calibri"/>
          <w:sz w:val="24"/>
          <w:szCs w:val="24"/>
        </w:rPr>
      </w:pPr>
    </w:p>
    <w:p w14:paraId="5F86A8FD" w14:textId="4C0DC8C0" w:rsidR="00FD10CE" w:rsidRPr="00FD10CE" w:rsidRDefault="00AA75FD" w:rsidP="00191BC0">
      <w:pPr>
        <w:pStyle w:val="ListParagraph"/>
        <w:numPr>
          <w:ilvl w:val="0"/>
          <w:numId w:val="11"/>
        </w:numPr>
        <w:spacing w:after="120"/>
        <w:contextualSpacing w:val="0"/>
        <w:rPr>
          <w:rFonts w:ascii="Calibri" w:hAnsi="Calibri" w:cs="Calibri"/>
          <w:b/>
          <w:bCs/>
          <w:sz w:val="24"/>
          <w:szCs w:val="24"/>
        </w:rPr>
      </w:pPr>
      <w:r w:rsidRPr="00FD10CE">
        <w:rPr>
          <w:rFonts w:ascii="Calibri" w:hAnsi="Calibri" w:cs="Calibri"/>
          <w:b/>
          <w:bCs/>
          <w:sz w:val="24"/>
          <w:szCs w:val="24"/>
        </w:rPr>
        <w:t>Limiting Voluminous Submissions.</w:t>
      </w:r>
    </w:p>
    <w:p w14:paraId="2182FD9D" w14:textId="0971FA85" w:rsidR="0031653F" w:rsidRPr="005D2470" w:rsidRDefault="00191BC0" w:rsidP="005D2470">
      <w:pPr>
        <w:pStyle w:val="ListParagraph"/>
        <w:numPr>
          <w:ilvl w:val="0"/>
          <w:numId w:val="12"/>
        </w:numPr>
        <w:spacing w:after="0"/>
        <w:ind w:left="144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</w:t>
      </w:r>
      <w:r w:rsidR="00AA75FD" w:rsidRPr="00191BC0">
        <w:rPr>
          <w:rFonts w:ascii="Calibri" w:hAnsi="Calibri" w:cs="Calibri"/>
          <w:sz w:val="24"/>
          <w:szCs w:val="24"/>
        </w:rPr>
        <w:t xml:space="preserve">efore </w:t>
      </w:r>
      <w:r w:rsidR="00CB610F">
        <w:rPr>
          <w:rFonts w:ascii="Calibri" w:hAnsi="Calibri" w:cs="Calibri"/>
          <w:sz w:val="24"/>
          <w:szCs w:val="24"/>
        </w:rPr>
        <w:t>submitting</w:t>
      </w:r>
      <w:r w:rsidR="00AA75FD" w:rsidRPr="00191BC0">
        <w:rPr>
          <w:rFonts w:ascii="Calibri" w:hAnsi="Calibri" w:cs="Calibri"/>
          <w:sz w:val="24"/>
          <w:szCs w:val="24"/>
        </w:rPr>
        <w:t xml:space="preserve"> a document that exceeds thirty (30) pages, the party shall consider whether the entire document is necessary and shall confer with the opposing </w:t>
      </w:r>
      <w:proofErr w:type="gramStart"/>
      <w:r w:rsidR="00AA75FD" w:rsidRPr="00191BC0">
        <w:rPr>
          <w:rFonts w:ascii="Calibri" w:hAnsi="Calibri" w:cs="Calibri"/>
          <w:sz w:val="24"/>
          <w:szCs w:val="24"/>
        </w:rPr>
        <w:t>party about</w:t>
      </w:r>
      <w:proofErr w:type="gramEnd"/>
      <w:r w:rsidR="00AA75FD" w:rsidRPr="00191BC0">
        <w:rPr>
          <w:rFonts w:ascii="Calibri" w:hAnsi="Calibri" w:cs="Calibri"/>
          <w:sz w:val="24"/>
          <w:szCs w:val="24"/>
        </w:rPr>
        <w:t xml:space="preserve"> whether the relevant facts may be established through excerpts. </w:t>
      </w:r>
    </w:p>
    <w:p w14:paraId="05A8F431" w14:textId="1A91F335" w:rsidR="0031653F" w:rsidRPr="005D2470" w:rsidRDefault="0031653F" w:rsidP="005D2470">
      <w:pPr>
        <w:pStyle w:val="ListParagraph"/>
        <w:numPr>
          <w:ilvl w:val="0"/>
          <w:numId w:val="12"/>
        </w:numPr>
        <w:spacing w:after="0"/>
        <w:ind w:left="144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If the parties do not agree on which excerpts to </w:t>
      </w:r>
      <w:r w:rsidR="0023797C">
        <w:rPr>
          <w:rFonts w:ascii="Calibri" w:hAnsi="Calibri" w:cs="Calibri"/>
          <w:sz w:val="24"/>
          <w:szCs w:val="24"/>
        </w:rPr>
        <w:t>submit</w:t>
      </w:r>
      <w:r>
        <w:rPr>
          <w:rFonts w:ascii="Calibri" w:hAnsi="Calibri" w:cs="Calibri"/>
          <w:sz w:val="24"/>
          <w:szCs w:val="24"/>
        </w:rPr>
        <w:t>, the entire document shall be submitted.</w:t>
      </w:r>
    </w:p>
    <w:p w14:paraId="1272ED6E" w14:textId="4F62E93F" w:rsidR="00AA75FD" w:rsidRDefault="00AA75FD" w:rsidP="005D2470">
      <w:pPr>
        <w:pStyle w:val="ListParagraph"/>
        <w:numPr>
          <w:ilvl w:val="0"/>
          <w:numId w:val="12"/>
        </w:numPr>
        <w:spacing w:after="0"/>
        <w:ind w:left="1440"/>
        <w:contextualSpacing w:val="0"/>
        <w:rPr>
          <w:rFonts w:ascii="Calibri" w:hAnsi="Calibri" w:cs="Calibri"/>
          <w:sz w:val="24"/>
          <w:szCs w:val="24"/>
        </w:rPr>
      </w:pPr>
      <w:r w:rsidRPr="00191BC0">
        <w:rPr>
          <w:rFonts w:ascii="Calibri" w:hAnsi="Calibri" w:cs="Calibri"/>
          <w:sz w:val="24"/>
          <w:szCs w:val="24"/>
        </w:rPr>
        <w:t xml:space="preserve">If only a portion of a document is submitted, the </w:t>
      </w:r>
      <w:r w:rsidR="00882699">
        <w:rPr>
          <w:rFonts w:ascii="Calibri" w:hAnsi="Calibri" w:cs="Calibri"/>
          <w:sz w:val="24"/>
          <w:szCs w:val="24"/>
        </w:rPr>
        <w:t>m</w:t>
      </w:r>
      <w:r w:rsidRPr="00191BC0">
        <w:rPr>
          <w:rFonts w:ascii="Calibri" w:hAnsi="Calibri" w:cs="Calibri"/>
          <w:sz w:val="24"/>
          <w:szCs w:val="24"/>
        </w:rPr>
        <w:t>agistrate may subsequently require submission of the complete document.</w:t>
      </w:r>
    </w:p>
    <w:p w14:paraId="47500E0F" w14:textId="77777777" w:rsidR="00191BC0" w:rsidRDefault="00191BC0" w:rsidP="00191BC0">
      <w:pPr>
        <w:pStyle w:val="ListParagraph"/>
        <w:spacing w:after="0"/>
        <w:ind w:left="1080"/>
        <w:contextualSpacing w:val="0"/>
        <w:rPr>
          <w:rFonts w:ascii="Calibri" w:hAnsi="Calibri" w:cs="Calibri"/>
          <w:sz w:val="24"/>
          <w:szCs w:val="24"/>
        </w:rPr>
      </w:pPr>
    </w:p>
    <w:p w14:paraId="0E511D19" w14:textId="77777777" w:rsidR="005D2470" w:rsidRPr="00191BC0" w:rsidRDefault="005D2470" w:rsidP="00191BC0">
      <w:pPr>
        <w:pStyle w:val="ListParagraph"/>
        <w:spacing w:after="0"/>
        <w:ind w:left="1080"/>
        <w:contextualSpacing w:val="0"/>
        <w:rPr>
          <w:rFonts w:ascii="Calibri" w:hAnsi="Calibri" w:cs="Calibri"/>
          <w:sz w:val="24"/>
          <w:szCs w:val="24"/>
        </w:rPr>
      </w:pPr>
    </w:p>
    <w:p w14:paraId="63952934" w14:textId="77777777" w:rsidR="00191BC0" w:rsidRDefault="00AA75FD" w:rsidP="00191BC0">
      <w:pPr>
        <w:pStyle w:val="ListParagraph"/>
        <w:numPr>
          <w:ilvl w:val="0"/>
          <w:numId w:val="11"/>
        </w:numPr>
        <w:spacing w:after="120"/>
        <w:contextualSpacing w:val="0"/>
        <w:rPr>
          <w:rFonts w:ascii="Calibri" w:hAnsi="Calibri" w:cs="Calibri"/>
          <w:b/>
          <w:bCs/>
          <w:sz w:val="24"/>
          <w:szCs w:val="24"/>
        </w:rPr>
      </w:pPr>
      <w:r w:rsidRPr="00191BC0">
        <w:rPr>
          <w:rFonts w:ascii="Calibri" w:hAnsi="Calibri" w:cs="Calibri"/>
          <w:b/>
          <w:bCs/>
          <w:sz w:val="24"/>
          <w:szCs w:val="24"/>
        </w:rPr>
        <w:t>Hard Copies of Lengthy Exhibits.</w:t>
      </w:r>
    </w:p>
    <w:p w14:paraId="171A1715" w14:textId="19731F41" w:rsidR="000637E3" w:rsidRDefault="00AA75FD" w:rsidP="000637E3">
      <w:pPr>
        <w:spacing w:after="0"/>
        <w:ind w:left="1080"/>
        <w:rPr>
          <w:rFonts w:ascii="Calibri" w:hAnsi="Calibri" w:cs="Calibri"/>
          <w:sz w:val="24"/>
          <w:szCs w:val="24"/>
        </w:rPr>
      </w:pPr>
      <w:r w:rsidRPr="00191BC0">
        <w:rPr>
          <w:rFonts w:ascii="Calibri" w:hAnsi="Calibri" w:cs="Calibri"/>
          <w:sz w:val="24"/>
          <w:szCs w:val="24"/>
        </w:rPr>
        <w:t>If a</w:t>
      </w:r>
      <w:r w:rsidR="00291D77">
        <w:rPr>
          <w:rFonts w:ascii="Calibri" w:hAnsi="Calibri" w:cs="Calibri"/>
          <w:sz w:val="24"/>
          <w:szCs w:val="24"/>
        </w:rPr>
        <w:t xml:space="preserve">n </w:t>
      </w:r>
      <w:r w:rsidRPr="00191BC0">
        <w:rPr>
          <w:rFonts w:ascii="Calibri" w:hAnsi="Calibri" w:cs="Calibri"/>
          <w:sz w:val="24"/>
          <w:szCs w:val="24"/>
        </w:rPr>
        <w:t>ex</w:t>
      </w:r>
      <w:r w:rsidR="00882699">
        <w:rPr>
          <w:rFonts w:ascii="Calibri" w:hAnsi="Calibri" w:cs="Calibri"/>
          <w:sz w:val="24"/>
          <w:szCs w:val="24"/>
        </w:rPr>
        <w:t xml:space="preserve">hibit </w:t>
      </w:r>
      <w:r w:rsidR="00291D77">
        <w:rPr>
          <w:rFonts w:ascii="Calibri" w:hAnsi="Calibri" w:cs="Calibri"/>
          <w:sz w:val="24"/>
          <w:szCs w:val="24"/>
        </w:rPr>
        <w:t>is longer than</w:t>
      </w:r>
      <w:r w:rsidRPr="00191BC0">
        <w:rPr>
          <w:rFonts w:ascii="Calibri" w:hAnsi="Calibri" w:cs="Calibri"/>
          <w:sz w:val="24"/>
          <w:szCs w:val="24"/>
        </w:rPr>
        <w:t xml:space="preserve"> twenty (20) pages, the party shall file a hard copy </w:t>
      </w:r>
      <w:r w:rsidR="00520E6F">
        <w:rPr>
          <w:rFonts w:ascii="Calibri" w:hAnsi="Calibri" w:cs="Calibri"/>
          <w:sz w:val="24"/>
          <w:szCs w:val="24"/>
        </w:rPr>
        <w:t>with DALA.</w:t>
      </w:r>
    </w:p>
    <w:p w14:paraId="44BB06B6" w14:textId="77777777" w:rsidR="000637E3" w:rsidRDefault="000637E3" w:rsidP="000637E3">
      <w:pPr>
        <w:spacing w:after="0"/>
        <w:ind w:left="1080"/>
        <w:rPr>
          <w:rFonts w:ascii="Calibri" w:hAnsi="Calibri" w:cs="Calibri"/>
          <w:sz w:val="24"/>
          <w:szCs w:val="24"/>
        </w:rPr>
      </w:pPr>
    </w:p>
    <w:p w14:paraId="540B034C" w14:textId="4B52BA61" w:rsidR="00080980" w:rsidRDefault="000637E3" w:rsidP="000637E3">
      <w:pPr>
        <w:spacing w:after="0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This Standing</w:t>
      </w:r>
      <w:r w:rsidR="00AA75FD" w:rsidRPr="00001A95">
        <w:rPr>
          <w:rFonts w:ascii="Calibri" w:hAnsi="Calibri" w:cs="Calibri"/>
          <w:sz w:val="24"/>
          <w:szCs w:val="24"/>
        </w:rPr>
        <w:t xml:space="preserve"> Order should be read in conjunction with Standing Order </w:t>
      </w:r>
      <w:r w:rsidR="00484B8F">
        <w:rPr>
          <w:rFonts w:ascii="Calibri" w:hAnsi="Calibri" w:cs="Calibri"/>
          <w:sz w:val="24"/>
          <w:szCs w:val="24"/>
        </w:rPr>
        <w:t>25-</w:t>
      </w:r>
      <w:r w:rsidR="00DE3F60">
        <w:rPr>
          <w:rFonts w:ascii="Calibri" w:hAnsi="Calibri" w:cs="Calibri"/>
          <w:sz w:val="24"/>
          <w:szCs w:val="24"/>
        </w:rPr>
        <w:t>0</w:t>
      </w:r>
      <w:r w:rsidR="00484B8F">
        <w:rPr>
          <w:rFonts w:ascii="Calibri" w:hAnsi="Calibri" w:cs="Calibri"/>
          <w:sz w:val="24"/>
          <w:szCs w:val="24"/>
        </w:rPr>
        <w:t>1</w:t>
      </w:r>
      <w:r w:rsidR="00AA75FD" w:rsidRPr="00001A95">
        <w:rPr>
          <w:rFonts w:ascii="Calibri" w:hAnsi="Calibri" w:cs="Calibri"/>
          <w:sz w:val="24"/>
          <w:szCs w:val="24"/>
        </w:rPr>
        <w:t xml:space="preserve">, which sets forth requirements for the presentation of medical and technical </w:t>
      </w:r>
      <w:r w:rsidR="008C590F">
        <w:rPr>
          <w:rFonts w:ascii="Calibri" w:hAnsi="Calibri" w:cs="Calibri"/>
          <w:sz w:val="24"/>
          <w:szCs w:val="24"/>
        </w:rPr>
        <w:t>evidence</w:t>
      </w:r>
      <w:r w:rsidR="00AA75FD" w:rsidRPr="00001A95">
        <w:rPr>
          <w:rFonts w:ascii="Calibri" w:hAnsi="Calibri" w:cs="Calibri"/>
          <w:sz w:val="24"/>
          <w:szCs w:val="24"/>
        </w:rPr>
        <w:t>.</w:t>
      </w:r>
      <w:r w:rsidR="00AA75FD" w:rsidRPr="000637E3">
        <w:rPr>
          <w:rFonts w:ascii="Calibri" w:hAnsi="Calibri" w:cs="Calibri"/>
          <w:sz w:val="24"/>
          <w:szCs w:val="24"/>
        </w:rPr>
        <w:t xml:space="preserve">  </w:t>
      </w:r>
    </w:p>
    <w:p w14:paraId="74704179" w14:textId="77777777" w:rsidR="000637E3" w:rsidRPr="000637E3" w:rsidRDefault="000637E3" w:rsidP="000637E3">
      <w:pPr>
        <w:spacing w:after="0"/>
        <w:ind w:firstLine="720"/>
        <w:rPr>
          <w:rFonts w:ascii="Calibri" w:hAnsi="Calibri" w:cs="Calibri"/>
          <w:sz w:val="24"/>
          <w:szCs w:val="24"/>
        </w:rPr>
      </w:pPr>
    </w:p>
    <w:p w14:paraId="51C72611" w14:textId="77777777" w:rsidR="00C64685" w:rsidRPr="00BB7B5D" w:rsidRDefault="00C64685" w:rsidP="00080980">
      <w:pPr>
        <w:rPr>
          <w:sz w:val="24"/>
          <w:szCs w:val="24"/>
        </w:rPr>
      </w:pPr>
    </w:p>
    <w:p w14:paraId="0CEBAA51" w14:textId="41393F46" w:rsidR="00C81460" w:rsidRPr="00CB0239" w:rsidRDefault="00C81460" w:rsidP="00C814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sz w:val="24"/>
          <w:szCs w:val="24"/>
          <w:u w:val="single"/>
        </w:rPr>
      </w:pPr>
      <w:r w:rsidRPr="00C81460">
        <w:rPr>
          <w:rFonts w:ascii="Calibri" w:eastAsia="Calibri" w:hAnsi="Calibri" w:cs="Calibri"/>
          <w:sz w:val="24"/>
          <w:szCs w:val="24"/>
        </w:rPr>
        <w:t xml:space="preserve">Dated: </w:t>
      </w:r>
      <w:r w:rsidR="00FB62F4">
        <w:rPr>
          <w:rFonts w:ascii="Calibri" w:eastAsia="Calibri" w:hAnsi="Calibri" w:cs="Calibri"/>
          <w:sz w:val="24"/>
          <w:szCs w:val="24"/>
        </w:rPr>
        <w:t>December 1</w:t>
      </w:r>
      <w:r w:rsidR="006B43FC">
        <w:rPr>
          <w:rFonts w:ascii="Calibri" w:eastAsia="Calibri" w:hAnsi="Calibri" w:cs="Calibri"/>
          <w:sz w:val="24"/>
          <w:szCs w:val="24"/>
        </w:rPr>
        <w:t>9</w:t>
      </w:r>
      <w:r w:rsidR="00CB0239">
        <w:rPr>
          <w:rFonts w:ascii="Calibri" w:eastAsia="Calibri" w:hAnsi="Calibri" w:cs="Calibri"/>
          <w:sz w:val="24"/>
          <w:szCs w:val="24"/>
        </w:rPr>
        <w:t xml:space="preserve">, </w:t>
      </w:r>
      <w:proofErr w:type="gramStart"/>
      <w:r w:rsidR="00CB0239">
        <w:rPr>
          <w:rFonts w:ascii="Calibri" w:eastAsia="Calibri" w:hAnsi="Calibri" w:cs="Calibri"/>
          <w:sz w:val="24"/>
          <w:szCs w:val="24"/>
        </w:rPr>
        <w:t>2025</w:t>
      </w:r>
      <w:proofErr w:type="gramEnd"/>
      <w:r w:rsidRPr="00C81460">
        <w:rPr>
          <w:rFonts w:ascii="Calibri" w:eastAsia="Calibri" w:hAnsi="Calibri" w:cs="Calibri"/>
          <w:sz w:val="24"/>
          <w:szCs w:val="24"/>
        </w:rPr>
        <w:t xml:space="preserve">   </w:t>
      </w:r>
      <w:r w:rsidRPr="00C81460">
        <w:rPr>
          <w:rFonts w:ascii="Calibri" w:eastAsia="Calibri" w:hAnsi="Calibri" w:cs="Calibri"/>
          <w:sz w:val="24"/>
          <w:szCs w:val="24"/>
        </w:rPr>
        <w:tab/>
      </w:r>
      <w:r w:rsidRPr="00C81460">
        <w:rPr>
          <w:rFonts w:ascii="Calibri" w:eastAsia="Calibri" w:hAnsi="Calibri" w:cs="Calibri"/>
          <w:sz w:val="24"/>
          <w:szCs w:val="24"/>
        </w:rPr>
        <w:tab/>
      </w:r>
      <w:r w:rsidR="008D53A8">
        <w:rPr>
          <w:rFonts w:ascii="Calibri" w:eastAsia="Calibri" w:hAnsi="Calibri" w:cs="Calibri"/>
          <w:sz w:val="24"/>
          <w:szCs w:val="24"/>
        </w:rPr>
        <w:tab/>
      </w:r>
      <w:r w:rsidR="00CB0239" w:rsidRPr="00B94BB9">
        <w:rPr>
          <w:rFonts w:ascii="Lucida Handwriting" w:eastAsia="Calibri" w:hAnsi="Lucida Handwriting" w:cs="Calibri"/>
          <w:sz w:val="24"/>
          <w:szCs w:val="24"/>
          <w:u w:val="single"/>
        </w:rPr>
        <w:t>Natalie S. Monroe</w:t>
      </w:r>
      <w:r w:rsidR="00CB0239">
        <w:rPr>
          <w:rFonts w:ascii="Calibri" w:eastAsia="Calibri" w:hAnsi="Calibri" w:cs="Calibri"/>
          <w:sz w:val="24"/>
          <w:szCs w:val="24"/>
          <w:u w:val="single"/>
        </w:rPr>
        <w:tab/>
      </w:r>
      <w:r w:rsidR="00CB0239">
        <w:rPr>
          <w:rFonts w:ascii="Calibri" w:eastAsia="Calibri" w:hAnsi="Calibri" w:cs="Calibri"/>
          <w:sz w:val="24"/>
          <w:szCs w:val="24"/>
          <w:u w:val="single"/>
        </w:rPr>
        <w:tab/>
      </w:r>
      <w:r w:rsidR="00CB0239"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47F18F03" w14:textId="6A0CE53D" w:rsidR="00C81460" w:rsidRPr="00C81460" w:rsidRDefault="00C81460" w:rsidP="00C814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C81460">
        <w:rPr>
          <w:rFonts w:ascii="Calibri" w:eastAsia="Calibri" w:hAnsi="Calibri" w:cs="Calibri"/>
          <w:sz w:val="24"/>
          <w:szCs w:val="24"/>
        </w:rPr>
        <w:tab/>
      </w:r>
      <w:r w:rsidRPr="00C81460">
        <w:rPr>
          <w:rFonts w:ascii="Calibri" w:eastAsia="Calibri" w:hAnsi="Calibri" w:cs="Calibri"/>
          <w:sz w:val="24"/>
          <w:szCs w:val="24"/>
        </w:rPr>
        <w:tab/>
      </w:r>
      <w:r w:rsidRPr="00C81460">
        <w:rPr>
          <w:rFonts w:ascii="Calibri" w:eastAsia="Calibri" w:hAnsi="Calibri" w:cs="Calibri"/>
          <w:sz w:val="24"/>
          <w:szCs w:val="24"/>
        </w:rPr>
        <w:tab/>
      </w:r>
      <w:r w:rsidRPr="00C81460">
        <w:rPr>
          <w:rFonts w:ascii="Calibri" w:eastAsia="Calibri" w:hAnsi="Calibri" w:cs="Calibri"/>
          <w:sz w:val="24"/>
          <w:szCs w:val="24"/>
        </w:rPr>
        <w:tab/>
      </w:r>
      <w:r w:rsidRPr="00C81460">
        <w:rPr>
          <w:rFonts w:ascii="Calibri" w:eastAsia="Calibri" w:hAnsi="Calibri" w:cs="Calibri"/>
          <w:sz w:val="24"/>
          <w:szCs w:val="24"/>
        </w:rPr>
        <w:tab/>
      </w:r>
      <w:r w:rsidRPr="00C81460">
        <w:rPr>
          <w:rFonts w:ascii="Calibri" w:eastAsia="Calibri" w:hAnsi="Calibri" w:cs="Calibri"/>
          <w:sz w:val="24"/>
          <w:szCs w:val="24"/>
        </w:rPr>
        <w:tab/>
      </w:r>
      <w:r w:rsidR="008D53A8">
        <w:rPr>
          <w:rFonts w:ascii="Calibri" w:eastAsia="Calibri" w:hAnsi="Calibri" w:cs="Calibri"/>
          <w:sz w:val="24"/>
          <w:szCs w:val="24"/>
        </w:rPr>
        <w:tab/>
      </w:r>
      <w:r w:rsidRPr="00C81460">
        <w:rPr>
          <w:rFonts w:ascii="Calibri" w:eastAsia="Calibri" w:hAnsi="Calibri" w:cs="Calibri"/>
          <w:noProof/>
          <w:sz w:val="24"/>
          <w:szCs w:val="24"/>
        </w:rPr>
        <w:t>Natalie S. Monroe</w:t>
      </w:r>
    </w:p>
    <w:p w14:paraId="0D5BD782" w14:textId="216A73D9" w:rsidR="00C81460" w:rsidRPr="00C64685" w:rsidRDefault="00C81460" w:rsidP="00C6468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4"/>
          <w:szCs w:val="24"/>
        </w:rPr>
      </w:pPr>
      <w:r w:rsidRPr="00C81460">
        <w:rPr>
          <w:rFonts w:ascii="Calibri" w:eastAsia="Calibri" w:hAnsi="Calibri" w:cs="Calibri"/>
          <w:sz w:val="24"/>
          <w:szCs w:val="24"/>
        </w:rPr>
        <w:tab/>
      </w:r>
      <w:r w:rsidRPr="00C81460">
        <w:rPr>
          <w:rFonts w:ascii="Calibri" w:eastAsia="Calibri" w:hAnsi="Calibri" w:cs="Calibri"/>
          <w:sz w:val="24"/>
          <w:szCs w:val="24"/>
        </w:rPr>
        <w:tab/>
      </w:r>
      <w:r w:rsidRPr="00C81460">
        <w:rPr>
          <w:rFonts w:ascii="Calibri" w:eastAsia="Calibri" w:hAnsi="Calibri" w:cs="Calibri"/>
          <w:sz w:val="24"/>
          <w:szCs w:val="24"/>
        </w:rPr>
        <w:tab/>
      </w:r>
      <w:r w:rsidRPr="00C81460">
        <w:rPr>
          <w:rFonts w:ascii="Calibri" w:eastAsia="Calibri" w:hAnsi="Calibri" w:cs="Calibri"/>
          <w:sz w:val="24"/>
          <w:szCs w:val="24"/>
        </w:rPr>
        <w:tab/>
      </w:r>
      <w:r w:rsidRPr="00C81460">
        <w:rPr>
          <w:rFonts w:ascii="Calibri" w:eastAsia="Calibri" w:hAnsi="Calibri" w:cs="Calibri"/>
          <w:sz w:val="24"/>
          <w:szCs w:val="24"/>
        </w:rPr>
        <w:tab/>
      </w:r>
      <w:r w:rsidRPr="00C81460">
        <w:rPr>
          <w:rFonts w:ascii="Calibri" w:eastAsia="Calibri" w:hAnsi="Calibri" w:cs="Calibri"/>
          <w:sz w:val="24"/>
          <w:szCs w:val="24"/>
        </w:rPr>
        <w:tab/>
      </w:r>
      <w:r w:rsidR="008D53A8">
        <w:rPr>
          <w:rFonts w:ascii="Calibri" w:eastAsia="Calibri" w:hAnsi="Calibri" w:cs="Calibri"/>
          <w:sz w:val="24"/>
          <w:szCs w:val="24"/>
        </w:rPr>
        <w:tab/>
      </w:r>
      <w:r w:rsidRPr="00C81460">
        <w:rPr>
          <w:rFonts w:ascii="Calibri" w:eastAsia="Calibri" w:hAnsi="Calibri" w:cs="Calibri"/>
          <w:noProof/>
          <w:sz w:val="24"/>
          <w:szCs w:val="24"/>
        </w:rPr>
        <w:t>Chief Administrative Magistrate</w:t>
      </w:r>
    </w:p>
    <w:p w14:paraId="6C8A01C5" w14:textId="77777777" w:rsidR="008313D1" w:rsidRDefault="008313D1" w:rsidP="00BB7B5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sectPr w:rsidR="008313D1" w:rsidSect="001500F7">
      <w:footerReference w:type="default" r:id="rId7"/>
      <w:footerReference w:type="first" r:id="rId8"/>
      <w:pgSz w:w="12240" w:h="15840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4C992" w14:textId="77777777" w:rsidR="000E60CA" w:rsidRDefault="000E60CA" w:rsidP="001500F7">
      <w:pPr>
        <w:spacing w:after="0" w:line="240" w:lineRule="auto"/>
      </w:pPr>
      <w:r>
        <w:separator/>
      </w:r>
    </w:p>
  </w:endnote>
  <w:endnote w:type="continuationSeparator" w:id="0">
    <w:p w14:paraId="09394DC8" w14:textId="77777777" w:rsidR="000E60CA" w:rsidRDefault="000E60CA" w:rsidP="00150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7739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BC345B" w14:textId="02685C00" w:rsidR="001500F7" w:rsidRDefault="001500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E98A4B" w14:textId="77777777" w:rsidR="001500F7" w:rsidRDefault="001500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110133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D9BB6A" w14:textId="012E0243" w:rsidR="001B6758" w:rsidRDefault="001B675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D7D9A5" w14:textId="77777777" w:rsidR="001B6758" w:rsidRDefault="001B6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8AB46" w14:textId="77777777" w:rsidR="000E60CA" w:rsidRDefault="000E60CA" w:rsidP="001500F7">
      <w:pPr>
        <w:spacing w:after="0" w:line="240" w:lineRule="auto"/>
      </w:pPr>
      <w:r>
        <w:separator/>
      </w:r>
    </w:p>
  </w:footnote>
  <w:footnote w:type="continuationSeparator" w:id="0">
    <w:p w14:paraId="1656DD90" w14:textId="77777777" w:rsidR="000E60CA" w:rsidRDefault="000E60CA" w:rsidP="001500F7">
      <w:pPr>
        <w:spacing w:after="0" w:line="240" w:lineRule="auto"/>
      </w:pPr>
      <w:r>
        <w:continuationSeparator/>
      </w:r>
    </w:p>
  </w:footnote>
  <w:footnote w:id="1">
    <w:p w14:paraId="5CB9DAFA" w14:textId="20057773" w:rsidR="00B93CE8" w:rsidRDefault="00B93CE8" w:rsidP="00B93CE8">
      <w:pPr>
        <w:pStyle w:val="FootnoteText"/>
        <w:rPr>
          <w:rFonts w:ascii="Calibri" w:hAnsi="Calibri" w:cs="Calibri"/>
        </w:rPr>
      </w:pPr>
      <w:r w:rsidRPr="005C6DC5">
        <w:rPr>
          <w:rStyle w:val="FootnoteReference"/>
          <w:rFonts w:ascii="Calibri" w:hAnsi="Calibri" w:cs="Calibri"/>
        </w:rPr>
        <w:footnoteRef/>
      </w:r>
      <w:r w:rsidRPr="005C6DC5">
        <w:rPr>
          <w:rFonts w:ascii="Calibri" w:hAnsi="Calibri" w:cs="Calibri"/>
        </w:rPr>
        <w:t xml:space="preserve"> This Standing Order does not apply to the Bureau of Special Education Appeals.</w:t>
      </w:r>
    </w:p>
    <w:p w14:paraId="2F7A74DD" w14:textId="77777777" w:rsidR="006A7E87" w:rsidRPr="00A62293" w:rsidRDefault="006A7E87" w:rsidP="00B93CE8">
      <w:pPr>
        <w:pStyle w:val="FootnoteText"/>
        <w:rPr>
          <w:rFonts w:ascii="Calibri" w:hAnsi="Calibri" w:cs="Calibri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C00E6"/>
    <w:multiLevelType w:val="multilevel"/>
    <w:tmpl w:val="4876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52331"/>
    <w:multiLevelType w:val="hybridMultilevel"/>
    <w:tmpl w:val="EEF0F7DA"/>
    <w:lvl w:ilvl="0" w:tplc="A2A41F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31DF8"/>
    <w:multiLevelType w:val="hybridMultilevel"/>
    <w:tmpl w:val="D7D0D1F0"/>
    <w:lvl w:ilvl="0" w:tplc="E5E8A8F2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2B5C39"/>
    <w:multiLevelType w:val="multilevel"/>
    <w:tmpl w:val="8B9A0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B039D0"/>
    <w:multiLevelType w:val="hybridMultilevel"/>
    <w:tmpl w:val="3658487A"/>
    <w:lvl w:ilvl="0" w:tplc="F3BAF104">
      <w:start w:val="1"/>
      <w:numFmt w:val="decimal"/>
      <w:lvlText w:val="%1."/>
      <w:lvlJc w:val="left"/>
      <w:pPr>
        <w:ind w:left="1020" w:hanging="360"/>
      </w:pPr>
    </w:lvl>
    <w:lvl w:ilvl="1" w:tplc="D39EF2E6">
      <w:start w:val="1"/>
      <w:numFmt w:val="decimal"/>
      <w:lvlText w:val="%2."/>
      <w:lvlJc w:val="left"/>
      <w:pPr>
        <w:ind w:left="1020" w:hanging="360"/>
      </w:pPr>
    </w:lvl>
    <w:lvl w:ilvl="2" w:tplc="12187636">
      <w:start w:val="1"/>
      <w:numFmt w:val="decimal"/>
      <w:lvlText w:val="%3."/>
      <w:lvlJc w:val="left"/>
      <w:pPr>
        <w:ind w:left="1020" w:hanging="360"/>
      </w:pPr>
    </w:lvl>
    <w:lvl w:ilvl="3" w:tplc="67742F54">
      <w:start w:val="1"/>
      <w:numFmt w:val="decimal"/>
      <w:lvlText w:val="%4."/>
      <w:lvlJc w:val="left"/>
      <w:pPr>
        <w:ind w:left="1020" w:hanging="360"/>
      </w:pPr>
    </w:lvl>
    <w:lvl w:ilvl="4" w:tplc="1BE8003C">
      <w:start w:val="1"/>
      <w:numFmt w:val="decimal"/>
      <w:lvlText w:val="%5."/>
      <w:lvlJc w:val="left"/>
      <w:pPr>
        <w:ind w:left="1020" w:hanging="360"/>
      </w:pPr>
    </w:lvl>
    <w:lvl w:ilvl="5" w:tplc="6D48EE50">
      <w:start w:val="1"/>
      <w:numFmt w:val="decimal"/>
      <w:lvlText w:val="%6."/>
      <w:lvlJc w:val="left"/>
      <w:pPr>
        <w:ind w:left="1020" w:hanging="360"/>
      </w:pPr>
    </w:lvl>
    <w:lvl w:ilvl="6" w:tplc="3A120DB0">
      <w:start w:val="1"/>
      <w:numFmt w:val="decimal"/>
      <w:lvlText w:val="%7."/>
      <w:lvlJc w:val="left"/>
      <w:pPr>
        <w:ind w:left="1020" w:hanging="360"/>
      </w:pPr>
    </w:lvl>
    <w:lvl w:ilvl="7" w:tplc="8C46C9BC">
      <w:start w:val="1"/>
      <w:numFmt w:val="decimal"/>
      <w:lvlText w:val="%8."/>
      <w:lvlJc w:val="left"/>
      <w:pPr>
        <w:ind w:left="1020" w:hanging="360"/>
      </w:pPr>
    </w:lvl>
    <w:lvl w:ilvl="8" w:tplc="BA0861B6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41494231"/>
    <w:multiLevelType w:val="multilevel"/>
    <w:tmpl w:val="DBD86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A8720D"/>
    <w:multiLevelType w:val="multilevel"/>
    <w:tmpl w:val="4A1EE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4C54F9"/>
    <w:multiLevelType w:val="hybridMultilevel"/>
    <w:tmpl w:val="3EDE4B4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D07654A"/>
    <w:multiLevelType w:val="hybridMultilevel"/>
    <w:tmpl w:val="0C94F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1A185A"/>
    <w:multiLevelType w:val="multilevel"/>
    <w:tmpl w:val="C7CC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AE55B5"/>
    <w:multiLevelType w:val="multilevel"/>
    <w:tmpl w:val="D10E8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7832657F"/>
    <w:multiLevelType w:val="multilevel"/>
    <w:tmpl w:val="C330B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342394430">
    <w:abstractNumId w:val="0"/>
  </w:num>
  <w:num w:numId="2" w16cid:durableId="965425151">
    <w:abstractNumId w:val="3"/>
  </w:num>
  <w:num w:numId="3" w16cid:durableId="497577643">
    <w:abstractNumId w:val="9"/>
  </w:num>
  <w:num w:numId="4" w16cid:durableId="1778913708">
    <w:abstractNumId w:val="10"/>
  </w:num>
  <w:num w:numId="5" w16cid:durableId="437141273">
    <w:abstractNumId w:val="5"/>
  </w:num>
  <w:num w:numId="6" w16cid:durableId="1438521658">
    <w:abstractNumId w:val="11"/>
  </w:num>
  <w:num w:numId="7" w16cid:durableId="258948967">
    <w:abstractNumId w:val="4"/>
  </w:num>
  <w:num w:numId="8" w16cid:durableId="591624629">
    <w:abstractNumId w:val="6"/>
  </w:num>
  <w:num w:numId="9" w16cid:durableId="997490274">
    <w:abstractNumId w:val="1"/>
  </w:num>
  <w:num w:numId="10" w16cid:durableId="1494485778">
    <w:abstractNumId w:val="8"/>
  </w:num>
  <w:num w:numId="11" w16cid:durableId="1170409217">
    <w:abstractNumId w:val="2"/>
  </w:num>
  <w:num w:numId="12" w16cid:durableId="18978610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B8"/>
    <w:rsid w:val="00001A95"/>
    <w:rsid w:val="000216B9"/>
    <w:rsid w:val="000637E3"/>
    <w:rsid w:val="00073CB3"/>
    <w:rsid w:val="00080980"/>
    <w:rsid w:val="00092FBB"/>
    <w:rsid w:val="000B3CC2"/>
    <w:rsid w:val="000E60CA"/>
    <w:rsid w:val="00135DAD"/>
    <w:rsid w:val="001500F7"/>
    <w:rsid w:val="001762E8"/>
    <w:rsid w:val="00191BC0"/>
    <w:rsid w:val="001926B8"/>
    <w:rsid w:val="00195002"/>
    <w:rsid w:val="001B6758"/>
    <w:rsid w:val="001C7EB8"/>
    <w:rsid w:val="001D746B"/>
    <w:rsid w:val="001E0DDF"/>
    <w:rsid w:val="0023797C"/>
    <w:rsid w:val="00253586"/>
    <w:rsid w:val="00276382"/>
    <w:rsid w:val="00291D77"/>
    <w:rsid w:val="002B161A"/>
    <w:rsid w:val="0030764C"/>
    <w:rsid w:val="0031653F"/>
    <w:rsid w:val="00396354"/>
    <w:rsid w:val="003A37A0"/>
    <w:rsid w:val="003C5642"/>
    <w:rsid w:val="003D4A1E"/>
    <w:rsid w:val="00400040"/>
    <w:rsid w:val="00447300"/>
    <w:rsid w:val="004666E6"/>
    <w:rsid w:val="00484B8F"/>
    <w:rsid w:val="004937D9"/>
    <w:rsid w:val="004C68D6"/>
    <w:rsid w:val="004E6924"/>
    <w:rsid w:val="00520E6F"/>
    <w:rsid w:val="005269BE"/>
    <w:rsid w:val="00542C7F"/>
    <w:rsid w:val="00595342"/>
    <w:rsid w:val="005B7336"/>
    <w:rsid w:val="005C6DC5"/>
    <w:rsid w:val="005C72D8"/>
    <w:rsid w:val="005D2470"/>
    <w:rsid w:val="00611487"/>
    <w:rsid w:val="00655418"/>
    <w:rsid w:val="00664A4E"/>
    <w:rsid w:val="00675249"/>
    <w:rsid w:val="006A39F4"/>
    <w:rsid w:val="006A7E87"/>
    <w:rsid w:val="006B43FC"/>
    <w:rsid w:val="006E2290"/>
    <w:rsid w:val="00726EEF"/>
    <w:rsid w:val="00734F69"/>
    <w:rsid w:val="007677A6"/>
    <w:rsid w:val="007940B4"/>
    <w:rsid w:val="00801E6D"/>
    <w:rsid w:val="008313D1"/>
    <w:rsid w:val="00856CDC"/>
    <w:rsid w:val="00875CCC"/>
    <w:rsid w:val="00880A25"/>
    <w:rsid w:val="00882699"/>
    <w:rsid w:val="0089128D"/>
    <w:rsid w:val="008A0F6C"/>
    <w:rsid w:val="008C56C7"/>
    <w:rsid w:val="008C590F"/>
    <w:rsid w:val="008D53A8"/>
    <w:rsid w:val="008E127D"/>
    <w:rsid w:val="00931123"/>
    <w:rsid w:val="00961DD6"/>
    <w:rsid w:val="00972027"/>
    <w:rsid w:val="009A4668"/>
    <w:rsid w:val="009B4D3C"/>
    <w:rsid w:val="00A2144D"/>
    <w:rsid w:val="00A33AB6"/>
    <w:rsid w:val="00A62293"/>
    <w:rsid w:val="00A84D7F"/>
    <w:rsid w:val="00A9419C"/>
    <w:rsid w:val="00AA75FD"/>
    <w:rsid w:val="00AC70CC"/>
    <w:rsid w:val="00AD5FE0"/>
    <w:rsid w:val="00B009BF"/>
    <w:rsid w:val="00B228AC"/>
    <w:rsid w:val="00B40BBC"/>
    <w:rsid w:val="00B5729C"/>
    <w:rsid w:val="00B93CE8"/>
    <w:rsid w:val="00B94BB9"/>
    <w:rsid w:val="00BA2842"/>
    <w:rsid w:val="00BB7B5D"/>
    <w:rsid w:val="00C2155F"/>
    <w:rsid w:val="00C54A3A"/>
    <w:rsid w:val="00C64685"/>
    <w:rsid w:val="00C670FB"/>
    <w:rsid w:val="00C72E21"/>
    <w:rsid w:val="00C81460"/>
    <w:rsid w:val="00CA1850"/>
    <w:rsid w:val="00CB0239"/>
    <w:rsid w:val="00CB610F"/>
    <w:rsid w:val="00CB7BCE"/>
    <w:rsid w:val="00D1764E"/>
    <w:rsid w:val="00D17F9D"/>
    <w:rsid w:val="00D35C5C"/>
    <w:rsid w:val="00D50BDF"/>
    <w:rsid w:val="00D53BAB"/>
    <w:rsid w:val="00D608FD"/>
    <w:rsid w:val="00DA3F6A"/>
    <w:rsid w:val="00DB7CCE"/>
    <w:rsid w:val="00DE3F60"/>
    <w:rsid w:val="00E15B2E"/>
    <w:rsid w:val="00E46CD7"/>
    <w:rsid w:val="00E521C6"/>
    <w:rsid w:val="00E7343D"/>
    <w:rsid w:val="00ED1D16"/>
    <w:rsid w:val="00EF1775"/>
    <w:rsid w:val="00F15C91"/>
    <w:rsid w:val="00F314B2"/>
    <w:rsid w:val="00FA2665"/>
    <w:rsid w:val="00FB62F4"/>
    <w:rsid w:val="00FD10CE"/>
    <w:rsid w:val="13CA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D7D5B"/>
  <w15:chartTrackingRefBased/>
  <w15:docId w15:val="{164D51DD-F43A-41C0-97E9-CEA7FDFD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6B8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6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6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6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6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6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6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6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6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6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6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6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6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6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6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6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6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6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6B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814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14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14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4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46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50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0F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50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0F7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937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7D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3C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3C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3CE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01A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1916</Characters>
  <Application>Microsoft Office Word</Application>
  <DocSecurity>4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Monroe, Natalie S. (ALA)</dc:creator>
  <cp:keywords/>
  <dc:description/>
  <cp:lastModifiedBy>Tennen, Eric (ALA)</cp:lastModifiedBy>
  <cp:revision>2</cp:revision>
  <cp:lastPrinted>2025-04-02T21:40:00Z</cp:lastPrinted>
  <dcterms:created xsi:type="dcterms:W3CDTF">2025-12-19T15:14:00Z</dcterms:created>
  <dcterms:modified xsi:type="dcterms:W3CDTF">2025-12-19T15:14:00Z</dcterms:modified>
</cp:coreProperties>
</file>